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0ztzpxpim9" w:id="0"/>
      <w:bookmarkEnd w:id="0"/>
      <w:hyperlink r:id="rId6">
        <w:r w:rsidDel="00000000" w:rsidR="00000000" w:rsidRPr="00000000">
          <w:rPr>
            <w:color w:val="1155cc"/>
            <w:u w:val="single"/>
            <w:rtl w:val="0"/>
          </w:rPr>
          <w:t xml:space="preserve">Plateforme IA et Marketing</w:t>
        </w:r>
      </w:hyperlink>
      <w:r w:rsidDel="00000000" w:rsidR="00000000" w:rsidRPr="00000000">
        <w:rPr>
          <w:rtl w:val="0"/>
        </w:rPr>
      </w:r>
    </w:p>
    <w:p w:rsidR="00000000" w:rsidDel="00000000" w:rsidP="00000000" w:rsidRDefault="00000000" w:rsidRPr="00000000" w14:paraId="00000002">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5 topics | 15 key points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i w:val="1"/>
          <w:iCs w:val="1"/>
        </w:rPr>
      </w:pPr>
      <w:r w:rsidDel="00000000" w:rsidR="00000000" w:rsidRPr="00000000">
        <w:rPr>
          <w:i w:val="1"/>
          <w:iCs w:val="1"/>
          <w:rtl w:val="0"/>
        </w:rPr>
        <w:t xml:space="preserve">La réunion a porté sur la conception d'une plateforme de compétences thématiques intégrant une interface IA adaptée à différents secteurs, notamment l'agriculture. L'accent a été mis sur la création d'une démo, la mise en place d'une whitelist pour tester l'outil, et l'intégration dans les activités des entreprises. Les participants ont aussi discuté de la collaboration avec acteurs IA locaux, de l'automatisation des appels API, du contrôle des accès utilisateurs, et enfin des stratégies de comarketing, notamment via SMS et moyens de paiement en ligne.</w:t>
      </w:r>
    </w:p>
    <w:p w:rsidR="00000000" w:rsidDel="00000000" w:rsidP="00000000" w:rsidRDefault="00000000" w:rsidRPr="00000000" w14:paraId="00000005">
      <w:pPr>
        <w:pStyle w:val="Heading3"/>
        <w:rPr/>
      </w:pPr>
      <w:bookmarkStart w:colFirst="0" w:colLast="0" w:name="_pnr56cyrfgna" w:id="1"/>
      <w:bookmarkEnd w:id="1"/>
      <w:r w:rsidDel="00000000" w:rsidR="00000000" w:rsidRPr="00000000">
        <w:rPr>
          <w:rtl w:val="0"/>
        </w:rPr>
        <w:t xml:space="preserve">1. Plateforme de compétences et IA</w:t>
      </w:r>
    </w:p>
    <w:p w:rsidR="00000000" w:rsidDel="00000000" w:rsidP="00000000" w:rsidRDefault="00000000" w:rsidRPr="00000000" w14:paraId="00000006">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i w:val="1"/>
          <w:iCs w:val="1"/>
        </w:rPr>
      </w:pPr>
      <w:r w:rsidDel="00000000" w:rsidR="00000000" w:rsidRPr="00000000">
        <w:rPr>
          <w:i w:val="1"/>
          <w:iCs w:val="1"/>
          <w:rtl w:val="0"/>
        </w:rPr>
        <w:t xml:space="preserve">Discussion sur le développement d'une base de compétences thématiques avec une interface IA dédiée, favorisant la contribution et la spécialisation par domaine.</w:t>
      </w:r>
    </w:p>
    <w:p w:rsidR="00000000" w:rsidDel="00000000" w:rsidP="00000000" w:rsidRDefault="00000000" w:rsidRPr="00000000" w14:paraId="00000009">
      <w:pPr>
        <w:pStyle w:val="Heading4"/>
        <w:rPr/>
      </w:pPr>
      <w:bookmarkStart w:colFirst="0" w:colLast="0" w:name="_esf3ofk38dak" w:id="2"/>
      <w:bookmarkEnd w:id="2"/>
      <w:r w:rsidDel="00000000" w:rsidR="00000000" w:rsidRPr="00000000">
        <w:rPr>
          <w:rtl w:val="0"/>
        </w:rPr>
        <w:t xml:space="preserve">Key Points</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Création d'une base de compétences thématiques</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Encourager la contribution des utilisateurs</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Focus sur l'agriculture et autres secteurs</w:t>
      </w:r>
    </w:p>
    <w:p w:rsidR="00000000" w:rsidDel="00000000" w:rsidP="00000000" w:rsidRDefault="00000000" w:rsidRPr="00000000" w14:paraId="0000000D">
      <w:pPr>
        <w:pStyle w:val="Heading3"/>
        <w:rPr/>
      </w:pPr>
      <w:bookmarkStart w:colFirst="0" w:colLast="0" w:name="_nm7w51w9p9b9" w:id="3"/>
      <w:bookmarkEnd w:id="3"/>
      <w:r w:rsidDel="00000000" w:rsidR="00000000" w:rsidRPr="00000000">
        <w:rPr>
          <w:rtl w:val="0"/>
        </w:rPr>
        <w:t xml:space="preserve">2. Démo, whitelist et tests</w:t>
      </w:r>
    </w:p>
    <w:p w:rsidR="00000000" w:rsidDel="00000000" w:rsidP="00000000" w:rsidRDefault="00000000" w:rsidRPr="00000000" w14:paraId="0000000E">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i w:val="1"/>
          <w:iCs w:val="1"/>
        </w:rPr>
      </w:pPr>
      <w:r w:rsidDel="00000000" w:rsidR="00000000" w:rsidRPr="00000000">
        <w:rPr>
          <w:i w:val="1"/>
          <w:iCs w:val="1"/>
          <w:rtl w:val="0"/>
        </w:rPr>
        <w:t xml:space="preserve">Préparation d'une démo via Figma ou Bolt avec une landing page et création d'une whitelist pour tester l'outil en avant-première.</w:t>
      </w:r>
    </w:p>
    <w:p w:rsidR="00000000" w:rsidDel="00000000" w:rsidP="00000000" w:rsidRDefault="00000000" w:rsidRPr="00000000" w14:paraId="00000011">
      <w:pPr>
        <w:pStyle w:val="Heading4"/>
        <w:rPr/>
      </w:pPr>
      <w:bookmarkStart w:colFirst="0" w:colLast="0" w:name="_agsjb04z95a3" w:id="4"/>
      <w:bookmarkEnd w:id="4"/>
      <w:r w:rsidDel="00000000" w:rsidR="00000000" w:rsidRPr="00000000">
        <w:rPr>
          <w:rtl w:val="0"/>
        </w:rPr>
        <w:t xml:space="preserve">Key Points</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Développer une démo fonctionnelle</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Mise en place d'une whitelist</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Préparer une phase de test gratuite</w:t>
      </w:r>
    </w:p>
    <w:p w:rsidR="00000000" w:rsidDel="00000000" w:rsidP="00000000" w:rsidRDefault="00000000" w:rsidRPr="00000000" w14:paraId="00000015">
      <w:pPr>
        <w:pStyle w:val="Heading3"/>
        <w:rPr/>
      </w:pPr>
      <w:bookmarkStart w:colFirst="0" w:colLast="0" w:name="_ygi0qu573rf2" w:id="5"/>
      <w:bookmarkEnd w:id="5"/>
      <w:r w:rsidDel="00000000" w:rsidR="00000000" w:rsidRPr="00000000">
        <w:rPr>
          <w:rtl w:val="0"/>
        </w:rPr>
        <w:t xml:space="preserve">3. Collaboration avec acteurs IA locaux</w:t>
      </w:r>
    </w:p>
    <w:p w:rsidR="00000000" w:rsidDel="00000000" w:rsidP="00000000" w:rsidRDefault="00000000" w:rsidRPr="00000000" w14:paraId="00000016">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i w:val="1"/>
          <w:iCs w:val="1"/>
        </w:rPr>
      </w:pPr>
      <w:r w:rsidDel="00000000" w:rsidR="00000000" w:rsidRPr="00000000">
        <w:rPr>
          <w:i w:val="1"/>
          <w:iCs w:val="1"/>
          <w:rtl w:val="0"/>
        </w:rPr>
        <w:t xml:space="preserve">Possibilité de collaboration avec des équipes locales spécialisées en IA pour renforcer la plateforme.</w:t>
      </w:r>
    </w:p>
    <w:p w:rsidR="00000000" w:rsidDel="00000000" w:rsidP="00000000" w:rsidRDefault="00000000" w:rsidRPr="00000000" w14:paraId="00000019">
      <w:pPr>
        <w:pStyle w:val="Heading4"/>
        <w:rPr/>
      </w:pPr>
      <w:bookmarkStart w:colFirst="0" w:colLast="0" w:name="_r0bo8kazre1v" w:id="6"/>
      <w:bookmarkEnd w:id="6"/>
      <w:r w:rsidDel="00000000" w:rsidR="00000000" w:rsidRPr="00000000">
        <w:rPr>
          <w:rtl w:val="0"/>
        </w:rPr>
        <w:t xml:space="preserve">Key Points</w:t>
      </w:r>
    </w:p>
    <w:p w:rsidR="00000000" w:rsidDel="00000000" w:rsidP="00000000" w:rsidRDefault="00000000" w:rsidRPr="00000000" w14:paraId="0000001A">
      <w:pPr>
        <w:numPr>
          <w:ilvl w:val="0"/>
          <w:numId w:val="5"/>
        </w:numPr>
        <w:ind w:left="720" w:hanging="360"/>
        <w:rPr>
          <w:u w:val="none"/>
        </w:rPr>
      </w:pPr>
      <w:r w:rsidDel="00000000" w:rsidR="00000000" w:rsidRPr="00000000">
        <w:rPr>
          <w:rtl w:val="0"/>
        </w:rPr>
        <w:t xml:space="preserve">Engager des partenariats locaux</w:t>
      </w:r>
    </w:p>
    <w:p w:rsidR="00000000" w:rsidDel="00000000" w:rsidP="00000000" w:rsidRDefault="00000000" w:rsidRPr="00000000" w14:paraId="0000001B">
      <w:pPr>
        <w:numPr>
          <w:ilvl w:val="0"/>
          <w:numId w:val="5"/>
        </w:numPr>
        <w:ind w:left="720" w:hanging="360"/>
        <w:rPr>
          <w:u w:val="none"/>
        </w:rPr>
      </w:pPr>
      <w:r w:rsidDel="00000000" w:rsidR="00000000" w:rsidRPr="00000000">
        <w:rPr>
          <w:rtl w:val="0"/>
        </w:rPr>
        <w:t xml:space="preserve">Demander aide à Curso pour interface IA</w:t>
      </w:r>
    </w:p>
    <w:p w:rsidR="00000000" w:rsidDel="00000000" w:rsidP="00000000" w:rsidRDefault="00000000" w:rsidRPr="00000000" w14:paraId="0000001C">
      <w:pPr>
        <w:numPr>
          <w:ilvl w:val="0"/>
          <w:numId w:val="5"/>
        </w:numPr>
        <w:ind w:left="720" w:hanging="360"/>
        <w:rPr>
          <w:u w:val="none"/>
        </w:rPr>
      </w:pPr>
      <w:r w:rsidDel="00000000" w:rsidR="00000000" w:rsidRPr="00000000">
        <w:rPr>
          <w:rtl w:val="0"/>
        </w:rPr>
        <w:t xml:space="preserve">Favoriser une communication en français</w:t>
      </w:r>
    </w:p>
    <w:p w:rsidR="00000000" w:rsidDel="00000000" w:rsidP="00000000" w:rsidRDefault="00000000" w:rsidRPr="00000000" w14:paraId="0000001D">
      <w:pPr>
        <w:pStyle w:val="Heading3"/>
        <w:rPr/>
      </w:pPr>
      <w:bookmarkStart w:colFirst="0" w:colLast="0" w:name="_cx3mxi5ql94" w:id="7"/>
      <w:bookmarkEnd w:id="7"/>
      <w:r w:rsidDel="00000000" w:rsidR="00000000" w:rsidRPr="00000000">
        <w:rPr>
          <w:rtl w:val="0"/>
        </w:rPr>
        <w:t xml:space="preserve">4. Automatisation et gestion technique</w:t>
      </w:r>
    </w:p>
    <w:p w:rsidR="00000000" w:rsidDel="00000000" w:rsidP="00000000" w:rsidRDefault="00000000" w:rsidRPr="00000000" w14:paraId="0000001E">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i w:val="1"/>
          <w:iCs w:val="1"/>
        </w:rPr>
      </w:pPr>
      <w:r w:rsidDel="00000000" w:rsidR="00000000" w:rsidRPr="00000000">
        <w:rPr>
          <w:i w:val="1"/>
          <w:iCs w:val="1"/>
          <w:rtl w:val="0"/>
        </w:rPr>
        <w:t xml:space="preserve">Mise en place des appels API automatisés, contrôle du quota de tokens utilisateur et organisation des aspects techniques.</w:t>
      </w:r>
    </w:p>
    <w:p w:rsidR="00000000" w:rsidDel="00000000" w:rsidP="00000000" w:rsidRDefault="00000000" w:rsidRPr="00000000" w14:paraId="00000021">
      <w:pPr>
        <w:pStyle w:val="Heading4"/>
        <w:rPr/>
      </w:pPr>
      <w:bookmarkStart w:colFirst="0" w:colLast="0" w:name="_sdwzr0wkbpug" w:id="8"/>
      <w:bookmarkEnd w:id="8"/>
      <w:r w:rsidDel="00000000" w:rsidR="00000000" w:rsidRPr="00000000">
        <w:rPr>
          <w:rtl w:val="0"/>
        </w:rPr>
        <w:t xml:space="preserve">Key Points</w:t>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Automatiser appels API</w:t>
      </w:r>
    </w:p>
    <w:p w:rsidR="00000000" w:rsidDel="00000000" w:rsidP="00000000" w:rsidRDefault="00000000" w:rsidRPr="00000000" w14:paraId="00000023">
      <w:pPr>
        <w:numPr>
          <w:ilvl w:val="0"/>
          <w:numId w:val="4"/>
        </w:numPr>
        <w:ind w:left="720" w:hanging="360"/>
        <w:rPr>
          <w:u w:val="none"/>
        </w:rPr>
      </w:pPr>
      <w:r w:rsidDel="00000000" w:rsidR="00000000" w:rsidRPr="00000000">
        <w:rPr>
          <w:rtl w:val="0"/>
        </w:rPr>
        <w:t xml:space="preserve">Contrôler les quotas tokens</w:t>
      </w:r>
    </w:p>
    <w:p w:rsidR="00000000" w:rsidDel="00000000" w:rsidP="00000000" w:rsidRDefault="00000000" w:rsidRPr="00000000" w14:paraId="00000024">
      <w:pPr>
        <w:numPr>
          <w:ilvl w:val="0"/>
          <w:numId w:val="4"/>
        </w:numPr>
        <w:ind w:left="720" w:hanging="360"/>
        <w:rPr>
          <w:u w:val="none"/>
        </w:rPr>
      </w:pPr>
      <w:r w:rsidDel="00000000" w:rsidR="00000000" w:rsidRPr="00000000">
        <w:rPr>
          <w:rtl w:val="0"/>
        </w:rPr>
        <w:t xml:space="preserve">Enregistrer IA localement</w:t>
      </w:r>
    </w:p>
    <w:p w:rsidR="00000000" w:rsidDel="00000000" w:rsidP="00000000" w:rsidRDefault="00000000" w:rsidRPr="00000000" w14:paraId="00000025">
      <w:pPr>
        <w:pStyle w:val="Heading3"/>
        <w:rPr/>
      </w:pPr>
      <w:bookmarkStart w:colFirst="0" w:colLast="0" w:name="_xt4cs4om5m24" w:id="9"/>
      <w:bookmarkEnd w:id="9"/>
      <w:r w:rsidDel="00000000" w:rsidR="00000000" w:rsidRPr="00000000">
        <w:rPr>
          <w:rtl w:val="0"/>
        </w:rPr>
        <w:t xml:space="preserve">5. Stratégies marketing et moyens de paiement</w:t>
      </w:r>
    </w:p>
    <w:p w:rsidR="00000000" w:rsidDel="00000000" w:rsidP="00000000" w:rsidRDefault="00000000" w:rsidRPr="00000000" w14:paraId="00000026">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i w:val="1"/>
          <w:iCs w:val="1"/>
        </w:rPr>
      </w:pPr>
      <w:r w:rsidDel="00000000" w:rsidR="00000000" w:rsidRPr="00000000">
        <w:rPr>
          <w:i w:val="1"/>
          <w:iCs w:val="1"/>
          <w:rtl w:val="0"/>
        </w:rPr>
        <w:t xml:space="preserve">Débat sur l'utilisation du SMS, comarketing, et moyens de paiement en ligne pour la promotion de la plateforme.</w:t>
      </w:r>
    </w:p>
    <w:p w:rsidR="00000000" w:rsidDel="00000000" w:rsidP="00000000" w:rsidRDefault="00000000" w:rsidRPr="00000000" w14:paraId="00000029">
      <w:pPr>
        <w:pStyle w:val="Heading4"/>
        <w:rPr/>
      </w:pPr>
      <w:bookmarkStart w:colFirst="0" w:colLast="0" w:name="_kvyhyqv5zm2y" w:id="10"/>
      <w:bookmarkEnd w:id="10"/>
      <w:r w:rsidDel="00000000" w:rsidR="00000000" w:rsidRPr="00000000">
        <w:rPr>
          <w:rtl w:val="0"/>
        </w:rPr>
        <w:t xml:space="preserve">Key Points</w:t>
      </w:r>
    </w:p>
    <w:p w:rsidR="00000000" w:rsidDel="00000000" w:rsidP="00000000" w:rsidRDefault="00000000" w:rsidRPr="00000000" w14:paraId="0000002A">
      <w:pPr>
        <w:numPr>
          <w:ilvl w:val="0"/>
          <w:numId w:val="6"/>
        </w:numPr>
        <w:ind w:left="720" w:hanging="360"/>
        <w:rPr>
          <w:u w:val="none"/>
        </w:rPr>
      </w:pPr>
      <w:r w:rsidDel="00000000" w:rsidR="00000000" w:rsidRPr="00000000">
        <w:rPr>
          <w:rtl w:val="0"/>
        </w:rPr>
        <w:t xml:space="preserve">Prioriser moyens de paiement en ligne</w:t>
      </w:r>
    </w:p>
    <w:p w:rsidR="00000000" w:rsidDel="00000000" w:rsidP="00000000" w:rsidRDefault="00000000" w:rsidRPr="00000000" w14:paraId="0000002B">
      <w:pPr>
        <w:numPr>
          <w:ilvl w:val="0"/>
          <w:numId w:val="6"/>
        </w:numPr>
        <w:ind w:left="720" w:hanging="360"/>
        <w:rPr>
          <w:u w:val="none"/>
        </w:rPr>
      </w:pPr>
      <w:r w:rsidDel="00000000" w:rsidR="00000000" w:rsidRPr="00000000">
        <w:rPr>
          <w:rtl w:val="0"/>
        </w:rPr>
        <w:t xml:space="preserve">Analyser coût SMS et alternatives</w:t>
      </w:r>
    </w:p>
    <w:p w:rsidR="00000000" w:rsidDel="00000000" w:rsidP="00000000" w:rsidRDefault="00000000" w:rsidRPr="00000000" w14:paraId="0000002C">
      <w:pPr>
        <w:numPr>
          <w:ilvl w:val="0"/>
          <w:numId w:val="6"/>
        </w:numPr>
        <w:ind w:left="720" w:hanging="360"/>
        <w:rPr>
          <w:u w:val="none"/>
        </w:rPr>
      </w:pPr>
      <w:r w:rsidDel="00000000" w:rsidR="00000000" w:rsidRPr="00000000">
        <w:rPr>
          <w:rtl w:val="0"/>
        </w:rPr>
        <w:t xml:space="preserve">Planifier fonds marketing pour SMS</w:t>
      </w:r>
    </w:p>
    <w:p w:rsidR="00000000" w:rsidDel="00000000" w:rsidP="00000000" w:rsidRDefault="00000000" w:rsidRPr="00000000" w14:paraId="0000002D">
      <w:pPr>
        <w:pStyle w:val="Heading3"/>
        <w:rPr/>
      </w:pPr>
      <w:bookmarkStart w:colFirst="0" w:colLast="0" w:name="_w3cwosiwv0x6" w:id="11"/>
      <w:bookmarkEnd w:id="11"/>
      <w:r w:rsidDel="00000000" w:rsidR="00000000" w:rsidRPr="00000000">
        <w:rPr>
          <w:rtl w:val="0"/>
        </w:rPr>
        <w:t xml:space="preserve">Other Tasks</w:t>
      </w:r>
    </w:p>
    <w:p w:rsidR="00000000" w:rsidDel="00000000" w:rsidP="00000000" w:rsidRDefault="00000000" w:rsidRPr="00000000" w14:paraId="0000002E">
      <w:pPr>
        <w:numPr>
          <w:ilvl w:val="0"/>
          <w:numId w:val="3"/>
        </w:numPr>
        <w:ind w:left="720" w:hanging="360"/>
        <w:rPr>
          <w:u w:val="none"/>
        </w:rPr>
      </w:pPr>
      <w:hyperlink r:id="rId7">
        <w:r w:rsidDel="00000000" w:rsidR="00000000" w:rsidRPr="00000000">
          <w:rPr>
            <w:color w:val="1155cc"/>
            <w:u w:val="single"/>
            <w:rtl w:val="0"/>
          </w:rPr>
          <w:t xml:space="preserve">Développer la démo interactive via Figma ou Bolt avec la landing page connectée à l'API.</w:t>
        </w:r>
      </w:hyperlink>
      <w:r w:rsidDel="00000000" w:rsidR="00000000" w:rsidRPr="00000000">
        <w:rPr>
          <w:rtl w:val="0"/>
        </w:rPr>
      </w:r>
    </w:p>
    <w:p w:rsidR="00000000" w:rsidDel="00000000" w:rsidP="00000000" w:rsidRDefault="00000000" w:rsidRPr="00000000" w14:paraId="0000002F">
      <w:pPr>
        <w:numPr>
          <w:ilvl w:val="0"/>
          <w:numId w:val="3"/>
        </w:numPr>
        <w:ind w:left="720" w:hanging="360"/>
        <w:rPr>
          <w:u w:val="none"/>
        </w:rPr>
      </w:pPr>
      <w:hyperlink r:id="rId8">
        <w:r w:rsidDel="00000000" w:rsidR="00000000" w:rsidRPr="00000000">
          <w:rPr>
            <w:color w:val="1155cc"/>
            <w:u w:val="single"/>
            <w:rtl w:val="0"/>
          </w:rPr>
          <w:t xml:space="preserve">Mettre en place la whitelist pour le recrutement des testeurs prêts à essayer l'outil gratuitement.</w:t>
        </w:r>
      </w:hyperlink>
      <w:r w:rsidDel="00000000" w:rsidR="00000000" w:rsidRPr="00000000">
        <w:rPr>
          <w:rtl w:val="0"/>
        </w:rPr>
      </w:r>
    </w:p>
    <w:p w:rsidR="00000000" w:rsidDel="00000000" w:rsidP="00000000" w:rsidRDefault="00000000" w:rsidRPr="00000000" w14:paraId="00000030">
      <w:pPr>
        <w:numPr>
          <w:ilvl w:val="0"/>
          <w:numId w:val="3"/>
        </w:numPr>
        <w:ind w:left="720" w:hanging="360"/>
        <w:rPr>
          <w:u w:val="none"/>
        </w:rPr>
      </w:pPr>
      <w:hyperlink r:id="rId9">
        <w:r w:rsidDel="00000000" w:rsidR="00000000" w:rsidRPr="00000000">
          <w:rPr>
            <w:color w:val="1155cc"/>
            <w:u w:val="single"/>
            <w:rtl w:val="0"/>
          </w:rPr>
          <w:t xml:space="preserve">Automatiser les appels d'API et implémenter le contrôle des quotas tokens pour chaque utilisateur.</w:t>
        </w:r>
      </w:hyperlink>
      <w:r w:rsidDel="00000000" w:rsidR="00000000" w:rsidRPr="00000000">
        <w:rPr>
          <w:rtl w:val="0"/>
        </w:rPr>
      </w:r>
    </w:p>
    <w:p w:rsidR="00000000" w:rsidDel="00000000" w:rsidP="00000000" w:rsidRDefault="00000000" w:rsidRPr="00000000" w14:paraId="00000031">
      <w:pPr>
        <w:numPr>
          <w:ilvl w:val="0"/>
          <w:numId w:val="3"/>
        </w:numPr>
        <w:ind w:left="720" w:hanging="360"/>
        <w:rPr>
          <w:u w:val="none"/>
        </w:rPr>
      </w:pPr>
      <w:hyperlink r:id="rId10">
        <w:r w:rsidDel="00000000" w:rsidR="00000000" w:rsidRPr="00000000">
          <w:rPr>
            <w:color w:val="1155cc"/>
            <w:u w:val="single"/>
            <w:rtl w:val="0"/>
          </w:rPr>
          <w:t xml:space="preserve">Rechercher et négocier des solutions alternatives moins coûteuses que Bifiana pour l'envoi de SMS.</w:t>
        </w:r>
      </w:hyperlink>
      <w:r w:rsidDel="00000000" w:rsidR="00000000" w:rsidRPr="00000000">
        <w:rPr>
          <w:rtl w:val="0"/>
        </w:rPr>
      </w:r>
    </w:p>
    <w:p w:rsidR="00000000" w:rsidDel="00000000" w:rsidP="00000000" w:rsidRDefault="00000000" w:rsidRPr="00000000" w14:paraId="00000032">
      <w:pPr>
        <w:numPr>
          <w:ilvl w:val="0"/>
          <w:numId w:val="3"/>
        </w:numPr>
        <w:ind w:left="720" w:hanging="360"/>
        <w:rPr>
          <w:u w:val="none"/>
        </w:rPr>
      </w:pPr>
      <w:hyperlink r:id="rId11">
        <w:r w:rsidDel="00000000" w:rsidR="00000000" w:rsidRPr="00000000">
          <w:rPr>
            <w:color w:val="1155cc"/>
            <w:u w:val="single"/>
            <w:rtl w:val="0"/>
          </w:rPr>
          <w:t xml:space="preserve">Déployer des moyens de paiement en ligne sécurisés pour faciliter les transactions des utilisateurs et clients.</w:t>
        </w:r>
      </w:hyperlink>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SemiBold">
    <w:embedRegular w:fontKey="{00000000-0000-0000-0000-000000000000}" r:id="rId5" w:subsetted="0"/>
    <w:embedBold w:fontKey="{00000000-0000-0000-0000-000000000000}" r:id="rId6" w:subsetted="0"/>
  </w:font>
  <w:font w:name="Dela Gothic One">
    <w:embedRegular w:fontKey="{00000000-0000-0000-0000-000000000000}" r:id="rId7" w:subsetted="0"/>
  </w:font>
  <w:font w:name="Helvetica Neu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4"/>
        <w:szCs w:val="24"/>
        <w:lang w:val="fr"/>
      </w:rPr>
    </w:rPrDefault>
    <w:pPrDefault>
      <w:pPr>
        <w:spacing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88" w:lineRule="auto"/>
    </w:pPr>
    <w:rPr>
      <w:rFonts w:ascii="Dela Gothic One" w:cs="Dela Gothic One" w:eastAsia="Dela Gothic One" w:hAnsi="Dela Gothic One"/>
      <w:sz w:val="60"/>
      <w:szCs w:val="60"/>
    </w:rPr>
  </w:style>
  <w:style w:type="paragraph" w:styleId="Heading2">
    <w:name w:val="heading 2"/>
    <w:basedOn w:val="Normal"/>
    <w:next w:val="Normal"/>
    <w:pPr>
      <w:keepNext w:val="1"/>
      <w:keepLines w:val="1"/>
    </w:pPr>
    <w:rPr>
      <w:rFonts w:ascii="Helvetica Neue" w:cs="Helvetica Neue" w:eastAsia="Helvetica Neue" w:hAnsi="Helvetica Neue"/>
      <w:b w:val="1"/>
      <w:bCs w:val="1"/>
      <w:sz w:val="32"/>
      <w:szCs w:val="32"/>
    </w:rPr>
  </w:style>
  <w:style w:type="paragraph" w:styleId="Heading3">
    <w:name w:val="heading 3"/>
    <w:basedOn w:val="Normal"/>
    <w:next w:val="Normal"/>
    <w:pPr>
      <w:keepNext w:val="1"/>
      <w:keepLines w:val="1"/>
      <w:spacing w:after="80" w:before="280" w:line="288" w:lineRule="auto"/>
    </w:pPr>
    <w:rPr>
      <w:rFonts w:ascii="Manrope SemiBold" w:cs="Manrope SemiBold" w:eastAsia="Manrope SemiBold" w:hAnsi="Manrope SemiBold"/>
      <w:sz w:val="28"/>
      <w:szCs w:val="28"/>
    </w:rPr>
  </w:style>
  <w:style w:type="paragraph" w:styleId="Heading4">
    <w:name w:val="heading 4"/>
    <w:basedOn w:val="Normal"/>
    <w:next w:val="Normal"/>
    <w:pPr>
      <w:keepNext w:val="1"/>
      <w:keepLines w:val="1"/>
      <w:spacing w:line="288" w:lineRule="auto"/>
    </w:pPr>
    <w:rPr>
      <w:rFonts w:ascii="Montserrat SemiBold" w:cs="Montserrat SemiBold" w:eastAsia="Montserrat SemiBold" w:hAnsi="Montserrat SemiBol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linear.new?title=D%C3%A9ployer+des+moyens+de+paiement+en+ligne+s%C3%A9curis%C3%A9s+pour+faciliter+les+transactions+des+utilisateurs+et+clients.&amp;description=Un+syst%C3%A8me+de+paiement+rapide+et+s%C3%A9curis%C3%A9+est+une+base+n%C3%A9cessaire+pour+la+commercialisation+future+de+la+plateforme." TargetMode="External"/><Relationship Id="rId10" Type="http://schemas.openxmlformats.org/officeDocument/2006/relationships/hyperlink" Target="https://linear.new?title=Rechercher+et+n%C3%A9gocier+des+solutions+alternatives+moins+co%C3%BBteuses+que+Bifiana+pour+l%27envoi+de+SMS.&amp;description=R%C3%A9duire+les+co%C3%BBts+marketing+est+crucial+pour+la+rentabilit%C3%A9+%C3%A0+moyen+terme+du+projet%2C+notamment+durant+les+campagnes+promotionnelles." TargetMode="External"/><Relationship Id="rId9" Type="http://schemas.openxmlformats.org/officeDocument/2006/relationships/hyperlink" Target="https://linear.new?title=Automatiser+les+appels+d%27API+et+impl%C3%A9menter+le+contr%C3%B4le+des+quotas+tokens+pour+chaque+utilisateur.&amp;description=Essentiel+pour+assurer+une+gestion+efficace+des+ressources+back-end+et+%C3%A9viter+un+usage+excessif+non+contr%C3%B4l%C3%A9." TargetMode="External"/><Relationship Id="rId5" Type="http://schemas.openxmlformats.org/officeDocument/2006/relationships/styles" Target="styles.xml"/><Relationship Id="rId6" Type="http://schemas.openxmlformats.org/officeDocument/2006/relationships/hyperlink" Target="https://drive.google.com/file/d/1_yMn9IbZDcxzlDqPeA8wVQbaweAkiU8p/view?usp=drivesdk" TargetMode="External"/><Relationship Id="rId7" Type="http://schemas.openxmlformats.org/officeDocument/2006/relationships/hyperlink" Target="https://linear.new?title=D%C3%A9velopper+la+d%C3%A9mo+interactive+via+Figma+ou+Bolt+avec+la+landing+page+connect%C3%A9e+%C3%A0+l%27API.&amp;description=Cette+t%C3%A2che+est+primordiale+pour+la+phase+de+test+afin+d%27attirer+les+premiers+utilisateurs+et+valider+le+concept+technique+de+la+plateforme." TargetMode="External"/><Relationship Id="rId8" Type="http://schemas.openxmlformats.org/officeDocument/2006/relationships/hyperlink" Target="https://linear.new?title=Mettre+en+place+la+whitelist+pour+le+recrutement+des+testeurs+pr%C3%AAts+%C3%A0+essayer+l%27outil+gratuitement.&amp;description=Cette+%C3%A9tape+permettra+de+constituer+un+groupe+cibl%C3%A9+d%27utilisateurs+afin+de+collecter+des+retours+et+am%C3%A9liorer+la+solution+avant+un+d%C3%A9ploiement+plus+larg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HelveticaNeue-boldItalic.ttf"/><Relationship Id="rId10" Type="http://schemas.openxmlformats.org/officeDocument/2006/relationships/font" Target="fonts/HelveticaNeue-italic.ttf"/><Relationship Id="rId9" Type="http://schemas.openxmlformats.org/officeDocument/2006/relationships/font" Target="fonts/HelveticaNeue-bold.ttf"/><Relationship Id="rId5" Type="http://schemas.openxmlformats.org/officeDocument/2006/relationships/font" Target="fonts/ManropeSemiBold-regular.ttf"/><Relationship Id="rId6" Type="http://schemas.openxmlformats.org/officeDocument/2006/relationships/font" Target="fonts/ManropeSemiBold-bold.ttf"/><Relationship Id="rId7" Type="http://schemas.openxmlformats.org/officeDocument/2006/relationships/font" Target="fonts/DelaGothicOne-regular.ttf"/><Relationship Id="rId8" Type="http://schemas.openxmlformats.org/officeDocument/2006/relationships/font" Target="fonts/HelveticaNeu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