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12"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12" w:line="300" w:lineRule="auto"/>
        <w:ind w:left="0" w:righ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667375" cy="80200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73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12" w:line="300" w:lineRule="auto"/>
        <w:ind w:left="0" w:right="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4">
      <w:pPr>
        <w:pStyle w:val="Heading1"/>
        <w:keepNext w:val="0"/>
        <w:keepLines w:val="0"/>
        <w:widowControl w:val="0"/>
        <w:spacing w:after="120" w:before="480" w:line="276" w:lineRule="auto"/>
        <w:jc w:val="both"/>
        <w:rPr>
          <w:rFonts w:ascii="Arial" w:cs="Arial" w:eastAsia="Arial" w:hAnsi="Arial"/>
          <w:b w:val="1"/>
          <w:bCs w:val="1"/>
          <w:color w:val="000000"/>
          <w:sz w:val="46"/>
          <w:szCs w:val="46"/>
        </w:rPr>
      </w:pPr>
      <w:bookmarkStart w:colFirst="0" w:colLast="0" w:name="_u31lq6b5svf5" w:id="0"/>
      <w:bookmarkEnd w:id="0"/>
      <w:r w:rsidDel="00000000" w:rsidR="00000000" w:rsidRPr="00000000">
        <w:rPr>
          <w:rFonts w:ascii="Arial" w:cs="Arial" w:eastAsia="Arial" w:hAnsi="Arial"/>
          <w:b w:val="1"/>
          <w:bCs w:val="1"/>
          <w:color w:val="000000"/>
          <w:sz w:val="46"/>
          <w:szCs w:val="46"/>
          <w:rtl w:val="0"/>
        </w:rPr>
        <w:t xml:space="preserve">PROCÈS-VERBAL D'ÉVALUATION DES OFFRES ET DE SÉLECTION DU FOURNISSEUR.</w:t>
      </w:r>
    </w:p>
    <w:p w:rsidR="00000000" w:rsidDel="00000000" w:rsidP="00000000" w:rsidRDefault="00000000" w:rsidRPr="00000000" w14:paraId="00000005">
      <w:pPr>
        <w:widowControl w:val="0"/>
        <w:numPr>
          <w:ilvl w:val="0"/>
          <w:numId w:val="3"/>
        </w:num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Achat de Mobilier de Bureau pour Fataplus SARLU.</w:t>
      </w:r>
    </w:p>
    <w:p w:rsidR="00000000" w:rsidDel="00000000" w:rsidP="00000000" w:rsidRDefault="00000000" w:rsidRPr="00000000" w14:paraId="00000006">
      <w:pPr>
        <w:widowControl w:val="0"/>
        <w:spacing w:after="240" w:before="240" w:line="276" w:lineRule="auto"/>
        <w:ind w:left="0" w:firstLine="0"/>
        <w:jc w:val="both"/>
        <w:rPr/>
      </w:pPr>
      <w:r w:rsidDel="00000000" w:rsidR="00000000" w:rsidRPr="00000000">
        <w:rPr>
          <w:rFonts w:ascii="Arial" w:cs="Arial" w:eastAsia="Arial" w:hAnsi="Arial"/>
          <w:b w:val="1"/>
          <w:bCs w:val="1"/>
          <w:rtl w:val="0"/>
        </w:rPr>
        <w:t xml:space="preserve">Date: </w:t>
      </w:r>
      <w:r w:rsidDel="00000000" w:rsidR="00000000" w:rsidRPr="00000000">
        <w:rPr>
          <w:rtl w:val="0"/>
        </w:rPr>
        <w:t xml:space="preserve">07/10/2025</w:t>
      </w:r>
    </w:p>
    <w:p w:rsidR="00000000" w:rsidDel="00000000" w:rsidP="00000000" w:rsidRDefault="00000000" w:rsidRPr="00000000" w14:paraId="00000007">
      <w:pPr>
        <w:widowControl w:val="0"/>
        <w:spacing w:after="240" w:before="240" w:line="276" w:lineRule="auto"/>
        <w:ind w:left="0" w:firstLine="0"/>
        <w:jc w:val="both"/>
        <w:rPr/>
      </w:pPr>
      <w:r w:rsidDel="00000000" w:rsidR="00000000" w:rsidRPr="00000000">
        <w:rPr>
          <w:rFonts w:ascii="Arial" w:cs="Arial" w:eastAsia="Arial" w:hAnsi="Arial"/>
          <w:b w:val="1"/>
          <w:bCs w:val="1"/>
          <w:rtl w:val="0"/>
        </w:rPr>
        <w:t xml:space="preserve">Lieu: </w:t>
      </w:r>
      <w:r w:rsidDel="00000000" w:rsidR="00000000" w:rsidRPr="00000000">
        <w:rPr>
          <w:rtl w:val="0"/>
        </w:rPr>
        <w:t xml:space="preserve">Lot II H 35 GTER Ankadindramamy, Antananarivo V</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rtl w:val="0"/>
        </w:rPr>
        <w:t xml:space="preserve">Présents:</w:t>
      </w:r>
    </w:p>
    <w:p w:rsidR="00000000" w:rsidDel="00000000" w:rsidP="00000000" w:rsidRDefault="00000000" w:rsidRPr="00000000" w14:paraId="00000009">
      <w:pPr>
        <w:widowControl w:val="0"/>
        <w:spacing w:after="240" w:before="240" w:line="276" w:lineRule="auto"/>
        <w:ind w:left="0" w:firstLine="0"/>
        <w:jc w:val="both"/>
        <w:rPr/>
      </w:pPr>
      <w:r w:rsidDel="00000000" w:rsidR="00000000" w:rsidRPr="00000000">
        <w:rPr>
          <w:rFonts w:ascii="Arial Unicode MS" w:cs="Arial Unicode MS" w:eastAsia="Arial Unicode MS" w:hAnsi="Arial Unicode MS"/>
          <w:rtl w:val="0"/>
        </w:rPr>
        <w:t xml:space="preserve">● Fanomezanirina Fenohery, CEO de Fataplus SARLU</w:t>
      </w:r>
    </w:p>
    <w:p w:rsidR="00000000" w:rsidDel="00000000" w:rsidP="00000000" w:rsidRDefault="00000000" w:rsidRPr="00000000" w14:paraId="0000000A">
      <w:pPr>
        <w:widowControl w:val="0"/>
        <w:spacing w:after="240" w:before="240" w:line="276" w:lineRule="auto"/>
        <w:ind w:left="0" w:firstLine="0"/>
        <w:jc w:val="both"/>
        <w:rPr/>
      </w:pPr>
      <w:r w:rsidDel="00000000" w:rsidR="00000000" w:rsidRPr="00000000">
        <w:rPr>
          <w:rFonts w:ascii="Arial" w:cs="Arial" w:eastAsia="Arial" w:hAnsi="Arial"/>
          <w:b w:val="1"/>
          <w:bCs w:val="1"/>
          <w:rtl w:val="0"/>
        </w:rPr>
        <w:t xml:space="preserve">Objet:</w:t>
      </w:r>
      <w:r w:rsidDel="00000000" w:rsidR="00000000" w:rsidRPr="00000000">
        <w:rPr>
          <w:rtl w:val="0"/>
        </w:rPr>
        <w:t xml:space="preserve"> Évaluation et sélection de l'offre la plus adaptée pour l'achat de mobilier de bureau.</w:t>
      </w:r>
    </w:p>
    <w:p w:rsidR="00000000" w:rsidDel="00000000" w:rsidP="00000000" w:rsidRDefault="00000000" w:rsidRPr="00000000" w14:paraId="0000000B">
      <w:pPr>
        <w:pStyle w:val="Heading2"/>
        <w:keepNext w:val="0"/>
        <w:widowControl w:val="0"/>
        <w:spacing w:after="80" w:before="360" w:line="276" w:lineRule="auto"/>
        <w:ind w:firstLine="360"/>
        <w:rPr>
          <w:rFonts w:ascii="Arial" w:cs="Arial" w:eastAsia="Arial" w:hAnsi="Arial"/>
          <w:sz w:val="34"/>
          <w:szCs w:val="34"/>
        </w:rPr>
      </w:pPr>
      <w:bookmarkStart w:colFirst="0" w:colLast="0" w:name="_acpmvc30lts6" w:id="1"/>
      <w:bookmarkEnd w:id="1"/>
      <w:r w:rsidDel="00000000" w:rsidR="00000000" w:rsidRPr="00000000">
        <w:rPr>
          <w:rFonts w:ascii="Arial" w:cs="Arial" w:eastAsia="Arial" w:hAnsi="Arial"/>
          <w:sz w:val="34"/>
          <w:szCs w:val="34"/>
          <w:rtl w:val="0"/>
        </w:rPr>
        <w:t xml:space="preserve">Introduction</w:t>
      </w:r>
    </w:p>
    <w:p w:rsidR="00000000" w:rsidDel="00000000" w:rsidP="00000000" w:rsidRDefault="00000000" w:rsidRPr="00000000" w14:paraId="0000000C">
      <w:pPr>
        <w:widowControl w:val="0"/>
        <w:spacing w:after="240" w:before="240" w:line="276" w:lineRule="auto"/>
        <w:ind w:left="0" w:firstLine="0"/>
        <w:jc w:val="both"/>
        <w:rPr/>
      </w:pPr>
      <w:r w:rsidDel="00000000" w:rsidR="00000000" w:rsidRPr="00000000">
        <w:rPr>
          <w:rtl w:val="0"/>
        </w:rPr>
        <w:t xml:space="preserve">Fataplus SARLU a procédé à l’évaluation de plusieurs offres dans le cadre de l'acquisition de mobilier de bureau pour renforcer ses installations opérationnelles. Ce procès-verbal présente en détail l’analyse des factures proforma reçues et justifie le choix de l'offre retenue.</w:t>
      </w:r>
    </w:p>
    <w:p w:rsidR="00000000" w:rsidDel="00000000" w:rsidP="00000000" w:rsidRDefault="00000000" w:rsidRPr="00000000" w14:paraId="0000000D">
      <w:pPr>
        <w:pStyle w:val="Heading2"/>
        <w:keepNext w:val="0"/>
        <w:widowControl w:val="0"/>
        <w:spacing w:after="80" w:before="360" w:line="276" w:lineRule="auto"/>
        <w:ind w:firstLine="360"/>
        <w:rPr>
          <w:rFonts w:ascii="Arial" w:cs="Arial" w:eastAsia="Arial" w:hAnsi="Arial"/>
          <w:sz w:val="34"/>
          <w:szCs w:val="34"/>
        </w:rPr>
      </w:pPr>
      <w:bookmarkStart w:colFirst="0" w:colLast="0" w:name="_c1ybv19btc3g" w:id="2"/>
      <w:bookmarkEnd w:id="2"/>
      <w:r w:rsidDel="00000000" w:rsidR="00000000" w:rsidRPr="00000000">
        <w:rPr>
          <w:rFonts w:ascii="Arial" w:cs="Arial" w:eastAsia="Arial" w:hAnsi="Arial"/>
          <w:sz w:val="34"/>
          <w:szCs w:val="34"/>
          <w:rtl w:val="0"/>
        </w:rPr>
        <w:t xml:space="preserve">Évaluation comparative des offres</w:t>
      </w:r>
    </w:p>
    <w:p w:rsidR="00000000" w:rsidDel="00000000" w:rsidP="00000000" w:rsidRDefault="00000000" w:rsidRPr="00000000" w14:paraId="0000000E">
      <w:pPr>
        <w:widowControl w:val="0"/>
        <w:spacing w:after="240" w:before="240" w:line="276" w:lineRule="auto"/>
        <w:ind w:left="0" w:firstLine="0"/>
        <w:jc w:val="both"/>
        <w:rPr/>
      </w:pPr>
      <w:r w:rsidDel="00000000" w:rsidR="00000000" w:rsidRPr="00000000">
        <w:rPr>
          <w:rtl w:val="0"/>
        </w:rPr>
        <w:t xml:space="preserve">Dans le cadre de nos besoins en achat de mobilier de bureau chez Fataplus, nous avons reçu trois factures pro forma de fournisseurs qualifiés. Les offres évaluées sont celles de NSH Sarlu (Meuble Ny Soa, offre choisie), King Size Mobilier et Lemur Tsena. Le tableau ci-dessous résume les éléments clés permettant de comparer les offres selon les critères retenus (description des articles, quantités, prix unitaire, total, conditions de paiement, délai de livraison, etc.). L'évaluation cible prioritairement l'acquisition de 2 tables de bureau, 2 chaises de bureau et 4 chaises visiteur, avec un accent sur le rapport qualité-prix, la disponibilité et l'adéquation aux besoins agritech durables (mobilier ergonomique et fonctionnel). Les totaux ont été calculés au 7 octobre 2025. L'entreprise privilégie une offre équilibrée avec un total inférieur à 2 500 000 MGA, des conditions de paiement flexibles et une livraison immédiate.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firstLine="720"/>
        <w:jc w:val="both"/>
        <w:rPr/>
      </w:pPr>
      <w:r w:rsidDel="00000000" w:rsidR="00000000" w:rsidRPr="00000000">
        <w:rPr>
          <w:rtl w:val="0"/>
        </w:rPr>
      </w:r>
    </w:p>
    <w:p w:rsidR="00000000" w:rsidDel="00000000" w:rsidP="00000000" w:rsidRDefault="00000000" w:rsidRPr="00000000" w14:paraId="00000010">
      <w:pPr>
        <w:spacing w:after="4" w:before="12" w:line="300" w:lineRule="auto"/>
        <w:ind w:left="0" w:firstLine="0"/>
        <w:jc w:val="both"/>
        <w:rPr>
          <w:highlight w:val="white"/>
        </w:rPr>
      </w:pPr>
      <w:r w:rsidDel="00000000" w:rsidR="00000000" w:rsidRPr="00000000">
        <w:rPr>
          <w:rtl w:val="0"/>
        </w:rPr>
      </w:r>
    </w:p>
    <w:p w:rsidR="00000000" w:rsidDel="00000000" w:rsidP="00000000" w:rsidRDefault="00000000" w:rsidRPr="00000000" w14:paraId="00000011">
      <w:pPr>
        <w:spacing w:after="4" w:before="12" w:line="300" w:lineRule="auto"/>
        <w:ind w:left="0" w:firstLine="0"/>
        <w:jc w:val="both"/>
        <w:rPr>
          <w:highlight w:val="white"/>
        </w:rPr>
      </w:pPr>
      <w:r w:rsidDel="00000000" w:rsidR="00000000" w:rsidRPr="00000000">
        <w:rPr>
          <w:rtl w:val="0"/>
        </w:rPr>
      </w:r>
    </w:p>
    <w:tbl>
      <w:tblPr>
        <w:tblStyle w:val="Table1"/>
        <w:tblW w:w="1173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70"/>
        <w:gridCol w:w="1320"/>
        <w:gridCol w:w="1320"/>
        <w:gridCol w:w="1320"/>
        <w:gridCol w:w="2145"/>
        <w:gridCol w:w="1755"/>
        <w:tblGridChange w:id="0">
          <w:tblGrid>
            <w:gridCol w:w="1800"/>
            <w:gridCol w:w="2070"/>
            <w:gridCol w:w="1320"/>
            <w:gridCol w:w="1320"/>
            <w:gridCol w:w="1320"/>
            <w:gridCol w:w="2145"/>
            <w:gridCol w:w="175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ind w:left="0" w:firstLine="0"/>
              <w:jc w:val="both"/>
              <w:rPr/>
            </w:pPr>
            <w:r w:rsidDel="00000000" w:rsidR="00000000" w:rsidRPr="00000000">
              <w:rPr>
                <w:rFonts w:ascii="Arial" w:cs="Arial" w:eastAsia="Arial" w:hAnsi="Arial"/>
                <w:b w:val="1"/>
                <w:bCs w:val="1"/>
                <w:rtl w:val="0"/>
              </w:rPr>
              <w:t xml:space="preserve">Fournisseur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ind w:left="0" w:firstLine="0"/>
              <w:jc w:val="both"/>
              <w:rPr/>
            </w:pPr>
            <w:r w:rsidDel="00000000" w:rsidR="00000000" w:rsidRPr="00000000">
              <w:rPr>
                <w:rFonts w:ascii="Arial" w:cs="Arial" w:eastAsia="Arial" w:hAnsi="Arial"/>
                <w:b w:val="1"/>
                <w:bCs w:val="1"/>
                <w:rtl w:val="0"/>
              </w:rPr>
              <w:t xml:space="preserve">Description des articles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ind w:left="0" w:firstLine="0"/>
              <w:jc w:val="both"/>
              <w:rPr/>
            </w:pPr>
            <w:r w:rsidDel="00000000" w:rsidR="00000000" w:rsidRPr="00000000">
              <w:rPr>
                <w:rFonts w:ascii="Arial" w:cs="Arial" w:eastAsia="Arial" w:hAnsi="Arial"/>
                <w:b w:val="1"/>
                <w:bCs w:val="1"/>
                <w:rtl w:val="0"/>
              </w:rPr>
              <w:t xml:space="preserve">Quantités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ind w:left="0" w:firstLine="0"/>
              <w:jc w:val="both"/>
              <w:rPr/>
            </w:pPr>
            <w:r w:rsidDel="00000000" w:rsidR="00000000" w:rsidRPr="00000000">
              <w:rPr>
                <w:rFonts w:ascii="Arial" w:cs="Arial" w:eastAsia="Arial" w:hAnsi="Arial"/>
                <w:b w:val="1"/>
                <w:bCs w:val="1"/>
                <w:rtl w:val="0"/>
              </w:rPr>
              <w:t xml:space="preserve">Prix unitaire (MGA)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76" w:lineRule="auto"/>
              <w:ind w:left="0" w:firstLine="0"/>
              <w:jc w:val="both"/>
              <w:rPr/>
            </w:pPr>
            <w:r w:rsidDel="00000000" w:rsidR="00000000" w:rsidRPr="00000000">
              <w:rPr>
                <w:rFonts w:ascii="Arial" w:cs="Arial" w:eastAsia="Arial" w:hAnsi="Arial"/>
                <w:b w:val="1"/>
                <w:bCs w:val="1"/>
                <w:rtl w:val="0"/>
              </w:rPr>
              <w:t xml:space="preserve">Total (MGA)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ind w:left="0" w:firstLine="0"/>
              <w:jc w:val="both"/>
              <w:rPr/>
            </w:pPr>
            <w:r w:rsidDel="00000000" w:rsidR="00000000" w:rsidRPr="00000000">
              <w:rPr>
                <w:rFonts w:ascii="Arial" w:cs="Arial" w:eastAsia="Arial" w:hAnsi="Arial"/>
                <w:b w:val="1"/>
                <w:bCs w:val="1"/>
                <w:rtl w:val="0"/>
              </w:rPr>
              <w:t xml:space="preserve">Conditions de paiement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76" w:lineRule="auto"/>
              <w:ind w:left="0" w:firstLine="0"/>
              <w:jc w:val="both"/>
              <w:rPr/>
            </w:pPr>
            <w:r w:rsidDel="00000000" w:rsidR="00000000" w:rsidRPr="00000000">
              <w:rPr>
                <w:rFonts w:ascii="Arial" w:cs="Arial" w:eastAsia="Arial" w:hAnsi="Arial"/>
                <w:b w:val="1"/>
                <w:bCs w:val="1"/>
                <w:rtl w:val="0"/>
              </w:rPr>
              <w:t xml:space="preserve">Délai de livraison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ind w:left="0" w:firstLine="0"/>
              <w:jc w:val="both"/>
              <w:rPr/>
            </w:pPr>
            <w:r w:rsidDel="00000000" w:rsidR="00000000" w:rsidRPr="00000000">
              <w:rPr>
                <w:rtl w:val="0"/>
              </w:rPr>
              <w:t xml:space="preserve">NSH Sarlu (Meuble Ny Soa) (choisie)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ind w:left="0" w:firstLine="0"/>
              <w:jc w:val="both"/>
              <w:rPr/>
            </w:pPr>
            <w:r w:rsidDel="00000000" w:rsidR="00000000" w:rsidRPr="00000000">
              <w:rPr>
                <w:rtl w:val="0"/>
              </w:rPr>
              <w:t xml:space="preserve">Table de bureau (L180x80x75 cm) ; Chaise de bureau noir A-Chair (avec pose tête) ; Chaise visiteur (pieds luge)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ind w:left="0" w:firstLine="0"/>
              <w:jc w:val="both"/>
              <w:rPr/>
            </w:pPr>
            <w:r w:rsidDel="00000000" w:rsidR="00000000" w:rsidRPr="00000000">
              <w:rPr>
                <w:rtl w:val="0"/>
              </w:rPr>
              <w:t xml:space="preserve">2 tables ; 2 chaises bureau ; 4 chaises visiteur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ind w:left="0" w:firstLine="0"/>
              <w:jc w:val="both"/>
              <w:rPr/>
            </w:pPr>
            <w:r w:rsidDel="00000000" w:rsidR="00000000" w:rsidRPr="00000000">
              <w:rPr>
                <w:rtl w:val="0"/>
              </w:rPr>
              <w:t xml:space="preserve">600 000 (table) ; 250 000 (chaise bureau) ; 100 000 (chaise visiteur)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ind w:left="0" w:firstLine="0"/>
              <w:jc w:val="both"/>
              <w:rPr/>
            </w:pPr>
            <w:r w:rsidDel="00000000" w:rsidR="00000000" w:rsidRPr="00000000">
              <w:rPr>
                <w:rtl w:val="0"/>
              </w:rPr>
              <w:t xml:space="preserve">2 100 000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76" w:lineRule="auto"/>
              <w:ind w:left="0" w:firstLine="0"/>
              <w:jc w:val="both"/>
              <w:rPr/>
            </w:pPr>
            <w:r w:rsidDel="00000000" w:rsidR="00000000" w:rsidRPr="00000000">
              <w:rPr>
                <w:rtl w:val="0"/>
              </w:rPr>
              <w:t xml:space="preserve">À la livraison (espèces, mobile money, chèque au nom de Rakotomalala Lantonirina Princy)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76" w:lineRule="auto"/>
              <w:ind w:left="0" w:firstLine="0"/>
              <w:jc w:val="both"/>
              <w:rPr/>
            </w:pPr>
            <w:r w:rsidDel="00000000" w:rsidR="00000000" w:rsidRPr="00000000">
              <w:rPr>
                <w:rtl w:val="0"/>
              </w:rPr>
              <w:t xml:space="preserve">Immédiate (dans la limite des stocks)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ind w:left="0" w:firstLine="0"/>
              <w:jc w:val="both"/>
              <w:rPr/>
            </w:pPr>
            <w:r w:rsidDel="00000000" w:rsidR="00000000" w:rsidRPr="00000000">
              <w:rPr>
                <w:rtl w:val="0"/>
              </w:rPr>
              <w:t xml:space="preserve">King Size Mobilier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ind w:left="0" w:firstLine="0"/>
              <w:jc w:val="both"/>
              <w:rPr/>
            </w:pPr>
            <w:r w:rsidDel="00000000" w:rsidR="00000000" w:rsidRPr="00000000">
              <w:rPr>
                <w:rtl w:val="0"/>
              </w:rPr>
              <w:t xml:space="preserve">Chaise visiteur (L50-60 cm, fibre mousseux, accoudoirs chromés, noir) ; Chaise exécutive (L50x50 cm, tissus/fibre, accoudoirs plastiques, pieds roulettes, noir) ; Table de bureau mélamine (L1200x600x750 mm, 2 tiroirs, tons bois/blanc 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ind w:left="0" w:firstLine="0"/>
              <w:jc w:val="both"/>
              <w:rPr/>
            </w:pPr>
            <w:r w:rsidDel="00000000" w:rsidR="00000000" w:rsidRPr="00000000">
              <w:rPr>
                <w:rtl w:val="0"/>
              </w:rPr>
              <w:t xml:space="preserve">4 chaises visiteur ; 2 chaises exécutives ; 2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ind w:left="0" w:firstLine="0"/>
              <w:jc w:val="both"/>
              <w:rPr/>
            </w:pPr>
            <w:r w:rsidDel="00000000" w:rsidR="00000000" w:rsidRPr="00000000">
              <w:rPr>
                <w:rtl w:val="0"/>
              </w:rPr>
              <w:t xml:space="preserve">260 000 (visiteur) ; 840 000 (exécutive) ; 610 000 (table)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ind w:left="0" w:firstLine="0"/>
              <w:jc w:val="both"/>
              <w:rPr/>
            </w:pPr>
            <w:r w:rsidDel="00000000" w:rsidR="00000000" w:rsidRPr="00000000">
              <w:rPr>
                <w:rtl w:val="0"/>
              </w:rPr>
              <w:t xml:space="preserve">3 940 000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ind w:left="0" w:firstLine="0"/>
              <w:jc w:val="both"/>
              <w:rPr/>
            </w:pPr>
            <w:r w:rsidDel="00000000" w:rsidR="00000000" w:rsidRPr="00000000">
              <w:rPr>
                <w:rtl w:val="0"/>
              </w:rPr>
              <w:t xml:space="preserve">65% à la commande ; reste 2 jours avant livraison (chèque/virement au nom de SANS LIMITE)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ind w:left="0" w:firstLine="0"/>
              <w:jc w:val="both"/>
              <w:rPr/>
            </w:pPr>
            <w:r w:rsidDel="00000000" w:rsidR="00000000" w:rsidRPr="00000000">
              <w:rPr>
                <w:rtl w:val="0"/>
              </w:rPr>
              <w:t xml:space="preserve">À partir de 20 jours après validation et 3D</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ind w:left="0" w:firstLine="0"/>
              <w:jc w:val="both"/>
              <w:rPr/>
            </w:pPr>
            <w:r w:rsidDel="00000000" w:rsidR="00000000" w:rsidRPr="00000000">
              <w:rPr>
                <w:rtl w:val="0"/>
              </w:rPr>
              <w:t xml:space="preserve">Lemur Tsena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ind w:left="0" w:firstLine="0"/>
              <w:jc w:val="both"/>
              <w:rPr/>
            </w:pPr>
            <w:r w:rsidDel="00000000" w:rsidR="00000000" w:rsidRPr="00000000">
              <w:rPr>
                <w:rtl w:val="0"/>
              </w:rPr>
              <w:t xml:space="preserve">(Données absentes, facture proforma incomplète ou non fournie)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ind w:left="0" w:firstLine="0"/>
              <w:jc w:val="both"/>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ind w:left="0" w:firstLine="0"/>
              <w:jc w:val="both"/>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ind w:left="0" w:firstLine="0"/>
              <w:jc w:val="both"/>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ind w:left="0" w:firstLine="0"/>
              <w:jc w:val="both"/>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ind w:left="0" w:firstLine="0"/>
              <w:jc w:val="both"/>
              <w:rPr/>
            </w:pPr>
            <w:r w:rsidDel="00000000" w:rsidR="00000000" w:rsidRPr="00000000">
              <w:rPr>
                <w:rtl w:val="0"/>
              </w:rPr>
              <w:t xml:space="preserve">N/A</w:t>
            </w:r>
          </w:p>
        </w:tc>
      </w:tr>
    </w:tbl>
    <w:p w:rsidR="00000000" w:rsidDel="00000000" w:rsidP="00000000" w:rsidRDefault="00000000" w:rsidRPr="00000000" w14:paraId="0000002E">
      <w:pPr>
        <w:pStyle w:val="Heading2"/>
        <w:keepNext w:val="0"/>
        <w:spacing w:after="80" w:before="360" w:line="300" w:lineRule="auto"/>
        <w:ind w:left="0" w:firstLine="0"/>
        <w:rPr>
          <w:rFonts w:ascii="Helvetica Neue" w:cs="Helvetica Neue" w:eastAsia="Helvetica Neue" w:hAnsi="Helvetica Neue"/>
          <w:sz w:val="34"/>
          <w:szCs w:val="34"/>
          <w:highlight w:val="white"/>
        </w:rPr>
      </w:pPr>
      <w:bookmarkStart w:colFirst="0" w:colLast="0" w:name="_8vuwqlnosou6" w:id="3"/>
      <w:bookmarkEnd w:id="3"/>
      <w:r w:rsidDel="00000000" w:rsidR="00000000" w:rsidRPr="00000000">
        <w:rPr>
          <w:rtl w:val="0"/>
        </w:rPr>
      </w:r>
    </w:p>
    <w:p w:rsidR="00000000" w:rsidDel="00000000" w:rsidP="00000000" w:rsidRDefault="00000000" w:rsidRPr="00000000" w14:paraId="0000002F">
      <w:pPr>
        <w:pStyle w:val="Heading2"/>
        <w:keepNext w:val="0"/>
        <w:spacing w:after="80" w:before="360" w:line="300" w:lineRule="auto"/>
        <w:ind w:left="0" w:firstLine="0"/>
        <w:rPr>
          <w:rFonts w:ascii="Helvetica Neue" w:cs="Helvetica Neue" w:eastAsia="Helvetica Neue" w:hAnsi="Helvetica Neue"/>
          <w:sz w:val="34"/>
          <w:szCs w:val="34"/>
          <w:highlight w:val="white"/>
        </w:rPr>
      </w:pPr>
      <w:bookmarkStart w:colFirst="0" w:colLast="0" w:name="_bihaq9mwx2oo" w:id="4"/>
      <w:bookmarkEnd w:id="4"/>
      <w:r w:rsidDel="00000000" w:rsidR="00000000" w:rsidRPr="00000000">
        <w:rPr>
          <w:rFonts w:ascii="Helvetica Neue" w:cs="Helvetica Neue" w:eastAsia="Helvetica Neue" w:hAnsi="Helvetica Neue"/>
          <w:sz w:val="34"/>
          <w:szCs w:val="34"/>
          <w:highlight w:val="white"/>
          <w:rtl w:val="0"/>
        </w:rPr>
        <w:t xml:space="preserve">Observations</w:t>
      </w:r>
    </w:p>
    <w:p w:rsidR="00000000" w:rsidDel="00000000" w:rsidP="00000000" w:rsidRDefault="00000000" w:rsidRPr="00000000" w14:paraId="00000030">
      <w:pPr>
        <w:numPr>
          <w:ilvl w:val="0"/>
          <w:numId w:val="4"/>
        </w:numPr>
        <w:spacing w:after="0" w:afterAutospacing="0" w:before="240" w:line="300" w:lineRule="auto"/>
        <w:jc w:val="both"/>
        <w:rPr>
          <w:highlight w:val="white"/>
        </w:rPr>
      </w:pPr>
      <w:r w:rsidDel="00000000" w:rsidR="00000000" w:rsidRPr="00000000">
        <w:rPr>
          <w:b w:val="1"/>
          <w:bCs w:val="1"/>
          <w:highlight w:val="white"/>
          <w:rtl w:val="0"/>
        </w:rPr>
        <w:t xml:space="preserve">Description &amp; qualité</w:t>
      </w:r>
      <w:r w:rsidDel="00000000" w:rsidR="00000000" w:rsidRPr="00000000">
        <w:rPr>
          <w:highlight w:val="white"/>
          <w:rtl w:val="0"/>
        </w:rPr>
        <w:t xml:space="preserve"> : NSH Sarlu propose des articles ergonomiques et fonctionnels adaptés aux besoins de bureau (tables spacieuses, chaises avec repose-tête), avec un total compétitif. King Size offre un mobilier premium mais surdimensionné et plus cher. Lemur Tsena manque de détails, rendant l'évaluation impossible.</w:t>
      </w:r>
    </w:p>
    <w:p w:rsidR="00000000" w:rsidDel="00000000" w:rsidP="00000000" w:rsidRDefault="00000000" w:rsidRPr="00000000" w14:paraId="00000031">
      <w:pPr>
        <w:numPr>
          <w:ilvl w:val="0"/>
          <w:numId w:val="4"/>
        </w:numPr>
        <w:spacing w:after="0" w:afterAutospacing="0" w:before="0" w:beforeAutospacing="0" w:line="300" w:lineRule="auto"/>
        <w:jc w:val="both"/>
        <w:rPr>
          <w:highlight w:val="white"/>
        </w:rPr>
      </w:pPr>
      <w:r w:rsidDel="00000000" w:rsidR="00000000" w:rsidRPr="00000000">
        <w:rPr>
          <w:b w:val="1"/>
          <w:bCs w:val="1"/>
          <w:highlight w:val="white"/>
          <w:rtl w:val="0"/>
        </w:rPr>
        <w:t xml:space="preserve">Prix &amp; total</w:t>
      </w:r>
      <w:r w:rsidDel="00000000" w:rsidR="00000000" w:rsidRPr="00000000">
        <w:rPr>
          <w:highlight w:val="white"/>
          <w:rtl w:val="0"/>
        </w:rPr>
        <w:t xml:space="preserve"> : NSH Sarlu présente le meilleur rapport qualité-prix (2 100 000 MGA), bien en dessous du budget cible, contrairement à King Size (3 940 000 MGA, hors taxes).</w:t>
      </w:r>
    </w:p>
    <w:p w:rsidR="00000000" w:rsidDel="00000000" w:rsidP="00000000" w:rsidRDefault="00000000" w:rsidRPr="00000000" w14:paraId="00000032">
      <w:pPr>
        <w:numPr>
          <w:ilvl w:val="0"/>
          <w:numId w:val="4"/>
        </w:numPr>
        <w:spacing w:after="0" w:afterAutospacing="0" w:before="0" w:beforeAutospacing="0" w:line="300" w:lineRule="auto"/>
        <w:jc w:val="both"/>
        <w:rPr>
          <w:highlight w:val="white"/>
        </w:rPr>
      </w:pPr>
      <w:r w:rsidDel="00000000" w:rsidR="00000000" w:rsidRPr="00000000">
        <w:rPr>
          <w:b w:val="1"/>
          <w:bCs w:val="1"/>
          <w:highlight w:val="white"/>
          <w:rtl w:val="0"/>
        </w:rPr>
        <w:t xml:space="preserve">Conditions de paiement &amp; livraison</w:t>
      </w:r>
      <w:r w:rsidDel="00000000" w:rsidR="00000000" w:rsidRPr="00000000">
        <w:rPr>
          <w:highlight w:val="white"/>
          <w:rtl w:val="0"/>
        </w:rPr>
        <w:t xml:space="preserve"> : NSH Sarlu offre une flexibilité maximale (paiement à la livraison, options multiples), avec une disponibilité immédiate. King Size impose un acompte et un délai long (20 jours).</w:t>
      </w:r>
    </w:p>
    <w:p w:rsidR="00000000" w:rsidDel="00000000" w:rsidP="00000000" w:rsidRDefault="00000000" w:rsidRPr="00000000" w14:paraId="00000033">
      <w:pPr>
        <w:numPr>
          <w:ilvl w:val="0"/>
          <w:numId w:val="4"/>
        </w:numPr>
        <w:spacing w:after="240" w:before="0" w:beforeAutospacing="0" w:line="300" w:lineRule="auto"/>
        <w:jc w:val="both"/>
        <w:rPr>
          <w:highlight w:val="white"/>
        </w:rPr>
      </w:pPr>
      <w:r w:rsidDel="00000000" w:rsidR="00000000" w:rsidRPr="00000000">
        <w:rPr>
          <w:b w:val="1"/>
          <w:bCs w:val="1"/>
          <w:highlight w:val="white"/>
          <w:rtl w:val="0"/>
        </w:rPr>
        <w:t xml:space="preserve">Validité de l'offre</w:t>
      </w:r>
      <w:r w:rsidDel="00000000" w:rsidR="00000000" w:rsidRPr="00000000">
        <w:rPr>
          <w:highlight w:val="white"/>
          <w:rtl w:val="0"/>
        </w:rPr>
        <w:t xml:space="preserve"> : Les offres de NSH et King Size sont valables (NSH : dans la limite des stocks ; King Size : 15 jours). Lemur Tsena n'est pas évaluable.</w:t>
      </w:r>
    </w:p>
    <w:p w:rsidR="00000000" w:rsidDel="00000000" w:rsidP="00000000" w:rsidRDefault="00000000" w:rsidRPr="00000000" w14:paraId="00000034">
      <w:pPr>
        <w:pStyle w:val="Heading2"/>
        <w:keepNext w:val="0"/>
        <w:spacing w:after="80" w:before="360" w:line="300" w:lineRule="auto"/>
        <w:ind w:left="0" w:firstLine="0"/>
        <w:rPr>
          <w:rFonts w:ascii="Helvetica Neue" w:cs="Helvetica Neue" w:eastAsia="Helvetica Neue" w:hAnsi="Helvetica Neue"/>
          <w:sz w:val="34"/>
          <w:szCs w:val="34"/>
          <w:highlight w:val="white"/>
        </w:rPr>
      </w:pPr>
      <w:bookmarkStart w:colFirst="0" w:colLast="0" w:name="_6oywpzsamtt5" w:id="5"/>
      <w:bookmarkEnd w:id="5"/>
      <w:r w:rsidDel="00000000" w:rsidR="00000000" w:rsidRPr="00000000">
        <w:rPr>
          <w:rFonts w:ascii="Helvetica Neue" w:cs="Helvetica Neue" w:eastAsia="Helvetica Neue" w:hAnsi="Helvetica Neue"/>
          <w:sz w:val="34"/>
          <w:szCs w:val="34"/>
          <w:highlight w:val="white"/>
          <w:rtl w:val="0"/>
        </w:rPr>
        <w:t xml:space="preserve">Choix de l'offre</w:t>
      </w:r>
    </w:p>
    <w:p w:rsidR="00000000" w:rsidDel="00000000" w:rsidP="00000000" w:rsidRDefault="00000000" w:rsidRPr="00000000" w14:paraId="00000035">
      <w:pPr>
        <w:spacing w:after="240" w:before="240" w:line="300" w:lineRule="auto"/>
        <w:ind w:left="0" w:firstLine="0"/>
        <w:jc w:val="both"/>
        <w:rPr>
          <w:highlight w:val="white"/>
        </w:rPr>
      </w:pPr>
      <w:r w:rsidDel="00000000" w:rsidR="00000000" w:rsidRPr="00000000">
        <w:rPr>
          <w:highlight w:val="white"/>
          <w:rtl w:val="0"/>
        </w:rPr>
        <w:t xml:space="preserve">Après une évaluation approfondie des factures proforma reçues, nous avons retenu l'offre de NSH Sarlu (Meuble Ny Soa) pour les raisons suivantes :</w:t>
      </w:r>
    </w:p>
    <w:p w:rsidR="00000000" w:rsidDel="00000000" w:rsidP="00000000" w:rsidRDefault="00000000" w:rsidRPr="00000000" w14:paraId="00000036">
      <w:pPr>
        <w:numPr>
          <w:ilvl w:val="0"/>
          <w:numId w:val="1"/>
        </w:numPr>
        <w:spacing w:after="0" w:afterAutospacing="0" w:before="240" w:line="300" w:lineRule="auto"/>
        <w:jc w:val="both"/>
        <w:rPr>
          <w:highlight w:val="white"/>
        </w:rPr>
      </w:pPr>
      <w:r w:rsidDel="00000000" w:rsidR="00000000" w:rsidRPr="00000000">
        <w:rPr>
          <w:b w:val="1"/>
          <w:bCs w:val="1"/>
          <w:highlight w:val="white"/>
          <w:rtl w:val="0"/>
        </w:rPr>
        <w:t xml:space="preserve">Prix et total</w:t>
      </w:r>
      <w:r w:rsidDel="00000000" w:rsidR="00000000" w:rsidRPr="00000000">
        <w:rPr>
          <w:highlight w:val="white"/>
          <w:rtl w:val="0"/>
        </w:rPr>
        <w:t xml:space="preserve"> : Offre la plus économique (2 100 000 MGA), alignée sur le budget de Fataplus pour un achat efficace.</w:t>
      </w:r>
    </w:p>
    <w:p w:rsidR="00000000" w:rsidDel="00000000" w:rsidP="00000000" w:rsidRDefault="00000000" w:rsidRPr="00000000" w14:paraId="00000037">
      <w:pPr>
        <w:numPr>
          <w:ilvl w:val="0"/>
          <w:numId w:val="1"/>
        </w:numPr>
        <w:spacing w:after="0" w:afterAutospacing="0" w:before="0" w:beforeAutospacing="0" w:line="300" w:lineRule="auto"/>
        <w:jc w:val="both"/>
        <w:rPr>
          <w:highlight w:val="white"/>
        </w:rPr>
      </w:pPr>
      <w:r w:rsidDel="00000000" w:rsidR="00000000" w:rsidRPr="00000000">
        <w:rPr>
          <w:b w:val="1"/>
          <w:bCs w:val="1"/>
          <w:highlight w:val="white"/>
          <w:rtl w:val="0"/>
        </w:rPr>
        <w:t xml:space="preserve">Adéquation aux besoins</w:t>
      </w:r>
      <w:r w:rsidDel="00000000" w:rsidR="00000000" w:rsidRPr="00000000">
        <w:rPr>
          <w:highlight w:val="white"/>
          <w:rtl w:val="0"/>
        </w:rPr>
        <w:t xml:space="preserve"> : Articles précis et ergonomiques pour un espace de travail agritech, avec quantités exactes demandées.</w:t>
      </w:r>
    </w:p>
    <w:p w:rsidR="00000000" w:rsidDel="00000000" w:rsidP="00000000" w:rsidRDefault="00000000" w:rsidRPr="00000000" w14:paraId="00000038">
      <w:pPr>
        <w:numPr>
          <w:ilvl w:val="0"/>
          <w:numId w:val="1"/>
        </w:numPr>
        <w:spacing w:after="0" w:afterAutospacing="0" w:before="0" w:beforeAutospacing="0" w:line="300" w:lineRule="auto"/>
        <w:jc w:val="both"/>
        <w:rPr>
          <w:highlight w:val="white"/>
        </w:rPr>
      </w:pPr>
      <w:r w:rsidDel="00000000" w:rsidR="00000000" w:rsidRPr="00000000">
        <w:rPr>
          <w:b w:val="1"/>
          <w:bCs w:val="1"/>
          <w:highlight w:val="white"/>
          <w:rtl w:val="0"/>
        </w:rPr>
        <w:t xml:space="preserve">Conditions pratiques</w:t>
      </w:r>
      <w:r w:rsidDel="00000000" w:rsidR="00000000" w:rsidRPr="00000000">
        <w:rPr>
          <w:highlight w:val="white"/>
          <w:rtl w:val="0"/>
        </w:rPr>
        <w:t xml:space="preserve"> : Paiement flexible à la livraison et disponibilité immédiate, minimisant les risques de retard.</w:t>
      </w:r>
    </w:p>
    <w:p w:rsidR="00000000" w:rsidDel="00000000" w:rsidP="00000000" w:rsidRDefault="00000000" w:rsidRPr="00000000" w14:paraId="00000039">
      <w:pPr>
        <w:numPr>
          <w:ilvl w:val="0"/>
          <w:numId w:val="1"/>
        </w:numPr>
        <w:spacing w:after="240" w:before="0" w:beforeAutospacing="0" w:line="300" w:lineRule="auto"/>
        <w:jc w:val="both"/>
        <w:rPr>
          <w:highlight w:val="white"/>
        </w:rPr>
      </w:pPr>
      <w:r w:rsidDel="00000000" w:rsidR="00000000" w:rsidRPr="00000000">
        <w:rPr>
          <w:b w:val="1"/>
          <w:bCs w:val="1"/>
          <w:highlight w:val="white"/>
          <w:rtl w:val="0"/>
        </w:rPr>
        <w:t xml:space="preserve">Qualité du dossier</w:t>
      </w:r>
      <w:r w:rsidDel="00000000" w:rsidR="00000000" w:rsidRPr="00000000">
        <w:rPr>
          <w:highlight w:val="white"/>
          <w:rtl w:val="0"/>
        </w:rPr>
        <w:t xml:space="preserve"> : Facture claire, structurée, avec coordonnées complètes (NIF/STAT) et options de paiement adaptées.</w:t>
      </w:r>
    </w:p>
    <w:p w:rsidR="00000000" w:rsidDel="00000000" w:rsidP="00000000" w:rsidRDefault="00000000" w:rsidRPr="00000000" w14:paraId="0000003A">
      <w:pPr>
        <w:pStyle w:val="Heading2"/>
        <w:keepNext w:val="0"/>
        <w:spacing w:after="80" w:before="360" w:line="300" w:lineRule="auto"/>
        <w:ind w:left="0" w:firstLine="0"/>
        <w:rPr>
          <w:rFonts w:ascii="Helvetica Neue" w:cs="Helvetica Neue" w:eastAsia="Helvetica Neue" w:hAnsi="Helvetica Neue"/>
          <w:sz w:val="34"/>
          <w:szCs w:val="34"/>
          <w:highlight w:val="white"/>
        </w:rPr>
      </w:pPr>
      <w:bookmarkStart w:colFirst="0" w:colLast="0" w:name="_9jskm7nrz6p1" w:id="6"/>
      <w:bookmarkEnd w:id="6"/>
      <w:r w:rsidDel="00000000" w:rsidR="00000000" w:rsidRPr="00000000">
        <w:rPr>
          <w:rFonts w:ascii="Helvetica Neue" w:cs="Helvetica Neue" w:eastAsia="Helvetica Neue" w:hAnsi="Helvetica Neue"/>
          <w:sz w:val="34"/>
          <w:szCs w:val="34"/>
          <w:highlight w:val="white"/>
          <w:rtl w:val="0"/>
        </w:rPr>
        <w:t xml:space="preserve">Conclusion</w:t>
      </w:r>
    </w:p>
    <w:p w:rsidR="00000000" w:rsidDel="00000000" w:rsidP="00000000" w:rsidRDefault="00000000" w:rsidRPr="00000000" w14:paraId="0000003B">
      <w:pPr>
        <w:spacing w:after="240" w:before="240" w:line="300" w:lineRule="auto"/>
        <w:ind w:left="0" w:firstLine="0"/>
        <w:jc w:val="both"/>
        <w:rPr>
          <w:highlight w:val="white"/>
        </w:rPr>
      </w:pPr>
      <w:r w:rsidDel="00000000" w:rsidR="00000000" w:rsidRPr="00000000">
        <w:rPr>
          <w:highlight w:val="white"/>
          <w:rtl w:val="0"/>
        </w:rPr>
        <w:t xml:space="preserve">Nous avons donc décidé de sélectionner l'offre de NSH Sarlu (Meuble Ny Soa) pour l'achat de mobilier de bureau concerné. Ce choix est motivé par une adéquation forte entre l'offre et les besoins de Fataplus, avec un excellent rapport qualité-prix et une exécution rapide.</w:t>
      </w:r>
    </w:p>
    <w:p w:rsidR="00000000" w:rsidDel="00000000" w:rsidP="00000000" w:rsidRDefault="00000000" w:rsidRPr="00000000" w14:paraId="0000003C">
      <w:pPr>
        <w:pStyle w:val="Heading2"/>
        <w:keepNext w:val="0"/>
        <w:spacing w:after="80" w:before="360" w:line="300" w:lineRule="auto"/>
        <w:ind w:left="0" w:firstLine="0"/>
        <w:rPr>
          <w:rFonts w:ascii="Helvetica Neue" w:cs="Helvetica Neue" w:eastAsia="Helvetica Neue" w:hAnsi="Helvetica Neue"/>
          <w:sz w:val="34"/>
          <w:szCs w:val="34"/>
          <w:highlight w:val="white"/>
        </w:rPr>
      </w:pPr>
      <w:bookmarkStart w:colFirst="0" w:colLast="0" w:name="_vhg3d67cspcj" w:id="7"/>
      <w:bookmarkEnd w:id="7"/>
      <w:r w:rsidDel="00000000" w:rsidR="00000000" w:rsidRPr="00000000">
        <w:rPr>
          <w:rtl w:val="0"/>
        </w:rPr>
      </w:r>
    </w:p>
    <w:p w:rsidR="00000000" w:rsidDel="00000000" w:rsidP="00000000" w:rsidRDefault="00000000" w:rsidRPr="00000000" w14:paraId="0000003D">
      <w:pPr>
        <w:pStyle w:val="Heading2"/>
        <w:keepNext w:val="0"/>
        <w:spacing w:after="80" w:before="360" w:line="300" w:lineRule="auto"/>
        <w:ind w:left="0" w:firstLine="0"/>
        <w:rPr>
          <w:rFonts w:ascii="Helvetica Neue" w:cs="Helvetica Neue" w:eastAsia="Helvetica Neue" w:hAnsi="Helvetica Neue"/>
          <w:sz w:val="34"/>
          <w:szCs w:val="34"/>
          <w:highlight w:val="white"/>
        </w:rPr>
      </w:pPr>
      <w:bookmarkStart w:colFirst="0" w:colLast="0" w:name="_zgwsd0qgqwfa" w:id="8"/>
      <w:bookmarkEnd w:id="8"/>
      <w:r w:rsidDel="00000000" w:rsidR="00000000" w:rsidRPr="00000000">
        <w:rPr>
          <w:rFonts w:ascii="Helvetica Neue" w:cs="Helvetica Neue" w:eastAsia="Helvetica Neue" w:hAnsi="Helvetica Neue"/>
          <w:sz w:val="34"/>
          <w:szCs w:val="34"/>
          <w:highlight w:val="white"/>
          <w:rtl w:val="0"/>
        </w:rPr>
        <w:t xml:space="preserve">Décision</w:t>
      </w:r>
    </w:p>
    <w:p w:rsidR="00000000" w:rsidDel="00000000" w:rsidP="00000000" w:rsidRDefault="00000000" w:rsidRPr="00000000" w14:paraId="0000003E">
      <w:pPr>
        <w:spacing w:after="240" w:before="240" w:line="300" w:lineRule="auto"/>
        <w:ind w:left="0" w:firstLine="0"/>
        <w:jc w:val="both"/>
        <w:rPr>
          <w:highlight w:val="white"/>
        </w:rPr>
      </w:pPr>
      <w:r w:rsidDel="00000000" w:rsidR="00000000" w:rsidRPr="00000000">
        <w:rPr>
          <w:highlight w:val="white"/>
          <w:rtl w:val="0"/>
        </w:rPr>
        <w:t xml:space="preserve">Fanomezanirina Fenohery, CEO de Fataplus SARLU valide NSH Sarlu (Meuble Ny Soa) comme fournisseur retenu pour cette mission.</w:t>
      </w:r>
    </w:p>
    <w:p w:rsidR="00000000" w:rsidDel="00000000" w:rsidP="00000000" w:rsidRDefault="00000000" w:rsidRPr="00000000" w14:paraId="0000003F">
      <w:pPr>
        <w:spacing w:after="4" w:before="12" w:line="300"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40">
      <w:pPr>
        <w:spacing w:after="4" w:before="12" w:line="300" w:lineRule="auto"/>
        <w:ind w:left="0" w:firstLine="0"/>
        <w:jc w:val="both"/>
        <w:rPr>
          <w:b w:val="1"/>
          <w:bCs w:val="1"/>
          <w:highlight w:val="white"/>
        </w:rPr>
      </w:pPr>
      <w:r w:rsidDel="00000000" w:rsidR="00000000" w:rsidRPr="00000000">
        <w:rPr>
          <w:b w:val="1"/>
          <w:bCs w:val="1"/>
          <w:highlight w:val="white"/>
          <w:rtl w:val="0"/>
        </w:rPr>
        <w:t xml:space="preserve">Signature:</w:t>
      </w:r>
    </w:p>
    <w:p w:rsidR="00000000" w:rsidDel="00000000" w:rsidP="00000000" w:rsidRDefault="00000000" w:rsidRPr="00000000" w14:paraId="00000041">
      <w:pPr>
        <w:spacing w:after="4" w:before="12" w:line="300" w:lineRule="auto"/>
        <w:ind w:left="0" w:firstLine="0"/>
        <w:jc w:val="both"/>
        <w:rPr>
          <w:highlight w:val="whit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19051</wp:posOffset>
                </wp:positionH>
                <wp:positionV relativeFrom="paragraph">
                  <wp:posOffset>249917</wp:posOffset>
                </wp:positionV>
                <wp:extent cx="1309688" cy="1068705"/>
                <wp:effectExtent b="0" l="0" r="0" t="0"/>
                <wp:wrapSquare wrapText="bothSides" distB="45720" distT="45720" distL="114300" distR="114300"/>
                <wp:docPr id="1" name=""/>
                <a:graphic>
                  <a:graphicData uri="http://schemas.microsoft.com/office/word/2010/wordprocessingGroup">
                    <wpg:wgp>
                      <wpg:cNvGrpSpPr/>
                      <wpg:grpSpPr>
                        <a:xfrm>
                          <a:off x="4165500" y="3077700"/>
                          <a:ext cx="1309688" cy="1068705"/>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7">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19051</wp:posOffset>
                </wp:positionH>
                <wp:positionV relativeFrom="paragraph">
                  <wp:posOffset>249917</wp:posOffset>
                </wp:positionV>
                <wp:extent cx="1309688" cy="106870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309688" cy="1068705"/>
                        </a:xfrm>
                        <a:prstGeom prst="rect"/>
                        <a:ln/>
                      </pic:spPr>
                    </pic:pic>
                  </a:graphicData>
                </a:graphic>
              </wp:anchor>
            </w:drawing>
          </mc:Fallback>
        </mc:AlternateContent>
      </w:r>
    </w:p>
    <w:p w:rsidR="00000000" w:rsidDel="00000000" w:rsidP="00000000" w:rsidRDefault="00000000" w:rsidRPr="00000000" w14:paraId="00000042">
      <w:pPr>
        <w:spacing w:after="4" w:before="12" w:line="300" w:lineRule="auto"/>
        <w:ind w:left="0" w:firstLine="0"/>
        <w:jc w:val="both"/>
        <w:rPr>
          <w:highlight w:val="white"/>
        </w:rPr>
      </w:pPr>
      <w:r w:rsidDel="00000000" w:rsidR="00000000" w:rsidRPr="00000000">
        <w:rPr>
          <w:rtl w:val="0"/>
        </w:rPr>
      </w:r>
    </w:p>
    <w:p w:rsidR="00000000" w:rsidDel="00000000" w:rsidP="00000000" w:rsidRDefault="00000000" w:rsidRPr="00000000" w14:paraId="00000043">
      <w:pPr>
        <w:spacing w:after="4" w:before="12" w:line="300" w:lineRule="auto"/>
        <w:ind w:left="0" w:firstLine="0"/>
        <w:jc w:val="both"/>
        <w:rPr>
          <w:highlight w:val="white"/>
        </w:rPr>
      </w:pPr>
      <w:r w:rsidDel="00000000" w:rsidR="00000000" w:rsidRPr="00000000">
        <w:rPr>
          <w:rtl w:val="0"/>
        </w:rPr>
      </w:r>
    </w:p>
    <w:p w:rsidR="00000000" w:rsidDel="00000000" w:rsidP="00000000" w:rsidRDefault="00000000" w:rsidRPr="00000000" w14:paraId="00000044">
      <w:pPr>
        <w:spacing w:after="4" w:before="12" w:line="300" w:lineRule="auto"/>
        <w:ind w:left="0" w:firstLine="0"/>
        <w:jc w:val="both"/>
        <w:rPr>
          <w:highlight w:val="white"/>
        </w:rPr>
      </w:pPr>
      <w:r w:rsidDel="00000000" w:rsidR="00000000" w:rsidRPr="00000000">
        <w:rPr>
          <w:rtl w:val="0"/>
        </w:rPr>
      </w:r>
    </w:p>
    <w:p w:rsidR="00000000" w:rsidDel="00000000" w:rsidP="00000000" w:rsidRDefault="00000000" w:rsidRPr="00000000" w14:paraId="00000045">
      <w:pPr>
        <w:spacing w:after="4" w:before="12" w:line="300" w:lineRule="auto"/>
        <w:ind w:left="0" w:firstLine="0"/>
        <w:jc w:val="both"/>
        <w:rPr>
          <w:highlight w:val="white"/>
        </w:rPr>
      </w:pPr>
      <w:r w:rsidDel="00000000" w:rsidR="00000000" w:rsidRPr="00000000">
        <w:rPr>
          <w:rtl w:val="0"/>
        </w:rPr>
      </w:r>
    </w:p>
    <w:p w:rsidR="00000000" w:rsidDel="00000000" w:rsidP="00000000" w:rsidRDefault="00000000" w:rsidRPr="00000000" w14:paraId="00000046">
      <w:pPr>
        <w:spacing w:after="4" w:before="12" w:line="300" w:lineRule="auto"/>
        <w:ind w:left="0" w:firstLine="0"/>
        <w:jc w:val="both"/>
        <w:rPr>
          <w:highlight w:val="white"/>
        </w:rPr>
      </w:pPr>
      <w:r w:rsidDel="00000000" w:rsidR="00000000" w:rsidRPr="00000000">
        <w:rPr>
          <w:rtl w:val="0"/>
        </w:rPr>
      </w:r>
    </w:p>
    <w:p w:rsidR="00000000" w:rsidDel="00000000" w:rsidP="00000000" w:rsidRDefault="00000000" w:rsidRPr="00000000" w14:paraId="00000047">
      <w:pPr>
        <w:spacing w:after="4" w:before="12" w:line="300" w:lineRule="auto"/>
        <w:ind w:left="0" w:firstLine="0"/>
        <w:jc w:val="both"/>
        <w:rPr>
          <w:highlight w:val="white"/>
        </w:rPr>
      </w:pPr>
      <w:r w:rsidDel="00000000" w:rsidR="00000000" w:rsidRPr="00000000">
        <w:rPr>
          <w:rtl w:val="0"/>
        </w:rPr>
      </w:r>
    </w:p>
    <w:p w:rsidR="00000000" w:rsidDel="00000000" w:rsidP="00000000" w:rsidRDefault="00000000" w:rsidRPr="00000000" w14:paraId="00000048">
      <w:pPr>
        <w:spacing w:after="4" w:before="12" w:line="300" w:lineRule="auto"/>
        <w:ind w:left="0" w:firstLine="0"/>
        <w:jc w:val="both"/>
        <w:rPr>
          <w:highlight w:val="white"/>
        </w:rPr>
      </w:pPr>
      <w:r w:rsidDel="00000000" w:rsidR="00000000" w:rsidRPr="00000000">
        <w:rPr>
          <w:highlight w:val="white"/>
          <w:rtl w:val="0"/>
        </w:rPr>
        <w:t xml:space="preserve">M. Fanomezanirina Fenohery  </w:t>
      </w:r>
    </w:p>
    <w:p w:rsidR="00000000" w:rsidDel="00000000" w:rsidP="00000000" w:rsidRDefault="00000000" w:rsidRPr="00000000" w14:paraId="00000049">
      <w:pPr>
        <w:spacing w:after="4" w:before="12" w:line="300" w:lineRule="auto"/>
        <w:ind w:left="0" w:firstLine="0"/>
        <w:jc w:val="both"/>
        <w:rPr>
          <w:highlight w:val="white"/>
        </w:rPr>
      </w:pPr>
      <w:r w:rsidDel="00000000" w:rsidR="00000000" w:rsidRPr="00000000">
        <w:rPr>
          <w:highlight w:val="white"/>
          <w:rtl w:val="0"/>
        </w:rPr>
        <w:t xml:space="preserve">CEO de FATAPLUS SARLU </w:t>
      </w:r>
    </w:p>
    <w:p w:rsidR="00000000" w:rsidDel="00000000" w:rsidP="00000000" w:rsidRDefault="00000000" w:rsidRPr="00000000" w14:paraId="0000004A">
      <w:pPr>
        <w:spacing w:after="4" w:before="12" w:line="300" w:lineRule="auto"/>
        <w:ind w:left="0" w:firstLine="0"/>
        <w:jc w:val="both"/>
        <w:rPr>
          <w:highlight w:val="white"/>
        </w:rPr>
      </w:pPr>
      <w:r w:rsidDel="00000000" w:rsidR="00000000" w:rsidRPr="00000000">
        <w:rPr>
          <w:highlight w:val="white"/>
          <w:rtl w:val="0"/>
        </w:rPr>
        <w:t xml:space="preserve">Email : fenohery@fata.plus</w:t>
      </w:r>
    </w:p>
    <w:p w:rsidR="00000000" w:rsidDel="00000000" w:rsidP="00000000" w:rsidRDefault="00000000" w:rsidRPr="00000000" w14:paraId="0000004B">
      <w:pPr>
        <w:spacing w:after="4" w:before="12" w:line="300" w:lineRule="auto"/>
        <w:ind w:left="0" w:firstLine="0"/>
        <w:jc w:val="both"/>
        <w:rPr>
          <w:highlight w:val="white"/>
        </w:rPr>
      </w:pPr>
      <w:r w:rsidDel="00000000" w:rsidR="00000000" w:rsidRPr="00000000">
        <w:rPr>
          <w:highlight w:val="white"/>
          <w:rtl w:val="0"/>
        </w:rPr>
        <w:t xml:space="preserve">Téléphone : +261 34 20 472 13</w:t>
      </w:r>
      <w:r w:rsidDel="00000000" w:rsidR="00000000" w:rsidRPr="00000000">
        <w:rPr>
          <w:rtl w:val="0"/>
        </w:rPr>
      </w:r>
    </w:p>
    <w:sectPr>
      <w:headerReference r:id="rId9" w:type="default"/>
      <w:footerReference r:id="rId10" w:type="default"/>
      <w:footerReference r:id="rId11" w:type="first"/>
      <w:pgSz w:h="15840" w:w="12240" w:orient="portrait"/>
      <w:pgMar w:bottom="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Manrope">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vi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238125</wp:posOffset>
          </wp:positionV>
          <wp:extent cx="1226499" cy="289243"/>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26499" cy="289243"/>
                  </a:xfrm>
                  <a:prstGeom prst="rect"/>
                  <a:ln/>
                </pic:spPr>
              </pic:pic>
            </a:graphicData>
          </a:graphic>
        </wp:anchor>
      </w:drawing>
    </w:r>
  </w:p>
  <w:p w:rsidR="00000000" w:rsidDel="00000000" w:rsidP="00000000" w:rsidRDefault="00000000" w:rsidRPr="00000000" w14:paraId="0000004D">
    <w:pPr>
      <w:tabs>
        <w:tab w:val="center" w:leader="none" w:pos="4536"/>
        <w:tab w:val="right" w:leader="none" w:pos="9072"/>
      </w:tabs>
      <w:ind w:lef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4" w:before="12"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fr-FR"/>
      </w:rPr>
    </w:rPrDefault>
    <w:pPrDefault>
      <w:pPr>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tabs>
        <w:tab w:val="left" w:leader="none" w:pos="3119"/>
      </w:tabs>
      <w:spacing w:after="0" w:line="240" w:lineRule="auto"/>
      <w:ind w:firstLine="1134"/>
      <w:jc w:val="both"/>
    </w:pPr>
    <w:rPr>
      <w:rFonts w:ascii="Avian" w:cs="Avian" w:eastAsia="Avian" w:hAnsi="Avian"/>
      <w:b w:val="1"/>
      <w:bCs w:val="1"/>
      <w:sz w:val="20"/>
      <w:szCs w:val="20"/>
    </w:rPr>
  </w:style>
  <w:style w:type="paragraph" w:styleId="Heading3">
    <w:name w:val="heading 3"/>
    <w:basedOn w:val="Normal"/>
    <w:next w:val="Normal"/>
    <w:pPr>
      <w:keepNext w:val="1"/>
      <w:keepLines w:val="1"/>
      <w:spacing w:after="4" w:before="12" w:line="300" w:lineRule="auto"/>
      <w:ind w:left="0" w:firstLine="0"/>
    </w:pPr>
    <w:rPr>
      <w:rFonts w:ascii="Manrope" w:cs="Manrope" w:eastAsia="Manrope" w:hAnsi="Manrope"/>
      <w:b w:val="1"/>
      <w:bCs w:val="1"/>
      <w:color w:val="274e1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