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55"/>
        <w:gridCol w:w="8385"/>
        <w:tblGridChange w:id="0">
          <w:tblGrid>
            <w:gridCol w:w="2955"/>
            <w:gridCol w:w="838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complet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Hermisa Ravo Nambinina Ny Aina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Titre professionnel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Assistant · Chinese Language Specialist · Operational Support Expert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Lot FKT AI 35 – 67Ha, Nord-Est, Antananarivo 101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hermisahnl@gmail.com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+261 34 52 920 32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Ny Aina Hnl RMisa</w:t>
            </w:r>
          </w:p>
        </w:tc>
      </w:tr>
    </w:tbl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372hri0e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RESUME PROFESSIONNEL</w:t>
      </w:r>
      <w:r w:rsidDel="00000000" w:rsidR="00000000" w:rsidRPr="00000000">
        <w:rPr>
          <w:rtl w:val="0"/>
        </w:rPr>
      </w:r>
    </w:p>
    <w:tbl>
      <w:tblPr>
        <w:tblStyle w:val="Table3"/>
        <w:tblW w:w="11338.58267716535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 suis un professionnel multilingue et interculturel, avec une solide expérience dans le support client international, la coordination de projets et l’optimisation des opérations. Je suis reconnu pour mon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adaptabilité</w:t>
            </w:r>
            <w:r w:rsidDel="00000000" w:rsidR="00000000" w:rsidRPr="00000000">
              <w:rPr>
                <w:rtl w:val="0"/>
              </w:rPr>
              <w:t xml:space="preserve">, 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précision</w:t>
            </w:r>
            <w:r w:rsidDel="00000000" w:rsidR="00000000" w:rsidRPr="00000000">
              <w:rPr>
                <w:rtl w:val="0"/>
              </w:rPr>
              <w:t xml:space="preserve"> et mon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leadership collaboratif</w:t>
            </w:r>
            <w:r w:rsidDel="00000000" w:rsidR="00000000" w:rsidRPr="00000000">
              <w:rPr>
                <w:rtl w:val="0"/>
              </w:rPr>
              <w:t xml:space="preserve">, capable de performer efficacement dans des environnements diversifiés et exigeants.</w:t>
            </w:r>
          </w:p>
        </w:tc>
      </w:tr>
    </w:tbl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6i6ixhm3x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tg9vs14oguc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LANGUES</w:t>
      </w:r>
    </w:p>
    <w:tbl>
      <w:tblPr>
        <w:tblStyle w:val="Table4"/>
        <w:tblW w:w="11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80"/>
        <w:gridCol w:w="3795"/>
        <w:gridCol w:w="3795"/>
        <w:tblGridChange w:id="0">
          <w:tblGrid>
            <w:gridCol w:w="3780"/>
            <w:gridCol w:w="3795"/>
            <w:gridCol w:w="3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 professionnel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Malagasy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Langue maternelle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locale, animation et rédaction.</w:t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Français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Courant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Présentations, rédaction de documents, coordination.</w:t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Mandarin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Courant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Interprétation, documentation, relations commerciales.</w:t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Anglais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Niveau basique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Lecture de documentation, outils numériques.</w:t>
            </w:r>
          </w:p>
        </w:tc>
      </w:tr>
    </w:tbl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jc w:val="left"/>
        <w:rPr/>
      </w:pPr>
      <w:bookmarkStart w:colFirst="0" w:colLast="0" w:name="_6c0w4kunvc1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p22767gso1d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FORMATION ACADEMIQUE</w:t>
      </w:r>
    </w:p>
    <w:tbl>
      <w:tblPr>
        <w:tblStyle w:val="Table5"/>
        <w:tblW w:w="11338.58267716535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34.645669291339"/>
        <w:gridCol w:w="2834.645669291339"/>
        <w:gridCol w:w="2834.645669291339"/>
        <w:gridCol w:w="2834.645669291339"/>
        <w:tblGridChange w:id="0">
          <w:tblGrid>
            <w:gridCol w:w="2834.645669291339"/>
            <w:gridCol w:w="2834.645669291339"/>
            <w:gridCol w:w="2834.645669291339"/>
            <w:gridCol w:w="2834.64566929133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Diplôme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Établissement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.6299212598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Bachelor’s Degree in Mandarin Chinese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Institut Confucius – Université d’Antananarivo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2018 – 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Acquis une maîtrise avancée du mandarin, avec une compréhension approfondie des dynamiques culturelles et linguistiques.</w:t>
            </w:r>
          </w:p>
        </w:tc>
      </w:tr>
      <w:tr>
        <w:trPr>
          <w:cantSplit w:val="0"/>
          <w:trHeight w:val="1360.6299212598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Baccalauréat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Lycée Amparafaravola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2014 – 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Formation générale axée sur les langues et les sciences humaines.</w:t>
            </w:r>
          </w:p>
        </w:tc>
      </w:tr>
      <w:tr>
        <w:trPr>
          <w:cantSplit w:val="0"/>
          <w:trHeight w:val="1360.6299212598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BEPC / CEPE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CEG &amp; École Privée Avenir – Amparafaravola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2008 – 2013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Développement précoce des compétences en communication et pensée critique.</w:t>
            </w:r>
          </w:p>
        </w:tc>
      </w:tr>
    </w:tbl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bzsnzhbl6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5nfwnkaaupf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EXPERIENCES PROFESSIONNELLES</w:t>
      </w:r>
    </w:p>
    <w:tbl>
      <w:tblPr>
        <w:tblStyle w:val="Table6"/>
        <w:tblW w:w="11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35"/>
        <w:gridCol w:w="2835"/>
        <w:gridCol w:w="2835"/>
        <w:gridCol w:w="2835"/>
        <w:tblGridChange w:id="0">
          <w:tblGrid>
            <w:gridCol w:w="2835"/>
            <w:gridCol w:w="2835"/>
            <w:gridCol w:w="2835"/>
            <w:gridCol w:w="2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Responsabilités clés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Interpreter (Mandarin/Malagasy/ French)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WADFOW SUNPOWER – Ankazomanga- Antananarivo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2024 –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Interprétation trilingue en contexte industriel, facilitation des échanges entre équipes locales et chinoises.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 Assistant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Société chinoise – Laos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2022 – 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Gestion bilingue des demandes clients, coordination quotidienne, maintien de la qualité de service.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Urban Dance Instructor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Freelance – Antananarivo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2020 –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Animation d’ateliers, mentorat de jeunes talents, création de contenus pédagogiques.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Serveur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Restaurant Faly Kely – Amparafaravola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2016 –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Service client, gestion des commandes, contribution à une ambiance conviviale.</w:t>
            </w:r>
          </w:p>
        </w:tc>
      </w:tr>
    </w:tbl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g17eg4fyn2w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50m79jalb6k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COMPETENCES CLES</w:t>
      </w:r>
    </w:p>
    <w:tbl>
      <w:tblPr>
        <w:tblStyle w:val="Table7"/>
        <w:tblW w:w="11325.0" w:type="dxa"/>
        <w:jc w:val="left"/>
        <w:tblInd w:w="-1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30"/>
        <w:gridCol w:w="7095"/>
        <w:tblGridChange w:id="0">
          <w:tblGrid>
            <w:gridCol w:w="4230"/>
            <w:gridCol w:w="7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Compétence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Professionnelle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Intercultural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Capacité à naviguer entre cultures pour faciliter la collaboration et la compréhension mutuelle.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Trilingual Interpretation (ZH–FR–MG)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Expertise dans la traduction précise et contextuelle pour des environnements multinationaux.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Organizational Skills &amp; Planning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Gestion rigoureuse des plannings, respect des délais et coordination des livrables.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Instructional Design &amp; Pedagogy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Création de contenus éducatifs engageants et animation de sessions de formation.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Team Collaboration &amp; Problem-Solving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Leadership collaboratif, résolution autonome des défis opérationnels.</w:t>
            </w:r>
          </w:p>
        </w:tc>
      </w:tr>
    </w:tbl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145z7mso8vi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4bdb1j91frcu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COMPETENCES TECHNIQUES</w:t>
      </w:r>
    </w:p>
    <w:tbl>
      <w:tblPr>
        <w:tblStyle w:val="Table8"/>
        <w:tblW w:w="113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770"/>
        <w:gridCol w:w="1635"/>
        <w:gridCol w:w="4920"/>
        <w:tblGridChange w:id="0">
          <w:tblGrid>
            <w:gridCol w:w="4770"/>
            <w:gridCol w:w="1635"/>
            <w:gridCol w:w="4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 / Logiciel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Microsoft Word, Excel, PowerPoint, Google Docs, Google sheet.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Avancé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Création de documents, tableaux de suivi, présentations.</w:t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Adobe Lightroom, Figma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Intermédiaire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Retouche photo, gestion de contenu visuel.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Canva &amp; outils collaboratifs (Slack, Trello,Huly,Clickup)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Création de visuels, coordination d'équipes.</w:t>
            </w:r>
          </w:p>
        </w:tc>
      </w:tr>
    </w:tbl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lj522o70t4a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2albzfhw601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CENTRE D’ENTERET</w:t>
      </w:r>
    </w:p>
    <w:tbl>
      <w:tblPr>
        <w:tblStyle w:val="Table9"/>
        <w:tblW w:w="11310.0" w:type="dxa"/>
        <w:jc w:val="left"/>
        <w:tblInd w:w="-11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60"/>
        <w:gridCol w:w="6450"/>
        <w:tblGridChange w:id="0">
          <w:tblGrid>
            <w:gridCol w:w="4860"/>
            <w:gridCol w:w="6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Lecture (Développement personnel, langues)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Enrichissement des compétences en leadership et communication.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Musique &amp; Danse urbaine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Expression artistique, animation communautaire.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Basketball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Esprit d’équipe, discipline et bien-être physique.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Échange culturel &amp; linguistique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Promotion de la compréhension interculturelle et du dialogue global.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