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70"/>
        <w:gridCol w:w="5160"/>
        <w:tblGridChange w:id="0">
          <w:tblGrid>
            <w:gridCol w:w="5370"/>
            <w:gridCol w:w="51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ANDRIAMIRANTO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Miahy Annia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tl w:val="0"/>
              </w:rPr>
              <w:t xml:space="preserve"> : 00122 (N°interne)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  <w:t xml:space="preserve"> : Responsable des Opérations Techniques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tl w:val="0"/>
              </w:rPr>
              <w:t xml:space="preserve"> : 09/10/2024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="240" w:lineRule="auto"/>
        <w:ind w:hanging="855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Période couverte</w:t>
      </w:r>
      <w:r w:rsidDel="00000000" w:rsidR="00000000" w:rsidRPr="00000000">
        <w:rPr>
          <w:rtl w:val="0"/>
        </w:rPr>
        <w:t xml:space="preserve"> : 01 Septembre 2025 - 30 Septembre 2025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1725"/>
        <w:gridCol w:w="2760"/>
        <w:gridCol w:w="3630"/>
        <w:tblGridChange w:id="0">
          <w:tblGrid>
            <w:gridCol w:w="2625"/>
            <w:gridCol w:w="1725"/>
            <w:gridCol w:w="2760"/>
            <w:gridCol w:w="3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hanging="850.393700787401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(MGA)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à Payer (MGA)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ind w:hanging="850.393700787401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Salaire de Base Brut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2 654 531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2 654 531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Rémunération mensuelle contractuelle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Déplacement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Frais remboursés pour 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Repas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Primes/Indemnités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prime applicable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Total Brut + Avantages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3 182 906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3 182 906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Cotisations Sociales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Non appliquées 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IRSA (Impôt)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432 906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1 (0 %) : jusqu'à 350 000 Ar = 0 Ar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2 (5 %) : (400 000 - 350 000) * 5 % = 2 500 Ar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3 (10 %) : (500 000 - 400 000) * 10 % = 10 000 Ar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4 (15 %) : (600 000 - 500 000) * 15 % = 15 000 Ar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5 (20 %) : (2 654 531 - 600 000) * 20 % = 405 406 Ar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Total = 432 906 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Autres Déductions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Net à 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Paiement total dû à la salariée </w:t>
            </w:r>
          </w:p>
        </w:tc>
      </w:tr>
    </w:tbl>
    <w:p w:rsidR="00000000" w:rsidDel="00000000" w:rsidP="00000000" w:rsidRDefault="00000000" w:rsidRPr="00000000" w14:paraId="0000003D">
      <w:pPr>
        <w:ind w:left="0" w:hanging="850.3937007874016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