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RAZANAMAHENINA 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MIRANTONIAINA Karina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00121 (N°interne)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Spécialiste en Engagement Communautaire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02/10/2024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left="0" w:hanging="855"/>
        <w:rPr/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Septembre 2025 - 30 Septembre 2025</w:t>
      </w:r>
    </w:p>
    <w:tbl>
      <w:tblPr>
        <w:tblStyle w:val="Table2"/>
        <w:tblW w:w="10875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1605"/>
        <w:gridCol w:w="1680"/>
        <w:gridCol w:w="4950"/>
        <w:tblGridChange w:id="0">
          <w:tblGrid>
            <w:gridCol w:w="2640"/>
            <w:gridCol w:w="1605"/>
            <w:gridCol w:w="1680"/>
            <w:gridCol w:w="49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Salaire de Base Brut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1 214 531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1 214 531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Rémunération mensuelle contractuelle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Déplacement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Frais remboursés pour missions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Primes/Indemnités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Brut + Avantages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1 742 906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1 742 906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Cotisations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IRSA (Impôt)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142 906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2 (5 %) : (400 000 - 350 000) * 5% =  2 500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3 (10 %) : (500 000 - 400 000) * 10% =  10 000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4 (15 %) : (600 000 - 500 000) * 15% =  15 000 Ar</w:t>
              <w:br w:type="textWrapping"/>
              <w:t xml:space="preserve">Tranche 5 (20 %) : (1214531 - 600 000) * 20% =  115 406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TOTAL= 142 906 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Autres Déductions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à 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hanging="855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