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8"/>
        <w:rPr>
          <w:rFonts w:ascii="Times New Roman"/>
          <w:sz w:val="4"/>
        </w:rPr>
      </w:pPr>
    </w:p>
    <w:p>
      <w:pPr>
        <w:pStyle w:val="BodyText"/>
        <w:ind w:left="106" w:right="-2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066383" cy="723137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383" cy="72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  <w:sz w:val="16"/>
        </w:rPr>
      </w:pPr>
    </w:p>
    <w:p>
      <w:pPr>
        <w:spacing w:before="0"/>
        <w:ind w:left="163" w:right="0" w:firstLine="0"/>
        <w:jc w:val="left"/>
        <w:rPr>
          <w:sz w:val="16"/>
        </w:rPr>
      </w:pPr>
      <w:r>
        <w:rPr>
          <w:spacing w:val="-2"/>
          <w:sz w:val="16"/>
        </w:rPr>
        <w:t>Émetteur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6"/>
        </w:rPr>
      </w:pPr>
    </w:p>
    <w:p>
      <w:pPr>
        <w:spacing w:before="0"/>
        <w:ind w:left="106" w:right="0" w:firstLine="0"/>
        <w:jc w:val="left"/>
        <w:rPr>
          <w:sz w:val="16"/>
        </w:rPr>
      </w:pPr>
      <w:r>
        <w:rPr>
          <w:sz w:val="16"/>
        </w:rPr>
        <w:t>Adressé </w:t>
      </w:r>
      <w:r>
        <w:rPr>
          <w:spacing w:val="-10"/>
          <w:sz w:val="16"/>
        </w:rPr>
        <w:t>à</w:t>
      </w:r>
    </w:p>
    <w:p>
      <w:pPr>
        <w:pStyle w:val="Title"/>
      </w:pPr>
      <w:r>
        <w:rPr>
          <w:b w:val="0"/>
        </w:rPr>
        <w:br w:type="column"/>
      </w:r>
      <w:r>
        <w:rPr>
          <w:color w:val="00003B"/>
        </w:rPr>
        <w:t>Facture IN2506-</w:t>
      </w:r>
      <w:r>
        <w:rPr>
          <w:color w:val="00003B"/>
          <w:spacing w:val="-4"/>
        </w:rPr>
        <w:t>0001</w:t>
      </w:r>
    </w:p>
    <w:p>
      <w:pPr>
        <w:spacing w:line="216" w:lineRule="auto" w:before="98"/>
        <w:ind w:left="602" w:right="161" w:hanging="45"/>
        <w:jc w:val="both"/>
        <w:rPr>
          <w:sz w:val="16"/>
        </w:rPr>
      </w:pPr>
      <w:r>
        <w:rPr>
          <w:color w:val="00003B"/>
          <w:sz w:val="16"/>
        </w:rPr>
        <w:t>Date</w:t>
      </w:r>
      <w:r>
        <w:rPr>
          <w:color w:val="00003B"/>
          <w:spacing w:val="-11"/>
          <w:sz w:val="16"/>
        </w:rPr>
        <w:t> </w:t>
      </w:r>
      <w:r>
        <w:rPr>
          <w:color w:val="00003B"/>
          <w:sz w:val="16"/>
        </w:rPr>
        <w:t>facturation</w:t>
      </w:r>
      <w:r>
        <w:rPr>
          <w:color w:val="00003B"/>
          <w:spacing w:val="-11"/>
          <w:sz w:val="16"/>
        </w:rPr>
        <w:t> </w:t>
      </w:r>
      <w:r>
        <w:rPr>
          <w:color w:val="00003B"/>
          <w:sz w:val="16"/>
        </w:rPr>
        <w:t>:</w:t>
      </w:r>
      <w:r>
        <w:rPr>
          <w:color w:val="00003B"/>
          <w:spacing w:val="-11"/>
          <w:sz w:val="16"/>
        </w:rPr>
        <w:t> </w:t>
      </w:r>
      <w:r>
        <w:rPr>
          <w:color w:val="00003B"/>
          <w:sz w:val="16"/>
        </w:rPr>
        <w:t>12/06/2025 Date</w:t>
      </w:r>
      <w:r>
        <w:rPr>
          <w:color w:val="00003B"/>
          <w:spacing w:val="-9"/>
          <w:sz w:val="16"/>
        </w:rPr>
        <w:t> </w:t>
      </w:r>
      <w:r>
        <w:rPr>
          <w:color w:val="00003B"/>
          <w:sz w:val="16"/>
        </w:rPr>
        <w:t>échéance</w:t>
      </w:r>
      <w:r>
        <w:rPr>
          <w:color w:val="00003B"/>
          <w:spacing w:val="-9"/>
          <w:sz w:val="16"/>
        </w:rPr>
        <w:t> </w:t>
      </w:r>
      <w:r>
        <w:rPr>
          <w:color w:val="00003B"/>
          <w:sz w:val="16"/>
        </w:rPr>
        <w:t>:</w:t>
      </w:r>
      <w:r>
        <w:rPr>
          <w:color w:val="00003B"/>
          <w:spacing w:val="-9"/>
          <w:sz w:val="16"/>
        </w:rPr>
        <w:t> </w:t>
      </w:r>
      <w:r>
        <w:rPr>
          <w:color w:val="00003B"/>
          <w:sz w:val="16"/>
        </w:rPr>
        <w:t>12/07/2025 Code</w:t>
      </w:r>
      <w:r>
        <w:rPr>
          <w:color w:val="00003B"/>
          <w:spacing w:val="-5"/>
          <w:sz w:val="16"/>
        </w:rPr>
        <w:t> </w:t>
      </w:r>
      <w:r>
        <w:rPr>
          <w:color w:val="00003B"/>
          <w:sz w:val="16"/>
        </w:rPr>
        <w:t>client</w:t>
      </w:r>
      <w:r>
        <w:rPr>
          <w:color w:val="00003B"/>
          <w:spacing w:val="-5"/>
          <w:sz w:val="16"/>
        </w:rPr>
        <w:t> </w:t>
      </w:r>
      <w:r>
        <w:rPr>
          <w:color w:val="00003B"/>
          <w:sz w:val="16"/>
        </w:rPr>
        <w:t>:</w:t>
      </w:r>
      <w:r>
        <w:rPr>
          <w:color w:val="00003B"/>
          <w:spacing w:val="-4"/>
          <w:sz w:val="16"/>
        </w:rPr>
        <w:t> </w:t>
      </w:r>
      <w:r>
        <w:rPr>
          <w:color w:val="00003B"/>
          <w:sz w:val="16"/>
        </w:rPr>
        <w:t>CU2506-</w:t>
      </w:r>
      <w:r>
        <w:rPr>
          <w:color w:val="00003B"/>
          <w:spacing w:val="-2"/>
          <w:sz w:val="16"/>
        </w:rPr>
        <w:t>00001</w:t>
      </w:r>
    </w:p>
    <w:p>
      <w:pPr>
        <w:spacing w:after="0" w:line="216" w:lineRule="auto"/>
        <w:jc w:val="both"/>
        <w:rPr>
          <w:sz w:val="16"/>
        </w:rPr>
        <w:sectPr>
          <w:type w:val="continuous"/>
          <w:pgSz w:w="11910" w:h="16840"/>
          <w:pgMar w:top="500" w:bottom="280" w:left="460" w:right="460"/>
          <w:cols w:num="3" w:equalWidth="0">
            <w:col w:w="4955" w:space="317"/>
            <w:col w:w="868" w:space="2061"/>
            <w:col w:w="278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1910" w:h="16840"/>
          <w:pgMar w:top="500" w:bottom="280" w:left="460" w:right="460"/>
        </w:sectPr>
      </w:pPr>
    </w:p>
    <w:p>
      <w:pPr>
        <w:pStyle w:val="BodyText"/>
        <w:spacing w:before="92"/>
        <w:jc w:val="right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83.464569pt;margin-top:-106.654205pt;width:283.5pt;height:113.4pt;mso-position-horizontal-relative:page;mso-position-vertical-relative:paragraph;z-index:-15814656" type="#_x0000_t202" id="docshape1" filled="false" stroked="true" strokeweight=".570pt" strokecolor="#808080">
            <v:textbox inset="0,0,0,0">
              <w:txbxContent>
                <w:p>
                  <w:pPr>
                    <w:spacing w:before="170"/>
                    <w:ind w:left="164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HERE2BE </w:t>
                  </w:r>
                  <w:r>
                    <w:rPr>
                      <w:b/>
                      <w:spacing w:val="-2"/>
                      <w:sz w:val="20"/>
                    </w:rPr>
                    <w:t>SARLU</w:t>
                  </w:r>
                </w:p>
                <w:p>
                  <w:pPr>
                    <w:pStyle w:val="BodyText"/>
                    <w:spacing w:line="254" w:lineRule="auto" w:before="11"/>
                    <w:ind w:left="164" w:right="3994"/>
                  </w:pPr>
                  <w:r>
                    <w:rPr/>
                    <w:t>Here2Be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Here2Be HERE2BE </w:t>
                  </w:r>
                  <w:r>
                    <w:rPr>
                      <w:spacing w:val="-2"/>
                    </w:rPr>
                    <w:t>SARLU</w:t>
                  </w:r>
                </w:p>
                <w:p>
                  <w:pPr>
                    <w:pStyle w:val="BodyText"/>
                    <w:spacing w:line="254" w:lineRule="auto" w:before="1"/>
                    <w:ind w:left="164" w:right="1034"/>
                  </w:pPr>
                  <w:r>
                    <w:rPr/>
                    <w:t>II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M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92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Antsakaviro,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101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Antananarivo,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Madagascar RCS : 2024 B 00496</w:t>
                  </w:r>
                </w:p>
                <w:p>
                  <w:pPr>
                    <w:pStyle w:val="BodyText"/>
                    <w:spacing w:before="2"/>
                    <w:ind w:left="164"/>
                  </w:pPr>
                  <w:r>
                    <w:rPr/>
                    <w:t>STAT : 62011 11 2024 0 </w:t>
                  </w:r>
                  <w:r>
                    <w:rPr>
                      <w:spacing w:val="-2"/>
                    </w:rPr>
                    <w:t>10511</w:t>
                  </w:r>
                </w:p>
                <w:p>
                  <w:pPr>
                    <w:pStyle w:val="BodyText"/>
                    <w:spacing w:before="13"/>
                    <w:ind w:left="164"/>
                  </w:pPr>
                  <w:r>
                    <w:rPr/>
                    <w:t>NIF : 4 018 531 </w:t>
                  </w:r>
                  <w:r>
                    <w:rPr>
                      <w:spacing w:val="-5"/>
                    </w:rPr>
                    <w:t>577</w:t>
                  </w:r>
                </w:p>
                <w:p>
                  <w:pPr>
                    <w:pStyle w:val="BodyText"/>
                    <w:spacing w:before="14"/>
                    <w:ind w:left="164"/>
                  </w:pPr>
                  <w:r>
                    <w:rPr/>
                    <w:t>101 </w:t>
                  </w:r>
                  <w:r>
                    <w:rPr>
                      <w:spacing w:val="-2"/>
                    </w:rPr>
                    <w:t>Antananarivo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28.346457pt;margin-top:-106.654205pt;width:232.45pt;height:113.4pt;mso-position-horizontal-relative:page;mso-position-vertical-relative:paragraph;z-index:15730176" type="#_x0000_t202" id="docshape2" filled="true" fillcolor="#e6e6e6" stroked="false">
            <v:textbox inset="0,0,0,0">
              <w:txbxContent>
                <w:p>
                  <w:pPr>
                    <w:spacing w:before="176"/>
                    <w:ind w:left="170" w:right="0" w:firstLine="0"/>
                    <w:jc w:val="left"/>
                    <w:rPr>
                      <w:b/>
                      <w:color w:val="000000"/>
                      <w:sz w:val="20"/>
                    </w:rPr>
                  </w:pPr>
                  <w:r>
                    <w:rPr>
                      <w:b/>
                      <w:color w:val="00003B"/>
                      <w:sz w:val="20"/>
                    </w:rPr>
                    <w:t>FATAPLUS </w:t>
                  </w:r>
                  <w:r>
                    <w:rPr>
                      <w:b/>
                      <w:color w:val="00003B"/>
                      <w:spacing w:val="-4"/>
                      <w:sz w:val="20"/>
                    </w:rPr>
                    <w:t>SARL</w:t>
                  </w:r>
                </w:p>
                <w:p>
                  <w:pPr>
                    <w:pStyle w:val="BodyText"/>
                    <w:spacing w:line="254" w:lineRule="auto" w:before="10"/>
                    <w:ind w:left="170" w:right="1457"/>
                    <w:rPr>
                      <w:color w:val="000000"/>
                    </w:rPr>
                  </w:pPr>
                  <w:r>
                    <w:rPr>
                      <w:color w:val="00003B"/>
                    </w:rPr>
                    <w:t>Lot</w:t>
                  </w:r>
                  <w:r>
                    <w:rPr>
                      <w:color w:val="00003B"/>
                      <w:spacing w:val="-10"/>
                    </w:rPr>
                    <w:t> </w:t>
                  </w:r>
                  <w:r>
                    <w:rPr>
                      <w:color w:val="00003B"/>
                    </w:rPr>
                    <w:t>IIH</w:t>
                  </w:r>
                  <w:r>
                    <w:rPr>
                      <w:color w:val="00003B"/>
                      <w:spacing w:val="-10"/>
                    </w:rPr>
                    <w:t> </w:t>
                  </w:r>
                  <w:r>
                    <w:rPr>
                      <w:color w:val="00003B"/>
                    </w:rPr>
                    <w:t>35</w:t>
                  </w:r>
                  <w:r>
                    <w:rPr>
                      <w:color w:val="00003B"/>
                      <w:spacing w:val="-10"/>
                    </w:rPr>
                    <w:t> </w:t>
                  </w:r>
                  <w:r>
                    <w:rPr>
                      <w:color w:val="00003B"/>
                    </w:rPr>
                    <w:t>GTER</w:t>
                  </w:r>
                  <w:r>
                    <w:rPr>
                      <w:color w:val="00003B"/>
                      <w:spacing w:val="-10"/>
                    </w:rPr>
                    <w:t> </w:t>
                  </w:r>
                  <w:r>
                    <w:rPr>
                      <w:color w:val="00003B"/>
                    </w:rPr>
                    <w:t>Ankadindramamy 101 Antananarivo</w:t>
                  </w:r>
                </w:p>
                <w:p>
                  <w:pPr>
                    <w:pStyle w:val="BodyText"/>
                    <w:spacing w:before="3"/>
                    <w:rPr>
                      <w:color w:val="000000"/>
                      <w:sz w:val="19"/>
                    </w:rPr>
                  </w:pPr>
                </w:p>
                <w:p>
                  <w:pPr>
                    <w:pStyle w:val="BodyText"/>
                    <w:spacing w:before="1"/>
                    <w:ind w:left="170"/>
                    <w:rPr>
                      <w:color w:val="000000"/>
                    </w:rPr>
                  </w:pPr>
                  <w:r>
                    <w:rPr>
                      <w:color w:val="00003B"/>
                    </w:rPr>
                    <w:t>Tél.: </w:t>
                  </w:r>
                  <w:r>
                    <w:rPr>
                      <w:color w:val="00003B"/>
                      <w:spacing w:val="-2"/>
                    </w:rPr>
                    <w:t>+261342047213</w:t>
                  </w:r>
                </w:p>
                <w:p>
                  <w:pPr>
                    <w:pStyle w:val="BodyText"/>
                    <w:spacing w:line="254" w:lineRule="auto" w:before="13"/>
                    <w:ind w:left="170" w:right="2478"/>
                    <w:rPr>
                      <w:color w:val="000000"/>
                    </w:rPr>
                  </w:pPr>
                  <w:r>
                    <w:rPr>
                      <w:color w:val="00003B"/>
                    </w:rPr>
                    <w:t>Email:</w:t>
                  </w:r>
                  <w:r>
                    <w:rPr>
                      <w:color w:val="00003B"/>
                      <w:spacing w:val="-13"/>
                    </w:rPr>
                    <w:t> </w:t>
                  </w:r>
                  <w:hyperlink r:id="rId6">
                    <w:r>
                      <w:rPr>
                        <w:color w:val="00003B"/>
                      </w:rPr>
                      <w:t>contact@fata.plus</w:t>
                    </w:r>
                  </w:hyperlink>
                  <w:r>
                    <w:rPr>
                      <w:color w:val="00003B"/>
                    </w:rPr>
                    <w:t> Web: https://fata.plus</w:t>
                  </w:r>
                </w:p>
              </w:txbxContent>
            </v:textbox>
            <v:fill type="solid"/>
            <w10:wrap type="none"/>
          </v:shape>
        </w:pict>
      </w:r>
      <w:r>
        <w:rPr/>
        <w:t>Numéro TVA: NIF 4 018 531 </w:t>
      </w:r>
      <w:r>
        <w:rPr>
          <w:spacing w:val="-5"/>
        </w:rPr>
        <w:t>577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154"/>
        <w:ind w:left="678" w:right="0" w:firstLine="0"/>
        <w:jc w:val="left"/>
        <w:rPr>
          <w:sz w:val="16"/>
        </w:rPr>
      </w:pPr>
      <w:r>
        <w:rPr>
          <w:sz w:val="16"/>
        </w:rPr>
        <w:t>Montants</w:t>
      </w:r>
      <w:r>
        <w:rPr>
          <w:spacing w:val="18"/>
          <w:sz w:val="16"/>
        </w:rPr>
        <w:t> </w:t>
      </w:r>
      <w:r>
        <w:rPr>
          <w:sz w:val="16"/>
        </w:rPr>
        <w:t>exprimés</w:t>
      </w:r>
      <w:r>
        <w:rPr>
          <w:spacing w:val="18"/>
          <w:sz w:val="16"/>
        </w:rPr>
        <w:t> </w:t>
      </w:r>
      <w:r>
        <w:rPr>
          <w:sz w:val="16"/>
        </w:rPr>
        <w:t>en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Ariary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500" w:bottom="280" w:left="460" w:right="460"/>
          <w:cols w:num="2" w:equalWidth="0">
            <w:col w:w="8011" w:space="40"/>
            <w:col w:w="2939"/>
          </w:cols>
        </w:sectPr>
      </w:pPr>
    </w:p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116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0"/>
        <w:gridCol w:w="908"/>
        <w:gridCol w:w="1305"/>
        <w:gridCol w:w="908"/>
        <w:gridCol w:w="1475"/>
      </w:tblGrid>
      <w:tr>
        <w:trPr>
          <w:trHeight w:val="268" w:hRule="atLeast"/>
        </w:trPr>
        <w:tc>
          <w:tcPr>
            <w:tcW w:w="6180" w:type="dxa"/>
          </w:tcPr>
          <w:p>
            <w:pPr>
              <w:pStyle w:val="TableParagraph"/>
              <w:spacing w:before="26"/>
              <w:ind w:left="26"/>
              <w:rPr>
                <w:sz w:val="18"/>
              </w:rPr>
            </w:pPr>
            <w:r>
              <w:rPr>
                <w:spacing w:val="-2"/>
                <w:sz w:val="18"/>
              </w:rPr>
              <w:t>Désignation</w:t>
            </w:r>
          </w:p>
        </w:tc>
        <w:tc>
          <w:tcPr>
            <w:tcW w:w="908" w:type="dxa"/>
          </w:tcPr>
          <w:p>
            <w:pPr>
              <w:pStyle w:val="TableParagraph"/>
              <w:spacing w:before="26"/>
              <w:ind w:left="276"/>
              <w:rPr>
                <w:sz w:val="18"/>
              </w:rPr>
            </w:pPr>
            <w:r>
              <w:rPr>
                <w:spacing w:val="-5"/>
                <w:sz w:val="18"/>
              </w:rPr>
              <w:t>TVA</w:t>
            </w:r>
          </w:p>
        </w:tc>
        <w:tc>
          <w:tcPr>
            <w:tcW w:w="1305" w:type="dxa"/>
          </w:tcPr>
          <w:p>
            <w:pPr>
              <w:pStyle w:val="TableParagraph"/>
              <w:spacing w:before="26"/>
              <w:ind w:left="328"/>
              <w:rPr>
                <w:sz w:val="18"/>
              </w:rPr>
            </w:pPr>
            <w:r>
              <w:rPr>
                <w:sz w:val="18"/>
              </w:rPr>
              <w:t>P.U. </w:t>
            </w:r>
            <w:r>
              <w:rPr>
                <w:spacing w:val="-5"/>
                <w:sz w:val="18"/>
              </w:rPr>
              <w:t>HT</w:t>
            </w:r>
          </w:p>
        </w:tc>
        <w:tc>
          <w:tcPr>
            <w:tcW w:w="908" w:type="dxa"/>
          </w:tcPr>
          <w:p>
            <w:pPr>
              <w:pStyle w:val="TableParagraph"/>
              <w:spacing w:before="26"/>
              <w:ind w:left="291" w:right="28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Qté</w:t>
            </w:r>
          </w:p>
        </w:tc>
        <w:tc>
          <w:tcPr>
            <w:tcW w:w="1475" w:type="dxa"/>
          </w:tcPr>
          <w:p>
            <w:pPr>
              <w:pStyle w:val="TableParagraph"/>
              <w:spacing w:before="26"/>
              <w:ind w:left="386"/>
              <w:rPr>
                <w:sz w:val="18"/>
              </w:rPr>
            </w:pPr>
            <w:r>
              <w:rPr>
                <w:sz w:val="18"/>
              </w:rPr>
              <w:t>Total </w:t>
            </w:r>
            <w:r>
              <w:rPr>
                <w:spacing w:val="-5"/>
                <w:sz w:val="18"/>
              </w:rPr>
              <w:t>HT</w:t>
            </w:r>
          </w:p>
        </w:tc>
      </w:tr>
      <w:tr>
        <w:trPr>
          <w:trHeight w:val="7071" w:hRule="atLeast"/>
        </w:trPr>
        <w:tc>
          <w:tcPr>
            <w:tcW w:w="6180" w:type="dxa"/>
          </w:tcPr>
          <w:p>
            <w:pPr>
              <w:pStyle w:val="TableParagraph"/>
              <w:spacing w:before="54"/>
              <w:ind w:left="83"/>
              <w:rPr>
                <w:sz w:val="18"/>
              </w:rPr>
            </w:pPr>
            <w:r>
              <w:rPr>
                <w:sz w:val="18"/>
              </w:rPr>
              <w:t>Design UI/UX complet de l'application mobile </w:t>
            </w:r>
            <w:r>
              <w:rPr>
                <w:spacing w:val="-2"/>
                <w:sz w:val="18"/>
              </w:rPr>
              <w:t>MoChogo</w:t>
            </w:r>
          </w:p>
          <w:p>
            <w:pPr>
              <w:pStyle w:val="TableParagraph"/>
              <w:spacing w:before="3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83"/>
              <w:rPr>
                <w:sz w:val="18"/>
              </w:rPr>
            </w:pPr>
            <w:r>
              <w:rPr>
                <w:sz w:val="18"/>
              </w:rPr>
              <w:t>Prestation comprenant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94" w:val="left" w:leader="none"/>
              </w:tabs>
              <w:spacing w:line="240" w:lineRule="auto" w:before="14" w:after="0"/>
              <w:ind w:left="193" w:right="0" w:hanging="111"/>
              <w:jc w:val="left"/>
              <w:rPr>
                <w:sz w:val="18"/>
              </w:rPr>
            </w:pPr>
            <w:r>
              <w:rPr>
                <w:sz w:val="18"/>
              </w:rPr>
              <w:t>Conception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du</w:t>
            </w:r>
            <w:r>
              <w:rPr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Design System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sz w:val="18"/>
              </w:rPr>
              <w:t>(couleurs, typographie, </w:t>
            </w:r>
            <w:r>
              <w:rPr>
                <w:spacing w:val="-2"/>
                <w:sz w:val="18"/>
              </w:rPr>
              <w:t>composants)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94" w:val="left" w:leader="none"/>
              </w:tabs>
              <w:spacing w:line="254" w:lineRule="auto" w:before="13" w:after="0"/>
              <w:ind w:left="83" w:right="126" w:firstLine="0"/>
              <w:jc w:val="left"/>
              <w:rPr>
                <w:sz w:val="18"/>
              </w:rPr>
            </w:pPr>
            <w:r>
              <w:rPr>
                <w:sz w:val="18"/>
              </w:rPr>
              <w:t>Création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des</w:t>
            </w:r>
            <w:r>
              <w:rPr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User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Flows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et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parcours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utilisateur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adaptés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gamification du projet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94" w:val="left" w:leader="none"/>
              </w:tabs>
              <w:spacing w:line="240" w:lineRule="auto" w:before="1" w:after="0"/>
              <w:ind w:left="193" w:right="0" w:hanging="111"/>
              <w:jc w:val="left"/>
              <w:rPr>
                <w:sz w:val="18"/>
              </w:rPr>
            </w:pPr>
            <w:r>
              <w:rPr>
                <w:sz w:val="18"/>
              </w:rPr>
              <w:t>Design des écrans principaux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spacing w:line="254" w:lineRule="auto"/>
              <w:ind w:left="83" w:firstLine="100"/>
              <w:rPr>
                <w:sz w:val="18"/>
              </w:rPr>
            </w:pPr>
            <w:r>
              <w:rPr>
                <w:sz w:val="18"/>
              </w:rPr>
              <w:t>Accueil,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Connexion,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Profil,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Cagnotte,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Récompenses,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Tâches,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Envoi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des tâches aux proches.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94" w:val="left" w:leader="none"/>
              </w:tabs>
              <w:spacing w:line="240" w:lineRule="auto" w:before="2" w:after="0"/>
              <w:ind w:left="193" w:right="0" w:hanging="111"/>
              <w:jc w:val="left"/>
              <w:rPr>
                <w:sz w:val="18"/>
              </w:rPr>
            </w:pPr>
            <w:r>
              <w:rPr>
                <w:sz w:val="18"/>
              </w:rPr>
              <w:t>Livraison Figma Pro avec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294" w:val="left" w:leader="none"/>
              </w:tabs>
              <w:spacing w:line="240" w:lineRule="auto" w:before="13" w:after="0"/>
              <w:ind w:left="293" w:right="0" w:hanging="111"/>
              <w:jc w:val="left"/>
              <w:rPr>
                <w:sz w:val="18"/>
              </w:rPr>
            </w:pPr>
            <w:r>
              <w:rPr>
                <w:sz w:val="18"/>
              </w:rPr>
              <w:t>Composants </w:t>
            </w:r>
            <w:r>
              <w:rPr>
                <w:spacing w:val="-2"/>
                <w:sz w:val="18"/>
              </w:rPr>
              <w:t>réutilisables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294" w:val="left" w:leader="none"/>
              </w:tabs>
              <w:spacing w:line="240" w:lineRule="auto" w:before="13" w:after="0"/>
              <w:ind w:left="293" w:right="0" w:hanging="111"/>
              <w:jc w:val="left"/>
              <w:rPr>
                <w:sz w:val="18"/>
              </w:rPr>
            </w:pPr>
            <w:r>
              <w:rPr>
                <w:sz w:val="18"/>
              </w:rPr>
              <w:t>Prototypes </w:t>
            </w:r>
            <w:r>
              <w:rPr>
                <w:spacing w:val="-2"/>
                <w:sz w:val="18"/>
              </w:rPr>
              <w:t>interactifs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294" w:val="left" w:leader="none"/>
              </w:tabs>
              <w:spacing w:line="240" w:lineRule="auto" w:before="14" w:after="0"/>
              <w:ind w:left="293" w:right="0" w:hanging="111"/>
              <w:jc w:val="left"/>
              <w:rPr>
                <w:sz w:val="18"/>
              </w:rPr>
            </w:pPr>
            <w:r>
              <w:rPr>
                <w:sz w:val="18"/>
              </w:rPr>
              <w:t>Organisation en pages </w:t>
            </w:r>
            <w:r>
              <w:rPr>
                <w:spacing w:val="-2"/>
                <w:sz w:val="18"/>
              </w:rPr>
              <w:t>claires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94" w:val="left" w:leader="none"/>
              </w:tabs>
              <w:spacing w:line="240" w:lineRule="auto" w:before="13" w:after="0"/>
              <w:ind w:left="193" w:right="0" w:hanging="111"/>
              <w:jc w:val="left"/>
              <w:rPr>
                <w:sz w:val="18"/>
              </w:rPr>
            </w:pPr>
            <w:r>
              <w:rPr>
                <w:sz w:val="18"/>
              </w:rPr>
              <w:t>Itérations avec validation du client (Anaïs / </w:t>
            </w:r>
            <w:r>
              <w:rPr>
                <w:spacing w:val="-2"/>
                <w:sz w:val="18"/>
              </w:rPr>
              <w:t>Here2Be)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94" w:val="left" w:leader="none"/>
              </w:tabs>
              <w:spacing w:line="240" w:lineRule="auto" w:before="14" w:after="0"/>
              <w:ind w:left="193" w:right="0" w:hanging="111"/>
              <w:jc w:val="left"/>
              <w:rPr>
                <w:sz w:val="18"/>
              </w:rPr>
            </w:pPr>
            <w:r>
              <w:rPr>
                <w:sz w:val="18"/>
              </w:rPr>
              <w:t>Support pour intégration (handoff </w:t>
            </w:r>
            <w:r>
              <w:rPr>
                <w:spacing w:val="-2"/>
                <w:sz w:val="18"/>
              </w:rPr>
              <w:t>développeur)</w:t>
            </w:r>
          </w:p>
          <w:p>
            <w:pPr>
              <w:pStyle w:val="TableParagraph"/>
              <w:spacing w:before="3"/>
              <w:ind w:left="0"/>
              <w:rPr>
                <w:sz w:val="20"/>
              </w:rPr>
            </w:pPr>
          </w:p>
          <w:p>
            <w:pPr>
              <w:pStyle w:val="TableParagraph"/>
              <w:spacing w:line="254" w:lineRule="auto" w:before="0"/>
              <w:ind w:left="83" w:right="1109"/>
              <w:rPr>
                <w:sz w:val="18"/>
              </w:rPr>
            </w:pPr>
            <w:r>
              <w:rPr>
                <w:sz w:val="18"/>
              </w:rPr>
              <w:t>Projet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réalisé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FATAPLUS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pour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compte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Here2Be. Livré le 11 Juin 2025.</w:t>
            </w:r>
          </w:p>
        </w:tc>
        <w:tc>
          <w:tcPr>
            <w:tcW w:w="908" w:type="dxa"/>
          </w:tcPr>
          <w:p>
            <w:pPr>
              <w:pStyle w:val="TableParagraph"/>
              <w:spacing w:before="54"/>
              <w:ind w:left="588"/>
              <w:rPr>
                <w:sz w:val="18"/>
              </w:rPr>
            </w:pPr>
            <w:r>
              <w:rPr>
                <w:spacing w:val="-5"/>
                <w:sz w:val="18"/>
              </w:rPr>
              <w:t>0%</w:t>
            </w:r>
          </w:p>
        </w:tc>
        <w:tc>
          <w:tcPr>
            <w:tcW w:w="1305" w:type="dxa"/>
          </w:tcPr>
          <w:p>
            <w:pPr>
              <w:pStyle w:val="TableParagraph"/>
              <w:spacing w:before="54"/>
              <w:rPr>
                <w:sz w:val="18"/>
              </w:rPr>
            </w:pPr>
            <w:r>
              <w:rPr>
                <w:sz w:val="18"/>
              </w:rPr>
              <w:t>1 800 </w:t>
            </w:r>
            <w:r>
              <w:rPr>
                <w:spacing w:val="-2"/>
                <w:sz w:val="18"/>
              </w:rPr>
              <w:t>000,00</w:t>
            </w:r>
          </w:p>
        </w:tc>
        <w:tc>
          <w:tcPr>
            <w:tcW w:w="908" w:type="dxa"/>
          </w:tcPr>
          <w:p>
            <w:pPr>
              <w:pStyle w:val="TableParagraph"/>
              <w:spacing w:before="54"/>
              <w:ind w:left="0" w:right="44"/>
              <w:jc w:val="righ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475" w:type="dxa"/>
          </w:tcPr>
          <w:p>
            <w:pPr>
              <w:pStyle w:val="TableParagraph"/>
              <w:spacing w:before="54"/>
              <w:ind w:left="361"/>
              <w:rPr>
                <w:sz w:val="18"/>
              </w:rPr>
            </w:pPr>
            <w:r>
              <w:rPr>
                <w:sz w:val="18"/>
              </w:rPr>
              <w:t>1 800 </w:t>
            </w:r>
            <w:r>
              <w:rPr>
                <w:spacing w:val="-2"/>
                <w:sz w:val="18"/>
              </w:rPr>
              <w:t>000,00</w:t>
            </w:r>
          </w:p>
        </w:tc>
      </w:tr>
    </w:tbl>
    <w:p>
      <w:pPr>
        <w:spacing w:after="0"/>
        <w:rPr>
          <w:sz w:val="18"/>
        </w:rPr>
        <w:sectPr>
          <w:type w:val="continuous"/>
          <w:pgSz w:w="11910" w:h="16840"/>
          <w:pgMar w:top="500" w:bottom="280" w:left="460" w:right="460"/>
        </w:sectPr>
      </w:pPr>
    </w:p>
    <w:p>
      <w:pPr>
        <w:tabs>
          <w:tab w:pos="2544" w:val="left" w:leader="none"/>
        </w:tabs>
        <w:spacing w:before="53"/>
        <w:ind w:left="163" w:right="0" w:firstLine="0"/>
        <w:jc w:val="left"/>
        <w:rPr>
          <w:sz w:val="16"/>
        </w:rPr>
      </w:pPr>
      <w:r>
        <w:rPr>
          <w:sz w:val="16"/>
        </w:rPr>
        <w:t>Conditions de </w:t>
      </w:r>
      <w:r>
        <w:rPr>
          <w:spacing w:val="-2"/>
          <w:sz w:val="16"/>
        </w:rPr>
        <w:t>règlement:</w:t>
      </w:r>
      <w:r>
        <w:rPr>
          <w:sz w:val="16"/>
        </w:rPr>
        <w:tab/>
        <w:t>Règlement à 30 </w:t>
      </w:r>
      <w:r>
        <w:rPr>
          <w:spacing w:val="-2"/>
          <w:sz w:val="16"/>
        </w:rPr>
        <w:t>jours</w:t>
      </w:r>
    </w:p>
    <w:p>
      <w:pPr>
        <w:pStyle w:val="BodyText"/>
        <w:spacing w:before="9"/>
        <w:rPr>
          <w:sz w:val="17"/>
        </w:rPr>
      </w:pPr>
    </w:p>
    <w:p>
      <w:pPr>
        <w:spacing w:before="0"/>
        <w:ind w:left="163" w:right="0" w:firstLine="0"/>
        <w:jc w:val="left"/>
        <w:rPr>
          <w:b/>
          <w:sz w:val="14"/>
        </w:rPr>
      </w:pPr>
      <w:r>
        <w:rPr>
          <w:b/>
          <w:sz w:val="14"/>
        </w:rPr>
        <w:t>Règlement par virement sur le compte bancaire </w:t>
      </w:r>
      <w:r>
        <w:rPr>
          <w:b/>
          <w:spacing w:val="-2"/>
          <w:sz w:val="14"/>
        </w:rPr>
        <w:t>suivant:</w:t>
      </w:r>
    </w:p>
    <w:p>
      <w:pPr>
        <w:spacing w:before="59"/>
        <w:ind w:left="163" w:right="0" w:firstLine="0"/>
        <w:jc w:val="left"/>
        <w:rPr>
          <w:b/>
          <w:sz w:val="12"/>
        </w:rPr>
      </w:pPr>
      <w:r>
        <w:rPr>
          <w:b/>
          <w:sz w:val="12"/>
        </w:rPr>
        <w:t>Banque: </w:t>
      </w:r>
      <w:r>
        <w:rPr>
          <w:b/>
          <w:spacing w:val="-2"/>
          <w:sz w:val="12"/>
        </w:rPr>
        <w:t>MAHAZO</w:t>
      </w:r>
    </w:p>
    <w:p>
      <w:pPr>
        <w:spacing w:before="27"/>
        <w:ind w:left="163" w:right="0" w:firstLine="0"/>
        <w:jc w:val="left"/>
        <w:rPr>
          <w:b/>
          <w:sz w:val="12"/>
        </w:rPr>
      </w:pPr>
      <w:r>
        <w:rPr>
          <w:b/>
          <w:sz w:val="12"/>
        </w:rPr>
        <w:t>Numéro de compte: </w:t>
      </w:r>
      <w:r>
        <w:rPr>
          <w:b/>
          <w:spacing w:val="-2"/>
          <w:sz w:val="12"/>
        </w:rPr>
        <w:t>05003023180</w:t>
      </w:r>
    </w:p>
    <w:p>
      <w:pPr>
        <w:spacing w:before="27"/>
        <w:ind w:left="163" w:right="0" w:firstLine="0"/>
        <w:jc w:val="left"/>
        <w:rPr>
          <w:sz w:val="12"/>
        </w:rPr>
      </w:pPr>
      <w:r>
        <w:rPr>
          <w:sz w:val="12"/>
        </w:rPr>
        <w:t>Adresse: </w:t>
      </w:r>
      <w:r>
        <w:rPr>
          <w:spacing w:val="-2"/>
          <w:sz w:val="12"/>
        </w:rPr>
        <w:t>MAHAZO</w:t>
      </w:r>
    </w:p>
    <w:p>
      <w:pPr>
        <w:spacing w:line="252" w:lineRule="auto" w:before="9"/>
        <w:ind w:left="163" w:right="390" w:firstLine="0"/>
        <w:jc w:val="left"/>
        <w:rPr>
          <w:b/>
          <w:sz w:val="14"/>
        </w:rPr>
      </w:pPr>
      <w:r>
        <w:rPr>
          <w:sz w:val="12"/>
        </w:rPr>
        <w:t>Nom</w:t>
      </w:r>
      <w:r>
        <w:rPr>
          <w:spacing w:val="-7"/>
          <w:sz w:val="12"/>
        </w:rPr>
        <w:t> </w:t>
      </w:r>
      <w:r>
        <w:rPr>
          <w:sz w:val="12"/>
        </w:rPr>
        <w:t>du</w:t>
      </w:r>
      <w:r>
        <w:rPr>
          <w:spacing w:val="-7"/>
          <w:sz w:val="12"/>
        </w:rPr>
        <w:t> </w:t>
      </w:r>
      <w:r>
        <w:rPr>
          <w:sz w:val="12"/>
        </w:rPr>
        <w:t>propriétaire</w:t>
      </w:r>
      <w:r>
        <w:rPr>
          <w:spacing w:val="-7"/>
          <w:sz w:val="12"/>
        </w:rPr>
        <w:t> </w:t>
      </w:r>
      <w:r>
        <w:rPr>
          <w:sz w:val="12"/>
        </w:rPr>
        <w:t>du</w:t>
      </w:r>
      <w:r>
        <w:rPr>
          <w:spacing w:val="-7"/>
          <w:sz w:val="12"/>
        </w:rPr>
        <w:t> </w:t>
      </w:r>
      <w:r>
        <w:rPr>
          <w:sz w:val="12"/>
        </w:rPr>
        <w:t>compte:</w:t>
      </w:r>
      <w:r>
        <w:rPr>
          <w:spacing w:val="-7"/>
          <w:sz w:val="12"/>
        </w:rPr>
        <w:t> </w:t>
      </w:r>
      <w:r>
        <w:rPr>
          <w:sz w:val="12"/>
        </w:rPr>
        <w:t>FANOMEZANIRINA</w:t>
      </w:r>
      <w:r>
        <w:rPr>
          <w:spacing w:val="-7"/>
          <w:sz w:val="12"/>
        </w:rPr>
        <w:t> </w:t>
      </w:r>
      <w:r>
        <w:rPr>
          <w:sz w:val="12"/>
        </w:rPr>
        <w:t>FENOHERY</w:t>
      </w:r>
      <w:r>
        <w:rPr>
          <w:spacing w:val="40"/>
          <w:sz w:val="12"/>
        </w:rPr>
        <w:t> </w:t>
      </w:r>
      <w:r>
        <w:rPr>
          <w:b/>
          <w:sz w:val="14"/>
        </w:rPr>
        <w:t>Code IBAN: MG46 0000 8000 1805 0030 2318 020</w:t>
      </w:r>
      <w:r>
        <w:rPr>
          <w:b/>
          <w:spacing w:val="40"/>
          <w:sz w:val="14"/>
        </w:rPr>
        <w:t> </w:t>
      </w:r>
      <w:r>
        <w:rPr>
          <w:b/>
          <w:sz w:val="14"/>
        </w:rPr>
        <w:t>Code BIC/SWIFT: BFAVMGMG</w:t>
      </w:r>
    </w:p>
    <w:p>
      <w:pPr>
        <w:pStyle w:val="BodyText"/>
        <w:tabs>
          <w:tab w:pos="3534" w:val="left" w:leader="none"/>
        </w:tabs>
        <w:spacing w:before="54"/>
        <w:ind w:left="163"/>
      </w:pPr>
      <w:r>
        <w:rPr/>
        <w:br w:type="column"/>
      </w:r>
      <w:r>
        <w:rPr/>
        <w:t>Total </w:t>
      </w:r>
      <w:r>
        <w:rPr>
          <w:spacing w:val="-5"/>
        </w:rPr>
        <w:t>HT</w:t>
      </w:r>
      <w:r>
        <w:rPr/>
        <w:tab/>
        <w:t>1 800 </w:t>
      </w:r>
      <w:r>
        <w:rPr>
          <w:spacing w:val="-2"/>
        </w:rPr>
        <w:t>000,00</w:t>
      </w:r>
    </w:p>
    <w:p>
      <w:pPr>
        <w:pStyle w:val="BodyText"/>
        <w:ind w:left="106"/>
        <w:rPr>
          <w:sz w:val="20"/>
        </w:rPr>
      </w:pPr>
      <w:r>
        <w:rPr>
          <w:sz w:val="20"/>
        </w:rPr>
        <w:pict>
          <v:group style="width:226.8pt;height:22.7pt;mso-position-horizontal-relative:char;mso-position-vertical-relative:line" id="docshapegroup3" coordorigin="0,0" coordsize="4536,454">
            <v:shape style="position:absolute;left:0;top:0;width:4536;height:227" id="docshape4" coordorigin="0,0" coordsize="4536,227" path="m4535,0l2835,0,0,0,0,227,2835,227,4535,227,4535,0xe" filled="true" fillcolor="#f7f7f7" stroked="false">
              <v:path arrowok="t"/>
              <v:fill type="solid"/>
            </v:shape>
            <v:shape style="position:absolute;left:0;top:226;width:4536;height:227" id="docshape5" coordorigin="0,227" coordsize="4536,227" path="m4535,227l2835,227,0,227,0,454,2835,454,4535,454,4535,227xe" filled="true" fillcolor="#dfdfdf" stroked="false">
              <v:path arrowok="t"/>
              <v:fill type="solid"/>
            </v:shape>
            <v:shape style="position:absolute;left:3427;top:239;width:1071;height:202" type="#_x0000_t202" id="docshape6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00003B"/>
                        <w:sz w:val="18"/>
                      </w:rPr>
                      <w:t>1 800 </w:t>
                    </w:r>
                    <w:r>
                      <w:rPr>
                        <w:color w:val="00003B"/>
                        <w:spacing w:val="-2"/>
                        <w:sz w:val="18"/>
                      </w:rPr>
                      <w:t>000,00</w:t>
                    </w:r>
                  </w:p>
                </w:txbxContent>
              </v:textbox>
              <w10:wrap type="none"/>
            </v:shape>
            <v:shape style="position:absolute;left:56;top:239;width:821;height:202" type="#_x0000_t202" id="docshape7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00003B"/>
                        <w:sz w:val="18"/>
                      </w:rPr>
                      <w:t>Total </w:t>
                    </w:r>
                    <w:r>
                      <w:rPr>
                        <w:color w:val="00003B"/>
                        <w:spacing w:val="-5"/>
                        <w:sz w:val="18"/>
                      </w:rPr>
                      <w:t>TTC</w:t>
                    </w:r>
                  </w:p>
                </w:txbxContent>
              </v:textbox>
              <w10:wrap type="none"/>
            </v:shape>
            <v:shape style="position:absolute;left:4128;top:13;width:371;height:202" type="#_x0000_t202" id="docshape8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0,00</w:t>
                    </w:r>
                  </w:p>
                </w:txbxContent>
              </v:textbox>
              <w10:wrap type="none"/>
            </v:shape>
            <v:shape style="position:absolute;left:56;top:13;width:1651;height:202" type="#_x0000_t202" id="docshape9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Total TVA 0% </w:t>
                    </w:r>
                    <w:r>
                      <w:rPr>
                        <w:spacing w:val="-2"/>
                        <w:sz w:val="18"/>
                      </w:rPr>
                      <w:t>(TTC)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500" w:bottom="280" w:left="460" w:right="460"/>
          <w:cols w:num="2" w:equalWidth="0">
            <w:col w:w="4106" w:space="2130"/>
            <w:col w:w="475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line="20" w:lineRule="exact"/>
        <w:ind w:left="106"/>
        <w:rPr>
          <w:sz w:val="2"/>
        </w:rPr>
      </w:pPr>
      <w:r>
        <w:rPr>
          <w:sz w:val="2"/>
        </w:rPr>
        <w:pict>
          <v:group style="width:538.6pt;height:.6pt;mso-position-horizontal-relative:char;mso-position-vertical-relative:line" id="docshapegroup10" coordorigin="0,0" coordsize="10772,12">
            <v:line style="position:absolute" from="0,6" to="10772,6" stroked="true" strokeweight=".570pt" strokecolor="#dfdfdf">
              <v:stroke dashstyle="solid"/>
            </v:line>
          </v:group>
        </w:pict>
      </w:r>
      <w:r>
        <w:rPr>
          <w:sz w:val="2"/>
        </w:rPr>
      </w:r>
    </w:p>
    <w:p>
      <w:pPr>
        <w:spacing w:line="148" w:lineRule="exact" w:before="0"/>
        <w:ind w:left="0" w:right="0" w:firstLine="0"/>
        <w:jc w:val="center"/>
        <w:rPr>
          <w:sz w:val="14"/>
        </w:rPr>
      </w:pPr>
      <w:r>
        <w:rPr>
          <w:sz w:val="14"/>
        </w:rPr>
        <w:t>Capital de 1 000 000</w:t>
      </w:r>
      <w:r>
        <w:rPr>
          <w:spacing w:val="38"/>
          <w:sz w:val="14"/>
        </w:rPr>
        <w:t> </w:t>
      </w:r>
      <w:r>
        <w:rPr>
          <w:sz w:val="14"/>
        </w:rPr>
        <w:t>MGA - Identifiant professionnel 1: RC 2024B01310 - Identifiant professionnel 2: STAT 62011 11 2024 0 </w:t>
      </w:r>
      <w:r>
        <w:rPr>
          <w:spacing w:val="-2"/>
          <w:sz w:val="14"/>
        </w:rPr>
        <w:t>11337</w:t>
      </w:r>
    </w:p>
    <w:p>
      <w:pPr>
        <w:tabs>
          <w:tab w:pos="9809" w:val="left" w:leader="none"/>
        </w:tabs>
        <w:spacing w:before="5"/>
        <w:ind w:left="4076" w:right="0" w:firstLine="0"/>
        <w:jc w:val="center"/>
        <w:rPr>
          <w:sz w:val="14"/>
        </w:rPr>
      </w:pPr>
      <w:r>
        <w:rPr>
          <w:sz w:val="14"/>
        </w:rPr>
        <w:t>Numéro TVA: NIF </w:t>
      </w:r>
      <w:r>
        <w:rPr>
          <w:spacing w:val="-2"/>
          <w:sz w:val="14"/>
        </w:rPr>
        <w:t>2019011143</w:t>
      </w:r>
      <w:r>
        <w:rPr>
          <w:sz w:val="14"/>
        </w:rPr>
        <w:tab/>
        <w:t>1 / </w:t>
      </w:r>
      <w:r>
        <w:rPr>
          <w:spacing w:val="-10"/>
          <w:sz w:val="14"/>
        </w:rPr>
        <w:t>1</w:t>
      </w:r>
    </w:p>
    <w:sectPr>
      <w:type w:val="continuous"/>
      <w:pgSz w:w="11910" w:h="16840"/>
      <w:pgMar w:top="500" w:bottom="28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83" w:hanging="110"/>
      </w:pPr>
      <w:rPr>
        <w:rFonts w:hint="default" w:ascii="Helvetica" w:hAnsi="Helvetica" w:eastAsia="Helvetica" w:cs="Helvetica"/>
        <w:b w:val="0"/>
        <w:bCs w:val="0"/>
        <w:i w:val="0"/>
        <w:iCs w:val="0"/>
        <w:w w:val="100"/>
        <w:sz w:val="18"/>
        <w:szCs w:val="18"/>
        <w:lang w:val="fr-FR" w:eastAsia="en-US" w:bidi="ar-SA"/>
      </w:rPr>
    </w:lvl>
    <w:lvl w:ilvl="1">
      <w:start w:val="0"/>
      <w:numFmt w:val="bullet"/>
      <w:lvlText w:val="-"/>
      <w:lvlJc w:val="left"/>
      <w:pPr>
        <w:ind w:left="293" w:hanging="110"/>
      </w:pPr>
      <w:rPr>
        <w:rFonts w:hint="default" w:ascii="Helvetica" w:hAnsi="Helvetica" w:eastAsia="Helvetica" w:cs="Helvetica"/>
        <w:b w:val="0"/>
        <w:bCs w:val="0"/>
        <w:i w:val="0"/>
        <w:iCs w:val="0"/>
        <w:w w:val="100"/>
        <w:sz w:val="18"/>
        <w:szCs w:val="1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51" w:hanging="11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03" w:hanging="11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255" w:hanging="11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06" w:hanging="11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8" w:hanging="11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10" w:hanging="11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861" w:hanging="11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Helvetica" w:hAnsi="Helvetica" w:eastAsia="Helvetica" w:cs="Helvetic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Helvetica" w:hAnsi="Helvetica" w:eastAsia="Helvetica" w:cs="Helvetica"/>
      <w:sz w:val="18"/>
      <w:szCs w:val="18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left="106"/>
    </w:pPr>
    <w:rPr>
      <w:rFonts w:ascii="Helvetica" w:hAnsi="Helvetica" w:eastAsia="Helvetica" w:cs="Helvetica"/>
      <w:b/>
      <w:bCs/>
      <w:sz w:val="26"/>
      <w:szCs w:val="26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/>
      <w:ind w:left="193"/>
    </w:pPr>
    <w:rPr>
      <w:rFonts w:ascii="Helvetica" w:hAnsi="Helvetica" w:eastAsia="Helvetica" w:cs="Helvetic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contact@fata.plus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FATAPLUS SARL - Fenohery FANOMEZANIRINA</dc:creator>
  <cp:keywords>IN2506-0001 Facture HERE2BE SARLU</cp:keywords>
  <dc:subject>Facture</dc:subject>
  <dc:title>IN2506-0001</dc:title>
  <dcterms:created xsi:type="dcterms:W3CDTF">2025-06-19T12:37:10Z</dcterms:created>
  <dcterms:modified xsi:type="dcterms:W3CDTF">2025-06-19T12:37:10Z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Creator">
    <vt:lpwstr>Dolibarr 21.0.1</vt:lpwstr>
  </property>
  <property fmtid="{D5CDD505-2E9C-101B-9397-08002B2CF9AE}" pid="4" name="LastSaved">
    <vt:filetime>2025-06-19T00:00:00Z</vt:filetime>
  </property>
  <property fmtid="{D5CDD505-2E9C-101B-9397-08002B2CF9AE}" pid="5" name="Producer">
    <vt:lpwstr>TCPDF 6.7.5 (http://www.tcpdf.org)</vt:lpwstr>
  </property>
</Properties>
</file>