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ExMGJkNGM3NGYzZDg1ZmZjYWE2ZmRhZWM5NDUifQ=="/>
  </w:docVars>
  <w:rsids>
    <w:rsidRoot w:val="00172A27"/>
    <w:rsid w:val="03FB660C"/>
    <w:rsid w:val="04A8053F"/>
    <w:rsid w:val="05CD5D86"/>
    <w:rsid w:val="0B7C6285"/>
    <w:rsid w:val="0BBF224A"/>
    <w:rsid w:val="0CCA05FD"/>
    <w:rsid w:val="0D70270F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2F77EFA"/>
    <w:rsid w:val="532145E9"/>
    <w:rsid w:val="58277F2A"/>
    <w:rsid w:val="5CD56213"/>
    <w:rsid w:val="60394BD2"/>
    <w:rsid w:val="60536729"/>
    <w:rsid w:val="624E0B58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2024-04-10T15:05:36Z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4F75C89E268248D38BDB21FFB1AEB0D0_13</vt:lpwstr>
  </property>
</Properties>
</file>