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AE623E" w14:textId="7CC6B118" w:rsidR="00EA20A3" w:rsidRPr="0005283A" w:rsidRDefault="00227599" w:rsidP="00227599">
      <w:pPr>
        <w:pStyle w:val="Ttulo"/>
        <w:rPr>
          <w:rFonts w:cs="Calibri"/>
        </w:rPr>
      </w:pPr>
      <w:bookmarkStart w:id="0" w:name="_Toc118654374"/>
      <w:bookmarkStart w:id="1" w:name="_Toc483916783"/>
      <w:bookmarkStart w:id="2" w:name="_Toc483916828"/>
      <w:bookmarkStart w:id="3" w:name="_Toc484509749"/>
      <w:r w:rsidRPr="0005283A">
        <w:rPr>
          <w:rFonts w:cs="Calibri"/>
        </w:rPr>
        <w:t>TRACK FLOW (1ª SPRINT)</w:t>
      </w:r>
    </w:p>
    <w:p w14:paraId="5EA40886" w14:textId="44DEEA18" w:rsidR="00273D67" w:rsidRPr="0005283A" w:rsidRDefault="00273D67" w:rsidP="00EA20A3">
      <w:pPr>
        <w:rPr>
          <w:rFonts w:cs="Calibri"/>
        </w:rPr>
      </w:pPr>
      <w:r w:rsidRPr="0005283A">
        <w:rPr>
          <w:rFonts w:cs="Calibri"/>
        </w:rPr>
        <w:t xml:space="preserve">Gustavo Henrique Funari da Silva Oliveira </w:t>
      </w:r>
      <w:r w:rsidRPr="0005283A">
        <w:rPr>
          <w:rFonts w:eastAsia="Calibri" w:cs="Calibri"/>
        </w:rPr>
        <w:t>(linkedin)</w:t>
      </w:r>
    </w:p>
    <w:p w14:paraId="430D27D2" w14:textId="77777777" w:rsidR="00C67127" w:rsidRPr="0005283A" w:rsidRDefault="00C67127" w:rsidP="00C67127">
      <w:pPr>
        <w:rPr>
          <w:rFonts w:eastAsia="Calibri" w:cs="Calibri"/>
        </w:rPr>
      </w:pPr>
      <w:r w:rsidRPr="0005283A">
        <w:rPr>
          <w:rFonts w:eastAsia="Calibri" w:cs="Calibri"/>
        </w:rPr>
        <w:t>Kauan Daniel Xavier de Assis (linkedin)</w:t>
      </w:r>
    </w:p>
    <w:p w14:paraId="6ABD8AD6" w14:textId="77777777" w:rsidR="00C67127" w:rsidRPr="0005283A" w:rsidRDefault="00C67127" w:rsidP="00C67127">
      <w:pPr>
        <w:rPr>
          <w:rFonts w:eastAsia="Calibri" w:cs="Calibri"/>
        </w:rPr>
      </w:pPr>
      <w:r w:rsidRPr="0005283A">
        <w:rPr>
          <w:rFonts w:eastAsia="Calibri" w:cs="Calibri"/>
        </w:rPr>
        <w:t>Leonardo da costa balieiro (linkedin)</w:t>
      </w:r>
    </w:p>
    <w:p w14:paraId="048434FF" w14:textId="77777777" w:rsidR="00C67127" w:rsidRPr="0005283A" w:rsidRDefault="00C67127" w:rsidP="00C67127">
      <w:pPr>
        <w:rPr>
          <w:rFonts w:eastAsia="Calibri" w:cs="Calibri"/>
        </w:rPr>
      </w:pPr>
      <w:r w:rsidRPr="0005283A">
        <w:rPr>
          <w:rFonts w:eastAsia="Calibri" w:cs="Calibri"/>
        </w:rPr>
        <w:t>Nikolas Carlos de Maura (linkedin)</w:t>
      </w:r>
    </w:p>
    <w:p w14:paraId="5EF1DAC6" w14:textId="77777777" w:rsidR="00C67127" w:rsidRPr="0005283A" w:rsidRDefault="00C67127" w:rsidP="00C67127">
      <w:pPr>
        <w:rPr>
          <w:rFonts w:eastAsia="Calibri" w:cs="Calibri"/>
        </w:rPr>
      </w:pPr>
      <w:r w:rsidRPr="0005283A">
        <w:rPr>
          <w:rFonts w:eastAsia="Calibri" w:cs="Calibri"/>
        </w:rPr>
        <w:t>Rodrigo Azevedo de Menezes(linkedin)</w:t>
      </w:r>
    </w:p>
    <w:p w14:paraId="7F62CA59" w14:textId="77777777" w:rsidR="00C67127" w:rsidRPr="0005283A" w:rsidRDefault="00C67127" w:rsidP="00C67127">
      <w:pPr>
        <w:rPr>
          <w:rFonts w:eastAsia="Calibri" w:cs="Calibri"/>
        </w:rPr>
      </w:pPr>
      <w:r w:rsidRPr="0005283A">
        <w:rPr>
          <w:rFonts w:eastAsia="Calibri" w:cs="Calibri"/>
        </w:rPr>
        <w:t>Victor Miguel de Oliveira Rodrigues (linkedin)</w:t>
      </w:r>
    </w:p>
    <w:p w14:paraId="2B7919B3" w14:textId="5FDBA637" w:rsidR="00273D67" w:rsidRPr="0005283A" w:rsidRDefault="00C67127" w:rsidP="00273D67">
      <w:pPr>
        <w:rPr>
          <w:rFonts w:eastAsia="Calibri" w:cs="Calibri"/>
        </w:rPr>
      </w:pPr>
      <w:r w:rsidRPr="0005283A">
        <w:rPr>
          <w:rFonts w:eastAsia="Calibri" w:cs="Calibri"/>
        </w:rPr>
        <w:t>Willian Duarte de Paula Ortiz (linkedin)</w:t>
      </w:r>
    </w:p>
    <w:p w14:paraId="3C7499F3" w14:textId="77777777" w:rsidR="0032342D" w:rsidRPr="0005283A" w:rsidRDefault="0032342D" w:rsidP="00703522">
      <w:pPr>
        <w:ind w:left="0" w:firstLine="0"/>
        <w:rPr>
          <w:rFonts w:cs="Calibri"/>
        </w:rPr>
      </w:pPr>
    </w:p>
    <w:p w14:paraId="62AFA9A4" w14:textId="78A4E1F4" w:rsidR="00831A72" w:rsidRPr="0005283A" w:rsidRDefault="0032342D" w:rsidP="00703522">
      <w:pPr>
        <w:ind w:firstLine="0"/>
        <w:rPr>
          <w:rFonts w:cs="Calibri"/>
        </w:rPr>
      </w:pPr>
      <w:r w:rsidRPr="0005283A">
        <w:rPr>
          <w:rFonts w:cs="Calibri"/>
        </w:rPr>
        <w:t>Professor M2</w:t>
      </w:r>
      <w:r w:rsidR="0073328A" w:rsidRPr="0005283A">
        <w:rPr>
          <w:rFonts w:cs="Calibri"/>
        </w:rPr>
        <w:t xml:space="preserve"> ou Orientador</w:t>
      </w:r>
      <w:r w:rsidRPr="0005283A">
        <w:rPr>
          <w:rFonts w:cs="Calibri"/>
        </w:rPr>
        <w:t>:</w:t>
      </w:r>
      <w:r w:rsidR="00C67127" w:rsidRPr="0005283A">
        <w:rPr>
          <w:rFonts w:cs="Calibri"/>
        </w:rPr>
        <w:t xml:space="preserve"> Jean Carlos Lourenço</w:t>
      </w:r>
      <w:r w:rsidR="00273D67" w:rsidRPr="0005283A">
        <w:rPr>
          <w:rFonts w:cs="Calibri"/>
        </w:rPr>
        <w:t xml:space="preserve"> Costa</w:t>
      </w:r>
    </w:p>
    <w:p w14:paraId="2279FCA7" w14:textId="2659F151" w:rsidR="0032342D" w:rsidRPr="0005283A" w:rsidRDefault="0032342D" w:rsidP="00C67127">
      <w:pPr>
        <w:ind w:left="0" w:firstLine="284"/>
        <w:rPr>
          <w:rFonts w:eastAsia="Calibri" w:cs="Calibri"/>
          <w:szCs w:val="22"/>
        </w:rPr>
      </w:pPr>
      <w:r w:rsidRPr="0005283A">
        <w:rPr>
          <w:rFonts w:cs="Calibri"/>
        </w:rPr>
        <w:t>Professor P2:</w:t>
      </w:r>
      <w:r w:rsidR="00C67127" w:rsidRPr="0005283A">
        <w:rPr>
          <w:rFonts w:cs="Calibri"/>
        </w:rPr>
        <w:t xml:space="preserve"> </w:t>
      </w:r>
      <w:r w:rsidR="00C67127" w:rsidRPr="0005283A">
        <w:rPr>
          <w:rFonts w:eastAsia="Calibri" w:cs="Calibri"/>
        </w:rPr>
        <w:t xml:space="preserve">Marcus Vinícius do Nascimento </w:t>
      </w:r>
    </w:p>
    <w:bookmarkEnd w:id="0"/>
    <w:bookmarkEnd w:id="1"/>
    <w:bookmarkEnd w:id="2"/>
    <w:bookmarkEnd w:id="3"/>
    <w:p w14:paraId="41C766EC" w14:textId="77777777" w:rsidR="00831A72" w:rsidRPr="0005283A" w:rsidRDefault="00831A72" w:rsidP="00703522">
      <w:pPr>
        <w:autoSpaceDE w:val="0"/>
        <w:autoSpaceDN w:val="0"/>
        <w:adjustRightInd w:val="0"/>
        <w:spacing w:line="360" w:lineRule="auto"/>
        <w:ind w:left="0" w:firstLine="0"/>
        <w:rPr>
          <w:rFonts w:cs="Calibri"/>
        </w:rPr>
      </w:pPr>
    </w:p>
    <w:p w14:paraId="1AD38D4E" w14:textId="156F90D5" w:rsidR="00703522" w:rsidRPr="0005283A" w:rsidRDefault="00703522" w:rsidP="00703522">
      <w:pPr>
        <w:autoSpaceDE w:val="0"/>
        <w:autoSpaceDN w:val="0"/>
        <w:adjustRightInd w:val="0"/>
        <w:spacing w:line="360" w:lineRule="auto"/>
        <w:ind w:firstLine="0"/>
        <w:rPr>
          <w:rFonts w:cs="Calibri"/>
        </w:rPr>
      </w:pPr>
      <w:r w:rsidRPr="0005283A">
        <w:rPr>
          <w:rFonts w:cs="Calibri"/>
        </w:rPr>
        <w:t>Resumo do projeto:</w:t>
      </w:r>
    </w:p>
    <w:p w14:paraId="513BB9E2" w14:textId="77777777" w:rsidR="00227599" w:rsidRPr="0005283A" w:rsidRDefault="00227599" w:rsidP="001241C0">
      <w:pPr>
        <w:autoSpaceDE w:val="0"/>
        <w:autoSpaceDN w:val="0"/>
        <w:adjustRightInd w:val="0"/>
        <w:spacing w:line="360" w:lineRule="auto"/>
        <w:ind w:firstLine="0"/>
        <w:rPr>
          <w:rFonts w:cs="Calibri"/>
          <w:color w:val="303030"/>
          <w:sz w:val="21"/>
          <w:szCs w:val="21"/>
          <w:shd w:val="clear" w:color="auto" w:fill="FFFFFF"/>
        </w:rPr>
      </w:pPr>
      <w:r w:rsidRPr="0005283A">
        <w:rPr>
          <w:rFonts w:cs="Calibri"/>
          <w:color w:val="303030"/>
          <w:sz w:val="21"/>
          <w:szCs w:val="21"/>
          <w:shd w:val="clear" w:color="auto" w:fill="FFFFFF"/>
        </w:rPr>
        <w:t>A segurança viária no Brasil apresenta desafios críticos, especialmente em sinistros envolvendo veículos pesados em autoestradas federais. Este relatório técnico detalha o desenvolvimento do projeto TrackFlow, uma solução de Business Intelligence projetada para unificar dados fragmentados e fornecer suporte estratégico à tomada de decisão. O problema central reside na dispersão de informações entre órgãos de saúde (DATASUS), transporte (SENATRAN/PRF) e estatística (IBGE), o que impede uma análise holística dos riscos. A metodologia empregada baseia-se na integração dessas bases utilizando a biblioteca Pandas em linguagem Python para o processo de ETL (Extração, Transformação e Carga) e Power BI para a criação de dashboards interativos. Os resultados demonstram que a unificação desses silos permite o cálculo de indicadores precisos, como taxas de mortalidade e sinistros por frota, entre 2017 e 2025. O projeto conclui que a transparência e a integração tecnológica são pilares fundamentais para a formulação de políticas públicas voltadas à redução da letalidade no trânsito brasileiro</w:t>
      </w:r>
    </w:p>
    <w:p w14:paraId="3A3385BC" w14:textId="77777777" w:rsidR="00227599" w:rsidRPr="0005283A" w:rsidRDefault="001241C0" w:rsidP="00703522">
      <w:pPr>
        <w:autoSpaceDE w:val="0"/>
        <w:autoSpaceDN w:val="0"/>
        <w:adjustRightInd w:val="0"/>
        <w:spacing w:line="360" w:lineRule="auto"/>
        <w:ind w:firstLine="0"/>
        <w:rPr>
          <w:rFonts w:cs="Calibri"/>
          <w:color w:val="303030"/>
          <w:sz w:val="20"/>
          <w:szCs w:val="20"/>
          <w:shd w:val="clear" w:color="auto" w:fill="FFFFFF"/>
        </w:rPr>
      </w:pPr>
      <w:r w:rsidRPr="0005283A">
        <w:rPr>
          <w:rFonts w:cs="Calibri"/>
          <w:sz w:val="20"/>
          <w:szCs w:val="20"/>
        </w:rPr>
        <w:t xml:space="preserve">Palavras-Chave: </w:t>
      </w:r>
      <w:r w:rsidR="00227599" w:rsidRPr="0005283A">
        <w:rPr>
          <w:rFonts w:cs="Calibri"/>
          <w:color w:val="303030"/>
          <w:sz w:val="20"/>
          <w:szCs w:val="20"/>
          <w:shd w:val="clear" w:color="auto" w:fill="FFFFFF"/>
        </w:rPr>
        <w:t>Segurança Viária; Veículos Pesados; Business Intelligence; Métodos Ágeis; Logística.</w:t>
      </w:r>
    </w:p>
    <w:p w14:paraId="4F0FA5D7" w14:textId="2CFE7DF9" w:rsidR="00703522" w:rsidRPr="0005283A" w:rsidRDefault="00703522" w:rsidP="00703522">
      <w:pPr>
        <w:autoSpaceDE w:val="0"/>
        <w:autoSpaceDN w:val="0"/>
        <w:adjustRightInd w:val="0"/>
        <w:spacing w:line="360" w:lineRule="auto"/>
        <w:ind w:firstLine="0"/>
        <w:rPr>
          <w:rFonts w:cs="Calibri"/>
        </w:rPr>
      </w:pPr>
      <w:r w:rsidRPr="0005283A">
        <w:rPr>
          <w:rFonts w:cs="Calibri"/>
        </w:rPr>
        <w:t>Abstract:</w:t>
      </w:r>
    </w:p>
    <w:p w14:paraId="6490D617" w14:textId="77777777" w:rsidR="00227599" w:rsidRPr="0005283A" w:rsidRDefault="00227599" w:rsidP="001241C0">
      <w:pPr>
        <w:autoSpaceDE w:val="0"/>
        <w:autoSpaceDN w:val="0"/>
        <w:adjustRightInd w:val="0"/>
        <w:spacing w:line="360" w:lineRule="auto"/>
        <w:ind w:left="0" w:firstLine="284"/>
        <w:rPr>
          <w:rFonts w:cs="Calibri"/>
          <w:color w:val="303030"/>
          <w:sz w:val="21"/>
          <w:szCs w:val="21"/>
          <w:shd w:val="clear" w:color="auto" w:fill="FFFFFF"/>
        </w:rPr>
      </w:pPr>
      <w:r w:rsidRPr="0005283A">
        <w:rPr>
          <w:rFonts w:cs="Calibri"/>
          <w:color w:val="303030"/>
          <w:sz w:val="21"/>
          <w:szCs w:val="21"/>
          <w:shd w:val="clear" w:color="auto" w:fill="FFFFFF"/>
        </w:rPr>
        <w:t xml:space="preserve"> Road safety in Brazil faces critical challenges, particularly regarding accidents involving heavy vehicles on federal highways. This technical report details the development of the TrackFlow project, a Business Intelligence solution designed to unify fragmented data and provide strategic support for decision-making. The core problem lies in the dispersion of information among health (DATASUS), transport (SENATRAN/PRF), and statistics (IBGE) agencies, which hinders a holistic risk analysis. The methodology is based on the integration of these databases using the Pandas library in Python for the ETL (Extraction, Transformation, and Loading) process and Power BI for creating interactive dashboards. The results </w:t>
      </w:r>
      <w:r w:rsidRPr="0005283A">
        <w:rPr>
          <w:rFonts w:cs="Calibri"/>
          <w:color w:val="303030"/>
          <w:sz w:val="21"/>
          <w:szCs w:val="21"/>
          <w:shd w:val="clear" w:color="auto" w:fill="FFFFFF"/>
        </w:rPr>
        <w:lastRenderedPageBreak/>
        <w:t>demonstrate that unifying these silos allows for the calculation of precise indicators, such as mortality rates and accidents per fleet, between 2017 and 2025. The project concludes that transparency and technological integration are fundamental pillars for formulating public policies aimed at reducing lethality in Brazilian traffic.</w:t>
      </w:r>
    </w:p>
    <w:p w14:paraId="4D3C6F35" w14:textId="26929135" w:rsidR="00703522" w:rsidRPr="0005283A" w:rsidRDefault="001241C0" w:rsidP="001241C0">
      <w:pPr>
        <w:autoSpaceDE w:val="0"/>
        <w:autoSpaceDN w:val="0"/>
        <w:adjustRightInd w:val="0"/>
        <w:spacing w:line="360" w:lineRule="auto"/>
        <w:ind w:left="0" w:firstLine="284"/>
        <w:rPr>
          <w:rFonts w:cs="Calibri"/>
          <w:sz w:val="20"/>
          <w:szCs w:val="20"/>
        </w:rPr>
      </w:pPr>
      <w:r w:rsidRPr="0005283A">
        <w:rPr>
          <w:rFonts w:cs="Calibri"/>
          <w:sz w:val="20"/>
          <w:szCs w:val="20"/>
        </w:rPr>
        <w:t xml:space="preserve">Keywords: </w:t>
      </w:r>
      <w:r w:rsidR="00227599" w:rsidRPr="0005283A">
        <w:rPr>
          <w:rFonts w:cs="Calibri"/>
          <w:color w:val="303030"/>
          <w:sz w:val="20"/>
          <w:szCs w:val="20"/>
          <w:shd w:val="clear" w:color="auto" w:fill="FFFFFF"/>
        </w:rPr>
        <w:t>Road Safety; Heavy Vehicles; Business Intelligence; Agile Methods; Logistics.</w:t>
      </w:r>
    </w:p>
    <w:p w14:paraId="5F87BDBB" w14:textId="77777777" w:rsidR="001241C0" w:rsidRPr="0005283A" w:rsidRDefault="001241C0" w:rsidP="001241C0">
      <w:pPr>
        <w:autoSpaceDE w:val="0"/>
        <w:autoSpaceDN w:val="0"/>
        <w:adjustRightInd w:val="0"/>
        <w:spacing w:line="360" w:lineRule="auto"/>
        <w:ind w:left="0" w:firstLine="284"/>
        <w:rPr>
          <w:rFonts w:cs="Calibri"/>
          <w:sz w:val="20"/>
          <w:szCs w:val="20"/>
        </w:rPr>
      </w:pPr>
    </w:p>
    <w:p w14:paraId="370E3BCE" w14:textId="77777777" w:rsidR="001241C0" w:rsidRPr="0005283A" w:rsidRDefault="001241C0" w:rsidP="001241C0">
      <w:pPr>
        <w:autoSpaceDE w:val="0"/>
        <w:autoSpaceDN w:val="0"/>
        <w:adjustRightInd w:val="0"/>
        <w:spacing w:line="360" w:lineRule="auto"/>
        <w:ind w:left="0" w:firstLine="284"/>
        <w:rPr>
          <w:rFonts w:cs="Calibri"/>
          <w:sz w:val="20"/>
          <w:szCs w:val="20"/>
        </w:rPr>
      </w:pPr>
    </w:p>
    <w:p w14:paraId="369E3A55" w14:textId="77777777" w:rsidR="001241C0" w:rsidRPr="0005283A" w:rsidRDefault="001241C0" w:rsidP="001241C0">
      <w:pPr>
        <w:autoSpaceDE w:val="0"/>
        <w:autoSpaceDN w:val="0"/>
        <w:adjustRightInd w:val="0"/>
        <w:spacing w:line="360" w:lineRule="auto"/>
        <w:ind w:left="0" w:firstLine="284"/>
        <w:rPr>
          <w:rFonts w:cs="Calibri"/>
          <w:sz w:val="20"/>
          <w:szCs w:val="20"/>
        </w:rPr>
      </w:pPr>
    </w:p>
    <w:p w14:paraId="38806F9F" w14:textId="77777777" w:rsidR="001241C0" w:rsidRPr="0005283A" w:rsidRDefault="001241C0" w:rsidP="001241C0">
      <w:pPr>
        <w:autoSpaceDE w:val="0"/>
        <w:autoSpaceDN w:val="0"/>
        <w:adjustRightInd w:val="0"/>
        <w:spacing w:line="360" w:lineRule="auto"/>
        <w:ind w:left="0" w:firstLine="284"/>
        <w:rPr>
          <w:rFonts w:cs="Calibri"/>
        </w:rPr>
      </w:pPr>
    </w:p>
    <w:p w14:paraId="078E8217" w14:textId="7CCC5B92" w:rsidR="00831A72" w:rsidRPr="0005283A" w:rsidRDefault="00831A72" w:rsidP="00EA20A3">
      <w:pPr>
        <w:pStyle w:val="Ttulo1"/>
        <w:rPr>
          <w:rFonts w:ascii="Calibri" w:hAnsi="Calibri" w:cs="Calibri"/>
        </w:rPr>
      </w:pPr>
      <w:r w:rsidRPr="0005283A">
        <w:rPr>
          <w:rFonts w:ascii="Calibri" w:hAnsi="Calibri" w:cs="Calibri"/>
        </w:rPr>
        <w:t>Contextualização do projeto</w:t>
      </w:r>
    </w:p>
    <w:p w14:paraId="7A8C74AE" w14:textId="77777777" w:rsidR="00227599" w:rsidRPr="00227599" w:rsidRDefault="00227599" w:rsidP="00227599">
      <w:pPr>
        <w:spacing w:before="0" w:after="0"/>
        <w:ind w:left="0" w:firstLine="288"/>
        <w:jc w:val="left"/>
        <w:rPr>
          <w:rFonts w:cs="Calibri"/>
          <w:color w:val="303030"/>
          <w:sz w:val="21"/>
          <w:szCs w:val="21"/>
        </w:rPr>
      </w:pPr>
      <w:r w:rsidRPr="00227599">
        <w:rPr>
          <w:rFonts w:cs="Calibri"/>
          <w:color w:val="303030"/>
          <w:sz w:val="21"/>
          <w:szCs w:val="21"/>
        </w:rPr>
        <w:t>O transporte rodoviário de cargas é a espinha dorsal da logística nacional, sendo responsável pela movimentação da maior parte do PIB brasileiro. Contudo, essa dependência logística gera uma criticidade estatística alarmante: os sinistros envolvendo veículos pesados em autoestradas possuem índices de severidade e letalidade desproporcionalmente altos em comparação aos veículos leves.</w:t>
      </w:r>
    </w:p>
    <w:p w14:paraId="79652B59" w14:textId="77777777" w:rsidR="00227599" w:rsidRPr="00227599" w:rsidRDefault="00227599" w:rsidP="00227599">
      <w:pPr>
        <w:spacing w:before="0" w:after="0"/>
        <w:ind w:left="0" w:firstLine="288"/>
        <w:jc w:val="left"/>
        <w:rPr>
          <w:rFonts w:cs="Calibri"/>
          <w:color w:val="303030"/>
          <w:sz w:val="21"/>
          <w:szCs w:val="21"/>
        </w:rPr>
      </w:pPr>
      <w:r w:rsidRPr="00227599">
        <w:rPr>
          <w:rFonts w:cs="Calibri"/>
          <w:color w:val="303030"/>
          <w:sz w:val="21"/>
          <w:szCs w:val="21"/>
        </w:rPr>
        <w:t>O diagnóstico estrutural da segurança viária no Brasil revela uma fragmentação severa de dados públicos. As informações necessárias para a gestão estratégica estão dispersas em silos organizacionais: o DATASUS detém os dados de mortalidade sob a ótica da saúde pública; a PRF e a SENATRAN gerenciam registros de sinistros e frota; e o IBGE fornece o contexto populacional. A unificação desses silos é o diferencial estratégico do TrackFlow. Ao consolidar essas fontes, o projeto transforma dados brutos em inteligência logística, permitindo que o ONSV identifique correlações entre o crescimento da frota e a letalidade real, superando a visão isolada que cada órgão possui individualmente.</w:t>
      </w:r>
    </w:p>
    <w:p w14:paraId="3A82E933" w14:textId="091EB82E" w:rsidR="00B2060C" w:rsidRPr="0005283A" w:rsidRDefault="00B2060C" w:rsidP="00816FD5">
      <w:pPr>
        <w:rPr>
          <w:rFonts w:cs="Calibri"/>
        </w:rPr>
      </w:pPr>
    </w:p>
    <w:p w14:paraId="71628D05" w14:textId="6A9A9822" w:rsidR="00831A72" w:rsidRPr="0005283A" w:rsidRDefault="00831A72" w:rsidP="00EA20A3">
      <w:pPr>
        <w:pStyle w:val="Ttulo1"/>
        <w:rPr>
          <w:rFonts w:ascii="Calibri" w:hAnsi="Calibri" w:cs="Calibri"/>
        </w:rPr>
      </w:pPr>
      <w:r w:rsidRPr="0005283A">
        <w:rPr>
          <w:rFonts w:ascii="Calibri" w:hAnsi="Calibri" w:cs="Calibri"/>
        </w:rPr>
        <w:t>Objetivo</w:t>
      </w:r>
      <w:r w:rsidR="00816FD5" w:rsidRPr="0005283A">
        <w:rPr>
          <w:rFonts w:ascii="Calibri" w:hAnsi="Calibri" w:cs="Calibri"/>
        </w:rPr>
        <w:t>s</w:t>
      </w:r>
      <w:r w:rsidRPr="0005283A">
        <w:rPr>
          <w:rFonts w:ascii="Calibri" w:hAnsi="Calibri" w:cs="Calibri"/>
        </w:rPr>
        <w:t xml:space="preserve"> do projeto</w:t>
      </w:r>
    </w:p>
    <w:p w14:paraId="618D8861" w14:textId="33CB204C" w:rsidR="00816FD5" w:rsidRPr="0005283A" w:rsidRDefault="00816FD5" w:rsidP="00816FD5">
      <w:pPr>
        <w:rPr>
          <w:rFonts w:cs="Calibri"/>
        </w:rPr>
      </w:pPr>
      <w:r w:rsidRPr="0005283A">
        <w:rPr>
          <w:rFonts w:cs="Calibri"/>
        </w:rPr>
        <w:t>Os objetivos estabelecidos para esse projeto consistem em:</w:t>
      </w:r>
    </w:p>
    <w:p w14:paraId="0E9BAA3E" w14:textId="790F42D6" w:rsidR="00227599" w:rsidRPr="0005283A" w:rsidRDefault="00227599" w:rsidP="00227599">
      <w:pPr>
        <w:pStyle w:val="paragraph"/>
        <w:numPr>
          <w:ilvl w:val="0"/>
          <w:numId w:val="20"/>
        </w:numPr>
        <w:shd w:val="clear" w:color="auto" w:fill="FFFFFF"/>
        <w:rPr>
          <w:rFonts w:ascii="Calibri" w:hAnsi="Calibri" w:cs="Calibri"/>
          <w:color w:val="303030"/>
          <w:sz w:val="21"/>
          <w:szCs w:val="21"/>
        </w:rPr>
      </w:pPr>
      <w:r w:rsidRPr="0005283A">
        <w:rPr>
          <w:rFonts w:ascii="Calibri" w:hAnsi="Calibri" w:cs="Calibri"/>
          <w:color w:val="303030"/>
          <w:sz w:val="21"/>
          <w:szCs w:val="21"/>
        </w:rPr>
        <w:t>Cálculo de Mortalidade: Mensurar a taxa de mortes por 100 mil habitantes por estado, integrando dados do DATASUS e IBGE.</w:t>
      </w:r>
    </w:p>
    <w:p w14:paraId="04DED056" w14:textId="77777777" w:rsidR="00227599" w:rsidRPr="0005283A" w:rsidRDefault="00227599" w:rsidP="00227599">
      <w:pPr>
        <w:pStyle w:val="paragraph"/>
        <w:numPr>
          <w:ilvl w:val="0"/>
          <w:numId w:val="20"/>
        </w:numPr>
        <w:shd w:val="clear" w:color="auto" w:fill="FFFFFF"/>
        <w:rPr>
          <w:rFonts w:ascii="Calibri" w:hAnsi="Calibri" w:cs="Calibri"/>
          <w:color w:val="303030"/>
          <w:sz w:val="21"/>
          <w:szCs w:val="21"/>
        </w:rPr>
      </w:pPr>
      <w:r w:rsidRPr="0005283A">
        <w:rPr>
          <w:rFonts w:ascii="Calibri" w:hAnsi="Calibri" w:cs="Calibri"/>
          <w:color w:val="303030"/>
          <w:sz w:val="21"/>
          <w:szCs w:val="21"/>
        </w:rPr>
        <w:t>Indicador de Sinistralidade: Calcular o índice de sinistros por 10 mil veículos para contextualizar a gravidade em relação ao tamanho da frota local.</w:t>
      </w:r>
    </w:p>
    <w:p w14:paraId="72EB357A" w14:textId="77777777" w:rsidR="00227599" w:rsidRPr="0005283A" w:rsidRDefault="00227599" w:rsidP="00227599">
      <w:pPr>
        <w:pStyle w:val="paragraph"/>
        <w:numPr>
          <w:ilvl w:val="0"/>
          <w:numId w:val="20"/>
        </w:numPr>
        <w:shd w:val="clear" w:color="auto" w:fill="FFFFFF"/>
        <w:rPr>
          <w:rFonts w:ascii="Calibri" w:hAnsi="Calibri" w:cs="Calibri"/>
          <w:color w:val="303030"/>
          <w:sz w:val="21"/>
          <w:szCs w:val="21"/>
        </w:rPr>
      </w:pPr>
      <w:r w:rsidRPr="0005283A">
        <w:rPr>
          <w:rFonts w:ascii="Calibri" w:hAnsi="Calibri" w:cs="Calibri"/>
          <w:color w:val="303030"/>
          <w:sz w:val="21"/>
          <w:szCs w:val="21"/>
        </w:rPr>
        <w:t>Análise de Correlação: Investigar a relação estatística entre o crescimento da frota de veículos pesados e a evolução de sinistros fatais no período de 2017 a 2025.</w:t>
      </w:r>
    </w:p>
    <w:p w14:paraId="446F790A" w14:textId="77777777" w:rsidR="00227599" w:rsidRPr="0005283A" w:rsidRDefault="00227599" w:rsidP="00227599">
      <w:pPr>
        <w:pStyle w:val="paragraph"/>
        <w:numPr>
          <w:ilvl w:val="0"/>
          <w:numId w:val="20"/>
        </w:numPr>
        <w:shd w:val="clear" w:color="auto" w:fill="FFFFFF"/>
        <w:rPr>
          <w:rFonts w:ascii="Calibri" w:hAnsi="Calibri" w:cs="Calibri"/>
          <w:color w:val="303030"/>
          <w:sz w:val="21"/>
          <w:szCs w:val="21"/>
        </w:rPr>
      </w:pPr>
      <w:r w:rsidRPr="0005283A">
        <w:rPr>
          <w:rFonts w:ascii="Calibri" w:hAnsi="Calibri" w:cs="Calibri"/>
          <w:color w:val="303030"/>
          <w:sz w:val="21"/>
          <w:szCs w:val="21"/>
        </w:rPr>
        <w:t>Ranking e Tendência: Classificar os estados por taxa de letalidade e mapear a evolução histórica dos indicadores para identificar tendências de risco.</w:t>
      </w:r>
    </w:p>
    <w:p w14:paraId="038347E2" w14:textId="77777777" w:rsidR="00227599" w:rsidRPr="0005283A" w:rsidRDefault="00227599" w:rsidP="00227599">
      <w:pPr>
        <w:pStyle w:val="paragraph"/>
        <w:numPr>
          <w:ilvl w:val="0"/>
          <w:numId w:val="20"/>
        </w:numPr>
        <w:shd w:val="clear" w:color="auto" w:fill="FFFFFF"/>
        <w:rPr>
          <w:rFonts w:ascii="Calibri" w:hAnsi="Calibri" w:cs="Calibri"/>
          <w:color w:val="303030"/>
          <w:sz w:val="21"/>
          <w:szCs w:val="21"/>
        </w:rPr>
      </w:pPr>
      <w:r w:rsidRPr="0005283A">
        <w:rPr>
          <w:rFonts w:ascii="Calibri" w:hAnsi="Calibri" w:cs="Calibri"/>
          <w:color w:val="303030"/>
          <w:sz w:val="21"/>
          <w:szCs w:val="21"/>
        </w:rPr>
        <w:t>Análise de Infraestrutura e Fadiga: Realizar análise espacial dos pontos de parada e descanso, calculando a distância até os locais de sinistros fatais. Esta análise atende diretamente ao fator humano da logística, associando a carência de infraestrutura à fadiga do condutor, causa primária de letalidade em veículos pesados.</w:t>
      </w:r>
    </w:p>
    <w:p w14:paraId="2956A9A1" w14:textId="619AE813" w:rsidR="00831A72" w:rsidRPr="0005283A" w:rsidRDefault="0073328A" w:rsidP="00EA20A3">
      <w:pPr>
        <w:pStyle w:val="Ttulo1"/>
        <w:rPr>
          <w:rFonts w:ascii="Calibri" w:hAnsi="Calibri" w:cs="Calibri"/>
        </w:rPr>
      </w:pPr>
      <w:r w:rsidRPr="0005283A">
        <w:rPr>
          <w:rFonts w:ascii="Calibri" w:hAnsi="Calibri" w:cs="Calibri"/>
        </w:rPr>
        <w:t>Fundamentação dos métodos analíticos e das t</w:t>
      </w:r>
      <w:r w:rsidR="00831A72" w:rsidRPr="0005283A">
        <w:rPr>
          <w:rFonts w:ascii="Calibri" w:hAnsi="Calibri" w:cs="Calibri"/>
        </w:rPr>
        <w:t>ecnologias utilizadas</w:t>
      </w:r>
    </w:p>
    <w:p w14:paraId="35D78BE1" w14:textId="77777777" w:rsidR="002B61D3" w:rsidRPr="0005283A" w:rsidRDefault="002B61D3" w:rsidP="00EA20A3">
      <w:pPr>
        <w:pStyle w:val="Ttulo2"/>
        <w:rPr>
          <w:rFonts w:ascii="Calibri" w:hAnsi="Calibri" w:cs="Calibri"/>
        </w:rPr>
      </w:pPr>
      <w:r w:rsidRPr="0005283A">
        <w:rPr>
          <w:rFonts w:ascii="Calibri" w:hAnsi="Calibri" w:cs="Calibri"/>
        </w:rPr>
        <w:t xml:space="preserve">A execução do projeto TrackFlow baseia-se na simbiose estratégica entre a governança ágil e a engenharia de dados. A estruturação dos processos visa garantir a escalabilidade e a reprodutibilidade necessárias para a manipulação de grandes volumes de dados públicos de segurança viária. As subseções a seguir detalham os </w:t>
      </w:r>
      <w:r w:rsidRPr="0005283A">
        <w:rPr>
          <w:rFonts w:ascii="Calibri" w:hAnsi="Calibri" w:cs="Calibri"/>
        </w:rPr>
        <w:lastRenderedPageBreak/>
        <w:t>métodos e as ferramentas aplicadas, fundamentados na literatura técnica e alinhados com as diretrizes do projeto.</w:t>
      </w:r>
    </w:p>
    <w:p w14:paraId="3F7BC075" w14:textId="77348B79" w:rsidR="00831A72" w:rsidRPr="0005283A" w:rsidRDefault="0073328A" w:rsidP="00EA20A3">
      <w:pPr>
        <w:pStyle w:val="Ttulo2"/>
        <w:rPr>
          <w:rFonts w:ascii="Calibri" w:hAnsi="Calibri" w:cs="Calibri"/>
        </w:rPr>
      </w:pPr>
      <w:r w:rsidRPr="0005283A">
        <w:rPr>
          <w:rFonts w:ascii="Calibri" w:hAnsi="Calibri" w:cs="Calibri"/>
        </w:rPr>
        <w:t>Métodos analíticos utilizados</w:t>
      </w:r>
      <w:r w:rsidR="00831A72" w:rsidRPr="0005283A">
        <w:rPr>
          <w:rFonts w:ascii="Calibri" w:hAnsi="Calibri" w:cs="Calibri"/>
        </w:rPr>
        <w:t xml:space="preserve"> </w:t>
      </w:r>
    </w:p>
    <w:p w14:paraId="76685A07" w14:textId="77777777" w:rsidR="002B61D3" w:rsidRPr="0005283A" w:rsidRDefault="002B61D3" w:rsidP="0032342D">
      <w:pPr>
        <w:ind w:left="0" w:firstLine="709"/>
        <w:rPr>
          <w:rFonts w:cs="Calibri"/>
        </w:rPr>
      </w:pPr>
      <w:r w:rsidRPr="0005283A">
        <w:rPr>
          <w:rFonts w:cs="Calibri"/>
        </w:rPr>
        <w:t>Para a gestão e acompanhamento do projeto, foi aplicado o framework ágil Scrum, apoiado pela plataforma Jira Software para o planeamento de Sprints e administração do Product Backlog. A integridade técnica e a mitigação de riscos de desenvolvimento foram asseguradas através do estabelecimento de critérios de qualidade rigorosos, divididos entre a preparação das tarefas e a conclusão dos incrementos.</w:t>
      </w:r>
    </w:p>
    <w:p w14:paraId="7DB807CE" w14:textId="6D62F21A" w:rsidR="002B61D3" w:rsidRPr="0005283A" w:rsidRDefault="002B61D3" w:rsidP="00816FD5">
      <w:pPr>
        <w:rPr>
          <w:rFonts w:cs="Calibri"/>
        </w:rPr>
      </w:pPr>
      <w:r w:rsidRPr="0005283A">
        <w:rPr>
          <w:rFonts w:cs="Calibri"/>
        </w:rPr>
        <w:t xml:space="preserve">O primeiro critério adotado é o </w:t>
      </w:r>
      <w:r w:rsidRPr="0005283A">
        <w:rPr>
          <w:rStyle w:val="Forte"/>
          <w:rFonts w:eastAsia="Arial Unicode MS" w:cs="Calibri"/>
          <w:b w:val="0"/>
          <w:bCs w:val="0"/>
        </w:rPr>
        <w:t>Definition of Ready (DoR)</w:t>
      </w:r>
      <w:r w:rsidRPr="0005283A">
        <w:rPr>
          <w:rFonts w:cs="Calibri"/>
        </w:rPr>
        <w:t>, que determina os requisitos mínimos para o início do desenvolvimento. Sob esta regra, uma tarefa só entra em execução se possuir User Stories detalhadas, critérios de aceitação claros, Regras de Negócio definidas e artefatos de suporte visual ou estrutural tais como Wireframes, Mockups e Modelos de Dados</w:t>
      </w:r>
    </w:p>
    <w:p w14:paraId="52279A59" w14:textId="77777777" w:rsidR="002B61D3" w:rsidRPr="0005283A" w:rsidRDefault="002B61D3" w:rsidP="006611DA">
      <w:pPr>
        <w:rPr>
          <w:rFonts w:cs="Calibri"/>
        </w:rPr>
      </w:pPr>
      <w:r w:rsidRPr="0005283A">
        <w:rPr>
          <w:rFonts w:cs="Calibri"/>
        </w:rPr>
        <w:t xml:space="preserve">O segundo critério é o </w:t>
      </w:r>
      <w:r w:rsidRPr="0005283A">
        <w:rPr>
          <w:rStyle w:val="Forte"/>
          <w:rFonts w:eastAsia="Arial Unicode MS" w:cs="Calibri"/>
          <w:b w:val="0"/>
          <w:bCs w:val="0"/>
        </w:rPr>
        <w:t>Definition of Done (DoD)</w:t>
      </w:r>
      <w:r w:rsidRPr="0005283A">
        <w:rPr>
          <w:rFonts w:cs="Calibri"/>
        </w:rPr>
        <w:t>, que estabelece os parâmetros para a conclusão de uma entrega. A entrega de uma funcionalidade só é validada e considerada concluída após o versionamento correto no Git, a realização de Code Review (revisão de código por pares), a remoção de redundâncias de código e a validação final de todos os critérios de aceitação pelo Product Owner (PO).</w:t>
      </w:r>
    </w:p>
    <w:p w14:paraId="4128E246" w14:textId="77777777" w:rsidR="0073328A" w:rsidRPr="0005283A" w:rsidRDefault="0073328A" w:rsidP="00816FD5">
      <w:pPr>
        <w:rPr>
          <w:rFonts w:cs="Calibri"/>
        </w:rPr>
      </w:pPr>
    </w:p>
    <w:p w14:paraId="5FB9F260" w14:textId="77777777" w:rsidR="0073328A" w:rsidRPr="0005283A" w:rsidRDefault="0073328A" w:rsidP="00816FD5">
      <w:pPr>
        <w:rPr>
          <w:rFonts w:cs="Calibri"/>
        </w:rPr>
      </w:pPr>
    </w:p>
    <w:p w14:paraId="7EBD7F37" w14:textId="77777777" w:rsidR="0073328A" w:rsidRPr="0005283A" w:rsidRDefault="0073328A" w:rsidP="00816FD5">
      <w:pPr>
        <w:rPr>
          <w:rFonts w:cs="Calibri"/>
        </w:rPr>
      </w:pPr>
    </w:p>
    <w:p w14:paraId="664690B9" w14:textId="65F35A2F" w:rsidR="0073328A" w:rsidRPr="0005283A" w:rsidRDefault="0073328A" w:rsidP="0073328A">
      <w:pPr>
        <w:pStyle w:val="Legenda"/>
        <w:keepNext/>
        <w:rPr>
          <w:rFonts w:cs="Calibri"/>
        </w:rPr>
      </w:pPr>
      <w:bookmarkStart w:id="4" w:name="_Ref158196077"/>
      <w:r w:rsidRPr="0005283A">
        <w:rPr>
          <w:rFonts w:cs="Calibri"/>
        </w:rPr>
        <w:t xml:space="preserve">Tabela </w:t>
      </w:r>
      <w:r w:rsidRPr="0005283A">
        <w:rPr>
          <w:rFonts w:cs="Calibri"/>
        </w:rPr>
        <w:fldChar w:fldCharType="begin"/>
      </w:r>
      <w:r w:rsidRPr="0005283A">
        <w:rPr>
          <w:rFonts w:cs="Calibri"/>
        </w:rPr>
        <w:instrText xml:space="preserve"> SEQ Tabela \* ARABIC </w:instrText>
      </w:r>
      <w:r w:rsidRPr="0005283A">
        <w:rPr>
          <w:rFonts w:cs="Calibri"/>
        </w:rPr>
        <w:fldChar w:fldCharType="separate"/>
      </w:r>
      <w:r w:rsidRPr="0005283A">
        <w:rPr>
          <w:rFonts w:cs="Calibri"/>
          <w:noProof/>
        </w:rPr>
        <w:t>1</w:t>
      </w:r>
      <w:r w:rsidRPr="0005283A">
        <w:rPr>
          <w:rFonts w:cs="Calibri"/>
        </w:rPr>
        <w:fldChar w:fldCharType="end"/>
      </w:r>
      <w:bookmarkEnd w:id="4"/>
      <w:r w:rsidRPr="0005283A">
        <w:rPr>
          <w:rFonts w:cs="Calibri"/>
        </w:rPr>
        <w:t xml:space="preserve"> – Tabela de referências</w:t>
      </w:r>
    </w:p>
    <w:tbl>
      <w:tblPr>
        <w:tblW w:w="4869" w:type="pct"/>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930"/>
        <w:gridCol w:w="2482"/>
        <w:gridCol w:w="4413"/>
      </w:tblGrid>
      <w:tr w:rsidR="003B54E1" w:rsidRPr="0005283A" w14:paraId="5FDD0BD4" w14:textId="77777777" w:rsidTr="003B54E1">
        <w:trPr>
          <w:jc w:val="center"/>
        </w:trPr>
        <w:tc>
          <w:tcPr>
            <w:tcW w:w="1094" w:type="pct"/>
            <w:tcBorders>
              <w:top w:val="single" w:sz="4" w:space="0" w:color="B0C4DE"/>
              <w:left w:val="single" w:sz="4" w:space="0" w:color="B0C4DE"/>
              <w:bottom w:val="single" w:sz="4" w:space="0" w:color="B0C4DE"/>
              <w:right w:val="single" w:sz="4" w:space="0" w:color="B0C4DE"/>
            </w:tcBorders>
            <w:shd w:val="clear" w:color="auto" w:fill="1B365D"/>
            <w:tcMar>
              <w:top w:w="100" w:type="dxa"/>
              <w:left w:w="120" w:type="dxa"/>
              <w:bottom w:w="100" w:type="dxa"/>
              <w:right w:w="120" w:type="dxa"/>
            </w:tcMar>
            <w:hideMark/>
          </w:tcPr>
          <w:p w14:paraId="5AD721C0" w14:textId="77777777" w:rsidR="003B54E1" w:rsidRPr="0005283A" w:rsidRDefault="003B54E1" w:rsidP="003B54E1">
            <w:pPr>
              <w:ind w:firstLine="0"/>
              <w:rPr>
                <w:rFonts w:cs="Calibri"/>
                <w:sz w:val="22"/>
                <w:szCs w:val="22"/>
              </w:rPr>
            </w:pPr>
            <w:r w:rsidRPr="0005283A">
              <w:rPr>
                <w:rFonts w:cs="Calibri"/>
                <w:b/>
                <w:color w:val="FFFFFF"/>
                <w:sz w:val="19"/>
              </w:rPr>
              <w:t>Domínio / Autor</w:t>
            </w:r>
          </w:p>
        </w:tc>
        <w:tc>
          <w:tcPr>
            <w:tcW w:w="1406" w:type="pct"/>
            <w:tcBorders>
              <w:top w:val="single" w:sz="4" w:space="0" w:color="B0C4DE"/>
              <w:left w:val="single" w:sz="4" w:space="0" w:color="B0C4DE"/>
              <w:bottom w:val="single" w:sz="4" w:space="0" w:color="B0C4DE"/>
              <w:right w:val="single" w:sz="4" w:space="0" w:color="B0C4DE"/>
            </w:tcBorders>
            <w:shd w:val="clear" w:color="auto" w:fill="1B365D"/>
            <w:tcMar>
              <w:top w:w="100" w:type="dxa"/>
              <w:left w:w="120" w:type="dxa"/>
              <w:bottom w:w="100" w:type="dxa"/>
              <w:right w:w="120" w:type="dxa"/>
            </w:tcMar>
            <w:hideMark/>
          </w:tcPr>
          <w:p w14:paraId="0A36AD74" w14:textId="77777777" w:rsidR="003B54E1" w:rsidRPr="0005283A" w:rsidRDefault="003B54E1">
            <w:pPr>
              <w:rPr>
                <w:rFonts w:cs="Calibri"/>
              </w:rPr>
            </w:pPr>
            <w:r w:rsidRPr="0005283A">
              <w:rPr>
                <w:rFonts w:cs="Calibri"/>
                <w:b/>
                <w:color w:val="FFFFFF"/>
                <w:sz w:val="19"/>
              </w:rPr>
              <w:t>Abordagem Teórica</w:t>
            </w:r>
          </w:p>
        </w:tc>
        <w:tc>
          <w:tcPr>
            <w:tcW w:w="2500" w:type="pct"/>
            <w:tcBorders>
              <w:top w:val="single" w:sz="4" w:space="0" w:color="B0C4DE"/>
              <w:left w:val="single" w:sz="4" w:space="0" w:color="B0C4DE"/>
              <w:bottom w:val="single" w:sz="4" w:space="0" w:color="B0C4DE"/>
              <w:right w:val="single" w:sz="4" w:space="0" w:color="B0C4DE"/>
            </w:tcBorders>
            <w:shd w:val="clear" w:color="auto" w:fill="1B365D"/>
            <w:tcMar>
              <w:top w:w="100" w:type="dxa"/>
              <w:left w:w="120" w:type="dxa"/>
              <w:bottom w:w="100" w:type="dxa"/>
              <w:right w:w="120" w:type="dxa"/>
            </w:tcMar>
            <w:hideMark/>
          </w:tcPr>
          <w:p w14:paraId="6EA8E16D" w14:textId="77777777" w:rsidR="003B54E1" w:rsidRPr="0005283A" w:rsidRDefault="003B54E1">
            <w:pPr>
              <w:rPr>
                <w:rFonts w:cs="Calibri"/>
              </w:rPr>
            </w:pPr>
            <w:r w:rsidRPr="0005283A">
              <w:rPr>
                <w:rFonts w:cs="Calibri"/>
                <w:b/>
                <w:color w:val="FFFFFF"/>
                <w:sz w:val="19"/>
              </w:rPr>
              <w:t>Aplicação no Projeto TrackFlow</w:t>
            </w:r>
          </w:p>
        </w:tc>
      </w:tr>
      <w:tr w:rsidR="003B54E1" w:rsidRPr="0005283A" w14:paraId="6CAB8626" w14:textId="77777777" w:rsidTr="003B54E1">
        <w:trPr>
          <w:jc w:val="center"/>
        </w:trPr>
        <w:tc>
          <w:tcPr>
            <w:tcW w:w="1094" w:type="pct"/>
            <w:tcBorders>
              <w:top w:val="single" w:sz="4" w:space="0" w:color="B0C4DE"/>
              <w:left w:val="single" w:sz="4" w:space="0" w:color="B0C4DE"/>
              <w:bottom w:val="single" w:sz="4" w:space="0" w:color="B0C4DE"/>
              <w:right w:val="single" w:sz="4" w:space="0" w:color="B0C4DE"/>
            </w:tcBorders>
            <w:shd w:val="clear" w:color="auto" w:fill="F9FBFD"/>
            <w:tcMar>
              <w:top w:w="80" w:type="dxa"/>
              <w:left w:w="120" w:type="dxa"/>
              <w:bottom w:w="80" w:type="dxa"/>
              <w:right w:w="120" w:type="dxa"/>
            </w:tcMar>
            <w:hideMark/>
          </w:tcPr>
          <w:p w14:paraId="3E1BC052" w14:textId="4D3A36DA" w:rsidR="003B54E1" w:rsidRPr="0005283A" w:rsidRDefault="003B54E1" w:rsidP="003B54E1">
            <w:pPr>
              <w:spacing w:after="0"/>
              <w:ind w:firstLine="0"/>
              <w:rPr>
                <w:rFonts w:cs="Calibri"/>
              </w:rPr>
            </w:pPr>
            <w:r w:rsidRPr="0005283A">
              <w:rPr>
                <w:rFonts w:cs="Calibri"/>
                <w:sz w:val="18"/>
              </w:rPr>
              <w:t>ONSV &amp; CADI (2024)</w:t>
            </w:r>
          </w:p>
        </w:tc>
        <w:tc>
          <w:tcPr>
            <w:tcW w:w="1406" w:type="pct"/>
            <w:tcBorders>
              <w:top w:val="single" w:sz="4" w:space="0" w:color="B0C4DE"/>
              <w:left w:val="single" w:sz="4" w:space="0" w:color="B0C4DE"/>
              <w:bottom w:val="single" w:sz="4" w:space="0" w:color="B0C4DE"/>
              <w:right w:val="single" w:sz="4" w:space="0" w:color="B0C4DE"/>
            </w:tcBorders>
            <w:shd w:val="clear" w:color="auto" w:fill="F9FBFD"/>
            <w:tcMar>
              <w:top w:w="80" w:type="dxa"/>
              <w:left w:w="120" w:type="dxa"/>
              <w:bottom w:w="80" w:type="dxa"/>
              <w:right w:w="120" w:type="dxa"/>
            </w:tcMar>
            <w:hideMark/>
          </w:tcPr>
          <w:p w14:paraId="49ADF0BE" w14:textId="77777777" w:rsidR="003B54E1" w:rsidRPr="0005283A" w:rsidRDefault="003B54E1" w:rsidP="003B54E1">
            <w:pPr>
              <w:spacing w:after="0"/>
              <w:ind w:firstLine="0"/>
              <w:rPr>
                <w:rFonts w:cs="Calibri"/>
              </w:rPr>
            </w:pPr>
            <w:r w:rsidRPr="0005283A">
              <w:rPr>
                <w:rFonts w:cs="Calibri"/>
                <w:sz w:val="18"/>
              </w:rPr>
              <w:t>Indicadores de Segurança Viária e Gestão de Riscos no Trânsito</w:t>
            </w:r>
          </w:p>
        </w:tc>
        <w:tc>
          <w:tcPr>
            <w:tcW w:w="2500" w:type="pct"/>
            <w:tcBorders>
              <w:top w:val="single" w:sz="4" w:space="0" w:color="B0C4DE"/>
              <w:left w:val="single" w:sz="4" w:space="0" w:color="B0C4DE"/>
              <w:bottom w:val="single" w:sz="4" w:space="0" w:color="B0C4DE"/>
              <w:right w:val="single" w:sz="4" w:space="0" w:color="B0C4DE"/>
            </w:tcBorders>
            <w:shd w:val="clear" w:color="auto" w:fill="F9FBFD"/>
            <w:tcMar>
              <w:top w:w="80" w:type="dxa"/>
              <w:left w:w="120" w:type="dxa"/>
              <w:bottom w:w="80" w:type="dxa"/>
              <w:right w:w="120" w:type="dxa"/>
            </w:tcMar>
            <w:hideMark/>
          </w:tcPr>
          <w:p w14:paraId="30F97288" w14:textId="77777777" w:rsidR="003B54E1" w:rsidRPr="0005283A" w:rsidRDefault="003B54E1" w:rsidP="003B54E1">
            <w:pPr>
              <w:spacing w:after="0"/>
              <w:ind w:firstLine="0"/>
              <w:rPr>
                <w:rFonts w:cs="Calibri"/>
              </w:rPr>
            </w:pPr>
            <w:r w:rsidRPr="0005283A">
              <w:rPr>
                <w:rFonts w:cs="Calibri"/>
                <w:sz w:val="18"/>
              </w:rPr>
              <w:t>Estruturação das 5 questões centrais de análise, cálculo de taxas proporcionais por 100 mil habitantes e mapeamento da infraestrutura de descanso.</w:t>
            </w:r>
          </w:p>
        </w:tc>
      </w:tr>
      <w:tr w:rsidR="003B54E1" w:rsidRPr="0005283A" w14:paraId="46DBD7E4" w14:textId="77777777" w:rsidTr="003B54E1">
        <w:trPr>
          <w:jc w:val="center"/>
        </w:trPr>
        <w:tc>
          <w:tcPr>
            <w:tcW w:w="1094" w:type="pct"/>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hideMark/>
          </w:tcPr>
          <w:p w14:paraId="0B46493B" w14:textId="77777777" w:rsidR="003B54E1" w:rsidRPr="0005283A" w:rsidRDefault="003B54E1" w:rsidP="003B54E1">
            <w:pPr>
              <w:spacing w:after="0"/>
              <w:ind w:firstLine="0"/>
              <w:rPr>
                <w:rFonts w:cs="Calibri"/>
              </w:rPr>
            </w:pPr>
            <w:r w:rsidRPr="0005283A">
              <w:rPr>
                <w:rFonts w:cs="Calibri"/>
                <w:sz w:val="18"/>
              </w:rPr>
              <w:t>Schwaber &amp; Sutherland (2020)</w:t>
            </w:r>
          </w:p>
        </w:tc>
        <w:tc>
          <w:tcPr>
            <w:tcW w:w="1406" w:type="pct"/>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hideMark/>
          </w:tcPr>
          <w:p w14:paraId="227425CA" w14:textId="77777777" w:rsidR="003B54E1" w:rsidRPr="0005283A" w:rsidRDefault="003B54E1" w:rsidP="003B54E1">
            <w:pPr>
              <w:spacing w:after="0"/>
              <w:ind w:firstLine="0"/>
              <w:rPr>
                <w:rFonts w:cs="Calibri"/>
              </w:rPr>
            </w:pPr>
            <w:r w:rsidRPr="0005283A">
              <w:rPr>
                <w:rFonts w:cs="Calibri"/>
                <w:sz w:val="18"/>
              </w:rPr>
              <w:t>Framework Ágil Scrum para Gestão de Projetos de Software</w:t>
            </w:r>
          </w:p>
        </w:tc>
        <w:tc>
          <w:tcPr>
            <w:tcW w:w="2500" w:type="pct"/>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hideMark/>
          </w:tcPr>
          <w:p w14:paraId="5CDA898D" w14:textId="77777777" w:rsidR="003B54E1" w:rsidRPr="0005283A" w:rsidRDefault="003B54E1" w:rsidP="003B54E1">
            <w:pPr>
              <w:spacing w:after="0"/>
              <w:ind w:firstLine="0"/>
              <w:rPr>
                <w:rFonts w:cs="Calibri"/>
              </w:rPr>
            </w:pPr>
            <w:r w:rsidRPr="0005283A">
              <w:rPr>
                <w:rFonts w:cs="Calibri"/>
                <w:sz w:val="18"/>
              </w:rPr>
              <w:t>Condução do projeto em Sprints incrementais, mapeamento de User Stories com DoR e DoD, e gestão do backlog via Jira Software.</w:t>
            </w:r>
          </w:p>
        </w:tc>
      </w:tr>
      <w:tr w:rsidR="003B54E1" w:rsidRPr="0005283A" w14:paraId="29D0F2F9" w14:textId="77777777" w:rsidTr="003B54E1">
        <w:trPr>
          <w:jc w:val="center"/>
        </w:trPr>
        <w:tc>
          <w:tcPr>
            <w:tcW w:w="1094" w:type="pct"/>
            <w:tcBorders>
              <w:top w:val="single" w:sz="4" w:space="0" w:color="B0C4DE"/>
              <w:left w:val="single" w:sz="4" w:space="0" w:color="B0C4DE"/>
              <w:bottom w:val="single" w:sz="4" w:space="0" w:color="B0C4DE"/>
              <w:right w:val="single" w:sz="4" w:space="0" w:color="B0C4DE"/>
            </w:tcBorders>
            <w:shd w:val="clear" w:color="auto" w:fill="F9FBFD"/>
            <w:tcMar>
              <w:top w:w="80" w:type="dxa"/>
              <w:left w:w="120" w:type="dxa"/>
              <w:bottom w:w="80" w:type="dxa"/>
              <w:right w:w="120" w:type="dxa"/>
            </w:tcMar>
            <w:hideMark/>
          </w:tcPr>
          <w:p w14:paraId="7AF60E5B" w14:textId="77777777" w:rsidR="003B54E1" w:rsidRPr="0005283A" w:rsidRDefault="003B54E1" w:rsidP="003B54E1">
            <w:pPr>
              <w:spacing w:after="0"/>
              <w:ind w:firstLine="0"/>
              <w:rPr>
                <w:rFonts w:cs="Calibri"/>
              </w:rPr>
            </w:pPr>
            <w:r w:rsidRPr="0005283A">
              <w:rPr>
                <w:rFonts w:cs="Calibri"/>
                <w:sz w:val="18"/>
              </w:rPr>
              <w:t>Kimball &amp; Ross (2013)</w:t>
            </w:r>
          </w:p>
        </w:tc>
        <w:tc>
          <w:tcPr>
            <w:tcW w:w="1406" w:type="pct"/>
            <w:tcBorders>
              <w:top w:val="single" w:sz="4" w:space="0" w:color="B0C4DE"/>
              <w:left w:val="single" w:sz="4" w:space="0" w:color="B0C4DE"/>
              <w:bottom w:val="single" w:sz="4" w:space="0" w:color="B0C4DE"/>
              <w:right w:val="single" w:sz="4" w:space="0" w:color="B0C4DE"/>
            </w:tcBorders>
            <w:shd w:val="clear" w:color="auto" w:fill="F9FBFD"/>
            <w:tcMar>
              <w:top w:w="80" w:type="dxa"/>
              <w:left w:w="120" w:type="dxa"/>
              <w:bottom w:w="80" w:type="dxa"/>
              <w:right w:w="120" w:type="dxa"/>
            </w:tcMar>
            <w:hideMark/>
          </w:tcPr>
          <w:p w14:paraId="4C91B2AB" w14:textId="77777777" w:rsidR="003B54E1" w:rsidRPr="0005283A" w:rsidRDefault="003B54E1" w:rsidP="003B54E1">
            <w:pPr>
              <w:spacing w:after="0"/>
              <w:ind w:firstLine="0"/>
              <w:rPr>
                <w:rFonts w:cs="Calibri"/>
              </w:rPr>
            </w:pPr>
            <w:r w:rsidRPr="0005283A">
              <w:rPr>
                <w:rFonts w:cs="Calibri"/>
                <w:sz w:val="18"/>
              </w:rPr>
              <w:t>Arquitetura e Modelagem de Dados para Business Intelligence</w:t>
            </w:r>
          </w:p>
        </w:tc>
        <w:tc>
          <w:tcPr>
            <w:tcW w:w="2500" w:type="pct"/>
            <w:tcBorders>
              <w:top w:val="single" w:sz="4" w:space="0" w:color="B0C4DE"/>
              <w:left w:val="single" w:sz="4" w:space="0" w:color="B0C4DE"/>
              <w:bottom w:val="single" w:sz="4" w:space="0" w:color="B0C4DE"/>
              <w:right w:val="single" w:sz="4" w:space="0" w:color="B0C4DE"/>
            </w:tcBorders>
            <w:shd w:val="clear" w:color="auto" w:fill="F9FBFD"/>
            <w:tcMar>
              <w:top w:w="80" w:type="dxa"/>
              <w:left w:w="120" w:type="dxa"/>
              <w:bottom w:w="80" w:type="dxa"/>
              <w:right w:w="120" w:type="dxa"/>
            </w:tcMar>
            <w:hideMark/>
          </w:tcPr>
          <w:p w14:paraId="0C801C79" w14:textId="77777777" w:rsidR="003B54E1" w:rsidRPr="0005283A" w:rsidRDefault="003B54E1" w:rsidP="003B54E1">
            <w:pPr>
              <w:spacing w:after="0"/>
              <w:ind w:firstLine="0"/>
              <w:rPr>
                <w:rFonts w:cs="Calibri"/>
              </w:rPr>
            </w:pPr>
            <w:r w:rsidRPr="0005283A">
              <w:rPr>
                <w:rFonts w:cs="Calibri"/>
                <w:sz w:val="18"/>
              </w:rPr>
              <w:t>Processamento ETL em Python (Google Colab) e modelagem dimensional em Power BI com chaves compostas [UF + Ano + Tipo_Veiculo].</w:t>
            </w:r>
          </w:p>
        </w:tc>
      </w:tr>
    </w:tbl>
    <w:p w14:paraId="1CBC16AA" w14:textId="77777777" w:rsidR="00816FD5" w:rsidRPr="0005283A" w:rsidRDefault="00816FD5" w:rsidP="00816FD5">
      <w:pPr>
        <w:rPr>
          <w:rFonts w:cs="Calibri"/>
        </w:rPr>
      </w:pPr>
    </w:p>
    <w:p w14:paraId="406ED8CF" w14:textId="0938F660" w:rsidR="00831A72" w:rsidRPr="0005283A" w:rsidRDefault="00831A72" w:rsidP="00EA20A3">
      <w:pPr>
        <w:pStyle w:val="Ttulo2"/>
        <w:rPr>
          <w:rFonts w:ascii="Calibri" w:hAnsi="Calibri" w:cs="Calibri"/>
        </w:rPr>
      </w:pPr>
      <w:r w:rsidRPr="0005283A">
        <w:rPr>
          <w:rFonts w:ascii="Calibri" w:hAnsi="Calibri" w:cs="Calibri"/>
        </w:rPr>
        <w:t>Tecnologias d</w:t>
      </w:r>
      <w:r w:rsidR="00D94C19" w:rsidRPr="0005283A">
        <w:rPr>
          <w:rFonts w:ascii="Calibri" w:hAnsi="Calibri" w:cs="Calibri"/>
        </w:rPr>
        <w:t>a</w:t>
      </w:r>
      <w:r w:rsidRPr="0005283A">
        <w:rPr>
          <w:rFonts w:ascii="Calibri" w:hAnsi="Calibri" w:cs="Calibri"/>
        </w:rPr>
        <w:t xml:space="preserve"> Informação</w:t>
      </w:r>
    </w:p>
    <w:p w14:paraId="5E96771C" w14:textId="70018B84" w:rsidR="00703522" w:rsidRPr="0005283A" w:rsidRDefault="00070556" w:rsidP="00070556">
      <w:pPr>
        <w:rPr>
          <w:rFonts w:cs="Calibri"/>
        </w:rPr>
      </w:pPr>
      <w:r w:rsidRPr="00070556">
        <w:rPr>
          <w:rFonts w:cs="Calibri"/>
        </w:rPr>
        <w:t>A seleção do stack tecnológico do projeto TrackFlow foi orientada pelo cumprimento rigoroso</w:t>
      </w:r>
      <w:r>
        <w:rPr>
          <w:rFonts w:cs="Calibri"/>
        </w:rPr>
        <w:t xml:space="preserve"> </w:t>
      </w:r>
      <w:r w:rsidRPr="00070556">
        <w:rPr>
          <w:rFonts w:cs="Calibri"/>
        </w:rPr>
        <w:t>das Regras de Negócio Obrigatórias (RN.P) estipuladas no programa de Aprendizagem por</w:t>
      </w:r>
      <w:r>
        <w:rPr>
          <w:rFonts w:cs="Calibri"/>
        </w:rPr>
        <w:t xml:space="preserve"> </w:t>
      </w:r>
      <w:r w:rsidRPr="00070556">
        <w:rPr>
          <w:rFonts w:cs="Calibri"/>
        </w:rPr>
        <w:t>Projetos Integrados (API). Cada ferramenta desempenha um papel específico na arquitetura do</w:t>
      </w:r>
      <w:r>
        <w:rPr>
          <w:rFonts w:cs="Calibri"/>
        </w:rPr>
        <w:t xml:space="preserve"> </w:t>
      </w:r>
      <w:r w:rsidRPr="00070556">
        <w:rPr>
          <w:rFonts w:cs="Calibri"/>
        </w:rPr>
        <w:t>sistema, sendo avaliada sob os critérios de justificativa de escolha, forma de aplicação prática,</w:t>
      </w:r>
      <w:r>
        <w:rPr>
          <w:rFonts w:cs="Calibri"/>
        </w:rPr>
        <w:t xml:space="preserve"> </w:t>
      </w:r>
      <w:r w:rsidRPr="00070556">
        <w:rPr>
          <w:rFonts w:cs="Calibri"/>
        </w:rPr>
        <w:t>desafios de implementação e contribuição efetiva para os entregáveis.</w:t>
      </w:r>
    </w:p>
    <w:p w14:paraId="122AD380" w14:textId="77777777" w:rsidR="006611DA" w:rsidRPr="0005283A" w:rsidRDefault="006611DA" w:rsidP="00703522">
      <w:pPr>
        <w:rPr>
          <w:rFonts w:cs="Calibri"/>
        </w:rPr>
      </w:pPr>
    </w:p>
    <w:p w14:paraId="0193597A" w14:textId="77777777" w:rsidR="006611DA" w:rsidRPr="0005283A" w:rsidRDefault="006611DA" w:rsidP="00703522">
      <w:pPr>
        <w:rPr>
          <w:rFonts w:cs="Calibri"/>
        </w:rPr>
      </w:pPr>
    </w:p>
    <w:p w14:paraId="3E0EFF5F" w14:textId="6138AA15" w:rsidR="00831A72" w:rsidRPr="0005283A" w:rsidRDefault="00831A72" w:rsidP="00EA20A3">
      <w:pPr>
        <w:pStyle w:val="Ttulo1"/>
        <w:rPr>
          <w:rFonts w:ascii="Calibri" w:hAnsi="Calibri" w:cs="Calibri"/>
        </w:rPr>
      </w:pPr>
      <w:r w:rsidRPr="0005283A">
        <w:rPr>
          <w:rFonts w:ascii="Calibri" w:hAnsi="Calibri" w:cs="Calibri"/>
        </w:rPr>
        <w:t>Coleta e descrição dos dados utilizados</w:t>
      </w:r>
    </w:p>
    <w:p w14:paraId="034302A1" w14:textId="1119BAA1" w:rsidR="00541661" w:rsidRPr="0005283A" w:rsidRDefault="00426A6B" w:rsidP="001C76A6">
      <w:pPr>
        <w:spacing w:before="240"/>
        <w:rPr>
          <w:rFonts w:cs="Calibri"/>
        </w:rPr>
      </w:pPr>
      <w:r w:rsidRPr="0005283A">
        <w:rPr>
          <w:rFonts w:cs="Calibri"/>
        </w:rPr>
        <w:t xml:space="preserve">Para se avançar na proposta, os dados a serem utilizados na modelagem precisam ser coletados </w:t>
      </w:r>
      <w:r w:rsidR="0032342D" w:rsidRPr="0005283A">
        <w:rPr>
          <w:rFonts w:cs="Calibri"/>
        </w:rPr>
        <w:t>e tratados</w:t>
      </w:r>
      <w:r w:rsidRPr="0005283A">
        <w:rPr>
          <w:rFonts w:cs="Calibri"/>
        </w:rPr>
        <w:t xml:space="preserve">. </w:t>
      </w:r>
      <w:r w:rsidR="0032342D" w:rsidRPr="0005283A">
        <w:rPr>
          <w:rFonts w:cs="Calibri"/>
        </w:rPr>
        <w:t>Nesse tópico devem ser apresentados todos os tratamentos de dados realizados, bem como as conclusões obtidas por esses tratamentos</w:t>
      </w:r>
      <w:r w:rsidRPr="0005283A">
        <w:rPr>
          <w:rFonts w:cs="Calibri"/>
        </w:rPr>
        <w:t>.</w:t>
      </w:r>
    </w:p>
    <w:p w14:paraId="004D96CC" w14:textId="3B9EC29D" w:rsidR="00541661" w:rsidRPr="0005283A" w:rsidRDefault="00541661" w:rsidP="00541661">
      <w:pPr>
        <w:spacing w:before="240"/>
        <w:rPr>
          <w:rFonts w:cs="Calibri"/>
        </w:rPr>
      </w:pPr>
    </w:p>
    <w:p w14:paraId="30353D43" w14:textId="589B3B71" w:rsidR="00541661" w:rsidRPr="00541661" w:rsidRDefault="00541661" w:rsidP="00541661">
      <w:pPr>
        <w:ind w:left="0" w:firstLine="0"/>
        <w:jc w:val="left"/>
        <w:rPr>
          <w:rFonts w:cs="Calibri"/>
          <w:b/>
          <w:bCs/>
        </w:rPr>
      </w:pPr>
      <w:r w:rsidRPr="00541661">
        <w:rPr>
          <w:rFonts w:cs="Calibri"/>
          <w:b/>
          <w:bCs/>
        </w:rPr>
        <w:t xml:space="preserve">Google Colab e Python 3+ </w:t>
      </w:r>
    </w:p>
    <w:p w14:paraId="057BF67B" w14:textId="484DAF88" w:rsidR="00541661" w:rsidRPr="00541661" w:rsidRDefault="00541661" w:rsidP="00541661">
      <w:pPr>
        <w:ind w:left="0" w:firstLine="0"/>
        <w:jc w:val="left"/>
        <w:rPr>
          <w:rFonts w:cs="Calibri"/>
        </w:rPr>
      </w:pPr>
      <w:r w:rsidRPr="00541661">
        <w:rPr>
          <w:rFonts w:cs="Calibri"/>
        </w:rPr>
        <w:t xml:space="preserve">O ambiente em nuvem do Google Colab foi adotado como a infraestrutura central de processamento de dados do projeto TrackFlow. A escolha do ecossistema Python justifica-se pela sua maturidade analítica, ampla disponibilidade de bibliotecas para manipulação estatística e capacidade de processar volumes massivos de </w:t>
      </w:r>
      <w:r w:rsidRPr="0005283A">
        <w:rPr>
          <w:rFonts w:cs="Calibri"/>
        </w:rPr>
        <w:t>micro dados</w:t>
      </w:r>
      <w:r w:rsidRPr="00541661">
        <w:rPr>
          <w:rFonts w:cs="Calibri"/>
        </w:rPr>
        <w:t xml:space="preserve"> com total reprodutibilidade.</w:t>
      </w:r>
    </w:p>
    <w:p w14:paraId="7FAB7691" w14:textId="2319769A" w:rsidR="00541661" w:rsidRPr="00541661" w:rsidRDefault="00541661" w:rsidP="00541661">
      <w:pPr>
        <w:ind w:left="0" w:firstLine="0"/>
        <w:jc w:val="left"/>
        <w:rPr>
          <w:rFonts w:cs="Calibri"/>
        </w:rPr>
      </w:pPr>
      <w:r w:rsidRPr="00541661">
        <w:rPr>
          <w:rFonts w:cs="Calibri"/>
        </w:rPr>
        <w:t>Na prática do projeto, a ferramenta é utilizada para automatizar o pipeline de extração, transformação e carga (ETL). Os scripts em Python realizam a ingestão direta das bases brutas do DATASUS, da Polícia Rodoviária Federal (PRF), da SENATRAN e do IBGE. O código executa a limpeza de registos duplicados, a imputação e o tratamento de valores nulos, a padronização de siglas estaduais e a criação da chave primária composta</w:t>
      </w:r>
      <w:r w:rsidR="001C76A6">
        <w:rPr>
          <w:rFonts w:cs="Calibri"/>
        </w:rPr>
        <w:t>.</w:t>
      </w:r>
    </w:p>
    <w:p w14:paraId="549CC4D9" w14:textId="1E6C50AD" w:rsidR="00541661" w:rsidRPr="00983442" w:rsidRDefault="00541661" w:rsidP="00070556">
      <w:pPr>
        <w:ind w:left="0" w:firstLine="0"/>
        <w:jc w:val="left"/>
        <w:rPr>
          <w:rFonts w:cs="Calibri"/>
        </w:rPr>
      </w:pPr>
      <w:r w:rsidRPr="00541661">
        <w:rPr>
          <w:rFonts w:cs="Calibri"/>
        </w:rPr>
        <w:t xml:space="preserve">Os principais desafios enfrentados durante a aplicação envolveram </w:t>
      </w:r>
      <w:r w:rsidR="0005283A" w:rsidRPr="0005283A">
        <w:rPr>
          <w:rFonts w:cs="Calibri"/>
        </w:rPr>
        <w:t>o excesso de dados a serem tratados, realizado</w:t>
      </w:r>
      <w:r w:rsidRPr="00541661">
        <w:rPr>
          <w:rFonts w:cs="Calibri"/>
        </w:rPr>
        <w:t xml:space="preserve"> entre os arquivos históricos das bases governamentais, a heterogeneidade nas nomenclaturas das categorias de veículos pesados ao longo do período de 2017 a 202</w:t>
      </w:r>
      <w:r w:rsidR="0005283A" w:rsidRPr="0005283A">
        <w:rPr>
          <w:rFonts w:cs="Calibri"/>
        </w:rPr>
        <w:t>5</w:t>
      </w:r>
      <w:r w:rsidRPr="00541661">
        <w:rPr>
          <w:rFonts w:cs="Calibri"/>
        </w:rPr>
        <w:t>. A contribuição efetiva do Python reside na garantia de um pipeline robu</w:t>
      </w:r>
      <w:r w:rsidRPr="00983442">
        <w:rPr>
          <w:rFonts w:cs="Calibri"/>
        </w:rPr>
        <w:t>sto, auditável e automatizado que reduz drasticamente o tempo de preparação dos dados.</w:t>
      </w:r>
    </w:p>
    <w:p w14:paraId="3C5FBE30" w14:textId="77777777" w:rsidR="00070556" w:rsidRPr="00983442" w:rsidRDefault="00070556" w:rsidP="00070556">
      <w:pPr>
        <w:ind w:left="0" w:firstLine="0"/>
        <w:jc w:val="left"/>
        <w:rPr>
          <w:rFonts w:cs="Calibri"/>
        </w:rPr>
      </w:pPr>
    </w:p>
    <w:p w14:paraId="05535E50" w14:textId="303084A8" w:rsidR="00541661" w:rsidRPr="00983442" w:rsidRDefault="00070556" w:rsidP="00541661">
      <w:pPr>
        <w:ind w:left="0" w:firstLine="709"/>
        <w:jc w:val="left"/>
        <w:rPr>
          <w:rFonts w:cs="Calibri"/>
          <w:b/>
          <w:bCs/>
        </w:rPr>
      </w:pPr>
      <w:r w:rsidRPr="00983442">
        <w:rPr>
          <w:rFonts w:cs="Calibri"/>
          <w:b/>
          <w:bCs/>
        </w:rPr>
        <w:t>Github</w:t>
      </w:r>
    </w:p>
    <w:p w14:paraId="423A1AAB" w14:textId="4513027D" w:rsidR="00541661" w:rsidRPr="00983442" w:rsidRDefault="00541661" w:rsidP="00541661">
      <w:pPr>
        <w:ind w:left="0" w:firstLine="709"/>
        <w:jc w:val="left"/>
        <w:rPr>
          <w:rFonts w:cs="Calibri"/>
        </w:rPr>
      </w:pPr>
      <w:r w:rsidRPr="00983442">
        <w:rPr>
          <w:rFonts w:cs="Calibri"/>
        </w:rPr>
        <w:t>A plataforma GitHub foi adotada como o repositório central de código e documentação. A escolha apoia-se no seu papel como padrão industrial para controle de versão distribuído via Git, permitindo o rastreamento rigoroso de alterações e a colaboração contínua da equipa.</w:t>
      </w:r>
    </w:p>
    <w:p w14:paraId="71FB90EF" w14:textId="76497FF9" w:rsidR="00541661" w:rsidRPr="00983442" w:rsidRDefault="00983442" w:rsidP="00541661">
      <w:pPr>
        <w:ind w:left="0" w:firstLine="0"/>
        <w:jc w:val="left"/>
        <w:rPr>
          <w:rFonts w:cs="Calibri"/>
        </w:rPr>
      </w:pPr>
      <w:r w:rsidRPr="00983442">
        <w:rPr>
          <w:rFonts w:cs="Calibri"/>
        </w:rPr>
        <w:t xml:space="preserve">A aplicação prática consistiu no estabelecimento da estrutura oficial de pastas do projeto </w:t>
      </w:r>
      <w:r w:rsidRPr="00983442">
        <w:rPr>
          <w:rStyle w:val="Forte"/>
          <w:rFonts w:eastAsia="Arial Unicode MS" w:cs="Calibri"/>
          <w:b w:val="0"/>
          <w:bCs w:val="0"/>
        </w:rPr>
        <w:t>(/dados, /scripts, /docs) e</w:t>
      </w:r>
      <w:r w:rsidRPr="00983442">
        <w:rPr>
          <w:rFonts w:cs="Calibri"/>
          <w:b/>
          <w:bCs/>
        </w:rPr>
        <w:t xml:space="preserve"> </w:t>
      </w:r>
      <w:r w:rsidRPr="00983442">
        <w:rPr>
          <w:rFonts w:cs="Calibri"/>
        </w:rPr>
        <w:t>no versionamento incremental dos notebooks em Python,</w:t>
      </w:r>
      <w:r w:rsidRPr="00983442">
        <w:rPr>
          <w:rFonts w:cs="Calibri"/>
          <w:b/>
          <w:bCs/>
        </w:rPr>
        <w:t xml:space="preserve"> </w:t>
      </w:r>
      <w:r w:rsidRPr="00983442">
        <w:rPr>
          <w:rStyle w:val="Forte"/>
          <w:rFonts w:eastAsia="Arial Unicode MS" w:cs="Calibri"/>
          <w:b w:val="0"/>
          <w:bCs w:val="0"/>
        </w:rPr>
        <w:t>além do controle das versões do relatório técnico.</w:t>
      </w:r>
      <w:r w:rsidRPr="00983442">
        <w:rPr>
          <w:rFonts w:cs="Calibri"/>
        </w:rPr>
        <w:t xml:space="preserve"> A utilização do GitHub garante</w:t>
      </w:r>
      <w:r w:rsidR="00541661" w:rsidRPr="00983442">
        <w:rPr>
          <w:rFonts w:cs="Calibri"/>
        </w:rPr>
        <w:t xml:space="preserve"> que todas as alterações no código-fonte sejam acompanhadas de mensagens explicativas de </w:t>
      </w:r>
      <w:r w:rsidR="00541661" w:rsidRPr="00983442">
        <w:rPr>
          <w:rFonts w:cs="Calibri"/>
          <w:i/>
          <w:iCs/>
        </w:rPr>
        <w:t>commit</w:t>
      </w:r>
      <w:r w:rsidR="00541661" w:rsidRPr="00983442">
        <w:rPr>
          <w:rFonts w:cs="Calibri"/>
        </w:rPr>
        <w:t xml:space="preserve"> e de um histórico totalmente auditável.</w:t>
      </w:r>
    </w:p>
    <w:p w14:paraId="3FF2CAD1" w14:textId="77777777" w:rsidR="00070556" w:rsidRDefault="00070556" w:rsidP="00541661">
      <w:pPr>
        <w:ind w:left="0" w:firstLine="709"/>
        <w:jc w:val="left"/>
        <w:rPr>
          <w:rFonts w:cs="Calibri"/>
          <w:b/>
          <w:bCs/>
        </w:rPr>
      </w:pPr>
    </w:p>
    <w:p w14:paraId="4909F933" w14:textId="400FF9E6" w:rsidR="00541661" w:rsidRPr="00541661" w:rsidRDefault="00541661" w:rsidP="00541661">
      <w:pPr>
        <w:ind w:left="0" w:firstLine="709"/>
        <w:jc w:val="left"/>
        <w:rPr>
          <w:rFonts w:cs="Calibri"/>
          <w:b/>
          <w:bCs/>
        </w:rPr>
      </w:pPr>
      <w:r w:rsidRPr="00541661">
        <w:rPr>
          <w:rFonts w:cs="Calibri"/>
          <w:b/>
          <w:bCs/>
        </w:rPr>
        <w:t>Jira Software (Atlassian)</w:t>
      </w:r>
    </w:p>
    <w:p w14:paraId="1EA9FC36" w14:textId="77777777" w:rsidR="00541661" w:rsidRPr="00541661" w:rsidRDefault="00541661" w:rsidP="00541661">
      <w:pPr>
        <w:ind w:left="709" w:firstLine="0"/>
        <w:jc w:val="left"/>
        <w:rPr>
          <w:rFonts w:cs="Calibri"/>
        </w:rPr>
      </w:pPr>
      <w:r w:rsidRPr="00541661">
        <w:rPr>
          <w:rFonts w:cs="Calibri"/>
        </w:rPr>
        <w:t>O Jira Software foi incorporado como a ferramenta oficial de governança ágil e gestão do projeto Scrum. A sua escolha deve-se ao alinhamento com as metodologias de desenvolvimento ágil exigidas no curso e à sua capacidade de integrar o planeamento de Sprints com o acompanhamento do backlog.</w:t>
      </w:r>
    </w:p>
    <w:p w14:paraId="7A3D5F8E" w14:textId="77777777" w:rsidR="00541661" w:rsidRPr="00541661" w:rsidRDefault="00541661" w:rsidP="00541661">
      <w:pPr>
        <w:ind w:left="0" w:firstLine="0"/>
        <w:jc w:val="left"/>
        <w:rPr>
          <w:rFonts w:cs="Calibri"/>
        </w:rPr>
      </w:pPr>
      <w:r w:rsidRPr="00541661">
        <w:rPr>
          <w:rFonts w:cs="Calibri"/>
        </w:rPr>
        <w:lastRenderedPageBreak/>
        <w:t xml:space="preserve">O Jira é utilizado para organizar o Product Backlog contendo as 26 User Stories do projeto, dividir o trabalho nas três Sprints planeadas, alocar tarefas conforme as competências dos membros da equipa e monitorar a evolução das entregas através de quadros Kanban. Além disso, a plataforma é empregada para formalizar e fiscalizar os acordos de qualidade do projeto: a </w:t>
      </w:r>
      <w:r w:rsidRPr="00541661">
        <w:rPr>
          <w:rFonts w:cs="Calibri"/>
          <w:i/>
          <w:iCs/>
        </w:rPr>
        <w:t>Definition of Ready (DoR)</w:t>
      </w:r>
      <w:r w:rsidRPr="00541661">
        <w:rPr>
          <w:rFonts w:cs="Calibri"/>
        </w:rPr>
        <w:t xml:space="preserve">, exigida antes do início do desenvolvimento de qualquer história, e a </w:t>
      </w:r>
      <w:r w:rsidRPr="00541661">
        <w:rPr>
          <w:rFonts w:cs="Calibri"/>
          <w:i/>
          <w:iCs/>
        </w:rPr>
        <w:t>Definition of Done (DoD)</w:t>
      </w:r>
      <w:r w:rsidRPr="00541661">
        <w:rPr>
          <w:rFonts w:cs="Calibri"/>
        </w:rPr>
        <w:t>, necessária para o encerramento dos cartões.</w:t>
      </w:r>
    </w:p>
    <w:p w14:paraId="1F87D6C7" w14:textId="77777777" w:rsidR="00541661" w:rsidRPr="00541661" w:rsidRDefault="00541661" w:rsidP="00541661">
      <w:pPr>
        <w:ind w:left="0" w:firstLine="0"/>
        <w:jc w:val="left"/>
        <w:rPr>
          <w:rFonts w:cs="Calibri"/>
        </w:rPr>
      </w:pPr>
      <w:r w:rsidRPr="00541661">
        <w:rPr>
          <w:rFonts w:cs="Calibri"/>
        </w:rPr>
        <w:t xml:space="preserve">A dificuldade de aplicação consistiu na necessidade de constante refinamento do backlog para garantir que todas as histórias mantivessem descrições adequadas e pontuações estimadas de forma coerente via </w:t>
      </w:r>
      <w:r w:rsidRPr="00541661">
        <w:rPr>
          <w:rFonts w:cs="Calibri"/>
          <w:i/>
          <w:iCs/>
        </w:rPr>
        <w:t>Planning Poker</w:t>
      </w:r>
      <w:r w:rsidRPr="00541661">
        <w:rPr>
          <w:rFonts w:cs="Calibri"/>
        </w:rPr>
        <w:t>. A contribuição do Jira reflete-se na previsibilidade das entregas, na transparência do progresso para os professores orientadores e na garantia de que todas as demandas do cliente sejam atendidas dentro do prazo estipulado.</w:t>
      </w:r>
    </w:p>
    <w:p w14:paraId="39476470" w14:textId="77777777" w:rsidR="00541661" w:rsidRPr="00541661" w:rsidRDefault="005224DE" w:rsidP="00541661">
      <w:pPr>
        <w:spacing w:before="480" w:after="480"/>
        <w:ind w:left="0" w:firstLine="0"/>
        <w:jc w:val="left"/>
        <w:rPr>
          <w:rFonts w:cs="Calibri"/>
        </w:rPr>
      </w:pPr>
      <w:r>
        <w:rPr>
          <w:rFonts w:cs="Calibri"/>
        </w:rPr>
        <w:pict w14:anchorId="195E12F5">
          <v:rect id="_x0000_i1026" style="width:0;height:1.5pt" o:hralign="center" o:hrstd="t" o:hr="t" fillcolor="#a0a0a0" stroked="f"/>
        </w:pict>
      </w:r>
    </w:p>
    <w:p w14:paraId="38280F83" w14:textId="77777777" w:rsidR="00541661" w:rsidRPr="00541661" w:rsidRDefault="00541661" w:rsidP="00541661">
      <w:pPr>
        <w:ind w:left="0" w:firstLine="0"/>
        <w:jc w:val="left"/>
        <w:rPr>
          <w:rFonts w:cs="Calibri"/>
        </w:rPr>
      </w:pPr>
    </w:p>
    <w:p w14:paraId="0D81BEBE" w14:textId="77777777" w:rsidR="00541661" w:rsidRPr="0005283A" w:rsidRDefault="00541661" w:rsidP="0032342D">
      <w:pPr>
        <w:spacing w:before="240"/>
        <w:rPr>
          <w:rFonts w:cs="Calibri"/>
        </w:rPr>
      </w:pPr>
    </w:p>
    <w:p w14:paraId="20E7ED97" w14:textId="1C87D72A" w:rsidR="00831A72" w:rsidRPr="0005283A" w:rsidRDefault="00831A72" w:rsidP="00EA20A3">
      <w:pPr>
        <w:pStyle w:val="Ttulo1"/>
        <w:rPr>
          <w:rFonts w:ascii="Calibri" w:hAnsi="Calibri" w:cs="Calibri"/>
        </w:rPr>
      </w:pPr>
      <w:r w:rsidRPr="0005283A">
        <w:rPr>
          <w:rFonts w:ascii="Calibri" w:hAnsi="Calibri" w:cs="Calibri"/>
        </w:rPr>
        <w:t>Resultados esperados</w:t>
      </w:r>
    </w:p>
    <w:p w14:paraId="1FEC8F3F" w14:textId="0D803228" w:rsidR="00F66BD6" w:rsidRDefault="0005283A" w:rsidP="00BB34ED">
      <w:pPr>
        <w:ind w:left="0" w:firstLine="648"/>
        <w:rPr>
          <w:rFonts w:cs="Calibri"/>
        </w:rPr>
      </w:pPr>
      <w:r w:rsidRPr="0005283A">
        <w:rPr>
          <w:rFonts w:cs="Calibri"/>
        </w:rPr>
        <w:t>Ao término do ciclo de desenvolvimento das três Sprints, o projeto TrackFlow entregará uma</w:t>
      </w:r>
      <w:r w:rsidR="00BB34ED">
        <w:rPr>
          <w:rFonts w:cs="Calibri"/>
        </w:rPr>
        <w:t xml:space="preserve"> </w:t>
      </w:r>
      <w:r w:rsidRPr="0005283A">
        <w:rPr>
          <w:rFonts w:cs="Calibri"/>
        </w:rPr>
        <w:t>solução tecnológica completa e operacional, englobando três ativos fundamentais: (1) a</w:t>
      </w:r>
      <w:r>
        <w:rPr>
          <w:rFonts w:cs="Calibri"/>
        </w:rPr>
        <w:t xml:space="preserve"> </w:t>
      </w:r>
      <w:r w:rsidRPr="0005283A">
        <w:rPr>
          <w:rFonts w:cs="Calibri"/>
        </w:rPr>
        <w:t>plataforma de Business Intelligence interativa no Power BI; (2) um relatório técnico</w:t>
      </w:r>
      <w:r>
        <w:rPr>
          <w:rFonts w:cs="Calibri"/>
        </w:rPr>
        <w:t xml:space="preserve"> </w:t>
      </w:r>
      <w:r w:rsidRPr="0005283A">
        <w:rPr>
          <w:rFonts w:cs="Calibri"/>
        </w:rPr>
        <w:t>descritivo</w:t>
      </w:r>
      <w:r>
        <w:rPr>
          <w:rFonts w:cs="Calibri"/>
        </w:rPr>
        <w:t xml:space="preserve"> </w:t>
      </w:r>
      <w:r w:rsidRPr="0005283A">
        <w:rPr>
          <w:rFonts w:cs="Calibri"/>
        </w:rPr>
        <w:t>com recomendações para a formulação de políticas públicas de trânsito; e (3) o repositório</w:t>
      </w:r>
      <w:r>
        <w:rPr>
          <w:rFonts w:cs="Calibri"/>
        </w:rPr>
        <w:t xml:space="preserve"> </w:t>
      </w:r>
      <w:r w:rsidRPr="0005283A">
        <w:rPr>
          <w:rFonts w:cs="Calibri"/>
        </w:rPr>
        <w:t>aberto de código no GitHub contendo o pipeline de ETL automatizado em Python.</w:t>
      </w:r>
    </w:p>
    <w:p w14:paraId="5845BC03" w14:textId="782FD632" w:rsidR="0032342D" w:rsidRPr="0005283A" w:rsidRDefault="0005283A" w:rsidP="00F66BD6">
      <w:pPr>
        <w:ind w:left="0" w:firstLine="709"/>
        <w:rPr>
          <w:rFonts w:cs="Calibri"/>
        </w:rPr>
      </w:pPr>
      <w:r w:rsidRPr="0005283A">
        <w:rPr>
          <w:rFonts w:cs="Calibri"/>
        </w:rPr>
        <w:t>O impacto social e prático da solução reside na sua capacidade de fornecer evidências</w:t>
      </w:r>
      <w:r w:rsidR="00F66BD6">
        <w:rPr>
          <w:rFonts w:cs="Calibri"/>
        </w:rPr>
        <w:t xml:space="preserve"> </w:t>
      </w:r>
      <w:r w:rsidRPr="0005283A">
        <w:rPr>
          <w:rFonts w:cs="Calibri"/>
        </w:rPr>
        <w:t>empíricas para direcionar ações de fiscalização da Polícia Rodoviária Federal, identificar</w:t>
      </w:r>
      <w:r w:rsidR="00F66BD6">
        <w:rPr>
          <w:rFonts w:cs="Calibri"/>
        </w:rPr>
        <w:t xml:space="preserve"> </w:t>
      </w:r>
      <w:r w:rsidRPr="0005283A">
        <w:rPr>
          <w:rFonts w:cs="Calibri"/>
        </w:rPr>
        <w:t>trechos prioritários para investimentos em infraestrutura viária e orientar a implantação de novos</w:t>
      </w:r>
      <w:r w:rsidR="00F66BD6">
        <w:rPr>
          <w:rFonts w:cs="Calibri"/>
        </w:rPr>
        <w:t xml:space="preserve"> </w:t>
      </w:r>
      <w:r w:rsidRPr="0005283A">
        <w:rPr>
          <w:rFonts w:cs="Calibri"/>
        </w:rPr>
        <w:t>Pontos de Parada e Descanso (PPD) para caminhoneiros. Ao correlacionar a evolução da frota</w:t>
      </w:r>
      <w:r w:rsidR="00F66BD6">
        <w:rPr>
          <w:rFonts w:cs="Calibri"/>
        </w:rPr>
        <w:t xml:space="preserve"> </w:t>
      </w:r>
      <w:r w:rsidRPr="0005283A">
        <w:rPr>
          <w:rFonts w:cs="Calibri"/>
        </w:rPr>
        <w:t>de carga com os índices de severidade, a ferramenta contribui para a meta nacional de redução</w:t>
      </w:r>
      <w:r w:rsidR="00F66BD6">
        <w:rPr>
          <w:rFonts w:cs="Calibri"/>
        </w:rPr>
        <w:t xml:space="preserve"> </w:t>
      </w:r>
      <w:r w:rsidRPr="0005283A">
        <w:rPr>
          <w:rFonts w:cs="Calibri"/>
        </w:rPr>
        <w:t>de mortes no trânsito.</w:t>
      </w:r>
    </w:p>
    <w:p w14:paraId="7735AFFE" w14:textId="14C66BF3" w:rsidR="0032342D" w:rsidRPr="0005283A" w:rsidRDefault="0032342D" w:rsidP="0032342D">
      <w:pPr>
        <w:pStyle w:val="Ttulo1"/>
        <w:numPr>
          <w:ilvl w:val="0"/>
          <w:numId w:val="0"/>
        </w:numPr>
        <w:ind w:left="648" w:hanging="360"/>
        <w:rPr>
          <w:rFonts w:ascii="Calibri" w:hAnsi="Calibri" w:cs="Calibri"/>
        </w:rPr>
      </w:pPr>
      <w:r w:rsidRPr="0005283A">
        <w:rPr>
          <w:rFonts w:ascii="Calibri" w:hAnsi="Calibri" w:cs="Calibri"/>
        </w:rPr>
        <w:t>Referências</w:t>
      </w:r>
    </w:p>
    <w:p w14:paraId="12E04CAD" w14:textId="77777777" w:rsidR="00BB34ED" w:rsidRPr="00BB34ED" w:rsidRDefault="00BB34ED" w:rsidP="00BB34ED">
      <w:pPr>
        <w:ind w:left="0" w:firstLine="0"/>
        <w:jc w:val="left"/>
        <w:rPr>
          <w:rFonts w:cs="Calibri"/>
        </w:rPr>
      </w:pPr>
      <w:r w:rsidRPr="00BB34ED">
        <w:rPr>
          <w:rFonts w:cs="Calibri"/>
        </w:rPr>
        <w:t>KIMBALL, Ralph; ROSS, Margy. The Data Warehouse Toolkit: The Definitive Guide to Dimensional Modeling. 3. ed. Indianapolis: John Wiley &amp; Sons, 2013.</w:t>
      </w:r>
    </w:p>
    <w:p w14:paraId="41EA5546" w14:textId="77777777" w:rsidR="00BB34ED" w:rsidRPr="00BB34ED" w:rsidRDefault="00BB34ED" w:rsidP="00BB34ED">
      <w:pPr>
        <w:ind w:left="0" w:firstLine="0"/>
        <w:jc w:val="left"/>
        <w:rPr>
          <w:rFonts w:cs="Calibri"/>
        </w:rPr>
      </w:pPr>
      <w:r w:rsidRPr="00BB34ED">
        <w:rPr>
          <w:rFonts w:cs="Calibri"/>
        </w:rPr>
        <w:t>OBSERVATÓRIO NACIONAL DE SEGURANÇA VIÁRIA (ONSV). Relatório Técnico de Sinistralidade e Frota de Veículos Pesados. Indaiatuba: ONSV, 2024.</w:t>
      </w:r>
    </w:p>
    <w:p w14:paraId="55D642C2" w14:textId="77777777" w:rsidR="00BB34ED" w:rsidRPr="00BB34ED" w:rsidRDefault="00BB34ED" w:rsidP="00BB34ED">
      <w:pPr>
        <w:ind w:left="0" w:firstLine="0"/>
        <w:jc w:val="left"/>
        <w:rPr>
          <w:rFonts w:cs="Calibri"/>
        </w:rPr>
      </w:pPr>
      <w:r w:rsidRPr="00BB34ED">
        <w:rPr>
          <w:rFonts w:cs="Calibri"/>
        </w:rPr>
        <w:t>SCHWABER, Ken; SUTHERLAND, Jeff. O Guia do Scrum: As Regras do Scrum. Scrum.org, 2020.</w:t>
      </w:r>
    </w:p>
    <w:p w14:paraId="17CBEEA3" w14:textId="77777777" w:rsidR="00BB34ED" w:rsidRPr="00BB34ED" w:rsidRDefault="005224DE" w:rsidP="00BB34ED">
      <w:pPr>
        <w:spacing w:before="480" w:after="480"/>
        <w:ind w:left="0" w:firstLine="0"/>
        <w:jc w:val="left"/>
        <w:rPr>
          <w:rFonts w:ascii="Times New Roman" w:hAnsi="Times New Roman"/>
        </w:rPr>
      </w:pPr>
      <w:r>
        <w:rPr>
          <w:rFonts w:ascii="Times New Roman" w:hAnsi="Times New Roman"/>
        </w:rPr>
        <w:pict w14:anchorId="6A1DC375">
          <v:rect id="_x0000_i1027" style="width:0;height:1.5pt" o:hralign="center" o:hrstd="t" o:hr="t" fillcolor="#a0a0a0" stroked="f"/>
        </w:pict>
      </w:r>
    </w:p>
    <w:p w14:paraId="3CBFE528" w14:textId="77777777" w:rsidR="0032342D" w:rsidRPr="00831A72" w:rsidRDefault="0032342D" w:rsidP="0032342D"/>
    <w:sectPr w:rsidR="0032342D" w:rsidRPr="00831A72" w:rsidSect="004A260A">
      <w:headerReference w:type="default" r:id="rId8"/>
      <w:headerReference w:type="first" r:id="rId9"/>
      <w:type w:val="continuous"/>
      <w:pgSz w:w="11907" w:h="16840" w:code="9"/>
      <w:pgMar w:top="1701" w:right="1134" w:bottom="1134" w:left="1701" w:header="110"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A1A273" w14:textId="77777777" w:rsidR="005224DE" w:rsidRDefault="005224DE">
      <w:r>
        <w:separator/>
      </w:r>
    </w:p>
  </w:endnote>
  <w:endnote w:type="continuationSeparator" w:id="0">
    <w:p w14:paraId="165C6CF9" w14:textId="77777777" w:rsidR="005224DE" w:rsidRDefault="00522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8195F1" w14:textId="77777777" w:rsidR="005224DE" w:rsidRDefault="005224DE">
      <w:r>
        <w:separator/>
      </w:r>
    </w:p>
  </w:footnote>
  <w:footnote w:type="continuationSeparator" w:id="0">
    <w:p w14:paraId="3F246D00" w14:textId="77777777" w:rsidR="005224DE" w:rsidRDefault="00522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F12165" w14:textId="00D95B65" w:rsidR="00972C0B" w:rsidRDefault="00831A72" w:rsidP="00831A72">
    <w:pPr>
      <w:pStyle w:val="Cabealho"/>
      <w:tabs>
        <w:tab w:val="clear" w:pos="4419"/>
        <w:tab w:val="clear" w:pos="8838"/>
      </w:tabs>
      <w:ind w:left="0" w:right="360"/>
      <w:jc w:val="center"/>
    </w:pPr>
    <w:r w:rsidRPr="00831A72">
      <w:rPr>
        <w:noProof/>
      </w:rPr>
      <w:drawing>
        <wp:inline distT="0" distB="0" distL="0" distR="0" wp14:anchorId="2D93EE3C" wp14:editId="6FB2F8CA">
          <wp:extent cx="4229516" cy="729615"/>
          <wp:effectExtent l="0" t="0" r="0" b="0"/>
          <wp:docPr id="8"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268680" cy="73637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8946D" w14:textId="77777777" w:rsidR="00972C0B" w:rsidRDefault="00972C0B" w:rsidP="00D70A45">
    <w:pPr>
      <w:pStyle w:val="Cabealho"/>
      <w:ind w:right="360"/>
      <w:jc w:val="right"/>
    </w:pPr>
    <w:r>
      <w:rPr>
        <w:sz w:val="20"/>
        <w:szCs w:val="20"/>
      </w:rPr>
      <w:t xml:space="preserve"> </w:t>
    </w:r>
  </w:p>
  <w:p w14:paraId="6102C009" w14:textId="77777777" w:rsidR="00972C0B" w:rsidRDefault="00972C0B">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 o:bullet="t">
        <v:imagedata r:id="rId1" o:title=""/>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ascii="Symbol" w:hAnsi="Symbol" w:cs="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cs="Wingdings" w:hint="default"/>
      </w:rPr>
    </w:lvl>
    <w:lvl w:ilvl="3" w:tplc="04160001" w:tentative="1">
      <w:start w:val="1"/>
      <w:numFmt w:val="bullet"/>
      <w:lvlText w:val=""/>
      <w:lvlJc w:val="left"/>
      <w:pPr>
        <w:ind w:left="2880" w:hanging="360"/>
      </w:pPr>
      <w:rPr>
        <w:rFonts w:ascii="Symbol" w:hAnsi="Symbol" w:cs="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cs="Wingdings" w:hint="default"/>
      </w:rPr>
    </w:lvl>
    <w:lvl w:ilvl="6" w:tplc="04160001" w:tentative="1">
      <w:start w:val="1"/>
      <w:numFmt w:val="bullet"/>
      <w:lvlText w:val=""/>
      <w:lvlJc w:val="left"/>
      <w:pPr>
        <w:ind w:left="5040" w:hanging="360"/>
      </w:pPr>
      <w:rPr>
        <w:rFonts w:ascii="Symbol" w:hAnsi="Symbol" w:cs="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4C2144B"/>
    <w:multiLevelType w:val="multilevel"/>
    <w:tmpl w:val="B30673A0"/>
    <w:lvl w:ilvl="0">
      <w:start w:val="1"/>
      <w:numFmt w:val="lowerRoman"/>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D15C6"/>
    <w:multiLevelType w:val="hybridMultilevel"/>
    <w:tmpl w:val="B2308032"/>
    <w:lvl w:ilvl="0" w:tplc="FB7ECF78">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1EF67F45"/>
    <w:multiLevelType w:val="hybridMultilevel"/>
    <w:tmpl w:val="99EC73FE"/>
    <w:lvl w:ilvl="0" w:tplc="04090001">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cs="Wingdings" w:hint="default"/>
      </w:rPr>
    </w:lvl>
    <w:lvl w:ilvl="3" w:tplc="04090001" w:tentative="1">
      <w:start w:val="1"/>
      <w:numFmt w:val="bullet"/>
      <w:lvlText w:val=""/>
      <w:lvlJc w:val="left"/>
      <w:pPr>
        <w:ind w:left="3589" w:hanging="360"/>
      </w:pPr>
      <w:rPr>
        <w:rFonts w:ascii="Symbol" w:hAnsi="Symbol" w:cs="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cs="Wingdings" w:hint="default"/>
      </w:rPr>
    </w:lvl>
    <w:lvl w:ilvl="6" w:tplc="04090001" w:tentative="1">
      <w:start w:val="1"/>
      <w:numFmt w:val="bullet"/>
      <w:lvlText w:val=""/>
      <w:lvlJc w:val="left"/>
      <w:pPr>
        <w:ind w:left="5749" w:hanging="360"/>
      </w:pPr>
      <w:rPr>
        <w:rFonts w:ascii="Symbol" w:hAnsi="Symbol" w:cs="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cs="Wingdings" w:hint="default"/>
      </w:rPr>
    </w:lvl>
  </w:abstractNum>
  <w:abstractNum w:abstractNumId="5"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6"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7"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ascii="Symbol" w:hAnsi="Symbol" w:cs="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cs="Wingdings" w:hint="default"/>
      </w:rPr>
    </w:lvl>
    <w:lvl w:ilvl="3" w:tplc="04160001" w:tentative="1">
      <w:start w:val="1"/>
      <w:numFmt w:val="bullet"/>
      <w:lvlText w:val=""/>
      <w:lvlJc w:val="left"/>
      <w:pPr>
        <w:tabs>
          <w:tab w:val="num" w:pos="3589"/>
        </w:tabs>
        <w:ind w:left="3589" w:hanging="360"/>
      </w:pPr>
      <w:rPr>
        <w:rFonts w:ascii="Symbol" w:hAnsi="Symbol" w:cs="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cs="Wingdings" w:hint="default"/>
      </w:rPr>
    </w:lvl>
    <w:lvl w:ilvl="6" w:tplc="04160001" w:tentative="1">
      <w:start w:val="1"/>
      <w:numFmt w:val="bullet"/>
      <w:lvlText w:val=""/>
      <w:lvlJc w:val="left"/>
      <w:pPr>
        <w:tabs>
          <w:tab w:val="num" w:pos="5749"/>
        </w:tabs>
        <w:ind w:left="5749" w:hanging="360"/>
      </w:pPr>
      <w:rPr>
        <w:rFonts w:ascii="Symbol" w:hAnsi="Symbol" w:cs="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cs="Wingdings" w:hint="default"/>
      </w:rPr>
    </w:lvl>
  </w:abstractNum>
  <w:abstractNum w:abstractNumId="8" w15:restartNumberingAfterBreak="0">
    <w:nsid w:val="33003535"/>
    <w:multiLevelType w:val="multilevel"/>
    <w:tmpl w:val="277AC62C"/>
    <w:lvl w:ilvl="0">
      <w:start w:val="1"/>
      <w:numFmt w:val="decimal"/>
      <w:pStyle w:val="Ttulo1"/>
      <w:lvlText w:val="%1."/>
      <w:lvlJc w:val="left"/>
      <w:pPr>
        <w:ind w:left="648" w:hanging="360"/>
      </w:pPr>
    </w:lvl>
    <w:lvl w:ilvl="1">
      <w:start w:val="1"/>
      <w:numFmt w:val="decimal"/>
      <w:pStyle w:val="Ttulo2"/>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9"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1" w15:restartNumberingAfterBreak="0">
    <w:nsid w:val="4FB22A06"/>
    <w:multiLevelType w:val="hybridMultilevel"/>
    <w:tmpl w:val="AEAC7042"/>
    <w:lvl w:ilvl="0" w:tplc="04160001">
      <w:start w:val="1"/>
      <w:numFmt w:val="bullet"/>
      <w:lvlText w:val=""/>
      <w:lvlJc w:val="left"/>
      <w:pPr>
        <w:ind w:left="1069" w:hanging="360"/>
      </w:pPr>
      <w:rPr>
        <w:rFonts w:ascii="Symbol" w:hAnsi="Symbol" w:cs="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cs="Wingdings" w:hint="default"/>
      </w:rPr>
    </w:lvl>
    <w:lvl w:ilvl="3" w:tplc="04160001" w:tentative="1">
      <w:start w:val="1"/>
      <w:numFmt w:val="bullet"/>
      <w:lvlText w:val=""/>
      <w:lvlJc w:val="left"/>
      <w:pPr>
        <w:ind w:left="3229" w:hanging="360"/>
      </w:pPr>
      <w:rPr>
        <w:rFonts w:ascii="Symbol" w:hAnsi="Symbol" w:cs="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cs="Wingdings" w:hint="default"/>
      </w:rPr>
    </w:lvl>
    <w:lvl w:ilvl="6" w:tplc="04160001" w:tentative="1">
      <w:start w:val="1"/>
      <w:numFmt w:val="bullet"/>
      <w:lvlText w:val=""/>
      <w:lvlJc w:val="left"/>
      <w:pPr>
        <w:ind w:left="5389" w:hanging="360"/>
      </w:pPr>
      <w:rPr>
        <w:rFonts w:ascii="Symbol" w:hAnsi="Symbol" w:cs="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cs="Wingdings" w:hint="default"/>
      </w:rPr>
    </w:lvl>
  </w:abstractNum>
  <w:abstractNum w:abstractNumId="12" w15:restartNumberingAfterBreak="0">
    <w:nsid w:val="56205988"/>
    <w:multiLevelType w:val="hybridMultilevel"/>
    <w:tmpl w:val="1D0A68C4"/>
    <w:lvl w:ilvl="0" w:tplc="04160001">
      <w:start w:val="1"/>
      <w:numFmt w:val="bullet"/>
      <w:lvlText w:val=""/>
      <w:lvlJc w:val="left"/>
      <w:pPr>
        <w:ind w:left="1428" w:hanging="360"/>
      </w:pPr>
      <w:rPr>
        <w:rFonts w:ascii="Symbol" w:hAnsi="Symbol" w:cs="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cs="Wingdings" w:hint="default"/>
      </w:rPr>
    </w:lvl>
    <w:lvl w:ilvl="3" w:tplc="04160001" w:tentative="1">
      <w:start w:val="1"/>
      <w:numFmt w:val="bullet"/>
      <w:lvlText w:val=""/>
      <w:lvlJc w:val="left"/>
      <w:pPr>
        <w:ind w:left="3588" w:hanging="360"/>
      </w:pPr>
      <w:rPr>
        <w:rFonts w:ascii="Symbol" w:hAnsi="Symbol" w:cs="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cs="Wingdings" w:hint="default"/>
      </w:rPr>
    </w:lvl>
    <w:lvl w:ilvl="6" w:tplc="04160001" w:tentative="1">
      <w:start w:val="1"/>
      <w:numFmt w:val="bullet"/>
      <w:lvlText w:val=""/>
      <w:lvlJc w:val="left"/>
      <w:pPr>
        <w:ind w:left="5748" w:hanging="360"/>
      </w:pPr>
      <w:rPr>
        <w:rFonts w:ascii="Symbol" w:hAnsi="Symbol" w:cs="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cs="Wingdings" w:hint="default"/>
      </w:rPr>
    </w:lvl>
  </w:abstractNum>
  <w:abstractNum w:abstractNumId="13" w15:restartNumberingAfterBreak="0">
    <w:nsid w:val="577566B3"/>
    <w:multiLevelType w:val="hybridMultilevel"/>
    <w:tmpl w:val="69488FD2"/>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577B44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8" w15:restartNumberingAfterBreak="0">
    <w:nsid w:val="76FE4989"/>
    <w:multiLevelType w:val="multilevel"/>
    <w:tmpl w:val="4C72462C"/>
    <w:lvl w:ilvl="0">
      <w:start w:val="1"/>
      <w:numFmt w:val="decimal"/>
      <w:lvlText w:val="%1."/>
      <w:lvlJc w:val="left"/>
      <w:pPr>
        <w:ind w:left="649" w:hanging="360"/>
      </w:pPr>
    </w:lvl>
    <w:lvl w:ilvl="1">
      <w:start w:val="1"/>
      <w:numFmt w:val="decimal"/>
      <w:lvlText w:val="%1.%2."/>
      <w:lvlJc w:val="left"/>
      <w:pPr>
        <w:ind w:left="1081" w:hanging="432"/>
      </w:pPr>
    </w:lvl>
    <w:lvl w:ilvl="2">
      <w:start w:val="1"/>
      <w:numFmt w:val="decimal"/>
      <w:lvlText w:val="%1.%2.%3."/>
      <w:lvlJc w:val="left"/>
      <w:pPr>
        <w:ind w:left="1513" w:hanging="504"/>
      </w:pPr>
    </w:lvl>
    <w:lvl w:ilvl="3">
      <w:start w:val="1"/>
      <w:numFmt w:val="decimal"/>
      <w:lvlText w:val="%1.%2.%3.%4."/>
      <w:lvlJc w:val="left"/>
      <w:pPr>
        <w:ind w:left="2017" w:hanging="648"/>
      </w:pPr>
    </w:lvl>
    <w:lvl w:ilvl="4">
      <w:start w:val="1"/>
      <w:numFmt w:val="decimal"/>
      <w:lvlText w:val="%1.%2.%3.%4.%5."/>
      <w:lvlJc w:val="left"/>
      <w:pPr>
        <w:ind w:left="2521" w:hanging="792"/>
      </w:pPr>
    </w:lvl>
    <w:lvl w:ilvl="5">
      <w:start w:val="1"/>
      <w:numFmt w:val="decimal"/>
      <w:lvlText w:val="%1.%2.%3.%4.%5.%6."/>
      <w:lvlJc w:val="left"/>
      <w:pPr>
        <w:ind w:left="3025" w:hanging="936"/>
      </w:pPr>
    </w:lvl>
    <w:lvl w:ilvl="6">
      <w:start w:val="1"/>
      <w:numFmt w:val="decimal"/>
      <w:lvlText w:val="%1.%2.%3.%4.%5.%6.%7."/>
      <w:lvlJc w:val="left"/>
      <w:pPr>
        <w:ind w:left="3529" w:hanging="1080"/>
      </w:pPr>
    </w:lvl>
    <w:lvl w:ilvl="7">
      <w:start w:val="1"/>
      <w:numFmt w:val="decimal"/>
      <w:lvlText w:val="%1.%2.%3.%4.%5.%6.%7.%8."/>
      <w:lvlJc w:val="left"/>
      <w:pPr>
        <w:ind w:left="4033" w:hanging="1224"/>
      </w:pPr>
    </w:lvl>
    <w:lvl w:ilvl="8">
      <w:start w:val="1"/>
      <w:numFmt w:val="decimal"/>
      <w:lvlText w:val="%1.%2.%3.%4.%5.%6.%7.%8.%9."/>
      <w:lvlJc w:val="left"/>
      <w:pPr>
        <w:ind w:left="4609" w:hanging="1440"/>
      </w:pPr>
    </w:lvl>
  </w:abstractNum>
  <w:num w:numId="1">
    <w:abstractNumId w:val="0"/>
  </w:num>
  <w:num w:numId="2">
    <w:abstractNumId w:val="7"/>
  </w:num>
  <w:num w:numId="3">
    <w:abstractNumId w:val="1"/>
  </w:num>
  <w:num w:numId="4">
    <w:abstractNumId w:val="13"/>
  </w:num>
  <w:num w:numId="5">
    <w:abstractNumId w:val="12"/>
  </w:num>
  <w:num w:numId="6">
    <w:abstractNumId w:val="6"/>
  </w:num>
  <w:num w:numId="7">
    <w:abstractNumId w:val="10"/>
  </w:num>
  <w:num w:numId="8">
    <w:abstractNumId w:val="5"/>
  </w:num>
  <w:num w:numId="9">
    <w:abstractNumId w:val="17"/>
  </w:num>
  <w:num w:numId="10">
    <w:abstractNumId w:val="4"/>
  </w:num>
  <w:num w:numId="11">
    <w:abstractNumId w:val="9"/>
  </w:num>
  <w:num w:numId="12">
    <w:abstractNumId w:val="11"/>
  </w:num>
  <w:num w:numId="13">
    <w:abstractNumId w:val="15"/>
  </w:num>
  <w:num w:numId="14">
    <w:abstractNumId w:val="16"/>
  </w:num>
  <w:num w:numId="15">
    <w:abstractNumId w:val="14"/>
  </w:num>
  <w:num w:numId="16">
    <w:abstractNumId w:val="18"/>
  </w:num>
  <w:num w:numId="17">
    <w:abstractNumId w:val="8"/>
  </w:num>
  <w:num w:numId="18">
    <w:abstractNumId w:val="3"/>
  </w:num>
  <w:num w:numId="19">
    <w:abstractNumId w:val="8"/>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83A"/>
    <w:rsid w:val="00052D0D"/>
    <w:rsid w:val="000558A6"/>
    <w:rsid w:val="00056830"/>
    <w:rsid w:val="00057E4F"/>
    <w:rsid w:val="000617C6"/>
    <w:rsid w:val="00062B54"/>
    <w:rsid w:val="00065105"/>
    <w:rsid w:val="00065A15"/>
    <w:rsid w:val="00070183"/>
    <w:rsid w:val="000704D8"/>
    <w:rsid w:val="00070556"/>
    <w:rsid w:val="000718E0"/>
    <w:rsid w:val="00071EA2"/>
    <w:rsid w:val="00072F07"/>
    <w:rsid w:val="00072F78"/>
    <w:rsid w:val="00073B61"/>
    <w:rsid w:val="00074465"/>
    <w:rsid w:val="00076535"/>
    <w:rsid w:val="000766AD"/>
    <w:rsid w:val="00080513"/>
    <w:rsid w:val="0008156B"/>
    <w:rsid w:val="00085C40"/>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41C0"/>
    <w:rsid w:val="00126424"/>
    <w:rsid w:val="0012799D"/>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5710"/>
    <w:rsid w:val="001C58B5"/>
    <w:rsid w:val="001C70E7"/>
    <w:rsid w:val="001C76A6"/>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27599"/>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743"/>
    <w:rsid w:val="00263C55"/>
    <w:rsid w:val="00263F22"/>
    <w:rsid w:val="00264940"/>
    <w:rsid w:val="00266CB7"/>
    <w:rsid w:val="00266CFB"/>
    <w:rsid w:val="00267666"/>
    <w:rsid w:val="0027124A"/>
    <w:rsid w:val="0027227D"/>
    <w:rsid w:val="0027238B"/>
    <w:rsid w:val="002730EE"/>
    <w:rsid w:val="002731D8"/>
    <w:rsid w:val="00273A9A"/>
    <w:rsid w:val="00273D67"/>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B61D3"/>
    <w:rsid w:val="002C0618"/>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42D"/>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B54E1"/>
    <w:rsid w:val="003C188D"/>
    <w:rsid w:val="003C4E07"/>
    <w:rsid w:val="003C61D2"/>
    <w:rsid w:val="003D3665"/>
    <w:rsid w:val="003D455D"/>
    <w:rsid w:val="003D50AF"/>
    <w:rsid w:val="003D5504"/>
    <w:rsid w:val="003D677D"/>
    <w:rsid w:val="003E400A"/>
    <w:rsid w:val="003E448A"/>
    <w:rsid w:val="003E7EE2"/>
    <w:rsid w:val="003F3CDB"/>
    <w:rsid w:val="003F4214"/>
    <w:rsid w:val="003F493A"/>
    <w:rsid w:val="003F4E9A"/>
    <w:rsid w:val="003F6AB9"/>
    <w:rsid w:val="003F72BC"/>
    <w:rsid w:val="00402849"/>
    <w:rsid w:val="00404F9A"/>
    <w:rsid w:val="0040587A"/>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A6B"/>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260A"/>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0BF0"/>
    <w:rsid w:val="004F13F9"/>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4DE"/>
    <w:rsid w:val="005225B9"/>
    <w:rsid w:val="00523498"/>
    <w:rsid w:val="00524075"/>
    <w:rsid w:val="00525BD2"/>
    <w:rsid w:val="005263D2"/>
    <w:rsid w:val="00527039"/>
    <w:rsid w:val="00531AC0"/>
    <w:rsid w:val="00532807"/>
    <w:rsid w:val="005334D1"/>
    <w:rsid w:val="00533D71"/>
    <w:rsid w:val="00535FE7"/>
    <w:rsid w:val="00541332"/>
    <w:rsid w:val="00541463"/>
    <w:rsid w:val="00541661"/>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408A"/>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1DA"/>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3522"/>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328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16FD5"/>
    <w:rsid w:val="008220B1"/>
    <w:rsid w:val="00822AA5"/>
    <w:rsid w:val="00823A46"/>
    <w:rsid w:val="00825ABB"/>
    <w:rsid w:val="00827527"/>
    <w:rsid w:val="00827FF8"/>
    <w:rsid w:val="00831248"/>
    <w:rsid w:val="00831A72"/>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219C"/>
    <w:rsid w:val="008A3A0A"/>
    <w:rsid w:val="008A50D3"/>
    <w:rsid w:val="008A7D16"/>
    <w:rsid w:val="008B01D0"/>
    <w:rsid w:val="008B1399"/>
    <w:rsid w:val="008B2302"/>
    <w:rsid w:val="008B26E0"/>
    <w:rsid w:val="008B2EA4"/>
    <w:rsid w:val="008B3539"/>
    <w:rsid w:val="008B4587"/>
    <w:rsid w:val="008B4DA6"/>
    <w:rsid w:val="008B5D7C"/>
    <w:rsid w:val="008B5FDD"/>
    <w:rsid w:val="008B6D74"/>
    <w:rsid w:val="008B7213"/>
    <w:rsid w:val="008B737C"/>
    <w:rsid w:val="008C0F4A"/>
    <w:rsid w:val="008C174A"/>
    <w:rsid w:val="008C2C6A"/>
    <w:rsid w:val="008C3F8A"/>
    <w:rsid w:val="008C5F4D"/>
    <w:rsid w:val="008C6098"/>
    <w:rsid w:val="008C6C0E"/>
    <w:rsid w:val="008C6C9B"/>
    <w:rsid w:val="008C7332"/>
    <w:rsid w:val="008D0070"/>
    <w:rsid w:val="008D07EF"/>
    <w:rsid w:val="008D36E7"/>
    <w:rsid w:val="008D4744"/>
    <w:rsid w:val="008D59E3"/>
    <w:rsid w:val="008D5E78"/>
    <w:rsid w:val="008E0112"/>
    <w:rsid w:val="008E1614"/>
    <w:rsid w:val="008E1740"/>
    <w:rsid w:val="008E51D8"/>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3442"/>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2DC4"/>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246"/>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430F"/>
    <w:rsid w:val="00B16214"/>
    <w:rsid w:val="00B16887"/>
    <w:rsid w:val="00B20465"/>
    <w:rsid w:val="00B2060C"/>
    <w:rsid w:val="00B22191"/>
    <w:rsid w:val="00B238AF"/>
    <w:rsid w:val="00B23D86"/>
    <w:rsid w:val="00B23ECA"/>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4ED"/>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127"/>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C19"/>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0A3"/>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BD6"/>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0F6A"/>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4" w:unhideWhenUsed="1"/>
    <w:lsdException w:name="heading 5" w:unhideWhenUsed="1"/>
    <w:lsdException w:name="heading 6" w:unhideWhenUsed="1"/>
    <w:lsdException w:name="heading 7" w:unhideWhenUsed="1"/>
    <w:lsdException w:name="heading 8" w:unhideWhenUsed="1"/>
    <w:lsdException w:name="heading 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A20A3"/>
    <w:pPr>
      <w:spacing w:before="120" w:after="120"/>
      <w:ind w:left="284" w:firstLine="567"/>
      <w:jc w:val="both"/>
    </w:pPr>
    <w:rPr>
      <w:rFonts w:ascii="Calibri" w:hAnsi="Calibri"/>
      <w:sz w:val="24"/>
      <w:szCs w:val="24"/>
      <w:lang w:val="pt-BR" w:eastAsia="pt-BR"/>
    </w:rPr>
  </w:style>
  <w:style w:type="paragraph" w:styleId="Ttulo1">
    <w:name w:val="heading 1"/>
    <w:basedOn w:val="Normal"/>
    <w:next w:val="Normal"/>
    <w:link w:val="Ttulo1Char"/>
    <w:uiPriority w:val="99"/>
    <w:qFormat/>
    <w:rsid w:val="00EA20A3"/>
    <w:pPr>
      <w:keepLines/>
      <w:widowControl w:val="0"/>
      <w:numPr>
        <w:numId w:val="17"/>
      </w:numPr>
      <w:outlineLvl w:val="0"/>
    </w:pPr>
    <w:rPr>
      <w:rFonts w:asciiTheme="minorHAnsi" w:hAnsiTheme="minorHAnsi"/>
      <w:b/>
      <w:bCs/>
      <w:color w:val="000000"/>
    </w:rPr>
  </w:style>
  <w:style w:type="paragraph" w:styleId="Ttulo2">
    <w:name w:val="heading 2"/>
    <w:basedOn w:val="Normal"/>
    <w:next w:val="Normal"/>
    <w:link w:val="Ttulo2Char"/>
    <w:uiPriority w:val="99"/>
    <w:qFormat/>
    <w:rsid w:val="00EA20A3"/>
    <w:pPr>
      <w:keepNext/>
      <w:numPr>
        <w:ilvl w:val="1"/>
        <w:numId w:val="17"/>
      </w:numPr>
      <w:ind w:left="964" w:hanging="567"/>
      <w:outlineLvl w:val="1"/>
    </w:pPr>
    <w:rPr>
      <w:rFonts w:asciiTheme="minorHAnsi" w:eastAsia="Arial Unicode MS" w:hAnsiTheme="minorHAnsi"/>
      <w:bCs/>
      <w:i/>
      <w:color w:val="000000"/>
    </w:rPr>
  </w:style>
  <w:style w:type="paragraph" w:styleId="Ttulo3">
    <w:name w:val="heading 3"/>
    <w:basedOn w:val="Normal"/>
    <w:next w:val="Normal"/>
    <w:link w:val="Ttulo3Char"/>
    <w:uiPriority w:val="99"/>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rsid w:val="00803056"/>
    <w:pPr>
      <w:keepNext/>
      <w:jc w:val="center"/>
      <w:outlineLvl w:val="6"/>
    </w:pPr>
    <w:rPr>
      <w:b/>
      <w:bCs/>
      <w:sz w:val="20"/>
      <w:szCs w:val="20"/>
    </w:rPr>
  </w:style>
  <w:style w:type="paragraph" w:styleId="Ttulo8">
    <w:name w:val="heading 8"/>
    <w:basedOn w:val="Normal"/>
    <w:next w:val="Normal"/>
    <w:link w:val="Ttulo8Char"/>
    <w:uiPriority w:val="99"/>
    <w:rsid w:val="00803056"/>
    <w:pPr>
      <w:keepNext/>
      <w:jc w:val="center"/>
      <w:outlineLvl w:val="7"/>
    </w:pPr>
    <w:rPr>
      <w:b/>
      <w:bCs/>
      <w:sz w:val="16"/>
      <w:szCs w:val="16"/>
    </w:rPr>
  </w:style>
  <w:style w:type="paragraph" w:styleId="Ttulo9">
    <w:name w:val="heading 9"/>
    <w:basedOn w:val="Normal"/>
    <w:next w:val="Normal"/>
    <w:link w:val="Ttulo9Char"/>
    <w:uiPriority w:val="99"/>
    <w:rsid w:val="00803056"/>
    <w:pPr>
      <w:keepNext/>
      <w:jc w:val="cente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sid w:val="00EA20A3"/>
    <w:rPr>
      <w:rFonts w:asciiTheme="minorHAnsi" w:hAnsiTheme="minorHAnsi"/>
      <w:b/>
      <w:bCs/>
      <w:color w:val="000000"/>
      <w:sz w:val="24"/>
      <w:szCs w:val="24"/>
      <w:lang w:val="pt-BR" w:eastAsia="pt-BR"/>
    </w:rPr>
  </w:style>
  <w:style w:type="character" w:customStyle="1" w:styleId="Ttulo2Char">
    <w:name w:val="Título 2 Char"/>
    <w:link w:val="Ttulo2"/>
    <w:uiPriority w:val="99"/>
    <w:rsid w:val="00EA20A3"/>
    <w:rPr>
      <w:rFonts w:asciiTheme="minorHAnsi" w:eastAsia="Arial Unicode MS" w:hAnsiTheme="minorHAnsi"/>
      <w:bCs/>
      <w:i/>
      <w:color w:val="000000"/>
      <w:sz w:val="24"/>
      <w:szCs w:val="24"/>
      <w:lang w:val="pt-BR" w:eastAsia="pt-BR"/>
    </w:rPr>
  </w:style>
  <w:style w:type="character" w:customStyle="1" w:styleId="Ttulo3Char">
    <w:name w:val="Título 3 Char"/>
    <w:link w:val="Ttulo3"/>
    <w:uiPriority w:val="99"/>
    <w:rsid w:val="002C13FD"/>
    <w:rPr>
      <w:b/>
      <w:bCs/>
      <w:color w:val="000000"/>
      <w:sz w:val="26"/>
      <w:szCs w:val="26"/>
    </w:rPr>
  </w:style>
  <w:style w:type="character" w:customStyle="1" w:styleId="Ttulo4Char">
    <w:name w:val="Título 4 Char"/>
    <w:link w:val="Ttulo4"/>
    <w:uiPriority w:val="99"/>
    <w:semiHidden/>
    <w:rsid w:val="00FB64AE"/>
    <w:rPr>
      <w:rFonts w:ascii="Calibri" w:hAnsi="Calibri" w:cs="Calibri"/>
      <w:b/>
      <w:bCs/>
      <w:sz w:val="28"/>
      <w:szCs w:val="28"/>
      <w:lang w:val="pt-BR" w:eastAsia="pt-BR"/>
    </w:rPr>
  </w:style>
  <w:style w:type="character" w:customStyle="1" w:styleId="Ttulo5Char">
    <w:name w:val="Título 5 Char"/>
    <w:link w:val="Ttulo5"/>
    <w:uiPriority w:val="99"/>
    <w:semiHidden/>
    <w:rsid w:val="00FB64AE"/>
    <w:rPr>
      <w:rFonts w:ascii="Calibri" w:hAnsi="Calibri" w:cs="Calibri"/>
      <w:b/>
      <w:bCs/>
      <w:i/>
      <w:iCs/>
      <w:sz w:val="26"/>
      <w:szCs w:val="26"/>
      <w:lang w:val="pt-BR" w:eastAsia="pt-BR"/>
    </w:rPr>
  </w:style>
  <w:style w:type="character" w:customStyle="1" w:styleId="Ttulo6Char">
    <w:name w:val="Título 6 Char"/>
    <w:link w:val="Ttulo6"/>
    <w:uiPriority w:val="99"/>
    <w:semiHidden/>
    <w:rsid w:val="00FB64AE"/>
    <w:rPr>
      <w:rFonts w:ascii="Calibri" w:hAnsi="Calibri" w:cs="Calibri"/>
      <w:b/>
      <w:bCs/>
      <w:lang w:val="pt-BR" w:eastAsia="pt-BR"/>
    </w:rPr>
  </w:style>
  <w:style w:type="character" w:customStyle="1" w:styleId="Ttulo7Char">
    <w:name w:val="Título 7 Char"/>
    <w:link w:val="Ttulo7"/>
    <w:uiPriority w:val="99"/>
    <w:semiHidden/>
    <w:rsid w:val="00FB64AE"/>
    <w:rPr>
      <w:rFonts w:ascii="Calibri" w:hAnsi="Calibri" w:cs="Calibri"/>
      <w:sz w:val="24"/>
      <w:szCs w:val="24"/>
      <w:lang w:val="pt-BR" w:eastAsia="pt-BR"/>
    </w:rPr>
  </w:style>
  <w:style w:type="character" w:customStyle="1" w:styleId="Ttulo8Char">
    <w:name w:val="Título 8 Char"/>
    <w:link w:val="Ttulo8"/>
    <w:uiPriority w:val="99"/>
    <w:semiHidden/>
    <w:rsid w:val="00FB64AE"/>
    <w:rPr>
      <w:rFonts w:ascii="Calibri" w:hAnsi="Calibri" w:cs="Calibri"/>
      <w:i/>
      <w:iCs/>
      <w:sz w:val="24"/>
      <w:szCs w:val="24"/>
      <w:lang w:val="pt-BR" w:eastAsia="pt-BR"/>
    </w:rPr>
  </w:style>
  <w:style w:type="character" w:customStyle="1" w:styleId="Ttulo9Char">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pPr>
  </w:style>
  <w:style w:type="character" w:customStyle="1" w:styleId="CorpodetextoChar">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customStyle="1" w:styleId="CabealhoChar">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pPr>
  </w:style>
  <w:style w:type="character" w:customStyle="1" w:styleId="RecuodecorpodetextoChar">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pPr>
  </w:style>
  <w:style w:type="character" w:customStyle="1" w:styleId="Recuodecorpodetexto2Char">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EA20A3"/>
    <w:pPr>
      <w:ind w:left="0" w:firstLine="0"/>
      <w:jc w:val="center"/>
    </w:pPr>
    <w:rPr>
      <w:b/>
      <w:bCs/>
      <w:caps/>
      <w:noProof/>
      <w:sz w:val="40"/>
      <w:szCs w:val="52"/>
    </w:rPr>
  </w:style>
  <w:style w:type="character" w:customStyle="1" w:styleId="TtuloChar">
    <w:name w:val="Título Char"/>
    <w:link w:val="Ttulo"/>
    <w:uiPriority w:val="99"/>
    <w:rsid w:val="00EA20A3"/>
    <w:rPr>
      <w:rFonts w:ascii="Calibri" w:hAnsi="Calibri"/>
      <w:b/>
      <w:bCs/>
      <w:caps/>
      <w:noProof/>
      <w:sz w:val="40"/>
      <w:szCs w:val="52"/>
      <w:lang w:val="pt-BR" w:eastAsia="pt-BR"/>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customStyle="1" w:styleId="Recuodecorpodetexto3Char">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customStyle="1" w:styleId="TextodenotaderodapChar">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customStyle="1" w:styleId="RodapChar">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customStyle="1" w:styleId="TextodecomentrioChar">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customStyle="1" w:styleId="Corpodetexto3Char">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35"/>
    <w:qFormat/>
    <w:rsid w:val="00803056"/>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sz w:val="18"/>
      <w:szCs w:val="18"/>
    </w:rPr>
  </w:style>
  <w:style w:type="paragraph" w:styleId="Sumrio5">
    <w:name w:val="toc 5"/>
    <w:basedOn w:val="Normal"/>
    <w:next w:val="Normal"/>
    <w:autoRedefine/>
    <w:uiPriority w:val="99"/>
    <w:semiHidden/>
    <w:rsid w:val="00803056"/>
    <w:pPr>
      <w:ind w:left="960"/>
    </w:pPr>
    <w:rPr>
      <w:sz w:val="18"/>
      <w:szCs w:val="18"/>
    </w:rPr>
  </w:style>
  <w:style w:type="paragraph" w:styleId="Sumrio6">
    <w:name w:val="toc 6"/>
    <w:basedOn w:val="Normal"/>
    <w:next w:val="Normal"/>
    <w:autoRedefine/>
    <w:uiPriority w:val="99"/>
    <w:semiHidden/>
    <w:rsid w:val="00803056"/>
    <w:pPr>
      <w:ind w:left="1200"/>
    </w:pPr>
    <w:rPr>
      <w:sz w:val="18"/>
      <w:szCs w:val="18"/>
    </w:rPr>
  </w:style>
  <w:style w:type="paragraph" w:styleId="Sumrio7">
    <w:name w:val="toc 7"/>
    <w:basedOn w:val="Normal"/>
    <w:next w:val="Normal"/>
    <w:autoRedefine/>
    <w:uiPriority w:val="99"/>
    <w:semiHidden/>
    <w:rsid w:val="00803056"/>
    <w:pPr>
      <w:ind w:left="1440"/>
    </w:pPr>
    <w:rPr>
      <w:sz w:val="18"/>
      <w:szCs w:val="18"/>
    </w:rPr>
  </w:style>
  <w:style w:type="paragraph" w:styleId="Sumrio8">
    <w:name w:val="toc 8"/>
    <w:basedOn w:val="Normal"/>
    <w:next w:val="Normal"/>
    <w:autoRedefine/>
    <w:uiPriority w:val="99"/>
    <w:semiHidden/>
    <w:rsid w:val="00803056"/>
    <w:pPr>
      <w:ind w:left="1680"/>
    </w:pPr>
    <w:rPr>
      <w:sz w:val="18"/>
      <w:szCs w:val="18"/>
    </w:rPr>
  </w:style>
  <w:style w:type="paragraph" w:styleId="Sumrio9">
    <w:name w:val="toc 9"/>
    <w:basedOn w:val="Normal"/>
    <w:next w:val="Normal"/>
    <w:autoRedefine/>
    <w:uiPriority w:val="99"/>
    <w:semiHidden/>
    <w:rsid w:val="00803056"/>
    <w:pPr>
      <w:ind w:left="1920"/>
    </w:pPr>
    <w:rPr>
      <w:sz w:val="18"/>
      <w:szCs w:val="18"/>
    </w:rPr>
  </w:style>
  <w:style w:type="paragraph" w:styleId="Corpodetexto2">
    <w:name w:val="Body Text 2"/>
    <w:basedOn w:val="Normal"/>
    <w:link w:val="Corpodetexto2Char"/>
    <w:uiPriority w:val="99"/>
    <w:semiHidden/>
    <w:rsid w:val="00803056"/>
    <w:pPr>
      <w:spacing w:before="240" w:after="60"/>
    </w:pPr>
    <w:rPr>
      <w:b/>
      <w:bCs/>
    </w:rPr>
  </w:style>
  <w:style w:type="character" w:customStyle="1" w:styleId="Corpodetexto2Char">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customStyle="1" w:styleId="Classif">
    <w:name w:val="Classif"/>
    <w:uiPriority w:val="99"/>
    <w:rsid w:val="00803056"/>
    <w:pPr>
      <w:ind w:left="288"/>
      <w:jc w:val="center"/>
    </w:pPr>
    <w:rPr>
      <w:lang w:val="pt-BR" w:eastAsia="pt-BR"/>
    </w:rPr>
  </w:style>
  <w:style w:type="paragraph" w:customStyle="1" w:styleId="DatReg">
    <w:name w:val="DatReg"/>
    <w:uiPriority w:val="99"/>
    <w:rsid w:val="00803056"/>
    <w:pPr>
      <w:ind w:left="288"/>
      <w:jc w:val="center"/>
    </w:pPr>
    <w:rPr>
      <w:lang w:val="pt-BR" w:eastAsia="pt-BR"/>
    </w:rPr>
  </w:style>
  <w:style w:type="paragraph" w:customStyle="1" w:styleId="NroReg">
    <w:name w:val="NroReg"/>
    <w:uiPriority w:val="99"/>
    <w:rsid w:val="00803056"/>
    <w:pPr>
      <w:ind w:left="288"/>
      <w:jc w:val="center"/>
    </w:pPr>
    <w:rPr>
      <w:sz w:val="18"/>
      <w:szCs w:val="18"/>
      <w:lang w:val="pt-BR" w:eastAsia="pt-BR"/>
    </w:rPr>
  </w:style>
  <w:style w:type="paragraph" w:customStyle="1" w:styleId="Paginacao">
    <w:name w:val="Paginacao"/>
    <w:uiPriority w:val="99"/>
    <w:rsid w:val="00803056"/>
    <w:pPr>
      <w:ind w:left="288"/>
      <w:jc w:val="center"/>
    </w:pPr>
    <w:rPr>
      <w:lang w:val="pt-BR" w:eastAsia="pt-BR"/>
    </w:rPr>
  </w:style>
  <w:style w:type="paragraph" w:customStyle="1" w:styleId="TituloTese">
    <w:name w:val="TituloTese"/>
    <w:uiPriority w:val="99"/>
    <w:rsid w:val="00803056"/>
    <w:pPr>
      <w:ind w:left="288"/>
      <w:jc w:val="both"/>
    </w:pPr>
    <w:rPr>
      <w:lang w:val="pt-BR" w:eastAsia="pt-BR"/>
    </w:rPr>
  </w:style>
  <w:style w:type="paragraph" w:customStyle="1" w:styleId="Autor">
    <w:name w:val="Autor"/>
    <w:uiPriority w:val="99"/>
    <w:rsid w:val="00803056"/>
    <w:pPr>
      <w:ind w:left="288"/>
      <w:jc w:val="both"/>
    </w:pPr>
    <w:rPr>
      <w:b/>
      <w:bCs/>
      <w:lang w:val="pt-BR" w:eastAsia="pt-BR"/>
    </w:rPr>
  </w:style>
  <w:style w:type="paragraph" w:customStyle="1" w:styleId="Instituicao">
    <w:name w:val="Instituicao"/>
    <w:uiPriority w:val="99"/>
    <w:rsid w:val="00803056"/>
    <w:pPr>
      <w:numPr>
        <w:ilvl w:val="12"/>
      </w:numPr>
      <w:ind w:left="288"/>
      <w:jc w:val="both"/>
    </w:pPr>
    <w:rPr>
      <w:lang w:val="pt-BR" w:eastAsia="pt-BR"/>
    </w:rPr>
  </w:style>
  <w:style w:type="paragraph" w:customStyle="1" w:styleId="Palchavsug">
    <w:name w:val="Palchavsug"/>
    <w:uiPriority w:val="99"/>
    <w:rsid w:val="00803056"/>
    <w:pPr>
      <w:numPr>
        <w:ilvl w:val="12"/>
      </w:numPr>
      <w:ind w:left="288"/>
      <w:jc w:val="both"/>
    </w:pPr>
    <w:rPr>
      <w:lang w:val="pt-BR" w:eastAsia="pt-BR"/>
    </w:rPr>
  </w:style>
  <w:style w:type="paragraph" w:customStyle="1" w:styleId="Apresent">
    <w:name w:val="Apresent"/>
    <w:uiPriority w:val="99"/>
    <w:rsid w:val="00803056"/>
    <w:pPr>
      <w:numPr>
        <w:ilvl w:val="12"/>
      </w:numPr>
      <w:ind w:left="288"/>
      <w:jc w:val="both"/>
    </w:pPr>
    <w:rPr>
      <w:lang w:val="pt-BR" w:eastAsia="pt-BR"/>
    </w:rPr>
  </w:style>
  <w:style w:type="paragraph" w:customStyle="1" w:styleId="Resumo">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customStyle="1" w:styleId="TextodebaloChar">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hAnsi="Times" w:cs="Times"/>
    </w:rPr>
  </w:style>
  <w:style w:type="paragraph" w:customStyle="1" w:styleId="Default">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customStyle="1" w:styleId="Pa11">
    <w:name w:val="Pa11"/>
    <w:basedOn w:val="Default"/>
    <w:next w:val="Default"/>
    <w:uiPriority w:val="99"/>
    <w:rsid w:val="00DD0ABB"/>
    <w:pPr>
      <w:spacing w:line="231" w:lineRule="atLeast"/>
    </w:pPr>
    <w:rPr>
      <w:rFonts w:ascii="Helvetica" w:hAnsi="Helvetica" w:cs="Helvetica"/>
      <w:color w:val="auto"/>
    </w:rPr>
  </w:style>
  <w:style w:type="paragraph" w:customStyle="1" w:styleId="Pa3">
    <w:name w:val="Pa3"/>
    <w:basedOn w:val="Default"/>
    <w:next w:val="Default"/>
    <w:uiPriority w:val="99"/>
    <w:rsid w:val="00DD0ABB"/>
    <w:pPr>
      <w:spacing w:line="211" w:lineRule="atLeast"/>
    </w:pPr>
    <w:rPr>
      <w:rFonts w:ascii="Palatino Linotype" w:hAnsi="Palatino Linotype" w:cs="Palatino Linotype"/>
      <w:color w:val="auto"/>
    </w:rPr>
  </w:style>
  <w:style w:type="paragraph" w:customStyle="1" w:styleId="Pa10">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e">
    <w:name w:val="Emphasis"/>
    <w:uiPriority w:val="20"/>
    <w:qFormat/>
    <w:rsid w:val="000C31ED"/>
    <w:rPr>
      <w:b/>
      <w:bCs/>
    </w:rPr>
  </w:style>
  <w:style w:type="paragraph" w:styleId="PargrafodaLista">
    <w:name w:val="List Paragraph"/>
    <w:basedOn w:val="Normal"/>
    <w:uiPriority w:val="99"/>
    <w:rsid w:val="000C31ED"/>
    <w:pPr>
      <w:ind w:left="720"/>
      <w:contextualSpacing/>
    </w:pPr>
  </w:style>
  <w:style w:type="character" w:customStyle="1" w:styleId="Fotnotsreferens">
    <w:name w:val="Fotnotsreferens"/>
    <w:uiPriority w:val="99"/>
    <w:rsid w:val="00545817"/>
    <w:rPr>
      <w:color w:val="000000"/>
    </w:rPr>
  </w:style>
  <w:style w:type="character" w:styleId="Forte">
    <w:name w:val="Strong"/>
    <w:uiPriority w:val="22"/>
    <w:qFormat/>
    <w:rsid w:val="008F1491"/>
    <w:rPr>
      <w:b/>
      <w:bCs/>
    </w:rPr>
  </w:style>
  <w:style w:type="character" w:customStyle="1" w:styleId="gt-icon-text1">
    <w:name w:val="gt-icon-text1"/>
    <w:basedOn w:val="Fontepargpadro"/>
    <w:uiPriority w:val="99"/>
    <w:rsid w:val="00C601E2"/>
  </w:style>
  <w:style w:type="paragraph" w:customStyle="1" w:styleId="tituazul">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uiPriority w:val="99"/>
    <w:semiHidden/>
    <w:rsid w:val="00510F5E"/>
    <w:rPr>
      <w:rFonts w:ascii="Arial" w:hAnsi="Arial" w:cs="Arial"/>
      <w:vanish/>
      <w:sz w:val="16"/>
      <w:szCs w:val="16"/>
    </w:rPr>
  </w:style>
  <w:style w:type="character" w:customStyle="1" w:styleId="A2">
    <w:name w:val="A2"/>
    <w:uiPriority w:val="99"/>
    <w:rsid w:val="00BE1657"/>
    <w:rPr>
      <w:b/>
      <w:bCs/>
      <w:color w:val="000000"/>
      <w:sz w:val="11"/>
      <w:szCs w:val="11"/>
    </w:rPr>
  </w:style>
  <w:style w:type="character" w:customStyle="1" w:styleId="A9">
    <w:name w:val="A9"/>
    <w:uiPriority w:val="99"/>
    <w:rsid w:val="00BE1657"/>
    <w:rPr>
      <w:color w:val="000000"/>
      <w:sz w:val="18"/>
      <w:szCs w:val="18"/>
    </w:rPr>
  </w:style>
  <w:style w:type="paragraph" w:customStyle="1" w:styleId="Pa0">
    <w:name w:val="Pa0"/>
    <w:basedOn w:val="Default"/>
    <w:next w:val="Default"/>
    <w:uiPriority w:val="99"/>
    <w:rsid w:val="00CE0192"/>
    <w:pPr>
      <w:spacing w:line="281" w:lineRule="atLeast"/>
    </w:pPr>
    <w:rPr>
      <w:rFonts w:ascii="Helvetica" w:hAnsi="Helvetica" w:cs="Helvetica"/>
      <w:color w:val="auto"/>
    </w:rPr>
  </w:style>
  <w:style w:type="character" w:customStyle="1" w:styleId="longtext">
    <w:name w:val="long_text"/>
    <w:basedOn w:val="Fontepargpadro"/>
    <w:uiPriority w:val="99"/>
    <w:rsid w:val="00EA5020"/>
  </w:style>
  <w:style w:type="paragraph" w:customStyle="1" w:styleId="CorpodeTexto0">
    <w:name w:val="Corpo de Texto"/>
    <w:basedOn w:val="Normal"/>
    <w:uiPriority w:val="99"/>
    <w:semiHidden/>
    <w:rsid w:val="00EA5020"/>
    <w:pPr>
      <w:spacing w:line="360" w:lineRule="auto"/>
    </w:pPr>
    <w:rPr>
      <w:rFonts w:ascii="Arial" w:eastAsia="MS Mincho" w:hAnsi="Arial" w:cs="Arial"/>
      <w:sz w:val="20"/>
      <w:szCs w:val="20"/>
    </w:rPr>
  </w:style>
  <w:style w:type="character" w:styleId="Nmerodelinha">
    <w:name w:val="line number"/>
    <w:basedOn w:val="Fontepargpadro"/>
    <w:uiPriority w:val="99"/>
    <w:semiHidden/>
    <w:rsid w:val="00E751E1"/>
  </w:style>
  <w:style w:type="paragraph" w:styleId="SemEspaamento">
    <w:name w:val="No Spacing"/>
    <w:uiPriority w:val="1"/>
    <w:rsid w:val="00831A72"/>
    <w:pPr>
      <w:ind w:left="288"/>
    </w:pPr>
    <w:rPr>
      <w:sz w:val="24"/>
      <w:szCs w:val="24"/>
      <w:lang w:val="pt-BR" w:eastAsia="pt-BR"/>
    </w:rPr>
  </w:style>
  <w:style w:type="paragraph" w:styleId="Subttulo">
    <w:name w:val="Subtitle"/>
    <w:basedOn w:val="Normal"/>
    <w:next w:val="Normal"/>
    <w:link w:val="SubttuloChar"/>
    <w:uiPriority w:val="11"/>
    <w:rsid w:val="00831A72"/>
    <w:pPr>
      <w:numPr>
        <w:ilvl w:val="1"/>
      </w:numPr>
      <w:spacing w:after="160"/>
      <w:ind w:left="288" w:firstLine="567"/>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831A72"/>
    <w:rPr>
      <w:rFonts w:asciiTheme="minorHAnsi" w:eastAsiaTheme="minorEastAsia" w:hAnsiTheme="minorHAnsi" w:cstheme="minorBidi"/>
      <w:color w:val="5A5A5A" w:themeColor="text1" w:themeTint="A5"/>
      <w:spacing w:val="15"/>
      <w:sz w:val="22"/>
      <w:szCs w:val="22"/>
      <w:lang w:val="pt-BR" w:eastAsia="pt-BR"/>
    </w:rPr>
  </w:style>
  <w:style w:type="character" w:styleId="MenoPendente">
    <w:name w:val="Unresolved Mention"/>
    <w:basedOn w:val="Fontepargpadro"/>
    <w:uiPriority w:val="99"/>
    <w:rsid w:val="0032342D"/>
    <w:rPr>
      <w:color w:val="605E5C"/>
      <w:shd w:val="clear" w:color="auto" w:fill="E1DFDD"/>
    </w:rPr>
  </w:style>
  <w:style w:type="paragraph" w:styleId="Assuntodocomentrio">
    <w:name w:val="annotation subject"/>
    <w:basedOn w:val="Textodecomentrio"/>
    <w:next w:val="Textodecomentrio"/>
    <w:link w:val="AssuntodocomentrioChar"/>
    <w:uiPriority w:val="99"/>
    <w:semiHidden/>
    <w:unhideWhenUsed/>
    <w:rsid w:val="00227599"/>
    <w:rPr>
      <w:b/>
      <w:bCs/>
    </w:rPr>
  </w:style>
  <w:style w:type="character" w:customStyle="1" w:styleId="AssuntodocomentrioChar">
    <w:name w:val="Assunto do comentário Char"/>
    <w:basedOn w:val="TextodecomentrioChar"/>
    <w:link w:val="Assuntodocomentrio"/>
    <w:uiPriority w:val="99"/>
    <w:semiHidden/>
    <w:rsid w:val="00227599"/>
    <w:rPr>
      <w:rFonts w:ascii="Calibri" w:hAnsi="Calibri"/>
      <w:b/>
      <w:bCs/>
      <w:sz w:val="20"/>
      <w:szCs w:val="20"/>
      <w:lang w:val="pt-BR" w:eastAsia="pt-BR"/>
    </w:rPr>
  </w:style>
  <w:style w:type="paragraph" w:customStyle="1" w:styleId="paragraph">
    <w:name w:val="paragraph"/>
    <w:basedOn w:val="Normal"/>
    <w:rsid w:val="00227599"/>
    <w:pPr>
      <w:spacing w:before="100" w:beforeAutospacing="1" w:after="100" w:afterAutospacing="1"/>
      <w:ind w:left="0" w:firstLine="0"/>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279259">
      <w:bodyDiv w:val="1"/>
      <w:marLeft w:val="0"/>
      <w:marRight w:val="0"/>
      <w:marTop w:val="0"/>
      <w:marBottom w:val="0"/>
      <w:divBdr>
        <w:top w:val="none" w:sz="0" w:space="0" w:color="auto"/>
        <w:left w:val="none" w:sz="0" w:space="0" w:color="auto"/>
        <w:bottom w:val="none" w:sz="0" w:space="0" w:color="auto"/>
        <w:right w:val="none" w:sz="0" w:space="0" w:color="auto"/>
      </w:divBdr>
      <w:divsChild>
        <w:div w:id="1073088116">
          <w:marLeft w:val="0"/>
          <w:marRight w:val="0"/>
          <w:marTop w:val="0"/>
          <w:marBottom w:val="0"/>
          <w:divBdr>
            <w:top w:val="none" w:sz="0" w:space="0" w:color="auto"/>
            <w:left w:val="none" w:sz="0" w:space="0" w:color="auto"/>
            <w:bottom w:val="none" w:sz="0" w:space="0" w:color="auto"/>
            <w:right w:val="none" w:sz="0" w:space="0" w:color="auto"/>
          </w:divBdr>
          <w:divsChild>
            <w:div w:id="12170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4261">
      <w:bodyDiv w:val="1"/>
      <w:marLeft w:val="0"/>
      <w:marRight w:val="0"/>
      <w:marTop w:val="0"/>
      <w:marBottom w:val="0"/>
      <w:divBdr>
        <w:top w:val="none" w:sz="0" w:space="0" w:color="auto"/>
        <w:left w:val="none" w:sz="0" w:space="0" w:color="auto"/>
        <w:bottom w:val="none" w:sz="0" w:space="0" w:color="auto"/>
        <w:right w:val="none" w:sz="0" w:space="0" w:color="auto"/>
      </w:divBdr>
      <w:divsChild>
        <w:div w:id="1170217918">
          <w:marLeft w:val="0"/>
          <w:marRight w:val="0"/>
          <w:marTop w:val="0"/>
          <w:marBottom w:val="0"/>
          <w:divBdr>
            <w:top w:val="none" w:sz="0" w:space="0" w:color="auto"/>
            <w:left w:val="none" w:sz="0" w:space="0" w:color="auto"/>
            <w:bottom w:val="none" w:sz="0" w:space="0" w:color="auto"/>
            <w:right w:val="none" w:sz="0" w:space="0" w:color="auto"/>
          </w:divBdr>
        </w:div>
        <w:div w:id="1265377653">
          <w:marLeft w:val="0"/>
          <w:marRight w:val="0"/>
          <w:marTop w:val="0"/>
          <w:marBottom w:val="0"/>
          <w:divBdr>
            <w:top w:val="none" w:sz="0" w:space="0" w:color="auto"/>
            <w:left w:val="none" w:sz="0" w:space="0" w:color="auto"/>
            <w:bottom w:val="none" w:sz="0" w:space="0" w:color="auto"/>
            <w:right w:val="none" w:sz="0" w:space="0" w:color="auto"/>
          </w:divBdr>
        </w:div>
      </w:divsChild>
    </w:div>
    <w:div w:id="617225578">
      <w:bodyDiv w:val="1"/>
      <w:marLeft w:val="0"/>
      <w:marRight w:val="0"/>
      <w:marTop w:val="0"/>
      <w:marBottom w:val="0"/>
      <w:divBdr>
        <w:top w:val="none" w:sz="0" w:space="0" w:color="auto"/>
        <w:left w:val="none" w:sz="0" w:space="0" w:color="auto"/>
        <w:bottom w:val="none" w:sz="0" w:space="0" w:color="auto"/>
        <w:right w:val="none" w:sz="0" w:space="0" w:color="auto"/>
      </w:divBdr>
    </w:div>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082410883">
      <w:bodyDiv w:val="1"/>
      <w:marLeft w:val="0"/>
      <w:marRight w:val="0"/>
      <w:marTop w:val="0"/>
      <w:marBottom w:val="0"/>
      <w:divBdr>
        <w:top w:val="none" w:sz="0" w:space="0" w:color="auto"/>
        <w:left w:val="none" w:sz="0" w:space="0" w:color="auto"/>
        <w:bottom w:val="none" w:sz="0" w:space="0" w:color="auto"/>
        <w:right w:val="none" w:sz="0" w:space="0" w:color="auto"/>
      </w:divBdr>
      <w:divsChild>
        <w:div w:id="1510439159">
          <w:marLeft w:val="0"/>
          <w:marRight w:val="0"/>
          <w:marTop w:val="360"/>
          <w:marBottom w:val="180"/>
          <w:divBdr>
            <w:top w:val="none" w:sz="0" w:space="0" w:color="auto"/>
            <w:left w:val="none" w:sz="0" w:space="0" w:color="auto"/>
            <w:bottom w:val="none" w:sz="0" w:space="0" w:color="auto"/>
            <w:right w:val="none" w:sz="0" w:space="0" w:color="auto"/>
          </w:divBdr>
        </w:div>
        <w:div w:id="1522469432">
          <w:marLeft w:val="0"/>
          <w:marRight w:val="0"/>
          <w:marTop w:val="180"/>
          <w:marBottom w:val="240"/>
          <w:divBdr>
            <w:top w:val="none" w:sz="0" w:space="0" w:color="auto"/>
            <w:left w:val="none" w:sz="0" w:space="0" w:color="auto"/>
            <w:bottom w:val="none" w:sz="0" w:space="0" w:color="auto"/>
            <w:right w:val="none" w:sz="0" w:space="0" w:color="auto"/>
          </w:divBdr>
        </w:div>
        <w:div w:id="501745232">
          <w:marLeft w:val="0"/>
          <w:marRight w:val="0"/>
          <w:marTop w:val="180"/>
          <w:marBottom w:val="240"/>
          <w:divBdr>
            <w:top w:val="none" w:sz="0" w:space="0" w:color="auto"/>
            <w:left w:val="none" w:sz="0" w:space="0" w:color="auto"/>
            <w:bottom w:val="none" w:sz="0" w:space="0" w:color="auto"/>
            <w:right w:val="none" w:sz="0" w:space="0" w:color="auto"/>
          </w:divBdr>
        </w:div>
        <w:div w:id="663316893">
          <w:marLeft w:val="0"/>
          <w:marRight w:val="0"/>
          <w:marTop w:val="180"/>
          <w:marBottom w:val="240"/>
          <w:divBdr>
            <w:top w:val="none" w:sz="0" w:space="0" w:color="auto"/>
            <w:left w:val="none" w:sz="0" w:space="0" w:color="auto"/>
            <w:bottom w:val="none" w:sz="0" w:space="0" w:color="auto"/>
            <w:right w:val="none" w:sz="0" w:space="0" w:color="auto"/>
          </w:divBdr>
        </w:div>
      </w:divsChild>
    </w:div>
    <w:div w:id="1132017578">
      <w:bodyDiv w:val="1"/>
      <w:marLeft w:val="0"/>
      <w:marRight w:val="0"/>
      <w:marTop w:val="0"/>
      <w:marBottom w:val="0"/>
      <w:divBdr>
        <w:top w:val="none" w:sz="0" w:space="0" w:color="auto"/>
        <w:left w:val="none" w:sz="0" w:space="0" w:color="auto"/>
        <w:bottom w:val="none" w:sz="0" w:space="0" w:color="auto"/>
        <w:right w:val="none" w:sz="0" w:space="0" w:color="auto"/>
      </w:divBdr>
      <w:divsChild>
        <w:div w:id="1994142191">
          <w:marLeft w:val="0"/>
          <w:marRight w:val="0"/>
          <w:marTop w:val="360"/>
          <w:marBottom w:val="180"/>
          <w:divBdr>
            <w:top w:val="none" w:sz="0" w:space="0" w:color="auto"/>
            <w:left w:val="none" w:sz="0" w:space="0" w:color="auto"/>
            <w:bottom w:val="none" w:sz="0" w:space="0" w:color="auto"/>
            <w:right w:val="none" w:sz="0" w:space="0" w:color="auto"/>
          </w:divBdr>
        </w:div>
        <w:div w:id="847250253">
          <w:marLeft w:val="0"/>
          <w:marRight w:val="0"/>
          <w:marTop w:val="180"/>
          <w:marBottom w:val="240"/>
          <w:divBdr>
            <w:top w:val="none" w:sz="0" w:space="0" w:color="auto"/>
            <w:left w:val="none" w:sz="0" w:space="0" w:color="auto"/>
            <w:bottom w:val="none" w:sz="0" w:space="0" w:color="auto"/>
            <w:right w:val="none" w:sz="0" w:space="0" w:color="auto"/>
          </w:divBdr>
        </w:div>
        <w:div w:id="510608438">
          <w:marLeft w:val="0"/>
          <w:marRight w:val="0"/>
          <w:marTop w:val="180"/>
          <w:marBottom w:val="240"/>
          <w:divBdr>
            <w:top w:val="none" w:sz="0" w:space="0" w:color="auto"/>
            <w:left w:val="none" w:sz="0" w:space="0" w:color="auto"/>
            <w:bottom w:val="none" w:sz="0" w:space="0" w:color="auto"/>
            <w:right w:val="none" w:sz="0" w:space="0" w:color="auto"/>
          </w:divBdr>
        </w:div>
        <w:div w:id="1593779701">
          <w:marLeft w:val="0"/>
          <w:marRight w:val="0"/>
          <w:marTop w:val="180"/>
          <w:marBottom w:val="240"/>
          <w:divBdr>
            <w:top w:val="none" w:sz="0" w:space="0" w:color="auto"/>
            <w:left w:val="none" w:sz="0" w:space="0" w:color="auto"/>
            <w:bottom w:val="none" w:sz="0" w:space="0" w:color="auto"/>
            <w:right w:val="none" w:sz="0" w:space="0" w:color="auto"/>
          </w:divBdr>
        </w:div>
      </w:divsChild>
    </w:div>
    <w:div w:id="1246694503">
      <w:bodyDiv w:val="1"/>
      <w:marLeft w:val="0"/>
      <w:marRight w:val="0"/>
      <w:marTop w:val="0"/>
      <w:marBottom w:val="0"/>
      <w:divBdr>
        <w:top w:val="none" w:sz="0" w:space="0" w:color="auto"/>
        <w:left w:val="none" w:sz="0" w:space="0" w:color="auto"/>
        <w:bottom w:val="none" w:sz="0" w:space="0" w:color="auto"/>
        <w:right w:val="none" w:sz="0" w:space="0" w:color="auto"/>
      </w:divBdr>
    </w:div>
    <w:div w:id="1305084642">
      <w:bodyDiv w:val="1"/>
      <w:marLeft w:val="0"/>
      <w:marRight w:val="0"/>
      <w:marTop w:val="0"/>
      <w:marBottom w:val="0"/>
      <w:divBdr>
        <w:top w:val="none" w:sz="0" w:space="0" w:color="auto"/>
        <w:left w:val="none" w:sz="0" w:space="0" w:color="auto"/>
        <w:bottom w:val="none" w:sz="0" w:space="0" w:color="auto"/>
        <w:right w:val="none" w:sz="0" w:space="0" w:color="auto"/>
      </w:divBdr>
    </w:div>
    <w:div w:id="1631785084">
      <w:bodyDiv w:val="1"/>
      <w:marLeft w:val="0"/>
      <w:marRight w:val="0"/>
      <w:marTop w:val="0"/>
      <w:marBottom w:val="0"/>
      <w:divBdr>
        <w:top w:val="none" w:sz="0" w:space="0" w:color="auto"/>
        <w:left w:val="none" w:sz="0" w:space="0" w:color="auto"/>
        <w:bottom w:val="none" w:sz="0" w:space="0" w:color="auto"/>
        <w:right w:val="none" w:sz="0" w:space="0" w:color="auto"/>
      </w:divBdr>
    </w:div>
    <w:div w:id="1693922027">
      <w:bodyDiv w:val="1"/>
      <w:marLeft w:val="0"/>
      <w:marRight w:val="0"/>
      <w:marTop w:val="0"/>
      <w:marBottom w:val="0"/>
      <w:divBdr>
        <w:top w:val="none" w:sz="0" w:space="0" w:color="auto"/>
        <w:left w:val="none" w:sz="0" w:space="0" w:color="auto"/>
        <w:bottom w:val="none" w:sz="0" w:space="0" w:color="auto"/>
        <w:right w:val="none" w:sz="0" w:space="0" w:color="auto"/>
      </w:divBdr>
      <w:divsChild>
        <w:div w:id="501698554">
          <w:marLeft w:val="0"/>
          <w:marRight w:val="0"/>
          <w:marTop w:val="180"/>
          <w:marBottom w:val="240"/>
          <w:divBdr>
            <w:top w:val="none" w:sz="0" w:space="0" w:color="auto"/>
            <w:left w:val="none" w:sz="0" w:space="0" w:color="auto"/>
            <w:bottom w:val="none" w:sz="0" w:space="0" w:color="auto"/>
            <w:right w:val="none" w:sz="0" w:space="0" w:color="auto"/>
          </w:divBdr>
        </w:div>
        <w:div w:id="1075511323">
          <w:marLeft w:val="0"/>
          <w:marRight w:val="0"/>
          <w:marTop w:val="180"/>
          <w:marBottom w:val="240"/>
          <w:divBdr>
            <w:top w:val="none" w:sz="0" w:space="0" w:color="auto"/>
            <w:left w:val="none" w:sz="0" w:space="0" w:color="auto"/>
            <w:bottom w:val="none" w:sz="0" w:space="0" w:color="auto"/>
            <w:right w:val="none" w:sz="0" w:space="0" w:color="auto"/>
          </w:divBdr>
        </w:div>
        <w:div w:id="51118816">
          <w:marLeft w:val="0"/>
          <w:marRight w:val="0"/>
          <w:marTop w:val="180"/>
          <w:marBottom w:val="240"/>
          <w:divBdr>
            <w:top w:val="none" w:sz="0" w:space="0" w:color="auto"/>
            <w:left w:val="none" w:sz="0" w:space="0" w:color="auto"/>
            <w:bottom w:val="none" w:sz="0" w:space="0" w:color="auto"/>
            <w:right w:val="none" w:sz="0" w:space="0" w:color="auto"/>
          </w:divBdr>
        </w:div>
      </w:divsChild>
    </w:div>
    <w:div w:id="1822233286">
      <w:bodyDiv w:val="1"/>
      <w:marLeft w:val="0"/>
      <w:marRight w:val="0"/>
      <w:marTop w:val="0"/>
      <w:marBottom w:val="0"/>
      <w:divBdr>
        <w:top w:val="none" w:sz="0" w:space="0" w:color="auto"/>
        <w:left w:val="none" w:sz="0" w:space="0" w:color="auto"/>
        <w:bottom w:val="none" w:sz="0" w:space="0" w:color="auto"/>
        <w:right w:val="none" w:sz="0" w:space="0" w:color="auto"/>
      </w:divBdr>
      <w:divsChild>
        <w:div w:id="1597522406">
          <w:marLeft w:val="0"/>
          <w:marRight w:val="0"/>
          <w:marTop w:val="180"/>
          <w:marBottom w:val="240"/>
          <w:divBdr>
            <w:top w:val="none" w:sz="0" w:space="0" w:color="auto"/>
            <w:left w:val="none" w:sz="0" w:space="0" w:color="auto"/>
            <w:bottom w:val="none" w:sz="0" w:space="0" w:color="auto"/>
            <w:right w:val="none" w:sz="0" w:space="0" w:color="auto"/>
          </w:divBdr>
        </w:div>
        <w:div w:id="943653961">
          <w:marLeft w:val="0"/>
          <w:marRight w:val="0"/>
          <w:marTop w:val="180"/>
          <w:marBottom w:val="240"/>
          <w:divBdr>
            <w:top w:val="none" w:sz="0" w:space="0" w:color="auto"/>
            <w:left w:val="none" w:sz="0" w:space="0" w:color="auto"/>
            <w:bottom w:val="none" w:sz="0" w:space="0" w:color="auto"/>
            <w:right w:val="none" w:sz="0" w:space="0" w:color="auto"/>
          </w:divBdr>
        </w:div>
      </w:divsChild>
    </w:div>
    <w:div w:id="1851286601">
      <w:bodyDiv w:val="1"/>
      <w:marLeft w:val="0"/>
      <w:marRight w:val="0"/>
      <w:marTop w:val="0"/>
      <w:marBottom w:val="0"/>
      <w:divBdr>
        <w:top w:val="none" w:sz="0" w:space="0" w:color="auto"/>
        <w:left w:val="none" w:sz="0" w:space="0" w:color="auto"/>
        <w:bottom w:val="none" w:sz="0" w:space="0" w:color="auto"/>
        <w:right w:val="none" w:sz="0" w:space="0" w:color="auto"/>
      </w:divBdr>
      <w:divsChild>
        <w:div w:id="945965044">
          <w:marLeft w:val="0"/>
          <w:marRight w:val="0"/>
          <w:marTop w:val="180"/>
          <w:marBottom w:val="240"/>
          <w:divBdr>
            <w:top w:val="none" w:sz="0" w:space="0" w:color="auto"/>
            <w:left w:val="none" w:sz="0" w:space="0" w:color="auto"/>
            <w:bottom w:val="none" w:sz="0" w:space="0" w:color="auto"/>
            <w:right w:val="none" w:sz="0" w:space="0" w:color="auto"/>
          </w:divBdr>
        </w:div>
        <w:div w:id="1761440103">
          <w:marLeft w:val="0"/>
          <w:marRight w:val="0"/>
          <w:marTop w:val="180"/>
          <w:marBottom w:val="240"/>
          <w:divBdr>
            <w:top w:val="none" w:sz="0" w:space="0" w:color="auto"/>
            <w:left w:val="none" w:sz="0" w:space="0" w:color="auto"/>
            <w:bottom w:val="none" w:sz="0" w:space="0" w:color="auto"/>
            <w:right w:val="none" w:sz="0" w:space="0" w:color="auto"/>
          </w:divBdr>
        </w:div>
        <w:div w:id="805509358">
          <w:marLeft w:val="0"/>
          <w:marRight w:val="0"/>
          <w:marTop w:val="180"/>
          <w:marBottom w:val="240"/>
          <w:divBdr>
            <w:top w:val="none" w:sz="0" w:space="0" w:color="auto"/>
            <w:left w:val="none" w:sz="0" w:space="0" w:color="auto"/>
            <w:bottom w:val="none" w:sz="0" w:space="0" w:color="auto"/>
            <w:right w:val="none" w:sz="0" w:space="0" w:color="auto"/>
          </w:divBdr>
        </w:div>
      </w:divsChild>
    </w:div>
    <w:div w:id="1954169967">
      <w:bodyDiv w:val="1"/>
      <w:marLeft w:val="0"/>
      <w:marRight w:val="0"/>
      <w:marTop w:val="0"/>
      <w:marBottom w:val="0"/>
      <w:divBdr>
        <w:top w:val="none" w:sz="0" w:space="0" w:color="auto"/>
        <w:left w:val="none" w:sz="0" w:space="0" w:color="auto"/>
        <w:bottom w:val="none" w:sz="0" w:space="0" w:color="auto"/>
        <w:right w:val="none" w:sz="0" w:space="0" w:color="auto"/>
      </w:divBdr>
    </w:div>
    <w:div w:id="2007317690">
      <w:bodyDiv w:val="1"/>
      <w:marLeft w:val="0"/>
      <w:marRight w:val="0"/>
      <w:marTop w:val="0"/>
      <w:marBottom w:val="0"/>
      <w:divBdr>
        <w:top w:val="none" w:sz="0" w:space="0" w:color="auto"/>
        <w:left w:val="none" w:sz="0" w:space="0" w:color="auto"/>
        <w:bottom w:val="none" w:sz="0" w:space="0" w:color="auto"/>
        <w:right w:val="none" w:sz="0" w:space="0" w:color="auto"/>
      </w:divBdr>
      <w:divsChild>
        <w:div w:id="1071083246">
          <w:marLeft w:val="0"/>
          <w:marRight w:val="0"/>
          <w:marTop w:val="360"/>
          <w:marBottom w:val="180"/>
          <w:divBdr>
            <w:top w:val="none" w:sz="0" w:space="0" w:color="auto"/>
            <w:left w:val="none" w:sz="0" w:space="0" w:color="auto"/>
            <w:bottom w:val="none" w:sz="0" w:space="0" w:color="auto"/>
            <w:right w:val="none" w:sz="0" w:space="0" w:color="auto"/>
          </w:divBdr>
        </w:div>
        <w:div w:id="987514763">
          <w:marLeft w:val="0"/>
          <w:marRight w:val="0"/>
          <w:marTop w:val="180"/>
          <w:marBottom w:val="240"/>
          <w:divBdr>
            <w:top w:val="none" w:sz="0" w:space="0" w:color="auto"/>
            <w:left w:val="none" w:sz="0" w:space="0" w:color="auto"/>
            <w:bottom w:val="none" w:sz="0" w:space="0" w:color="auto"/>
            <w:right w:val="none" w:sz="0" w:space="0" w:color="auto"/>
          </w:divBdr>
        </w:div>
        <w:div w:id="1174615847">
          <w:marLeft w:val="0"/>
          <w:marRight w:val="0"/>
          <w:marTop w:val="180"/>
          <w:marBottom w:val="240"/>
          <w:divBdr>
            <w:top w:val="none" w:sz="0" w:space="0" w:color="auto"/>
            <w:left w:val="none" w:sz="0" w:space="0" w:color="auto"/>
            <w:bottom w:val="none" w:sz="0" w:space="0" w:color="auto"/>
            <w:right w:val="none" w:sz="0" w:space="0" w:color="auto"/>
          </w:divBdr>
        </w:div>
        <w:div w:id="203353413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38B92-1ED3-4700-AFAE-0782E8188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1977</Words>
  <Characters>10677</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Tese Doutorado Qualificação Reinaldo 18/06/2010</vt:lpstr>
      <vt:lpstr>Tese Doutorado Qualificação Reinaldo 18/06/2010</vt:lpstr>
    </vt:vector>
  </TitlesOfParts>
  <Company>Hewlett-Packard</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 Doutorado Qualificação Reinaldo 18/06/2010</dc:title>
  <dc:subject>SCM</dc:subject>
  <dc:creator>Reinaldo Fagundes dos Santos</dc:creator>
  <cp:lastModifiedBy>Kauan</cp:lastModifiedBy>
  <cp:revision>5</cp:revision>
  <cp:lastPrinted>2011-06-20T19:51:00Z</cp:lastPrinted>
  <dcterms:created xsi:type="dcterms:W3CDTF">2026-09-30T14:03:00Z</dcterms:created>
  <dcterms:modified xsi:type="dcterms:W3CDTF">2026-09-30T14:49:00Z</dcterms:modified>
</cp:coreProperties>
</file>