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80"/>
        <w:ind w:firstLine="0"/>
        <w:jc w:val="center"/>
      </w:pPr>
      <w:r>
        <w:rPr>
          <w:rFonts w:ascii="Arial" w:hAnsi="Arial" w:eastAsia="Arial" w:cs="Arial"/>
          <w:b/>
          <w:color w:val="000000"/>
          <w:sz w:val="24"/>
        </w:rPr>
        <w:t>CENTRO PAULA SOUZA</w:t>
      </w:r>
    </w:p>
    <w:p>
      <w:pPr>
        <w:spacing w:line="312" w:lineRule="auto" w:after="40"/>
        <w:ind w:firstLine="0"/>
        <w:jc w:val="center"/>
      </w:pPr>
      <w:r>
        <w:rPr>
          <w:rFonts w:ascii="Arial" w:hAnsi="Arial" w:eastAsia="Arial" w:cs="Arial"/>
          <w:b/>
          <w:color w:val="000000"/>
          <w:sz w:val="24"/>
        </w:rPr>
        <w:t>FACULDADE DE TECNOLOGIA DE FRANCA</w:t>
      </w:r>
    </w:p>
    <w:p>
      <w:pPr>
        <w:spacing w:line="312" w:lineRule="auto" w:after="50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Dr. Thomaz Novelino</w:t>
      </w:r>
    </w:p>
    <w:p>
      <w:pPr>
        <w:spacing w:line="312" w:lineRule="auto" w:after="64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TECNOLOGIA EM DESENVOLVIMENTO DE</w:t>
        <w:br/>
        <w:t>SOFTWARE MULTIPLATAFORMA</w:t>
      </w:r>
    </w:p>
    <w:p>
      <w:pPr>
        <w:spacing w:line="312" w:lineRule="auto" w:after="14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ANA JÚLIA ALVES MOTA</w:t>
      </w:r>
    </w:p>
    <w:p>
      <w:pPr>
        <w:spacing w:line="312" w:lineRule="auto" w:after="14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LAUANE GABRIELA DE ARAÚJO TOLEDO</w:t>
      </w:r>
    </w:p>
    <w:p>
      <w:pPr>
        <w:spacing w:line="312" w:lineRule="auto" w:after="124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PEDRO HENRIQUE CINTRA SILVA</w:t>
      </w:r>
    </w:p>
    <w:p>
      <w:pPr>
        <w:pStyle w:val="Title"/>
        <w:spacing w:line="312" w:lineRule="auto" w:after="180"/>
        <w:ind w:firstLine="0"/>
        <w:jc w:val="center"/>
      </w:pPr>
      <w:r>
        <w:rPr>
          <w:rFonts w:ascii="Arial" w:hAnsi="Arial" w:eastAsia="Arial" w:cs="Arial"/>
          <w:b/>
          <w:color w:val="000000"/>
          <w:sz w:val="28"/>
        </w:rPr>
        <w:t>DOEFÁCIL</w:t>
      </w:r>
    </w:p>
    <w:p>
      <w:pPr>
        <w:spacing w:line="312" w:lineRule="auto" w:after="240"/>
        <w:ind w:firstLine="0"/>
        <w:jc w:val="center"/>
      </w:pPr>
      <w:r>
        <w:rPr>
          <w:rFonts w:ascii="Arial" w:hAnsi="Arial" w:eastAsia="Arial" w:cs="Arial"/>
          <w:b/>
          <w:color w:val="000000"/>
          <w:sz w:val="24"/>
        </w:rPr>
        <w:t>DOCUMENTAÇÃO DA SEGUNDA SPRINT</w:t>
      </w:r>
    </w:p>
    <w:p>
      <w:pPr>
        <w:spacing w:line="312" w:lineRule="auto" w:after="32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Sistema multiplataforma para gerenciamento de</w:t>
        <w:br/>
        <w:t>doações em instituições sociais</w:t>
      </w:r>
    </w:p>
    <w:p>
      <w:pPr>
        <w:spacing w:line="312" w:lineRule="auto" w:after="156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6º semestre    Grupo 06</w:t>
      </w:r>
    </w:p>
    <w:p>
      <w:pPr>
        <w:spacing w:line="312" w:lineRule="auto" w:after="6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FRANCA</w:t>
      </w:r>
    </w:p>
    <w:p>
      <w:pPr>
        <w:spacing w:line="312" w:lineRule="auto" w:after="0"/>
        <w:ind w:firstLine="0"/>
        <w:jc w:val="center"/>
      </w:pPr>
      <w:r>
        <w:rPr>
          <w:rFonts w:ascii="Arial" w:hAnsi="Arial" w:eastAsia="Arial" w:cs="Arial"/>
          <w:b w:val="0"/>
          <w:color w:val="000000"/>
          <w:sz w:val="24"/>
        </w:rPr>
        <w:t>2026</w:t>
      </w:r>
    </w:p>
    <w:p>
      <w:pPr>
        <w:sectPr>
          <w:pgSz w:w="11906" w:h="16838"/>
          <w:pgMar w:top="1701" w:right="1134" w:bottom="1134" w:left="1701" w:header="850" w:footer="680" w:gutter="0"/>
          <w:cols w:space="720"/>
          <w:docGrid w:linePitch="360"/>
        </w:sectPr>
      </w:pPr>
    </w:p>
    <w:p>
      <w:pPr>
        <w:spacing w:line="312" w:lineRule="auto" w:after="440"/>
        <w:ind w:firstLine="0"/>
        <w:jc w:val="center"/>
      </w:pPr>
      <w:r>
        <w:rPr>
          <w:rFonts w:ascii="Arial" w:hAnsi="Arial" w:eastAsia="Arial" w:cs="Arial"/>
          <w:b/>
          <w:color w:val="000000"/>
          <w:sz w:val="24"/>
        </w:rPr>
        <w:t>SUMÁRIO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1 INTRODUÇÃO E EVOLUÇÃO DO PROJETO</w:t>
      </w:r>
      <w:r>
        <w:rPr>
          <w:rFonts w:ascii="Arial" w:hAnsi="Arial" w:eastAsia="Arial" w:cs="Arial"/>
          <w:color w:val="000000"/>
        </w:rPr>
        <w:tab/>
        <w:t>1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2 ENDPOINTS BÁSICOS DA API</w:t>
      </w:r>
      <w:r>
        <w:rPr>
          <w:rFonts w:ascii="Arial" w:hAnsi="Arial" w:eastAsia="Arial" w:cs="Arial"/>
          <w:color w:val="000000"/>
        </w:rPr>
        <w:tab/>
        <w:t>2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3 INTEGRAÇÃO DAS APLICAÇÕES</w:t>
      </w:r>
      <w:r>
        <w:rPr>
          <w:rFonts w:ascii="Arial" w:hAnsi="Arial" w:eastAsia="Arial" w:cs="Arial"/>
          <w:color w:val="000000"/>
        </w:rPr>
        <w:tab/>
        <w:t>3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3.1 Aplicativo mobile</w:t>
      </w:r>
      <w:r>
        <w:rPr>
          <w:rFonts w:ascii="Arial" w:hAnsi="Arial" w:eastAsia="Arial" w:cs="Arial"/>
          <w:color w:val="000000"/>
        </w:rPr>
        <w:tab/>
        <w:t>3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3.2 Aplicação web</w:t>
      </w:r>
      <w:r>
        <w:rPr>
          <w:rFonts w:ascii="Arial" w:hAnsi="Arial" w:eastAsia="Arial" w:cs="Arial"/>
          <w:color w:val="000000"/>
        </w:rPr>
        <w:tab/>
        <w:t>3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3.3 Aplicação desktop</w:t>
      </w:r>
      <w:r>
        <w:rPr>
          <w:rFonts w:ascii="Arial" w:hAnsi="Arial" w:eastAsia="Arial" w:cs="Arial"/>
          <w:color w:val="000000"/>
        </w:rPr>
        <w:tab/>
        <w:t>3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4 BANCO DE DADOS IMPLEMENTADO</w:t>
      </w:r>
      <w:r>
        <w:rPr>
          <w:rFonts w:ascii="Arial" w:hAnsi="Arial" w:eastAsia="Arial" w:cs="Arial"/>
          <w:color w:val="000000"/>
        </w:rPr>
        <w:tab/>
        <w:t>4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5 COMPUTAÇÃO EM NUVEM</w:t>
      </w:r>
      <w:r>
        <w:rPr>
          <w:rFonts w:ascii="Arial" w:hAnsi="Arial" w:eastAsia="Arial" w:cs="Arial"/>
          <w:color w:val="000000"/>
        </w:rPr>
        <w:tab/>
        <w:t>5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5.1 Verificação da conexão com o banco</w:t>
      </w:r>
      <w:r>
        <w:rPr>
          <w:rFonts w:ascii="Arial" w:hAnsi="Arial" w:eastAsia="Arial" w:cs="Arial"/>
          <w:color w:val="000000"/>
        </w:rPr>
        <w:tab/>
        <w:t>6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6 MINERAÇÃO DE DADOS</w:t>
      </w:r>
      <w:r>
        <w:rPr>
          <w:rFonts w:ascii="Arial" w:hAnsi="Arial" w:eastAsia="Arial" w:cs="Arial"/>
          <w:color w:val="000000"/>
        </w:rPr>
        <w:tab/>
        <w:t>7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6.1 Agrupamento preliminar e resultados</w:t>
      </w:r>
      <w:r>
        <w:rPr>
          <w:rFonts w:ascii="Arial" w:hAnsi="Arial" w:eastAsia="Arial" w:cs="Arial"/>
          <w:color w:val="000000"/>
        </w:rPr>
        <w:tab/>
        <w:t>8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7 TESTES E VALIDAÇÕES</w:t>
      </w:r>
      <w:r>
        <w:rPr>
          <w:rFonts w:ascii="Arial" w:hAnsi="Arial" w:eastAsia="Arial" w:cs="Arial"/>
          <w:color w:val="000000"/>
        </w:rPr>
        <w:tab/>
        <w:t>9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8 PARTICIPAÇÃO E CONTROLE DE VERSÃO</w:t>
      </w:r>
      <w:r>
        <w:rPr>
          <w:rFonts w:ascii="Arial" w:hAnsi="Arial" w:eastAsia="Arial" w:cs="Arial"/>
          <w:color w:val="000000"/>
        </w:rPr>
        <w:tab/>
        <w:t>10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9 PENDÊNCIAS E PRÓXIMAS ETAPAS</w:t>
      </w:r>
      <w:r>
        <w:rPr>
          <w:rFonts w:ascii="Arial" w:hAnsi="Arial" w:eastAsia="Arial" w:cs="Arial"/>
          <w:color w:val="000000"/>
        </w:rPr>
        <w:tab/>
        <w:t>11</w:t>
      </w:r>
    </w:p>
    <w:p>
      <w:pPr>
        <w:tabs>
          <w:tab w:pos="8957" w:val="right" w:leader="dot"/>
        </w:tabs>
        <w:spacing w:after="160"/>
        <w:ind w:firstLine="0"/>
      </w:pPr>
      <w:r>
        <w:rPr>
          <w:rFonts w:ascii="Arial" w:hAnsi="Arial" w:eastAsia="Arial" w:cs="Arial"/>
          <w:color w:val="000000"/>
        </w:rPr>
        <w:t>REFERÊNCIAS</w:t>
      </w:r>
      <w:r>
        <w:rPr>
          <w:rFonts w:ascii="Arial" w:hAnsi="Arial" w:eastAsia="Arial" w:cs="Arial"/>
          <w:color w:val="000000"/>
        </w:rPr>
        <w:tab/>
        <w:t>12</w:t>
      </w:r>
    </w:p>
    <w:p>
      <w:pPr>
        <w:sectPr>
          <w:headerReference w:type="default" r:id="rId9"/>
          <w:footerReference w:type="default" r:id="rId10"/>
          <w:pgSz w:w="11906" w:h="16838"/>
          <w:pgMar w:top="1701" w:right="1134" w:bottom="1134" w:left="1701" w:header="850" w:footer="680" w:gutter="0"/>
          <w:cols w:space="720"/>
          <w:docGrid w:linePitch="360"/>
        </w:sectPr>
      </w:pPr>
    </w:p>
    <w:p>
      <w:pPr>
        <w:pStyle w:val="Heading1"/>
        <w:pageBreakBefore w:val="0"/>
        <w:jc w:val="left"/>
      </w:pPr>
      <w:r>
        <w:rPr>
          <w:rFonts w:ascii="Arial" w:hAnsi="Arial" w:eastAsia="Arial" w:cs="Arial"/>
          <w:color w:val="000000"/>
        </w:rPr>
        <w:t>1 INTRODUÇÃO E EVOLUÇÃO DO PROJETO</w:t>
      </w:r>
    </w:p>
    <w:p>
      <w:pPr>
        <w:jc w:val="both"/>
      </w:pPr>
      <w:r>
        <w:rPr>
          <w:rFonts w:ascii="Arial" w:hAnsi="Arial" w:eastAsia="Arial" w:cs="Arial"/>
          <w:color w:val="000000"/>
        </w:rPr>
        <w:t>Nesta segunda Sprint, avançamos da estrutura inicial do DoeFácil para uma versão com operações persistidas no banco de dados. O doador já consegue se cadastrar, entrar no aplicativo e cadastrar, consultar, editar e cancelar suas doações. A aplicação web utiliza a API para gerenciar campanhas.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Mantivemos o escopo de atendimento a uma instituição social. O projeto continua sem pagamentos, serviço de entrega ou cadastro de informações sensíveis dos beneficiários. A integração completa do desktop e do controle de estoque permanece para as próximas etapas.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Este relatório reúne o estado da branch main consultado em 15/10/2026, no commit f9e69c4. A configuração do banco em nuvem foi realizada em 13/10/2026 e está documentada com capturas de tela do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Entrega da Sprint 2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Situação registrada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Endpoints básicos da API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Cadastro e login; CRUD de campanhas e de doações.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Integração com o front-end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Mobile e web fazem requisições à API; desktop ainda estático.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Banco implementado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PostgreSQL com oito tabelas e dados de teste.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Participação no GitHub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Commits de Lauane, Ana Júlia e Pedro integrados à main.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Ambiente em nuvem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PostgreSQL no Neon acessado pela API local.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Mineração inicial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Pré-processamento e K-Means com 1.023 instituições.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Documentação intermediária</w:t>
            </w:r>
          </w:p>
        </w:tc>
        <w:tc>
          <w:tcPr>
            <w:tcW w:type="dxa" w:w="56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Descrição das implementações, trechos de código, resultados e prints.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As seções seguintes descrevem as operações disponíveis e os resultados registrados. As funcionalidades ainda incompletas são relacionadas ao final para orientar a continuidade do projeto.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2 ENDPOINTS BÁSICOS DA API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 back-end utiliza Node.js, Express e TypeScript. As rotas compartilham a conexão PostgreSQL configurada em backend/src/db.ts. O middleware proteger valida o token JWT e, quando necessário, o perfil do usuário.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175"/>
        <w:gridCol w:w="4706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Método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Rota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0"/>
              </w:rPr>
              <w:t>Operação e acesso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/api/auth/cadastro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Cria uma conta de doador.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/api/auth/login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Valida as credenciais e retorna o token.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/api/campanhas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Lista campanhas não canceladas; consulta pública.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/api/campanhas/:id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Consulta uma campanha não cancelada.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/api/campanhas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Cria uma campanha; administrador.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/api/campanhas/:id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Edita uma campanha; administrador.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/api/campanhas/:id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Cancela uma campanha; administrador.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/api/doacoes/minhas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Consulta somente as doações do doador autenticado.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/api/doacoes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Cadastra uma doação com seus itens; doador.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/api/doacoes/:id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Edita uma doação própria ainda CADASTRADA.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/api/doacoes/:id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Cancela uma doação própria ainda CADASTRADA.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/api/itens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Consulta os itens cadastrados.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/api/status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Confere a resposta da aplicação.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/api/health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0"/>
              </w:rPr>
              <w:t>Verifica se o banco responde à API.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Os cancelamentos mantêm o registro com status CANCELADA. No cadastro e na edição de doações, usamos transações para salvar a doação e os itens em conjunto. Uma falha provoca ROLLBACK. O back-end também valida quantidades positivas e impede alterações em doações recebidas ou canceladas.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As senhas são armazenadas como hash bcrypt. O cadastro público sempre atribui o perfil DOADOR. O código das rotas está em backend/src/routes/auth.ts, campanhas.ts e doacoes.ts.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3 INTEGRAÇÃO DAS APLICAÇÕES</w:t>
      </w:r>
    </w:p>
    <w:p>
      <w:pPr>
        <w:pStyle w:val="Heading2"/>
      </w:pPr>
      <w:r>
        <w:rPr>
          <w:rFonts w:ascii="Arial" w:hAnsi="Arial" w:eastAsia="Arial" w:cs="Arial"/>
          <w:color w:val="000000"/>
        </w:rPr>
        <w:t>3.1 Aplicativo mobile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 aplicativo utiliza React Native, Expo SDK 57 e TypeScript. As telas de acesso e cadastro estão em DoacoesSprint2.tsx; o formulário e o histórico de doações estão em PainelDoacoes.tsx. O token é armazenado com expo-secure-store e enviado no cabeçalho Authorization.</w:t>
      </w:r>
    </w:p>
    <w:p>
      <w:pPr>
        <w:keepLines/>
        <w:spacing w:line="264" w:lineRule="auto" w:after="140"/>
        <w:ind w:firstLine="0" w:left="113" w:right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const [listaItens, listaDoacoes] = await Promise.all([</w:t>
        <w:br/>
        <w:t xml:space="preserve">  api("/itens", { signal }),</w:t>
        <w:br/>
        <w:t xml:space="preserve">  api("/doacoes/minhas", { signal })</w:t>
        <w:br/>
        <w:t>]);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Fonte: mobile/src/components/PainelDoacoes.tsx.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 formulário envia POST para cadastrar e PUT para editar. O cancelamento utiliza DELETE e preserva o histórico. A lista pode ser atualizada para consultar novamente os registros do servidor. O serviço de API trata falhas de conexão e limita a espera a 12 segundos.</w:t>
      </w:r>
    </w:p>
    <w:p>
      <w:pPr>
        <w:pStyle w:val="Heading2"/>
      </w:pPr>
      <w:r>
        <w:rPr>
          <w:rFonts w:ascii="Arial" w:hAnsi="Arial" w:eastAsia="Arial" w:cs="Arial"/>
          <w:color w:val="000000"/>
        </w:rPr>
        <w:t>3.2 Aplicação web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aplicação React com Vite incorpora CampanhasSprint2.tsx ao painel administrativo. O componente consulta as campanhas e permite ao administrador criar, editar e cancelar registros. O endereço da API é configurado por VITE_API_URL; o token é mantido em sessionStorage.</w:t>
      </w:r>
    </w:p>
    <w:p>
      <w:pPr>
        <w:keepLines/>
        <w:spacing w:line="264" w:lineRule="auto" w:after="140"/>
        <w:ind w:firstLine="0" w:left="113" w:right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await api(id ? "/campanhas/" + id : "/campanhas", {</w:t>
        <w:br/>
        <w:t xml:space="preserve">  method: id ? "PUT" : "POST",</w:t>
        <w:br/>
        <w:t xml:space="preserve">  body: JSON.stringify({</w:t>
        <w:br/>
        <w:t xml:space="preserve">    titulo, data_inicio: inicio,</w:t>
        <w:br/>
        <w:t xml:space="preserve">    data_fim: fim || null, status</w:t>
        <w:br/>
        <w:t xml:space="preserve">  })</w:t>
        <w:br/>
        <w:t>});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O trecho acima apresenta a chamada de salvamento de campanhas, com a concatenação da rota e as linhas reorganizadas para leitura. A implementação está em frontend-web/src/components/CampanhasSprint2.tsx.</w:t>
      </w:r>
    </w:p>
    <w:p>
      <w:pPr>
        <w:pStyle w:val="Heading2"/>
      </w:pPr>
      <w:r>
        <w:rPr>
          <w:rFonts w:ascii="Arial" w:hAnsi="Arial" w:eastAsia="Arial" w:cs="Arial"/>
          <w:color w:val="000000"/>
        </w:rPr>
        <w:t>3.3 Aplicação desktop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 desktop utiliza React, Vite e Electron. Nesta versão, a tela de recebimentos ainda mostra dados fixos definidos no componente App.tsx. O registro de recebimento e a integração com o estoque ainda não foram implementados.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4 BANCO DE DADOS IMPLEMENTADO</w:t>
      </w:r>
    </w:p>
    <w:p>
      <w:pPr>
        <w:jc w:val="both"/>
      </w:pPr>
      <w:r>
        <w:rPr>
          <w:rFonts w:ascii="Arial" w:hAnsi="Arial" w:eastAsia="Arial" w:cs="Arial"/>
          <w:color w:val="000000"/>
        </w:rPr>
        <w:t>Implementamos o modelo relacional em PostgreSQL. O arquivo database/modelo-logico.sql cria as tabelas, chaves primárias, relacionamentos e restrições. O arquivo database/seed.sql insere os dados fictícios utilizados nos testes.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Tabela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Finalidade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usuario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Contas de doador, funcionário e administrador.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campanha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Campanhas de arrecadação e sua situação.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categoria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Categorias dos itens recebidos.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item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Itens, unidade de medida e estoque mínimo.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doacao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Doador, campanha, situação e observação da doação.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item_doacao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Relação dos itens e das quantidades em cada doação.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movimentacao_estoque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Estrutura para entradas e saídas dos itens.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notificacao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Estrutura para notificações dos usuários.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O seed inclui usuários dos três perfis, uma campanha de alimentos, duas categorias, dois itens e uma doação inicial. A presença de tabelas de estoque e notificação representa a estrutura prevista; seus fluxos completos ainda não estão disponíveis na aplicação.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402"/>
        <w:gridCol w:w="2268"/>
        <w:gridCol w:w="2665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ID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Item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Unidade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Estoque mínimo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Arroz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kg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5,00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Sabonete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unidade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10,00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Para conferir os itens, executamos a consulta:</w:t>
      </w:r>
    </w:p>
    <w:p>
      <w:pPr>
        <w:keepLines/>
        <w:spacing w:line="264" w:lineRule="auto" w:after="140"/>
        <w:ind w:firstLine="0" w:left="113" w:right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SELECT nome, unidade_medida</w:t>
        <w:br/>
        <w:t>FROM item</w:t>
        <w:br/>
        <w:t>ORDER BY id_item;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configuração local também está disponível em docker-compose.yml, com a imagem postgres:17 e uma porta de acesso configurável. Na nuvem, criamos a mesma estrutura e executamos o seed no Neon. Os dados de mineração são mantidos em arquivos separados do banco operacional.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5 COMPUTAÇÃO EM NUVEM</w:t>
      </w:r>
    </w:p>
    <w:p>
      <w:pPr>
        <w:ind w:firstLine="0"/>
        <w:jc w:val="both"/>
      </w:pPr>
      <w:r>
        <w:rPr>
          <w:rFonts w:ascii="Arial" w:hAnsi="Arial" w:eastAsia="Arial" w:cs="Arial"/>
          <w:color w:val="000000"/>
        </w:rPr>
        <w:t>Em 13/10/2026, configuramos o projeto doefacil no plano Free do Neon, na região AWS US East 2 (Ohio), com o banco neondb. O grupo utiliza o serviço do Neon. A API continua em execução local na porta 3000.</w:t>
      </w:r>
    </w:p>
    <w:p>
      <w:pPr>
        <w:pStyle w:val="Caption"/>
        <w:keepNext/>
        <w:jc w:val="left"/>
      </w:pPr>
      <w:r>
        <w:rPr>
          <w:rFonts w:ascii="Arial" w:hAnsi="Arial" w:eastAsia="Arial" w:cs="Arial"/>
          <w:color w:val="000000"/>
        </w:rPr>
        <w:t>Figura 1 - Projeto doefacil e configuração inicial no Neon</w:t>
      </w:r>
    </w:p>
    <w:p>
      <w:pPr>
        <w:keepNext/>
        <w:spacing w:before="0" w:after="40" w:line="240" w:lineRule="auto"/>
        <w:ind w:firstLine="0"/>
        <w:jc w:val="center"/>
      </w:pPr>
      <w:r>
        <w:rPr>
          <w:rFonts w:ascii="Arial" w:hAnsi="Arial" w:eastAsia="Arial" w:cs="Arial"/>
          <w:color w:val="000000"/>
        </w:rPr>
        <w:drawing>
          <wp:inline xmlns:a="http://schemas.openxmlformats.org/drawingml/2006/main" xmlns:pic="http://schemas.openxmlformats.org/drawingml/2006/picture">
            <wp:extent cx="5400000" cy="3037500"/>
            <wp:docPr id="1" name="Picture 1" descr="Figura 1 - Projeto doefacil e configuração inicial no Ne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n-proj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</w:pPr>
      <w:r>
        <w:rPr>
          <w:rFonts w:ascii="Arial" w:hAnsi="Arial" w:eastAsia="Arial" w:cs="Arial"/>
          <w:color w:val="000000"/>
        </w:rPr>
        <w:t>Fonte: captura de tela do grupo (13/10/2026).</w:t>
      </w:r>
    </w:p>
    <w:p>
      <w:pPr>
        <w:pStyle w:val="Caption"/>
        <w:keepNext/>
        <w:jc w:val="left"/>
      </w:pPr>
      <w:r>
        <w:rPr>
          <w:rFonts w:ascii="Arial" w:hAnsi="Arial" w:eastAsia="Arial" w:cs="Arial"/>
          <w:color w:val="000000"/>
        </w:rPr>
        <w:t>Figura 2 - Oito tabelas e campanha de teste no banco neondb</w:t>
      </w:r>
    </w:p>
    <w:p>
      <w:pPr>
        <w:keepNext/>
        <w:spacing w:before="0" w:after="40" w:line="240" w:lineRule="auto"/>
        <w:ind w:firstLine="0"/>
        <w:jc w:val="center"/>
      </w:pPr>
      <w:r>
        <w:rPr>
          <w:rFonts w:ascii="Arial" w:hAnsi="Arial" w:eastAsia="Arial" w:cs="Arial"/>
          <w:color w:val="000000"/>
        </w:rPr>
        <w:drawing>
          <wp:inline xmlns:a="http://schemas.openxmlformats.org/drawingml/2006/main" xmlns:pic="http://schemas.openxmlformats.org/drawingml/2006/picture">
            <wp:extent cx="5400000" cy="3037500"/>
            <wp:docPr id="2" name="Picture 2" descr="Figura 2 - Oito tabelas e campanha de teste no banco neond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n-tabel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</w:pPr>
      <w:r>
        <w:rPr>
          <w:rFonts w:ascii="Arial" w:hAnsi="Arial" w:eastAsia="Arial" w:cs="Arial"/>
          <w:color w:val="000000"/>
        </w:rPr>
        <w:t>Fonte: captura de tela do grupo (13/10/2026).</w:t>
      </w:r>
    </w:p>
    <w:p>
      <w:pPr>
        <w:pStyle w:val="Heading2"/>
        <w:pageBreakBefore/>
        <w:jc w:val="left"/>
      </w:pPr>
      <w:r>
        <w:rPr>
          <w:rFonts w:ascii="Arial" w:hAnsi="Arial" w:eastAsia="Arial" w:cs="Arial"/>
          <w:color w:val="000000"/>
        </w:rPr>
        <w:t>5.1 Verificação da conexão com o banco</w:t>
      </w:r>
    </w:p>
    <w:p>
      <w:pPr>
        <w:ind w:firstLine="0"/>
        <w:jc w:val="both"/>
      </w:pPr>
      <w:r>
        <w:rPr>
          <w:rFonts w:ascii="Arial" w:hAnsi="Arial" w:eastAsia="Arial" w:cs="Arial"/>
          <w:color w:val="000000"/>
        </w:rPr>
        <w:t>A API utiliza DATABASE_URL no arquivo local backend/.env, que está ignorado pelo Git. Após configurar a conexão do Neon e iniciar a API, /api/health retornou banco conectado e /api/itens retornou Arroz e Sabonete. As credenciais não estão incluídas no relatório.</w:t>
      </w:r>
    </w:p>
    <w:p>
      <w:pPr>
        <w:pStyle w:val="Caption"/>
        <w:keepNext/>
        <w:jc w:val="left"/>
      </w:pPr>
      <w:r>
        <w:rPr>
          <w:rFonts w:ascii="Arial" w:hAnsi="Arial" w:eastAsia="Arial" w:cs="Arial"/>
          <w:color w:val="000000"/>
        </w:rPr>
        <w:t>Figura 3 - Consulta SQL dos itens de teste no Neon</w:t>
      </w:r>
    </w:p>
    <w:p>
      <w:pPr>
        <w:keepNext/>
        <w:spacing w:before="0" w:after="40" w:line="240" w:lineRule="auto"/>
        <w:ind w:firstLine="0"/>
        <w:jc w:val="center"/>
      </w:pPr>
      <w:r>
        <w:rPr>
          <w:rFonts w:ascii="Arial" w:hAnsi="Arial" w:eastAsia="Arial" w:cs="Arial"/>
          <w:color w:val="000000"/>
        </w:rPr>
        <w:drawing>
          <wp:inline xmlns:a="http://schemas.openxmlformats.org/drawingml/2006/main" xmlns:pic="http://schemas.openxmlformats.org/drawingml/2006/picture">
            <wp:extent cx="5400000" cy="3037500"/>
            <wp:docPr id="3" name="Picture 3" descr="Figura 3 - Consulta SQL dos itens de teste no Ne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n-it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</w:pPr>
      <w:r>
        <w:rPr>
          <w:rFonts w:ascii="Arial" w:hAnsi="Arial" w:eastAsia="Arial" w:cs="Arial"/>
          <w:color w:val="000000"/>
        </w:rPr>
        <w:t>Fonte: captura de tela do grupo (13/10/2026).</w:t>
      </w:r>
    </w:p>
    <w:p>
      <w:pPr>
        <w:pStyle w:val="Caption"/>
        <w:keepNext/>
        <w:jc w:val="left"/>
      </w:pPr>
      <w:r>
        <w:rPr>
          <w:rFonts w:ascii="Arial" w:hAnsi="Arial" w:eastAsia="Arial" w:cs="Arial"/>
          <w:color w:val="000000"/>
        </w:rPr>
        <w:t>Figura 4 - Resposta da API local conectada ao banco em nuvem</w:t>
      </w:r>
    </w:p>
    <w:p>
      <w:pPr>
        <w:keepNext/>
        <w:spacing w:before="0" w:after="40" w:line="240" w:lineRule="auto"/>
        <w:ind w:firstLine="0"/>
        <w:jc w:val="center"/>
      </w:pPr>
      <w:r>
        <w:rPr>
          <w:rFonts w:ascii="Arial" w:hAnsi="Arial" w:eastAsia="Arial" w:cs="Arial"/>
          <w:color w:val="000000"/>
        </w:rPr>
        <w:drawing>
          <wp:inline xmlns:a="http://schemas.openxmlformats.org/drawingml/2006/main" xmlns:pic="http://schemas.openxmlformats.org/drawingml/2006/picture">
            <wp:extent cx="5580000" cy="2362265"/>
            <wp:docPr id="4" name="Picture 4" descr="Figura 4 - Resposta da API local conectada ao banco em nuv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it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</w:pPr>
      <w:r>
        <w:rPr>
          <w:rFonts w:ascii="Arial" w:hAnsi="Arial" w:eastAsia="Arial" w:cs="Arial"/>
          <w:color w:val="000000"/>
        </w:rPr>
        <w:t>Fonte: captura de tela do grupo (13/10/2026).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O planejamento inicial previa serviços AWS. A necessidade de cartão no cadastro levou à escolha do Neon. O ambiente entregue é parcial: a publicação da API, a recuperação de falhas e uma arquitetura completa de alta disponibilidade ainda precisam ser trabalhadas. A configuração detalhada está em docs/sprint2/nuvem.md.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6 MINERAÇÃO DE DADOS</w:t>
      </w:r>
    </w:p>
    <w:p>
      <w:pPr>
        <w:jc w:val="both"/>
      </w:pPr>
      <w:r>
        <w:rPr>
          <w:rFonts w:ascii="Arial" w:hAnsi="Arial" w:eastAsia="Arial" w:cs="Arial"/>
          <w:color w:val="000000"/>
        </w:rPr>
        <w:t>Para iniciar a mineração, utilizamos a base real Give Food, que contém cadastros de bancos de alimentos do Reino Unido. O arquivo givefoodbasededados.json já estava no repositório e foi incorporado ao Git em 01/09/2026. Essa é a data do commit; a data da coleta original não foi registrada.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análise desta Sprint busca identificar grupos de instituições conforme sua localização. A base externa permite exercitar as etapas de preparação e modelagem enquanto o DoeFácil ainda não possui um histórico suficiente de doações. Os resultados não representam a demanda de uma instituição de Franca.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1984"/>
      </w:tblGrid>
      <w:tr>
        <w:trPr>
          <w:cantSplit/>
          <w:tblHeader/>
        </w:trPr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Verificação do pré-processamento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Quantidade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Registros brutos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1.023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Duplicados por identificador removidos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Registros fechados ou inválidos removidos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Registros mantidos na base tratada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1.023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No script mining/tratar.py, lemos o JSON com pandas, verificamos duplicidade pelo campo id, separamos latitude e longitude, convertemos as coordenadas para valores numéricos e retiramos espaços das extremidades dos nomes.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 filtro mantém instituições abertas, com nome preenchido e coordenadas dentro dos limites válidos. Selecionamos id, name, country, latitude e longitude para gerar mining/data/instituicoes_tratadas.csv. O arquivo mining/outputs/tratamento.json registra as contagens e o hash do arquivo de origem.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Nesta base, as verificações não exigiram a exclusão de linhas. O pré-processamento ainda foi necessário para transformar a estrutura do JSON e preparar as variáveis numéricas utilizadas no agrupamento.</w:t>
      </w:r>
    </w:p>
    <w:p>
      <w:pPr>
        <w:keepLines/>
        <w:spacing w:line="264" w:lineRule="auto" w:after="140"/>
        <w:ind w:firstLine="0" w:left="113" w:right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coordenadas = df["lat_lng"].str.split(",", n=1, expand=True)</w:t>
        <w:br/>
        <w:t>df["latitude"] = pd.to_numeric(coordenadas[0], errors="coerce")</w:t>
        <w:br/>
        <w:t>df["longitude"] = pd.to_numeric(coordenadas[1], errors="coerce")</w:t>
        <w:br/>
        <w:t>df["name"] = df["name"].fillna("").str.strip()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Fonte: mining/tratar.py.</w:t>
      </w:r>
    </w:p>
    <w:p>
      <w:pPr>
        <w:pStyle w:val="Heading2"/>
        <w:pageBreakBefore/>
        <w:jc w:val="left"/>
      </w:pPr>
      <w:r>
        <w:rPr>
          <w:rFonts w:ascii="Arial" w:hAnsi="Arial" w:eastAsia="Arial" w:cs="Arial"/>
          <w:color w:val="000000"/>
        </w:rPr>
        <w:t>6.1 Agrupamento preliminar e resultados</w:t>
      </w:r>
    </w:p>
    <w:p>
      <w:pPr>
        <w:jc w:val="both"/>
      </w:pPr>
      <w:r>
        <w:rPr>
          <w:rFonts w:ascii="Arial" w:hAnsi="Arial" w:eastAsia="Arial" w:cs="Arial"/>
          <w:color w:val="000000"/>
        </w:rPr>
        <w:t>Em mining/cluster.py, aplicamos K-Means às coordenadas padronizadas por StandardScaler, com três grupos, random_state=42 e n_init=10. O treinamento não utiliza classes prontas.</w:t>
      </w:r>
    </w:p>
    <w:p>
      <w:pPr>
        <w:keepLines/>
        <w:spacing w:line="264" w:lineRule="auto" w:after="140"/>
        <w:ind w:firstLine="0" w:left="113" w:right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X = StandardScaler().fit_transform(</w:t>
        <w:br/>
        <w:t xml:space="preserve">    df[["latitude", "longitude"]]</w:t>
        <w:br/>
        <w:t>)</w:t>
        <w:br/>
        <w:t>modelo = KMeans(n_clusters=3, random_state=42, n_init=10)</w:t>
        <w:br/>
        <w:t>df["cluster"] = modelo.fit_predict(X)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Fonte: mining/cluster.py, com a primeira expressão dividida em mais linhas.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Grupo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Instituições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370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62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503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pStyle w:val="Caption"/>
        <w:keepNext/>
        <w:jc w:val="left"/>
      </w:pPr>
      <w:r>
        <w:rPr>
          <w:rFonts w:ascii="Arial" w:hAnsi="Arial" w:eastAsia="Arial" w:cs="Arial"/>
          <w:color w:val="000000"/>
        </w:rPr>
        <w:t>Figura 5 - Agrupamento geográfico preliminar das instituições</w:t>
      </w:r>
    </w:p>
    <w:p>
      <w:pPr>
        <w:keepNext/>
        <w:spacing w:before="0" w:after="40" w:line="240" w:lineRule="auto"/>
        <w:ind w:firstLine="0"/>
        <w:jc w:val="center"/>
      </w:pPr>
      <w:r>
        <w:rPr>
          <w:rFonts w:ascii="Arial" w:hAnsi="Arial" w:eastAsia="Arial" w:cs="Arial"/>
          <w:color w:val="000000"/>
        </w:rPr>
        <w:drawing>
          <wp:inline xmlns:a="http://schemas.openxmlformats.org/drawingml/2006/main" xmlns:pic="http://schemas.openxmlformats.org/drawingml/2006/picture">
            <wp:extent cx="3600000" cy="2700000"/>
            <wp:docPr id="5" name="Picture 5" descr="Figura 5 - Agrupamento geográfico preliminar das institui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</w:pPr>
      <w:r>
        <w:rPr>
          <w:rFonts w:ascii="Arial" w:hAnsi="Arial" w:eastAsia="Arial" w:cs="Arial"/>
          <w:color w:val="000000"/>
        </w:rPr>
        <w:t>Fonte: mining/outputs/clusters.png, gerado pelo script do grupo.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 silhouette de 0,4266 foi calculado nas coordenadas padronizadas. Esse indicador avalia a separação dos grupos e não representa porcentagem de acerto. A avaliação é preliminar.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Esta etapa incluiu seleção da base, preparação, modelagem e avaliação inicial. A comparação com aprendizado supervisionado e a integração ao aplicativo permanecem para a continuidade. O agrupamento não prevê falta de itens nem calcula rotas.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7 TESTES E VALIDAÇÕES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última execução dos testes do back-end registrada pelo grupo apresentou 24 testes aprovados e nenhuma falha. O comando npm test executa a compilação TypeScript e, em seguida, os testes com node:test e Supertest.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794"/>
        <w:gridCol w:w="538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Arquivo de teste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Nº</w:t>
            </w:r>
          </w:p>
        </w:tc>
        <w:tc>
          <w:tcPr>
            <w:tcW w:type="dxa" w:w="538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Principais verificações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auth.test.cjs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8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Cadastro, hash da senha, duplicidade de e-mail e login.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doacoes.test.cjs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538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Login obrigatório, acesso do doador, quantidades, edição e cancelamento.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campanhas.test.cjs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8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Criação sem login e ordem das datas.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status.test.cjs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8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Preservação da rota de status da Sprint 1.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79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538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24 aprovados e 0 falhas na execução registrada.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Os testes de doações também verificam que um usuário não altera a doação de outro e que doações recebidas ou canceladas não podem ser editadas. O cancelamento deve preservar o histórico. Esses testes acompanham as regras implementadas no back-end.</w:t>
      </w:r>
    </w:p>
    <w:p>
      <w:pPr>
        <w:keepLines/>
        <w:spacing w:line="264" w:lineRule="auto" w:after="140"/>
        <w:ind w:firstLine="0" w:left="113" w:right="0"/>
        <w:jc w:val="left"/>
      </w:pPr>
      <w:r>
        <w:rPr>
          <w:rFonts w:ascii="Courier New" w:hAnsi="Courier New" w:eastAsia="Courier New" w:cs="Courier New"/>
          <w:color w:val="000000"/>
          <w:sz w:val="19"/>
        </w:rPr>
        <w:t>assert.equal(resposta.status, 201);</w:t>
        <w:br/>
        <w:t>assert.equal(resposta.body.usuario.perfil, "DOADOR");</w:t>
        <w:br/>
        <w:t>assert.equal(resposta.body.usuario.senha_hash, undefined);</w:t>
        <w:br/>
        <w:t>assert.equal(resposta.body.usuario.senha, undefined);</w:t>
      </w:r>
    </w:p>
    <w:p>
      <w:pPr>
        <w:spacing w:line="240" w:lineRule="auto"/>
        <w:ind w:firstLine="0"/>
        <w:jc w:val="left"/>
      </w:pPr>
      <w:r>
        <w:rPr>
          <w:rFonts w:ascii="Arial" w:hAnsi="Arial" w:eastAsia="Arial" w:cs="Arial"/>
          <w:color w:val="000000"/>
          <w:sz w:val="20"/>
        </w:rPr>
        <w:t>Fonte: backend/tests/auth.test.cjs.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No front-end web, o comando npm run build concluiu a verificação TypeScript e a geração da aplicação com Vite. No mobile, o grupo executou as verificações do Expo e do TypeScript durante a preparação e confirmou o cadastro de doações e a atualização da lista no aparelho.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evidência da nuvem comprova a leitura do banco pela API local. Ela não comprova, sozinha, que todos os fluxos de escrita foram repetidos depois da mudança para o Neon. Antes da apresentação, é necessário repetir o roteiro funcional no ambiente que será demonstrado.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quantidade de testes aprovados não representa cobertura de todo o sistema. Ainda faltam testes dos fluxos completos de campanhas, das interfaces e das funcionalidades de estoque e recebimento que serão implementadas.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8 PARTICIPAÇÃO E CONTROLE DE VERSÃO</w:t>
      </w:r>
    </w:p>
    <w:p>
      <w:pPr>
        <w:jc w:val="both"/>
      </w:pPr>
      <w:r>
        <w:rPr>
          <w:rFonts w:ascii="Arial" w:hAnsi="Arial" w:eastAsia="Arial" w:cs="Arial"/>
          <w:color w:val="000000"/>
        </w:rPr>
        <w:t>Utilizamos branches por integrante e integramos os resultados à main após as verificações. O histórico contém commits dos três integrantes. A autoria foi preservada nas integrações das branches de Pedro, Lauane e Ana Júlia.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Integrante</w:t>
            </w:r>
          </w:p>
        </w:tc>
        <w:tc>
          <w:tcPr>
            <w:tcW w:type="dxa" w:w="595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Contribuições registradas nesta etapa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Pedro Henrique Cintra Silva</w:t>
            </w:r>
          </w:p>
        </w:tc>
        <w:tc>
          <w:tcPr>
            <w:tcW w:type="dxa" w:w="595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Configuração do PostgreSQL com Docker, seed e estrutura compartilhada da API.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Lauane Gabriela de Araújo Toledo</w:t>
            </w:r>
          </w:p>
        </w:tc>
        <w:tc>
          <w:tcPr>
            <w:tcW w:type="dxa" w:w="595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Autenticação, doações no back-end e mobile, testes e configuração/documentação do Neon.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Ana Júlia Alves Mota</w:t>
            </w:r>
          </w:p>
        </w:tc>
        <w:tc>
          <w:tcPr>
            <w:tcW w:type="dxa" w:w="595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CRUD de campanhas, integração web, pré-processamento e agrupamento inicial.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Alguns commits que permitem localizar as entregas: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871"/>
        <w:gridCol w:w="5783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Commit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Autoria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FEFEF"/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/>
                <w:color w:val="000000"/>
                <w:sz w:val="21"/>
              </w:rPr>
              <w:t>Entrega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bb38f37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Pedro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PostgreSQL e dados de teste.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1a16198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Pedro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Conexão PostgreSQL e organização da API.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9946006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Lauane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Edição e cancelamento no mobile.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f9e69c4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Lauane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Documentação do Neon com evidências.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270f417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Ana Júlia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Cluster preliminar e resultados.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85e3693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Ana Júlia</w:t>
            </w:r>
          </w:p>
        </w:tc>
        <w:tc>
          <w:tcPr>
            <w:tcW w:type="dxa" w:w="57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9" w:lineRule="auto" w:before="40" w:after="40"/>
              <w:ind w:firstLine="0"/>
              <w:jc w:val="left"/>
            </w:pPr>
            <w:r>
              <w:rPr>
                <w:b w:val="0"/>
                <w:color w:val="000000"/>
                <w:sz w:val="21"/>
              </w:rPr>
              <w:t>Criação, edição e cancelamento de campanhas no web.</w:t>
            </w:r>
          </w:p>
        </w:tc>
      </w:tr>
    </w:tbl>
    <w:p>
      <w:pPr>
        <w:spacing w:after="40" w:line="240" w:lineRule="auto" w:before="0"/>
        <w:ind w:firstLine="0"/>
      </w:pPr>
      <w:r>
        <w:rPr>
          <w:rFonts w:ascii="Arial" w:hAnsi="Arial" w:eastAsia="Arial" w:cs="Arial"/>
          <w:color w:val="000000"/>
          <w:sz w:val="6"/>
        </w:rPr>
      </w:r>
    </w:p>
    <w:p>
      <w:pPr>
        <w:jc w:val="both"/>
      </w:pPr>
      <w:r>
        <w:rPr>
          <w:rFonts w:ascii="Arial" w:hAnsi="Arial" w:eastAsia="Arial" w:cs="Arial"/>
          <w:color w:val="000000"/>
        </w:rPr>
        <w:t>Esta versão consolida as implementações integradas à main até o commit f9e69c4.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Os arquivos de documentação já disponíveis são docs/sprint2/nuvem.md e docs/sprint2/mineracao.md. Os scripts e resultados de mineração estão na pasta mining. O arquivo .env permanece fora do versionamento.</w:t>
      </w:r>
    </w:p>
    <w:p>
      <w:pPr>
        <w:ind w:firstLine="0"/>
        <w:jc w:val="left"/>
      </w:pPr>
      <w:r>
        <w:rPr>
          <w:rFonts w:ascii="Arial" w:hAnsi="Arial" w:eastAsia="Arial" w:cs="Arial"/>
          <w:color w:val="000000"/>
        </w:rPr>
        <w:t>Repositório: https://github.com/FatecFranca/DSM-G06-PI6-2026-2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9 PENDÊNCIAS E PRÓXIMAS ETAPAS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 versão intermediária já reúne operações da API, banco com dados de teste, integração parcial das interfaces, mineração inicial e banco em nuvem. O desenvolvimento restante deve avançar sobre os fluxos ainda incompletos.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1. Repetir a demonstração com o banco configurado no Neon: cadastrar e entrar como doador, cadastrar uma doação, atualizar a lista, editar a quantidade e cancelar o registro.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2. Conferir o fluxo de campanhas no web com uma conta administradora: criar, consultar, editar e cancelar. Os testes atuais de campanhas cobrem somente duas regras.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3. Integrar o desktop à API para confirmar o recebimento de doações e registrar entradas no estoque.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4. Implementar consulta de estoque, saídas de itens e validações de movimentação. A rota backend/src/routes/estoque.ts ainda exporta um Router sem endpoints.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5. Implementar a mensageria para eventos e notificações. A tabela notificacao já existe, mas não há integração com um broker na versão consultada.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6. Publicar a API e atualizar os endereços utilizados pelas aplicações. Documentar backups, recuperação e medidas de disponibilidade conforme os serviços escolhidos.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7. Evoluir a mineração com comparação de agrupamentos e um experimento supervisionado. Definir a variável-alvo e a avaliação antes de apresentar o resultado como uma solução do projeto.</w:t>
      </w:r>
    </w:p>
    <w:p>
      <w:pPr>
        <w:ind w:left="283" w:hanging="283"/>
        <w:jc w:val="left"/>
      </w:pPr>
      <w:r>
        <w:rPr>
          <w:rFonts w:ascii="Arial" w:hAnsi="Arial" w:eastAsia="Arial" w:cs="Arial"/>
          <w:color w:val="000000"/>
        </w:rPr>
        <w:t>8. Atualizar a documentação a cada avanço e guardar evidências de testes e dos fluxos executados nas três plataformas.</w:t>
      </w:r>
    </w:p>
    <w:p>
      <w:pPr>
        <w:jc w:val="both"/>
      </w:pPr>
      <w:r>
        <w:rPr>
          <w:rFonts w:ascii="Arial" w:hAnsi="Arial" w:eastAsia="Arial" w:cs="Arial"/>
          <w:color w:val="000000"/>
        </w:rPr>
        <w:t>As exigências de mensageria, armazenamento em grande escala e disponibilidade fazem parte do trabalho do semestre e ainda precisam de implementação ou demonstração própria. O banco relacional criado e a base de 1.023 registros, por si só, não demonstram armazenamento em grande escala.</w:t>
      </w:r>
    </w:p>
    <w:p>
      <w:pPr>
        <w:pStyle w:val="Heading1"/>
        <w:pageBreakBefore/>
        <w:jc w:val="left"/>
      </w:pPr>
      <w:r>
        <w:rPr>
          <w:rFonts w:ascii="Arial" w:hAnsi="Arial" w:eastAsia="Arial" w:cs="Arial"/>
          <w:color w:val="000000"/>
        </w:rPr>
        <w:t>REFERÊNCIAS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GRUPO 06. DoeFácil: código-fonte e documentação. 2026. Versão consultada: f9e69c450c7eb1957b871ccf587e277807d526cf. Disponível em: https://github.com/FatecFranca/DSM-G06-PI6-2026-2. Acesso em: 15 out. 2026.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GRUPO 06. Documentação 1ª Sprint - DoeFácil. Franca, 2026. Arquivo disponível na pasta docs do repositório.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GRUPO 06. Computação em Nuvem II: Sprint 2. 2026. Arquivo docs/sprint2/nuvem.md e evidências em docs/sprint2/evidencias.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GRUPO 06. Relatório de Mineração de Dados: Sprint 2. 2026. Arquivos docs/sprint2/mineracao.md, mining/ORIGEM.md, mining/outputs/tratamento.json e mining/outputs/resumo.json.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GIVE FOOD. API. 2026. Disponível em: https://www.givefood.org.uk/api/2/. Acesso em: 15 out. 2026.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NEON. Connect from any application. 2026. Disponível em: https://neon.com/docs/connect/connect-from-any-app. Acesso em: 15 out. 2026.</w:t>
      </w:r>
    </w:p>
    <w:p>
      <w:pPr>
        <w:spacing w:line="240" w:lineRule="auto" w:after="280"/>
        <w:ind w:firstLine="0"/>
        <w:jc w:val="left"/>
      </w:pPr>
      <w:r>
        <w:rPr>
          <w:rFonts w:ascii="Arial" w:hAnsi="Arial" w:eastAsia="Arial" w:cs="Arial"/>
          <w:color w:val="000000"/>
        </w:rPr>
        <w:t>SCIKIT-LEARN. KMeans. 2026. Disponível em: https://scikit-learn.org/stable/modules/generated/sklearn.cluster.KMeans.html. Acesso em: 15 out. 2026.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701" w:right="1134" w:bottom="1134" w:left="1701" w:header="850" w:footer="68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709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  <w:ind w:firstLine="0"/>
    </w:pPr>
    <w:rPr>
      <w:rFonts w:ascii="Arial" w:hAnsi="Arial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  <w:ind w:firstLine="0"/>
    </w:pPr>
    <w:rPr>
      <w:rFonts w:ascii="Arial" w:hAnsi="Arial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00"/>
      <w:ind w:firstLine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  <w:ind w:firstLin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  <w:ind w:firstLine="0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DoeFácil Documentação da segunda Sprint</dc:title>
  <dc:subject>Projeto interdisciplinar do sexto semestre</dc:subject>
  <dc:creator>Ana Júlia Alves Mota; Lauane Gabriela de Araújo Toledo; Pedro Henrique Cintra Silva</dc:creator>
  <cp:keywords>DoeFácil, Sprint 2, API, PostgreSQL, Neon, mineração de dados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