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bidi/>
        <w:spacing w:after="120"/>
        <w:jc w:val="center"/>
      </w:pPr>
      <w:r>
        <w:rPr>
          <w:rFonts w:ascii="Arial" w:cs="Arial" w:eastAsia="Arial" w:hAnsi="Arial"/>
          <w:b/>
          <w:bCs/>
          <w:color w:val="2E5C8A"/>
          <w:sz w:val="26"/>
          <w:szCs w:val="26"/>
          <w:rtl/>
        </w:rPr>
        <w:t xml:space="preserve">منصة التوزيع B2B — السوق السوري</w:t>
      </w:r>
    </w:p>
    <w:p>
      <w:pPr>
        <w:pBdr>
          <w:bottom w:val="single" w:color="1F3864" w:sz="12"/>
        </w:pBdr>
        <w:bidi/>
        <w:spacing w:after="200"/>
        <w:jc w:val="center"/>
      </w:pPr>
      <w:r>
        <w:rPr>
          <w:rFonts w:ascii="Arial" w:cs="Arial" w:eastAsia="Arial" w:hAnsi="Arial"/>
          <w:b/>
          <w:bCs/>
          <w:color w:val="1F3864"/>
          <w:sz w:val="48"/>
          <w:szCs w:val="48"/>
          <w:rtl/>
        </w:rPr>
        <w:t xml:space="preserve">لوحة قناة التوريد — مهام الفريقين</w:t>
      </w:r>
    </w:p>
    <w:p>
      <w:pPr>
        <w:bidi/>
        <w:spacing w:after="90" w:line="300"/>
        <w:jc w:val="center"/>
      </w:pPr>
      <w:r>
        <w:rPr>
          <w:rFonts w:ascii="Arial" w:cs="Arial" w:eastAsia="Arial" w:hAnsi="Arial"/>
          <w:b w:val="false"/>
          <w:bCs w:val="false"/>
          <w:color w:val="44506B"/>
          <w:sz w:val="22"/>
          <w:szCs w:val="22"/>
          <w:rtl/>
        </w:rPr>
        <w:t xml:space="preserve">Next.js 15 للواجهة ⟷ Laravel 11 للخادم</w:t>
      </w:r>
    </w:p>
    <w:p>
      <w:pPr>
        <w:bidi/>
        <w:spacing w:after="90" w:line="300"/>
        <w:jc w:val="center"/>
      </w:pPr>
      <w:r>
        <w:rPr>
          <w:rFonts w:ascii="Arial" w:cs="Arial" w:eastAsia="Arial" w:hAnsi="Arial"/>
          <w:b w:val="false"/>
          <w:bCs w:val="false"/>
          <w:color w:val="44506B"/>
          <w:sz w:val="22"/>
          <w:szCs w:val="22"/>
          <w:rtl/>
        </w:rPr>
        <w:t xml:space="preserve">أربع عشرة وحدة تشغيلية بمهامها على الجانبين</w:t>
      </w:r>
    </w:p>
    <w:p>
      <w:pPr>
        <w:bidi/>
        <w:spacing w:after="90" w:line="300"/>
        <w:jc w:val="center"/>
      </w:pPr>
      <w:r>
        <w:rPr>
          <w:rFonts w:ascii="Arial" w:cs="Arial" w:eastAsia="Arial" w:hAnsi="Arial"/>
          <w:b w:val="false"/>
          <w:bCs w:val="false"/>
          <w:color w:val="44506B"/>
          <w:sz w:val="22"/>
          <w:szCs w:val="22"/>
          <w:rtl/>
        </w:rPr>
        <w:t xml:space="preserve">المرجع الوظيفي: DOC-01</w:t>
      </w:r>
    </w:p>
    <w:p>
      <w:pPr>
        <w:spacing w:before="900"/>
      </w:pPr>
    </w:p>
    <w:p>
      <w:pPr>
        <w:bidi/>
        <w:spacing w:after="60"/>
        <w:jc w:val="center"/>
      </w:pPr>
      <w:r>
        <w:rPr>
          <w:rFonts w:ascii="Arial" w:cs="Arial" w:eastAsia="Arial" w:hAnsi="Arial"/>
          <w:b/>
          <w:bCs/>
          <w:color w:val="1F3864"/>
          <w:sz w:val="20"/>
          <w:szCs w:val="20"/>
          <w:rtl w:val="false"/>
        </w:rPr>
        <w:t xml:space="preserve">DOC-12C</w:t>
      </w:r>
    </w:p>
    <w:p>
      <w:pPr>
        <w:bidi/>
        <w:jc w:val="center"/>
      </w:pPr>
      <w:r>
        <w:rPr>
          <w:rFonts w:ascii="Arial" w:cs="Arial" w:eastAsia="Arial" w:hAnsi="Arial"/>
          <w:color w:val="6B7280"/>
          <w:sz w:val="18"/>
          <w:szCs w:val="18"/>
          <w:rtl/>
        </w:rPr>
        <w:t xml:space="preserve">حزمة وثائق التنفيذ — الإصدار 1.0</w:t>
      </w:r>
    </w:p>
    <w:p>
      <w:r>
        <w:br w:type="page"/>
      </w:r>
    </w:p>
    <w:p>
      <w:pPr>
        <w:pBdr>
          <w:bottom w:val="single" w:color="1F3864" w:sz="8"/>
        </w:pBdr>
        <w:bidi/>
        <w:spacing w:after="160"/>
        <w:jc w:val="right"/>
      </w:pPr>
      <w:r>
        <w:rPr>
          <w:rFonts w:ascii="Arial" w:cs="Arial" w:eastAsia="Arial" w:hAnsi="Arial"/>
          <w:b/>
          <w:bCs/>
          <w:color w:val="1F3864"/>
          <w:sz w:val="32"/>
          <w:szCs w:val="32"/>
          <w:rtl/>
        </w:rPr>
        <w:t xml:space="preserve">جدول المحتويات</w:t>
      </w:r>
    </w:p>
    <w:sdt>
      <w:sdtPr>
        <w:alias w:val="المحتويات"/>
      </w:sdtPr>
      <w:sdtContent>
        <w:p>
          <w:r>
            <w:fldChar w:fldCharType="begin" w:dirty="true"/>
            <w:instrText xml:space="preserve">TOC \h \o "1-3"</w:instrText>
            <w:fldChar w:fldCharType="separate"/>
          </w:r>
        </w:p>
        <w:p>
          <w:r>
            <w:fldChar w:fldCharType="end"/>
          </w:r>
        </w:p>
      </w:sdtContent>
    </w:sdt>
    <w:p>
      <w:pPr>
        <w:bidi/>
        <w:spacing w:before="200"/>
        <w:jc w:val="right"/>
      </w:pPr>
      <w:r>
        <w:rPr>
          <w:rFonts w:ascii="Arial" w:cs="Arial" w:eastAsia="Arial" w:hAnsi="Arial"/>
          <w:i/>
          <w:iCs/>
          <w:color w:val="9098A8"/>
          <w:sz w:val="16"/>
          <w:szCs w:val="16"/>
          <w:rtl/>
        </w:rPr>
        <w:t xml:space="preserve">لتحديث الفهرس في Word: اضغط داخل الجدول ثم F9 واختر تحديث الجدول بأكمله.</w:t>
      </w:r>
    </w:p>
    <w:p>
      <w:r>
        <w:br w:type="page"/>
      </w:r>
    </w:p>
    <w:p>
      <w:pPr>
        <w:bidi/>
        <w:spacing w:after="100" w:before="60" w:line="300"/>
        <w:jc w:val="both"/>
      </w:pPr>
      <w:r>
        <w:rPr>
          <w:rFonts w:ascii="Arial" w:cs="Arial" w:eastAsia="Arial" w:hAnsi="Arial"/>
          <w:b/>
          <w:bCs/>
          <w:color w:val="0F2A4A"/>
          <w:sz w:val="20"/>
          <w:szCs w:val="20"/>
          <w:rtl/>
        </w:rPr>
        <w:t xml:space="preserve">Next.js 15 (الويب) ⟷ Laravel 11 (الخادم)</w:t>
      </w:r>
    </w:p>
    <w:p>
      <w:pPr>
        <w:bidi/>
        <w:spacing w:after="100" w:before="60" w:line="300"/>
        <w:jc w:val="both"/>
      </w:pPr>
      <w:r>
        <w:rPr>
          <w:rFonts w:ascii="Arial" w:cs="Arial" w:eastAsia="Arial" w:hAnsi="Arial"/>
          <w:b w:val="false"/>
          <w:bCs w:val="false"/>
          <w:color w:val="1A1A1A"/>
          <w:sz w:val="20"/>
          <w:szCs w:val="20"/>
          <w:rtl/>
        </w:rPr>
        <w:t xml:space="preserve">المرجع الوظيفي: DOC-01 القسم 4 • الصلاحيات: DOC-08 القسم 4.2 (70 صلاحية) • العقد: DOC-11B</w:t>
      </w:r>
    </w:p>
    <w:p>
      <w:pPr>
        <w:bidi/>
        <w:spacing w:after="100" w:before="60" w:line="300"/>
        <w:jc w:val="both"/>
      </w:pPr>
      <w:r>
        <w:rPr>
          <w:rFonts w:ascii="Arial" w:cs="Arial" w:eastAsia="Arial" w:hAnsi="Arial"/>
          <w:b w:val="false"/>
          <w:bCs w:val="false"/>
          <w:color w:val="1A1A1A"/>
          <w:sz w:val="20"/>
          <w:szCs w:val="20"/>
          <w:rtl/>
        </w:rPr>
        <w:t xml:space="preserve">الإصدار 1.0</w:t>
      </w:r>
    </w:p>
    <w:p>
      <w:pPr>
        <w:pBdr>
          <w:bottom w:val="single" w:color="C9D2DE" w:sz="6"/>
        </w:pBdr>
        <w:spacing w:after="160" w:before="100"/>
      </w:pPr>
    </w:p>
    <w:p>
      <w:pPr>
        <w:pStyle w:val="Heading2"/>
        <w:pBdr>
          <w:bottom w:val="single" w:color="2E5C8A" w:sz="6"/>
        </w:pBdr>
        <w:bidi/>
        <w:spacing w:after="140" w:before="280"/>
        <w:jc w:val="right"/>
      </w:pPr>
      <w:r>
        <w:rPr>
          <w:rFonts w:ascii="Arial" w:cs="Arial" w:eastAsia="Arial" w:hAnsi="Arial"/>
          <w:b/>
          <w:bCs/>
          <w:color w:val="1F3864"/>
          <w:sz w:val="26"/>
          <w:szCs w:val="26"/>
          <w:rtl/>
        </w:rPr>
        <w:t xml:space="preserve">1. موقع هذه اللوحة</w:t>
      </w:r>
    </w:p>
    <w:p>
      <w:pPr>
        <w:bidi/>
        <w:spacing w:after="100" w:before="60" w:line="300"/>
        <w:jc w:val="both"/>
      </w:pPr>
      <w:r>
        <w:rPr>
          <w:rFonts w:ascii="Arial" w:cs="Arial" w:eastAsia="Arial" w:hAnsi="Arial"/>
          <w:b w:val="false"/>
          <w:bCs w:val="false"/>
          <w:color w:val="1A1A1A"/>
          <w:sz w:val="20"/>
          <w:szCs w:val="20"/>
          <w:rtl/>
        </w:rPr>
        <w:t xml:space="preserve">كل ما يراه التاجر والمندوب على شاشتيهما هو في حقيقته انعكاس لقرارات تُتخذ هنا. من دون هذه اللوحة لا يمكن لتطبيق التاجر أن يعرض سعراً، ولا لتطبيق المندوب أن يستلم مهمة. لذلك تُبنى وحداتها </w:t>
      </w:r>
      <w:r>
        <w:rPr>
          <w:rFonts w:ascii="Arial" w:cs="Arial" w:eastAsia="Arial" w:hAnsi="Arial"/>
          <w:b/>
          <w:bCs/>
          <w:color w:val="0F2A4A"/>
          <w:sz w:val="20"/>
          <w:szCs w:val="20"/>
          <w:rtl/>
        </w:rPr>
        <w:t xml:space="preserve">قبل</w:t>
      </w:r>
      <w:r>
        <w:rPr>
          <w:rFonts w:ascii="Arial" w:cs="Arial" w:eastAsia="Arial" w:hAnsi="Arial"/>
          <w:b w:val="false"/>
          <w:bCs w:val="false"/>
          <w:color w:val="1A1A1A"/>
          <w:sz w:val="20"/>
          <w:szCs w:val="20"/>
          <w:rtl/>
        </w:rPr>
        <w:t xml:space="preserve"> الشاشات التي تعتمد عليها، وفق سلسلة التبعية في DOC-06 القسم 7.</w:t>
      </w:r>
    </w:p>
    <w:p>
      <w:pPr>
        <w:pBdr>
          <w:bottom w:val="single" w:color="C9D2DE" w:sz="6"/>
        </w:pBdr>
        <w:spacing w:after="160" w:before="100"/>
      </w:pPr>
    </w:p>
    <w:p>
      <w:pPr>
        <w:pStyle w:val="Heading2"/>
        <w:pBdr>
          <w:bottom w:val="single" w:color="2E5C8A" w:sz="6"/>
        </w:pBdr>
        <w:bidi/>
        <w:spacing w:after="140" w:before="280"/>
        <w:jc w:val="right"/>
      </w:pPr>
      <w:r>
        <w:rPr>
          <w:rFonts w:ascii="Arial" w:cs="Arial" w:eastAsia="Arial" w:hAnsi="Arial"/>
          <w:b/>
          <w:bCs/>
          <w:color w:val="1F3864"/>
          <w:sz w:val="26"/>
          <w:szCs w:val="26"/>
          <w:rtl/>
        </w:rPr>
        <w:t xml:space="preserve">2. البنية التحتية للويب (SP-00)</w:t>
      </w:r>
    </w:p>
    <w:p>
      <w:pPr>
        <w:pStyle w:val="Heading3"/>
        <w:bidi/>
        <w:spacing w:after="110" w:before="220"/>
        <w:jc w:val="right"/>
      </w:pPr>
      <w:r>
        <w:rPr>
          <w:rFonts w:ascii="Arial" w:cs="Arial" w:eastAsia="Arial" w:hAnsi="Arial"/>
          <w:b/>
          <w:bCs/>
          <w:color w:val="2E5C8A"/>
          <w:sz w:val="23"/>
          <w:szCs w:val="23"/>
          <w:rtl/>
        </w:rPr>
        <w:t xml:space="preserve">2.1 فريق الويب</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41"/>
        <w:gridCol w:w="6247"/>
        <w:gridCol w:w="2358"/>
      </w:tblGrid>
      <w:tr>
        <w:trPr>
          <w:cantSplit/>
          <w:tblHeader/>
        </w:trPr>
        <w:tc>
          <w:tcPr>
            <w:tcW w:type="dxa" w:w="1141"/>
            <w:tcBorders>
              <w:top w:val="single" w:color="C9D2DE" w:sz="4"/>
              <w:left w:val="single" w:color="C9D2DE" w:sz="4"/>
              <w:bottom w:val="single" w:color="C9D2DE" w:sz="4"/>
              <w:right w:val="single" w:color="C9D2DE" w:sz="4"/>
            </w:tcBorders>
            <w:shd w:fill="1F3864" w:val="clear"/>
            <w:tcMar>
              <w:top w:type="dxa" w:w="50"/>
              <w:left w:type="dxa" w:w="100"/>
              <w:bottom w:type="dxa" w:w="50"/>
              <w:right w:type="dxa" w:w="100"/>
            </w:tcMar>
            <w:vAlign w:val="center"/>
          </w:tcPr>
          <w:p>
            <w:pPr>
              <w:bidi/>
              <w:spacing w:after="20" w:before="20" w:line="260"/>
              <w:jc w:val="right"/>
            </w:pPr>
            <w:r>
              <w:rPr>
                <w:rFonts w:ascii="Arial" w:cs="Arial" w:eastAsia="Arial" w:hAnsi="Arial"/>
                <w:b/>
                <w:bCs/>
                <w:color w:val="FFFFFF"/>
                <w:sz w:val="18"/>
                <w:szCs w:val="18"/>
                <w:rtl/>
              </w:rPr>
              <w:t xml:space="preserve">المهمة</w:t>
            </w:r>
          </w:p>
        </w:tc>
        <w:tc>
          <w:tcPr>
            <w:tcW w:type="dxa" w:w="6247"/>
            <w:tcBorders>
              <w:top w:val="single" w:color="C9D2DE" w:sz="4"/>
              <w:left w:val="single" w:color="C9D2DE" w:sz="4"/>
              <w:bottom w:val="single" w:color="C9D2DE" w:sz="4"/>
              <w:right w:val="single" w:color="C9D2DE" w:sz="4"/>
            </w:tcBorders>
            <w:shd w:fill="1F3864" w:val="clear"/>
            <w:tcMar>
              <w:top w:type="dxa" w:w="50"/>
              <w:left w:type="dxa" w:w="100"/>
              <w:bottom w:type="dxa" w:w="50"/>
              <w:right w:type="dxa" w:w="100"/>
            </w:tcMar>
            <w:vAlign w:val="center"/>
          </w:tcPr>
          <w:p>
            <w:pPr>
              <w:bidi/>
              <w:spacing w:after="20" w:before="20" w:line="260"/>
              <w:jc w:val="right"/>
            </w:pPr>
            <w:r>
              <w:rPr>
                <w:rFonts w:ascii="Arial" w:cs="Arial" w:eastAsia="Arial" w:hAnsi="Arial"/>
                <w:b/>
                <w:bCs/>
                <w:color w:val="FFFFFF"/>
                <w:sz w:val="18"/>
                <w:szCs w:val="18"/>
                <w:rtl/>
              </w:rPr>
              <w:t xml:space="preserve">الوصف</w:t>
            </w:r>
          </w:p>
        </w:tc>
        <w:tc>
          <w:tcPr>
            <w:tcW w:type="dxa" w:w="2358"/>
            <w:tcBorders>
              <w:top w:val="single" w:color="C9D2DE" w:sz="4"/>
              <w:left w:val="single" w:color="C9D2DE" w:sz="4"/>
              <w:bottom w:val="single" w:color="C9D2DE" w:sz="4"/>
              <w:right w:val="single" w:color="C9D2DE" w:sz="4"/>
            </w:tcBorders>
            <w:shd w:fill="1F3864" w:val="clear"/>
            <w:tcMar>
              <w:top w:type="dxa" w:w="50"/>
              <w:left w:type="dxa" w:w="100"/>
              <w:bottom w:type="dxa" w:w="50"/>
              <w:right w:type="dxa" w:w="100"/>
            </w:tcMar>
            <w:vAlign w:val="center"/>
          </w:tcPr>
          <w:p>
            <w:pPr>
              <w:bidi/>
              <w:spacing w:after="20" w:before="20" w:line="260"/>
              <w:jc w:val="right"/>
            </w:pPr>
            <w:r>
              <w:rPr>
                <w:rFonts w:ascii="Arial" w:cs="Arial" w:eastAsia="Arial" w:hAnsi="Arial"/>
                <w:b/>
                <w:bCs/>
                <w:color w:val="FFFFFF"/>
                <w:sz w:val="18"/>
                <w:szCs w:val="18"/>
                <w:rtl/>
              </w:rPr>
              <w:t xml:space="preserve">معيار الإنجاز</w:t>
            </w:r>
          </w:p>
        </w:tc>
      </w:tr>
      <w:tr>
        <w:trPr>
          <w:cantSplit/>
          <w:tblHeader w:val="false"/>
        </w:trPr>
        <w:tc>
          <w:tcPr>
            <w:tcW w:type="dxa" w:w="1141"/>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TF-SC-001</w:t>
            </w:r>
          </w:p>
        </w:tc>
        <w:tc>
          <w:tcPr>
            <w:tcW w:type="dxa" w:w="6247"/>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Monorepo فيه </w:t>
            </w:r>
            <w:r>
              <w:rPr>
                <w:rFonts w:ascii="Consolas" w:cs="Consolas" w:eastAsia="Consolas" w:hAnsi="Consolas"/>
                <w:color w:val="9B2C2C"/>
                <w:sz w:val="16"/>
                <w:szCs w:val="16"/>
                <w:shd w:fill="F4F4F6" w:val="clear"/>
                <w:rtl w:val="false"/>
              </w:rPr>
              <w:t xml:space="preserve">‎apps/channel‎</w:t>
            </w:r>
            <w:r>
              <w:rPr>
                <w:rFonts w:ascii="Arial" w:cs="Arial" w:eastAsia="Arial" w:hAnsi="Arial"/>
                <w:b w:val="false"/>
                <w:bCs w:val="false"/>
                <w:color w:val="1A1A1A"/>
                <w:sz w:val="18"/>
                <w:szCs w:val="18"/>
                <w:rtl/>
              </w:rPr>
              <w:t xml:space="preserve">, </w:t>
            </w:r>
            <w:r>
              <w:rPr>
                <w:rFonts w:ascii="Consolas" w:cs="Consolas" w:eastAsia="Consolas" w:hAnsi="Consolas"/>
                <w:color w:val="9B2C2C"/>
                <w:sz w:val="16"/>
                <w:szCs w:val="16"/>
                <w:shd w:fill="F4F4F6" w:val="clear"/>
                <w:rtl w:val="false"/>
              </w:rPr>
              <w:t xml:space="preserve">‎apps/warehouse‎</w:t>
            </w:r>
            <w:r>
              <w:rPr>
                <w:rFonts w:ascii="Arial" w:cs="Arial" w:eastAsia="Arial" w:hAnsi="Arial"/>
                <w:b w:val="false"/>
                <w:bCs w:val="false"/>
                <w:color w:val="1A1A1A"/>
                <w:sz w:val="18"/>
                <w:szCs w:val="18"/>
                <w:rtl/>
              </w:rPr>
              <w:t xml:space="preserve">, </w:t>
            </w:r>
            <w:r>
              <w:rPr>
                <w:rFonts w:ascii="Consolas" w:cs="Consolas" w:eastAsia="Consolas" w:hAnsi="Consolas"/>
                <w:color w:val="9B2C2C"/>
                <w:sz w:val="16"/>
                <w:szCs w:val="16"/>
                <w:shd w:fill="F4F4F6" w:val="clear"/>
                <w:rtl w:val="false"/>
              </w:rPr>
              <w:t xml:space="preserve">‎apps/platform‎</w:t>
            </w:r>
            <w:r>
              <w:rPr>
                <w:rFonts w:ascii="Arial" w:cs="Arial" w:eastAsia="Arial" w:hAnsi="Arial"/>
                <w:b w:val="false"/>
                <w:bCs w:val="false"/>
                <w:color w:val="1A1A1A"/>
                <w:sz w:val="18"/>
                <w:szCs w:val="18"/>
                <w:rtl/>
              </w:rPr>
              <w:t xml:space="preserve">, </w:t>
            </w:r>
            <w:r>
              <w:rPr>
                <w:rFonts w:ascii="Consolas" w:cs="Consolas" w:eastAsia="Consolas" w:hAnsi="Consolas"/>
                <w:color w:val="9B2C2C"/>
                <w:sz w:val="16"/>
                <w:szCs w:val="16"/>
                <w:shd w:fill="F4F4F6" w:val="clear"/>
                <w:rtl w:val="false"/>
              </w:rPr>
              <w:t xml:space="preserve">‎packages/ui‎</w:t>
            </w:r>
            <w:r>
              <w:rPr>
                <w:rFonts w:ascii="Arial" w:cs="Arial" w:eastAsia="Arial" w:hAnsi="Arial"/>
                <w:b w:val="false"/>
                <w:bCs w:val="false"/>
                <w:color w:val="1A1A1A"/>
                <w:sz w:val="18"/>
                <w:szCs w:val="18"/>
                <w:rtl/>
              </w:rPr>
              <w:t xml:space="preserve">, </w:t>
            </w:r>
            <w:r>
              <w:rPr>
                <w:rFonts w:ascii="Consolas" w:cs="Consolas" w:eastAsia="Consolas" w:hAnsi="Consolas"/>
                <w:color w:val="9B2C2C"/>
                <w:sz w:val="16"/>
                <w:szCs w:val="16"/>
                <w:shd w:fill="F4F4F6" w:val="clear"/>
                <w:rtl w:val="false"/>
              </w:rPr>
              <w:t xml:space="preserve">‎packages/api-client‎</w:t>
            </w:r>
          </w:p>
        </w:tc>
        <w:tc>
          <w:tcPr>
            <w:tcW w:type="dxa" w:w="2358"/>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ثلاثة تطبيقات بنظام تصميم واحد</w:t>
            </w:r>
          </w:p>
        </w:tc>
      </w:tr>
      <w:tr>
        <w:trPr>
          <w:cantSplit/>
          <w:tblHeader w:val="false"/>
        </w:trPr>
        <w:tc>
          <w:tcPr>
            <w:tcW w:type="dxa" w:w="1141"/>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TF-SC-002</w:t>
            </w:r>
          </w:p>
        </w:tc>
        <w:tc>
          <w:tcPr>
            <w:tcW w:type="dxa" w:w="6247"/>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Next.js 15 App Router + TypeScript صارم</w:t>
            </w:r>
          </w:p>
        </w:tc>
        <w:tc>
          <w:tcPr>
            <w:tcW w:type="dxa" w:w="2358"/>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Consolas" w:cs="Consolas" w:eastAsia="Consolas" w:hAnsi="Consolas"/>
                <w:color w:val="9B2C2C"/>
                <w:sz w:val="16"/>
                <w:szCs w:val="16"/>
                <w:shd w:fill="F4F4F6" w:val="clear"/>
                <w:rtl w:val="false"/>
              </w:rPr>
              <w:t xml:space="preserve">‎strict: true‎</w:t>
            </w:r>
            <w:r>
              <w:rPr>
                <w:rFonts w:ascii="Arial" w:cs="Arial" w:eastAsia="Arial" w:hAnsi="Arial"/>
                <w:b w:val="false"/>
                <w:bCs w:val="false"/>
                <w:color w:val="1A1A1A"/>
                <w:sz w:val="18"/>
                <w:szCs w:val="18"/>
                <w:rtl/>
              </w:rPr>
              <w:t xml:space="preserve"> بلا </w:t>
            </w:r>
            <w:r>
              <w:rPr>
                <w:rFonts w:ascii="Consolas" w:cs="Consolas" w:eastAsia="Consolas" w:hAnsi="Consolas"/>
                <w:color w:val="9B2C2C"/>
                <w:sz w:val="16"/>
                <w:szCs w:val="16"/>
                <w:shd w:fill="F4F4F6" w:val="clear"/>
                <w:rtl w:val="false"/>
              </w:rPr>
              <w:t xml:space="preserve">‎any‎</w:t>
            </w:r>
          </w:p>
        </w:tc>
      </w:tr>
      <w:tr>
        <w:trPr>
          <w:cantSplit/>
          <w:tblHeader w:val="false"/>
        </w:trPr>
        <w:tc>
          <w:tcPr>
            <w:tcW w:type="dxa" w:w="1141"/>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TF-SC-003</w:t>
            </w:r>
          </w:p>
        </w:tc>
        <w:tc>
          <w:tcPr>
            <w:tcW w:type="dxa" w:w="6247"/>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RTL أصيلة: الاتجاه والأيقونات والجداول والرسوم مقلوبة صحيحاً، مع بقاء الرموز والأكواد لاتينية</w:t>
            </w:r>
          </w:p>
        </w:tc>
        <w:tc>
          <w:tcPr>
            <w:tcW w:type="dxa" w:w="2358"/>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مراجعة بصرية لكل شاشة</w:t>
            </w:r>
          </w:p>
        </w:tc>
      </w:tr>
      <w:tr>
        <w:trPr>
          <w:cantSplit/>
          <w:tblHeader w:val="false"/>
        </w:trPr>
        <w:tc>
          <w:tcPr>
            <w:tcW w:type="dxa" w:w="1141"/>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TF-SC-004</w:t>
            </w:r>
          </w:p>
        </w:tc>
        <w:tc>
          <w:tcPr>
            <w:tcW w:type="dxa" w:w="6247"/>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عميل API مولَّد من OpenAPI — لا كتابة أنواع يدوياً</w:t>
            </w:r>
          </w:p>
        </w:tc>
        <w:tc>
          <w:tcPr>
            <w:tcW w:type="dxa" w:w="2358"/>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أي تغيير في العقد يظهر كخطأ ترجمة</w:t>
            </w:r>
          </w:p>
        </w:tc>
      </w:tr>
      <w:tr>
        <w:trPr>
          <w:cantSplit/>
          <w:tblHeader w:val="false"/>
        </w:trPr>
        <w:tc>
          <w:tcPr>
            <w:tcW w:type="dxa" w:w="1141"/>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TF-SC-005</w:t>
            </w:r>
          </w:p>
        </w:tc>
        <w:tc>
          <w:tcPr>
            <w:tcW w:type="dxa" w:w="6247"/>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طبقة الصلاحيات في الواجهة: إخفاء ما لا يملكه المستخدم بدل تعطيله</w:t>
            </w:r>
          </w:p>
        </w:tc>
        <w:tc>
          <w:tcPr>
            <w:tcW w:type="dxa" w:w="2358"/>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ولا يُعدّ حماية (BR-PM-12)</w:t>
            </w:r>
          </w:p>
        </w:tc>
      </w:tr>
      <w:tr>
        <w:trPr>
          <w:cantSplit/>
          <w:tblHeader w:val="false"/>
        </w:trPr>
        <w:tc>
          <w:tcPr>
            <w:tcW w:type="dxa" w:w="1141"/>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TF-SC-006</w:t>
            </w:r>
          </w:p>
        </w:tc>
        <w:tc>
          <w:tcPr>
            <w:tcW w:type="dxa" w:w="6247"/>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صفحة 403 توضح الصلاحية المطلوبة ومن يمنحها — لا إعادة توجيه صامتة</w:t>
            </w:r>
          </w:p>
        </w:tc>
        <w:tc>
          <w:tcPr>
            <w:tcW w:type="dxa" w:w="2358"/>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REQ-AD-003</w:t>
            </w:r>
          </w:p>
        </w:tc>
      </w:tr>
      <w:tr>
        <w:trPr>
          <w:cantSplit/>
          <w:tblHeader w:val="false"/>
        </w:trPr>
        <w:tc>
          <w:tcPr>
            <w:tcW w:type="dxa" w:w="1141"/>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TF-SC-007</w:t>
            </w:r>
          </w:p>
        </w:tc>
        <w:tc>
          <w:tcPr>
            <w:tcW w:type="dxa" w:w="6247"/>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حفظ التبويب والفلاتر والترتيب والصفحة في الرابط</w:t>
            </w:r>
          </w:p>
        </w:tc>
        <w:tc>
          <w:tcPr>
            <w:tcW w:type="dxa" w:w="2358"/>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REQ-AD-004 — الرابط قابل للمشاركة وينجو من التحديث</w:t>
            </w:r>
          </w:p>
        </w:tc>
      </w:tr>
      <w:tr>
        <w:trPr>
          <w:cantSplit/>
          <w:tblHeader w:val="false"/>
        </w:trPr>
        <w:tc>
          <w:tcPr>
            <w:tcW w:type="dxa" w:w="1141"/>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TF-SC-008</w:t>
            </w:r>
          </w:p>
        </w:tc>
        <w:tc>
          <w:tcPr>
            <w:tcW w:type="dxa" w:w="6247"/>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مكوّن جدول موحد: بحث + فلاتر محفوظة + ترتيب + ترقيم من الخادم + تصدير + طباعة</w:t>
            </w:r>
          </w:p>
        </w:tc>
        <w:tc>
          <w:tcPr>
            <w:tcW w:type="dxa" w:w="2358"/>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DOC-01 القسم 3.2</w:t>
            </w:r>
          </w:p>
        </w:tc>
      </w:tr>
      <w:tr>
        <w:trPr>
          <w:cantSplit/>
          <w:tblHeader w:val="false"/>
        </w:trPr>
        <w:tc>
          <w:tcPr>
            <w:tcW w:type="dxa" w:w="1141"/>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TF-SC-009</w:t>
            </w:r>
          </w:p>
        </w:tc>
        <w:tc>
          <w:tcPr>
            <w:tcW w:type="dxa" w:w="6247"/>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مكوّن إجراءات جماعية أساسي لا ثانوي</w:t>
            </w:r>
          </w:p>
        </w:tc>
        <w:tc>
          <w:tcPr>
            <w:tcW w:type="dxa" w:w="2358"/>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تأكيد 30 طلباً، إسناد منطقة، تحديث 100 سعر</w:t>
            </w:r>
          </w:p>
        </w:tc>
      </w:tr>
      <w:tr>
        <w:trPr>
          <w:cantSplit/>
          <w:tblHeader w:val="false"/>
        </w:trPr>
        <w:tc>
          <w:tcPr>
            <w:tcW w:type="dxa" w:w="1141"/>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TF-SC-010</w:t>
            </w:r>
          </w:p>
        </w:tc>
        <w:tc>
          <w:tcPr>
            <w:tcW w:type="dxa" w:w="6247"/>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كل رقم قابل للنقر ويقود لتفصيله حتى المستند الأساسي</w:t>
            </w:r>
          </w:p>
        </w:tc>
        <w:tc>
          <w:tcPr>
            <w:tcW w:type="dxa" w:w="2358"/>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Drill-down</w:t>
            </w:r>
          </w:p>
        </w:tc>
      </w:tr>
      <w:tr>
        <w:trPr>
          <w:cantSplit/>
          <w:tblHeader w:val="false"/>
        </w:trPr>
        <w:tc>
          <w:tcPr>
            <w:tcW w:type="dxa" w:w="1141"/>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TF-SC-011</w:t>
            </w:r>
          </w:p>
        </w:tc>
        <w:tc>
          <w:tcPr>
            <w:tcW w:type="dxa" w:w="6247"/>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نافذة التأكيد المزدوج وتأكيد كلمة المرور للعمليات الحرجة</w:t>
            </w:r>
          </w:p>
        </w:tc>
        <w:tc>
          <w:tcPr>
            <w:tcW w:type="dxa" w:w="2358"/>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BR-PM-05</w:t>
            </w:r>
          </w:p>
        </w:tc>
      </w:tr>
      <w:tr>
        <w:trPr>
          <w:cantSplit/>
          <w:tblHeader w:val="false"/>
        </w:trPr>
        <w:tc>
          <w:tcPr>
            <w:tcW w:type="dxa" w:w="1141"/>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TF-SC-012</w:t>
            </w:r>
          </w:p>
        </w:tc>
        <w:tc>
          <w:tcPr>
            <w:tcW w:type="dxa" w:w="6247"/>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إتاحة WCAG 2.1 AA: تباين، لوحة مفاتيح، اللون ليس الحامل الوحيد</w:t>
            </w:r>
          </w:p>
        </w:tc>
        <w:tc>
          <w:tcPr>
            <w:tcW w:type="dxa" w:w="2358"/>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NFR-AD-10</w:t>
            </w:r>
          </w:p>
        </w:tc>
      </w:tr>
    </w:tbl>
    <w:p>
      <w:pPr>
        <w:spacing w:after="160"/>
      </w:pPr>
    </w:p>
    <w:p>
      <w:pPr>
        <w:pStyle w:val="Heading3"/>
        <w:bidi/>
        <w:spacing w:after="110" w:before="220"/>
        <w:jc w:val="right"/>
      </w:pPr>
      <w:r>
        <w:rPr>
          <w:rFonts w:ascii="Arial" w:cs="Arial" w:eastAsia="Arial" w:hAnsi="Arial"/>
          <w:b/>
          <w:bCs/>
          <w:color w:val="2E5C8A"/>
          <w:sz w:val="23"/>
          <w:szCs w:val="23"/>
          <w:rtl/>
        </w:rPr>
        <w:t xml:space="preserve">2.2 فريق الخادم</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89"/>
        <w:gridCol w:w="8257"/>
      </w:tblGrid>
      <w:tr>
        <w:trPr>
          <w:cantSplit/>
          <w:tblHeader/>
        </w:trPr>
        <w:tc>
          <w:tcPr>
            <w:tcW w:type="dxa" w:w="1489"/>
            <w:tcBorders>
              <w:top w:val="single" w:color="C9D2DE" w:sz="4"/>
              <w:left w:val="single" w:color="C9D2DE" w:sz="4"/>
              <w:bottom w:val="single" w:color="C9D2DE" w:sz="4"/>
              <w:right w:val="single" w:color="C9D2DE" w:sz="4"/>
            </w:tcBorders>
            <w:shd w:fill="1F3864" w:val="clear"/>
            <w:tcMar>
              <w:top w:type="dxa" w:w="50"/>
              <w:left w:type="dxa" w:w="100"/>
              <w:bottom w:type="dxa" w:w="50"/>
              <w:right w:type="dxa" w:w="100"/>
            </w:tcMar>
            <w:vAlign w:val="center"/>
          </w:tcPr>
          <w:p>
            <w:pPr>
              <w:bidi/>
              <w:spacing w:after="20" w:before="20" w:line="260"/>
              <w:jc w:val="right"/>
            </w:pPr>
            <w:r>
              <w:rPr>
                <w:rFonts w:ascii="Arial" w:cs="Arial" w:eastAsia="Arial" w:hAnsi="Arial"/>
                <w:b/>
                <w:bCs/>
                <w:color w:val="FFFFFF"/>
                <w:sz w:val="18"/>
                <w:szCs w:val="18"/>
                <w:rtl/>
              </w:rPr>
              <w:t xml:space="preserve">المهمة</w:t>
            </w:r>
          </w:p>
        </w:tc>
        <w:tc>
          <w:tcPr>
            <w:tcW w:type="dxa" w:w="8257"/>
            <w:tcBorders>
              <w:top w:val="single" w:color="C9D2DE" w:sz="4"/>
              <w:left w:val="single" w:color="C9D2DE" w:sz="4"/>
              <w:bottom w:val="single" w:color="C9D2DE" w:sz="4"/>
              <w:right w:val="single" w:color="C9D2DE" w:sz="4"/>
            </w:tcBorders>
            <w:shd w:fill="1F3864" w:val="clear"/>
            <w:tcMar>
              <w:top w:type="dxa" w:w="50"/>
              <w:left w:type="dxa" w:w="100"/>
              <w:bottom w:type="dxa" w:w="50"/>
              <w:right w:type="dxa" w:w="100"/>
            </w:tcMar>
            <w:vAlign w:val="center"/>
          </w:tcPr>
          <w:p>
            <w:pPr>
              <w:bidi/>
              <w:spacing w:after="20" w:before="20" w:line="260"/>
              <w:jc w:val="right"/>
            </w:pPr>
            <w:r>
              <w:rPr>
                <w:rFonts w:ascii="Arial" w:cs="Arial" w:eastAsia="Arial" w:hAnsi="Arial"/>
                <w:b/>
                <w:bCs/>
                <w:color w:val="FFFFFF"/>
                <w:sz w:val="18"/>
                <w:szCs w:val="18"/>
                <w:rtl/>
              </w:rPr>
              <w:t xml:space="preserve">الوصف</w:t>
            </w:r>
          </w:p>
        </w:tc>
      </w:tr>
      <w:tr>
        <w:trPr>
          <w:cantSplit/>
          <w:tblHeader w:val="false"/>
        </w:trPr>
        <w:tc>
          <w:tcPr>
            <w:tcW w:type="dxa" w:w="1489"/>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TB-SC-001</w:t>
            </w:r>
          </w:p>
        </w:tc>
        <w:tc>
          <w:tcPr>
            <w:tcW w:type="dxa" w:w="8257"/>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حارس </w:t>
            </w:r>
            <w:r>
              <w:rPr>
                <w:rFonts w:ascii="Consolas" w:cs="Consolas" w:eastAsia="Consolas" w:hAnsi="Consolas"/>
                <w:color w:val="9B2C2C"/>
                <w:sz w:val="16"/>
                <w:szCs w:val="16"/>
                <w:shd w:fill="F4F4F6" w:val="clear"/>
                <w:rtl w:val="false"/>
              </w:rPr>
              <w:t xml:space="preserve">‎channel‎</w:t>
            </w:r>
            <w:r>
              <w:rPr>
                <w:rFonts w:ascii="Arial" w:cs="Arial" w:eastAsia="Arial" w:hAnsi="Arial"/>
                <w:b w:val="false"/>
                <w:bCs w:val="false"/>
                <w:color w:val="1A1A1A"/>
                <w:sz w:val="18"/>
                <w:szCs w:val="18"/>
                <w:rtl/>
              </w:rPr>
              <w:t xml:space="preserve"> ونطاق المستأجر الإجباري على كل نموذج تابع لقناة</w:t>
            </w:r>
          </w:p>
        </w:tc>
      </w:tr>
      <w:tr>
        <w:trPr>
          <w:cantSplit/>
          <w:tblHeader w:val="false"/>
        </w:trPr>
        <w:tc>
          <w:tcPr>
            <w:tcW w:type="dxa" w:w="1489"/>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TB-SC-002</w:t>
            </w:r>
          </w:p>
        </w:tc>
        <w:tc>
          <w:tcPr>
            <w:tcW w:type="dxa" w:w="8257"/>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ترقيم من الخادم على كل قائمة، وأقل من 800 ملّي ثانية لصفحة 25 صفاً مع الفلاتر</w:t>
            </w:r>
          </w:p>
        </w:tc>
      </w:tr>
      <w:tr>
        <w:trPr>
          <w:cantSplit/>
          <w:tblHeader w:val="false"/>
        </w:trPr>
        <w:tc>
          <w:tcPr>
            <w:tcW w:type="dxa" w:w="1489"/>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TB-SC-003</w:t>
            </w:r>
          </w:p>
        </w:tc>
        <w:tc>
          <w:tcPr>
            <w:tcW w:type="dxa" w:w="8257"/>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تصدير Excel و PDF لكل قائمة، يحترم الفلاتر النشطة لا الصفحة الظاهرة</w:t>
            </w:r>
          </w:p>
        </w:tc>
      </w:tr>
      <w:tr>
        <w:trPr>
          <w:cantSplit/>
          <w:tblHeader w:val="false"/>
        </w:trPr>
        <w:tc>
          <w:tcPr>
            <w:tcW w:type="dxa" w:w="1489"/>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TB-SC-004</w:t>
            </w:r>
          </w:p>
        </w:tc>
        <w:tc>
          <w:tcPr>
            <w:tcW w:type="dxa" w:w="8257"/>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حذف منطقي فقط للبيانات التشغيلية مع سجل تدقيق</w:t>
            </w:r>
          </w:p>
        </w:tc>
      </w:tr>
      <w:tr>
        <w:trPr>
          <w:cantSplit/>
          <w:tblHeader w:val="false"/>
        </w:trPr>
        <w:tc>
          <w:tcPr>
            <w:tcW w:type="dxa" w:w="1489"/>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TB-SC-005</w:t>
            </w:r>
          </w:p>
        </w:tc>
        <w:tc>
          <w:tcPr>
            <w:tcW w:type="dxa" w:w="8257"/>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التقارير الثقيلة تُولَّد في الخلفية وتصل بإشعار برابط 24 ساعة</w:t>
            </w:r>
          </w:p>
        </w:tc>
      </w:tr>
    </w:tbl>
    <w:p>
      <w:pPr>
        <w:spacing w:after="160"/>
      </w:pPr>
    </w:p>
    <w:p>
      <w:pPr>
        <w:pBdr>
          <w:bottom w:val="single" w:color="C9D2DE" w:sz="6"/>
        </w:pBdr>
        <w:spacing w:after="160" w:before="100"/>
      </w:pPr>
    </w:p>
    <w:p>
      <w:pPr>
        <w:pStyle w:val="Heading2"/>
        <w:pBdr>
          <w:bottom w:val="single" w:color="2E5C8A" w:sz="6"/>
        </w:pBdr>
        <w:bidi/>
        <w:spacing w:after="140" w:before="280"/>
        <w:jc w:val="right"/>
      </w:pPr>
      <w:r>
        <w:rPr>
          <w:rFonts w:ascii="Arial" w:cs="Arial" w:eastAsia="Arial" w:hAnsi="Arial"/>
          <w:b/>
          <w:bCs/>
          <w:color w:val="1F3864"/>
          <w:sz w:val="26"/>
          <w:szCs w:val="26"/>
          <w:rtl/>
        </w:rPr>
        <w:t xml:space="preserve">3. الوحدات — مهام الفريقين</w:t>
      </w:r>
    </w:p>
    <w:p>
      <w:pPr>
        <w:pStyle w:val="Heading3"/>
        <w:bidi/>
        <w:spacing w:after="110" w:before="220"/>
        <w:jc w:val="right"/>
      </w:pPr>
      <w:r>
        <w:rPr>
          <w:rFonts w:ascii="Arial" w:cs="Arial" w:eastAsia="Arial" w:hAnsi="Arial"/>
          <w:b/>
          <w:bCs/>
          <w:color w:val="2E5C8A"/>
          <w:sz w:val="23"/>
          <w:szCs w:val="23"/>
          <w:rtl/>
        </w:rPr>
        <w:t xml:space="preserve">3.1 لوحة القيادة (SP-16)</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423"/>
        <w:gridCol w:w="4323"/>
      </w:tblGrid>
      <w:tr>
        <w:trPr>
          <w:cantSplit/>
          <w:tblHeader/>
        </w:trPr>
        <w:tc>
          <w:tcPr>
            <w:tcW w:type="dxa" w:w="5423"/>
            <w:tcBorders>
              <w:top w:val="single" w:color="C9D2DE" w:sz="4"/>
              <w:left w:val="single" w:color="C9D2DE" w:sz="4"/>
              <w:bottom w:val="single" w:color="C9D2DE" w:sz="4"/>
              <w:right w:val="single" w:color="C9D2DE" w:sz="4"/>
            </w:tcBorders>
            <w:shd w:fill="1F3864" w:val="clear"/>
            <w:tcMar>
              <w:top w:type="dxa" w:w="50"/>
              <w:left w:type="dxa" w:w="100"/>
              <w:bottom w:type="dxa" w:w="50"/>
              <w:right w:type="dxa" w:w="100"/>
            </w:tcMar>
            <w:vAlign w:val="center"/>
          </w:tcPr>
          <w:p>
            <w:pPr>
              <w:bidi/>
              <w:spacing w:after="20" w:before="20" w:line="260"/>
              <w:jc w:val="right"/>
            </w:pPr>
            <w:r>
              <w:rPr>
                <w:rFonts w:ascii="Arial" w:cs="Arial" w:eastAsia="Arial" w:hAnsi="Arial"/>
                <w:b/>
                <w:bCs/>
                <w:color w:val="FFFFFF"/>
                <w:sz w:val="18"/>
                <w:szCs w:val="18"/>
                <w:rtl/>
              </w:rPr>
              <w:t xml:space="preserve">الواجهة</w:t>
            </w:r>
          </w:p>
        </w:tc>
        <w:tc>
          <w:tcPr>
            <w:tcW w:type="dxa" w:w="4323"/>
            <w:tcBorders>
              <w:top w:val="single" w:color="C9D2DE" w:sz="4"/>
              <w:left w:val="single" w:color="C9D2DE" w:sz="4"/>
              <w:bottom w:val="single" w:color="C9D2DE" w:sz="4"/>
              <w:right w:val="single" w:color="C9D2DE" w:sz="4"/>
            </w:tcBorders>
            <w:shd w:fill="1F3864" w:val="clear"/>
            <w:tcMar>
              <w:top w:type="dxa" w:w="50"/>
              <w:left w:type="dxa" w:w="100"/>
              <w:bottom w:type="dxa" w:w="50"/>
              <w:right w:type="dxa" w:w="100"/>
            </w:tcMar>
            <w:vAlign w:val="center"/>
          </w:tcPr>
          <w:p>
            <w:pPr>
              <w:bidi/>
              <w:spacing w:after="20" w:before="20" w:line="260"/>
              <w:jc w:val="right"/>
            </w:pPr>
            <w:r>
              <w:rPr>
                <w:rFonts w:ascii="Arial" w:cs="Arial" w:eastAsia="Arial" w:hAnsi="Arial"/>
                <w:b/>
                <w:bCs/>
                <w:color w:val="FFFFFF"/>
                <w:sz w:val="18"/>
                <w:szCs w:val="18"/>
                <w:rtl/>
              </w:rPr>
              <w:t xml:space="preserve">الخادم</w:t>
            </w:r>
          </w:p>
        </w:tc>
      </w:tr>
      <w:tr>
        <w:trPr>
          <w:cantSplit/>
          <w:tblHeader w:val="false"/>
        </w:trPr>
        <w:tc>
          <w:tcPr>
            <w:tcW w:type="dxa" w:w="5423"/>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TF-SC-020: صف بطاقات المؤشرات بنطاق زمني قابل للتغيير (اليوم/الأسبوع/الشهر/مخصص)</w:t>
            </w:r>
          </w:p>
        </w:tc>
        <w:tc>
          <w:tcPr>
            <w:tcW w:type="dxa" w:w="4323"/>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TB-SC-020: </w:t>
            </w:r>
            <w:r>
              <w:rPr>
                <w:rFonts w:ascii="Consolas" w:cs="Consolas" w:eastAsia="Consolas" w:hAnsi="Consolas"/>
                <w:color w:val="9B2C2C"/>
                <w:sz w:val="16"/>
                <w:szCs w:val="16"/>
                <w:shd w:fill="F4F4F6" w:val="clear"/>
                <w:rtl w:val="false"/>
              </w:rPr>
              <w:t xml:space="preserve">‎EP-SC-120‎</w:t>
            </w:r>
            <w:r>
              <w:rPr>
                <w:rFonts w:ascii="Arial" w:cs="Arial" w:eastAsia="Arial" w:hAnsi="Arial"/>
                <w:b w:val="false"/>
                <w:bCs w:val="false"/>
                <w:color w:val="1A1A1A"/>
                <w:sz w:val="18"/>
                <w:szCs w:val="18"/>
                <w:rtl/>
              </w:rPr>
              <w:t xml:space="preserve"> يقرأ من اللقطات اليومية لا من استعلام حي (BR-AD-23)</w:t>
            </w:r>
          </w:p>
        </w:tc>
      </w:tr>
      <w:tr>
        <w:trPr>
          <w:cantSplit/>
          <w:tblHeader w:val="false"/>
        </w:trPr>
        <w:tc>
          <w:tcPr>
            <w:tcW w:type="dxa" w:w="5423"/>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TF-SC-021: لوحة التنبيهات القابلة للتنفيذ بأزرار إجراء مباشرة</w:t>
            </w:r>
          </w:p>
        </w:tc>
        <w:tc>
          <w:tcPr>
            <w:tcW w:type="dxa" w:w="4323"/>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TB-SC-021: التنبيهات السبعة في DOC-01 القسم 4.1 مع روابط مفلترة جاهزة</w:t>
            </w:r>
          </w:p>
        </w:tc>
      </w:tr>
      <w:tr>
        <w:trPr>
          <w:cantSplit/>
          <w:tblHeader w:val="false"/>
        </w:trPr>
        <w:tc>
          <w:tcPr>
            <w:tcW w:type="dxa" w:w="5423"/>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TF-SC-022: الرسوم الخمسة، وكل عمود قابل للنقر يفتح القائمة المفلترة</w:t>
            </w:r>
          </w:p>
        </w:tc>
        <w:tc>
          <w:tcPr>
            <w:tcW w:type="dxa" w:w="4323"/>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TB-SC-022: نقاط الرسوم منفصلة وقابلة للتخبئة خمس دقائق</w:t>
            </w:r>
          </w:p>
        </w:tc>
      </w:tr>
      <w:tr>
        <w:trPr>
          <w:cantSplit/>
          <w:tblHeader w:val="false"/>
        </w:trPr>
        <w:tc>
          <w:tcPr>
            <w:tcW w:type="dxa" w:w="5423"/>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TF-SC-023: فشل بطاقة أو رسم لا يُسقط الصفحة — خطأ داخل حدود العنصر مع زر إعادة</w:t>
            </w:r>
          </w:p>
        </w:tc>
        <w:tc>
          <w:tcPr>
            <w:tcW w:type="dxa" w:w="4323"/>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TB-SC-023: كل بطاقة نقطة مستقلة</w:t>
            </w:r>
          </w:p>
        </w:tc>
      </w:tr>
    </w:tbl>
    <w:p>
      <w:pPr>
        <w:spacing w:after="160"/>
      </w:pPr>
    </w:p>
    <w:p>
      <w:pPr>
        <w:pStyle w:val="Heading3"/>
        <w:bidi/>
        <w:spacing w:after="110" w:before="220"/>
        <w:jc w:val="right"/>
      </w:pPr>
      <w:r>
        <w:rPr>
          <w:rFonts w:ascii="Arial" w:cs="Arial" w:eastAsia="Arial" w:hAnsi="Arial"/>
          <w:b/>
          <w:bCs/>
          <w:color w:val="2E5C8A"/>
          <w:sz w:val="23"/>
          <w:szCs w:val="23"/>
          <w:rtl/>
        </w:rPr>
        <w:t xml:space="preserve">3.2 الكتالوج (SP-06) — الصلاحيات </w:t>
      </w:r>
      <w:r>
        <w:rPr>
          <w:rFonts w:ascii="Consolas" w:cs="Consolas" w:eastAsia="Consolas" w:hAnsi="Consolas"/>
          <w:color w:val="9B2C2C"/>
          <w:sz w:val="21"/>
          <w:szCs w:val="21"/>
          <w:shd w:fill="F4F4F6" w:val="clear"/>
          <w:rtl w:val="false"/>
        </w:rPr>
        <w:t xml:space="preserve">‎sc.catalog.*‎</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938"/>
        <w:gridCol w:w="3808"/>
      </w:tblGrid>
      <w:tr>
        <w:trPr>
          <w:cantSplit/>
          <w:tblHeader/>
        </w:trPr>
        <w:tc>
          <w:tcPr>
            <w:tcW w:type="dxa" w:w="5938"/>
            <w:tcBorders>
              <w:top w:val="single" w:color="C9D2DE" w:sz="4"/>
              <w:left w:val="single" w:color="C9D2DE" w:sz="4"/>
              <w:bottom w:val="single" w:color="C9D2DE" w:sz="4"/>
              <w:right w:val="single" w:color="C9D2DE" w:sz="4"/>
            </w:tcBorders>
            <w:shd w:fill="1F3864" w:val="clear"/>
            <w:tcMar>
              <w:top w:type="dxa" w:w="50"/>
              <w:left w:type="dxa" w:w="100"/>
              <w:bottom w:type="dxa" w:w="50"/>
              <w:right w:type="dxa" w:w="100"/>
            </w:tcMar>
            <w:vAlign w:val="center"/>
          </w:tcPr>
          <w:p>
            <w:pPr>
              <w:bidi/>
              <w:spacing w:after="20" w:before="20" w:line="260"/>
              <w:jc w:val="right"/>
            </w:pPr>
            <w:r>
              <w:rPr>
                <w:rFonts w:ascii="Arial" w:cs="Arial" w:eastAsia="Arial" w:hAnsi="Arial"/>
                <w:b/>
                <w:bCs/>
                <w:color w:val="FFFFFF"/>
                <w:sz w:val="18"/>
                <w:szCs w:val="18"/>
                <w:rtl/>
              </w:rPr>
              <w:t xml:space="preserve">الواجهة</w:t>
            </w:r>
          </w:p>
        </w:tc>
        <w:tc>
          <w:tcPr>
            <w:tcW w:type="dxa" w:w="3808"/>
            <w:tcBorders>
              <w:top w:val="single" w:color="C9D2DE" w:sz="4"/>
              <w:left w:val="single" w:color="C9D2DE" w:sz="4"/>
              <w:bottom w:val="single" w:color="C9D2DE" w:sz="4"/>
              <w:right w:val="single" w:color="C9D2DE" w:sz="4"/>
            </w:tcBorders>
            <w:shd w:fill="1F3864" w:val="clear"/>
            <w:tcMar>
              <w:top w:type="dxa" w:w="50"/>
              <w:left w:type="dxa" w:w="100"/>
              <w:bottom w:type="dxa" w:w="50"/>
              <w:right w:type="dxa" w:w="100"/>
            </w:tcMar>
            <w:vAlign w:val="center"/>
          </w:tcPr>
          <w:p>
            <w:pPr>
              <w:bidi/>
              <w:spacing w:after="20" w:before="20" w:line="260"/>
              <w:jc w:val="right"/>
            </w:pPr>
            <w:r>
              <w:rPr>
                <w:rFonts w:ascii="Arial" w:cs="Arial" w:eastAsia="Arial" w:hAnsi="Arial"/>
                <w:b/>
                <w:bCs/>
                <w:color w:val="FFFFFF"/>
                <w:sz w:val="18"/>
                <w:szCs w:val="18"/>
                <w:rtl/>
              </w:rPr>
              <w:t xml:space="preserve">الخادم</w:t>
            </w:r>
          </w:p>
        </w:tc>
      </w:tr>
      <w:tr>
        <w:trPr>
          <w:cantSplit/>
          <w:tblHeader w:val="false"/>
        </w:trPr>
        <w:tc>
          <w:tcPr>
            <w:tcW w:type="dxa" w:w="5938"/>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TF-SC-030: قائمة البراندات ونموذجها بحقول DOC-01 القسم 4.2.1 + محرر ساليدرات صفحة البراند</w:t>
            </w:r>
          </w:p>
        </w:tc>
        <w:tc>
          <w:tcPr>
            <w:tcW w:type="dxa" w:w="3808"/>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TB-SC-030: </w:t>
            </w:r>
            <w:r>
              <w:rPr>
                <w:rFonts w:ascii="Consolas" w:cs="Consolas" w:eastAsia="Consolas" w:hAnsi="Consolas"/>
                <w:color w:val="9B2C2C"/>
                <w:sz w:val="16"/>
                <w:szCs w:val="16"/>
                <w:shd w:fill="F4F4F6" w:val="clear"/>
                <w:rtl w:val="false"/>
              </w:rPr>
              <w:t xml:space="preserve">‎EP-SC-010‎</w:t>
            </w:r>
            <w:r>
              <w:rPr>
                <w:rFonts w:ascii="Arial" w:cs="Arial" w:eastAsia="Arial" w:hAnsi="Arial"/>
                <w:b w:val="false"/>
                <w:bCs w:val="false"/>
                <w:color w:val="1A1A1A"/>
                <w:sz w:val="18"/>
                <w:szCs w:val="18"/>
                <w:rtl/>
              </w:rPr>
              <w:t xml:space="preserve"> + قيد فرادة الاسم ضمن القناة</w:t>
            </w:r>
          </w:p>
        </w:tc>
      </w:tr>
      <w:tr>
        <w:trPr>
          <w:cantSplit/>
          <w:tblHeader w:val="false"/>
        </w:trPr>
        <w:tc>
          <w:tcPr>
            <w:tcW w:type="dxa" w:w="5938"/>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TF-SC-031: محرر شجري للفئات بالسحب والإفلات لإعادة الترتيب والنقل</w:t>
            </w:r>
          </w:p>
        </w:tc>
        <w:tc>
          <w:tcPr>
            <w:tcW w:type="dxa" w:w="3808"/>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TB-SC-031: </w:t>
            </w:r>
            <w:r>
              <w:rPr>
                <w:rFonts w:ascii="Consolas" w:cs="Consolas" w:eastAsia="Consolas" w:hAnsi="Consolas"/>
                <w:color w:val="9B2C2C"/>
                <w:sz w:val="16"/>
                <w:szCs w:val="16"/>
                <w:shd w:fill="F4F4F6" w:val="clear"/>
                <w:rtl w:val="false"/>
              </w:rPr>
              <w:t xml:space="preserve">‎EP-SC-011/012/013‎</w:t>
            </w:r>
            <w:r>
              <w:rPr>
                <w:rFonts w:ascii="Arial" w:cs="Arial" w:eastAsia="Arial" w:hAnsi="Arial"/>
                <w:b w:val="false"/>
                <w:bCs w:val="false"/>
                <w:color w:val="1A1A1A"/>
                <w:sz w:val="18"/>
                <w:szCs w:val="18"/>
                <w:rtl/>
              </w:rPr>
              <w:t xml:space="preserve"> + منع المستوى السادس على مستوى القاعدة</w:t>
            </w:r>
          </w:p>
        </w:tc>
      </w:tr>
      <w:tr>
        <w:trPr>
          <w:cantSplit/>
          <w:tblHeader w:val="false"/>
        </w:trPr>
        <w:tc>
          <w:tcPr>
            <w:tcW w:type="dxa" w:w="5938"/>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TF-SC-032: عدّاد لحظي بجانب كل فئة: المباشر والكلي شامل الفروع</w:t>
            </w:r>
          </w:p>
        </w:tc>
        <w:tc>
          <w:tcPr>
            <w:tcW w:type="dxa" w:w="3808"/>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TB-SC-032: عدّادات محسوبة ومخبَّأة</w:t>
            </w:r>
          </w:p>
        </w:tc>
      </w:tr>
      <w:tr>
        <w:trPr>
          <w:cantSplit/>
          <w:tblHeader w:val="false"/>
        </w:trPr>
        <w:tc>
          <w:tcPr>
            <w:tcW w:type="dxa" w:w="5938"/>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TF-SC-033: نموذج المنتج بعشرة تبويبات لتقليل الحمل الإدراكي</w:t>
            </w:r>
          </w:p>
        </w:tc>
        <w:tc>
          <w:tcPr>
            <w:tcW w:type="dxa" w:w="3808"/>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TB-SC-033: </w:t>
            </w:r>
            <w:r>
              <w:rPr>
                <w:rFonts w:ascii="Consolas" w:cs="Consolas" w:eastAsia="Consolas" w:hAnsi="Consolas"/>
                <w:color w:val="9B2C2C"/>
                <w:sz w:val="16"/>
                <w:szCs w:val="16"/>
                <w:shd w:fill="F4F4F6" w:val="clear"/>
                <w:rtl w:val="false"/>
              </w:rPr>
              <w:t xml:space="preserve">‎EP-SC-015/016‎</w:t>
            </w:r>
            <w:r>
              <w:rPr>
                <w:rFonts w:ascii="Arial" w:cs="Arial" w:eastAsia="Arial" w:hAnsi="Arial"/>
                <w:b w:val="false"/>
                <w:bCs w:val="false"/>
                <w:color w:val="1A1A1A"/>
                <w:sz w:val="18"/>
                <w:szCs w:val="18"/>
                <w:rtl/>
              </w:rPr>
              <w:t xml:space="preserve"> بتحقق لكل تبويب</w:t>
            </w:r>
          </w:p>
        </w:tc>
      </w:tr>
      <w:tr>
        <w:trPr>
          <w:cantSplit/>
          <w:tblHeader w:val="false"/>
        </w:trPr>
        <w:tc>
          <w:tcPr>
            <w:tcW w:type="dxa" w:w="5938"/>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TF-SC-034: محرر المتغيرات: تعريف المحاور، توليد التوليفات، حذف غير الموجود، تحرير سعر ورصيد وصورة وباركود لكل توليفة</w:t>
            </w:r>
          </w:p>
        </w:tc>
        <w:tc>
          <w:tcPr>
            <w:tcW w:type="dxa" w:w="3808"/>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TB-SC-034: </w:t>
            </w:r>
            <w:r>
              <w:rPr>
                <w:rFonts w:ascii="Consolas" w:cs="Consolas" w:eastAsia="Consolas" w:hAnsi="Consolas"/>
                <w:color w:val="9B2C2C"/>
                <w:sz w:val="16"/>
                <w:szCs w:val="16"/>
                <w:shd w:fill="F4F4F6" w:val="clear"/>
                <w:rtl w:val="false"/>
              </w:rPr>
              <w:t xml:space="preserve">‎EP-SC-017‎</w:t>
            </w:r>
            <w:r>
              <w:rPr>
                <w:rFonts w:ascii="Arial" w:cs="Arial" w:eastAsia="Arial" w:hAnsi="Arial"/>
                <w:b w:val="false"/>
                <w:bCs w:val="false"/>
                <w:color w:val="1A1A1A"/>
                <w:sz w:val="18"/>
                <w:szCs w:val="18"/>
                <w:rtl/>
              </w:rPr>
              <w:t xml:space="preserve"> + SKU مستقل لكل توليفة</w:t>
            </w:r>
          </w:p>
        </w:tc>
      </w:tr>
      <w:tr>
        <w:trPr>
          <w:cantSplit/>
          <w:tblHeader w:val="false"/>
        </w:trPr>
        <w:tc>
          <w:tcPr>
            <w:tcW w:type="dxa" w:w="5938"/>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TF-SC-035: رافع صور متعدد مع تحديد الصورة الرئيسية والترتيب</w:t>
            </w:r>
          </w:p>
        </w:tc>
        <w:tc>
          <w:tcPr>
            <w:tcW w:type="dxa" w:w="3808"/>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TB-SC-035: ضغط تلقائي وتوليد أحجام متعددة في الخلفية</w:t>
            </w:r>
          </w:p>
        </w:tc>
      </w:tr>
      <w:tr>
        <w:trPr>
          <w:cantSplit/>
          <w:tblHeader w:val="false"/>
        </w:trPr>
        <w:tc>
          <w:tcPr>
            <w:tcW w:type="dxa" w:w="5938"/>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TF-SC-036: معالج استيراد Excel: تحميل القالب، رفع، معاينة، تقرير أخطاء بالسطر، تأكيد</w:t>
            </w:r>
          </w:p>
        </w:tc>
        <w:tc>
          <w:tcPr>
            <w:tcW w:type="dxa" w:w="3808"/>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TB-SC-036: </w:t>
            </w:r>
            <w:r>
              <w:rPr>
                <w:rFonts w:ascii="Consolas" w:cs="Consolas" w:eastAsia="Consolas" w:hAnsi="Consolas"/>
                <w:color w:val="9B2C2C"/>
                <w:sz w:val="16"/>
                <w:szCs w:val="16"/>
                <w:shd w:fill="F4F4F6" w:val="clear"/>
                <w:rtl w:val="false"/>
              </w:rPr>
              <w:t xml:space="preserve">‎EP-SC-019‎</w:t>
            </w:r>
            <w:r>
              <w:rPr>
                <w:rFonts w:ascii="Arial" w:cs="Arial" w:eastAsia="Arial" w:hAnsi="Arial"/>
                <w:b w:val="false"/>
                <w:bCs w:val="false"/>
                <w:color w:val="1A1A1A"/>
                <w:sz w:val="18"/>
                <w:szCs w:val="18"/>
                <w:rtl/>
              </w:rPr>
              <w:t xml:space="preserve"> + كشف تكرار SKU والباركود</w:t>
            </w:r>
          </w:p>
        </w:tc>
      </w:tr>
      <w:tr>
        <w:trPr>
          <w:cantSplit/>
          <w:tblHeader w:val="false"/>
        </w:trPr>
        <w:tc>
          <w:tcPr>
            <w:tcW w:type="dxa" w:w="5938"/>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TF-SC-037: تحرير جماعي ونسخ منتج كقالب</w:t>
            </w:r>
          </w:p>
        </w:tc>
        <w:tc>
          <w:tcPr>
            <w:tcW w:type="dxa" w:w="3808"/>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TB-SC-037: </w:t>
            </w:r>
            <w:r>
              <w:rPr>
                <w:rFonts w:ascii="Consolas" w:cs="Consolas" w:eastAsia="Consolas" w:hAnsi="Consolas"/>
                <w:color w:val="9B2C2C"/>
                <w:sz w:val="16"/>
                <w:szCs w:val="16"/>
                <w:shd w:fill="F4F4F6" w:val="clear"/>
                <w:rtl w:val="false"/>
              </w:rPr>
              <w:t xml:space="preserve">‎EP-SC-018‎</w:t>
            </w:r>
          </w:p>
        </w:tc>
      </w:tr>
    </w:tbl>
    <w:p>
      <w:pPr>
        <w:spacing w:after="160"/>
      </w:pPr>
    </w:p>
    <w:p>
      <w:pPr>
        <w:pStyle w:val="Heading3"/>
        <w:bidi/>
        <w:spacing w:after="110" w:before="220"/>
        <w:jc w:val="right"/>
      </w:pPr>
      <w:r>
        <w:rPr>
          <w:rFonts w:ascii="Arial" w:cs="Arial" w:eastAsia="Arial" w:hAnsi="Arial"/>
          <w:b/>
          <w:bCs/>
          <w:color w:val="2E5C8A"/>
          <w:sz w:val="23"/>
          <w:szCs w:val="23"/>
          <w:rtl/>
        </w:rPr>
        <w:t xml:space="preserve">3.3 التسعير (SP-07) — </w:t>
      </w:r>
      <w:r>
        <w:rPr>
          <w:rFonts w:ascii="Consolas" w:cs="Consolas" w:eastAsia="Consolas" w:hAnsi="Consolas"/>
          <w:color w:val="9B2C2C"/>
          <w:sz w:val="21"/>
          <w:szCs w:val="21"/>
          <w:shd w:fill="F4F4F6" w:val="clear"/>
          <w:rtl w:val="false"/>
        </w:rPr>
        <w:t xml:space="preserve">‎sc.pricing.*‎</w:t>
      </w:r>
      <w:r>
        <w:rPr>
          <w:rFonts w:ascii="Arial" w:cs="Arial" w:eastAsia="Arial" w:hAnsi="Arial"/>
          <w:b/>
          <w:bCs/>
          <w:color w:val="2E5C8A"/>
          <w:sz w:val="23"/>
          <w:szCs w:val="23"/>
          <w:rtl/>
        </w:rPr>
        <w:t xml:space="preserve"> كلها حرجة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33"/>
        <w:gridCol w:w="4713"/>
      </w:tblGrid>
      <w:tr>
        <w:trPr>
          <w:cantSplit/>
          <w:tblHeader/>
        </w:trPr>
        <w:tc>
          <w:tcPr>
            <w:tcW w:type="dxa" w:w="5033"/>
            <w:tcBorders>
              <w:top w:val="single" w:color="C9D2DE" w:sz="4"/>
              <w:left w:val="single" w:color="C9D2DE" w:sz="4"/>
              <w:bottom w:val="single" w:color="C9D2DE" w:sz="4"/>
              <w:right w:val="single" w:color="C9D2DE" w:sz="4"/>
            </w:tcBorders>
            <w:shd w:fill="1F3864" w:val="clear"/>
            <w:tcMar>
              <w:top w:type="dxa" w:w="50"/>
              <w:left w:type="dxa" w:w="100"/>
              <w:bottom w:type="dxa" w:w="50"/>
              <w:right w:type="dxa" w:w="100"/>
            </w:tcMar>
            <w:vAlign w:val="center"/>
          </w:tcPr>
          <w:p>
            <w:pPr>
              <w:bidi/>
              <w:spacing w:after="20" w:before="20" w:line="260"/>
              <w:jc w:val="right"/>
            </w:pPr>
            <w:r>
              <w:rPr>
                <w:rFonts w:ascii="Arial" w:cs="Arial" w:eastAsia="Arial" w:hAnsi="Arial"/>
                <w:b/>
                <w:bCs/>
                <w:color w:val="FFFFFF"/>
                <w:sz w:val="18"/>
                <w:szCs w:val="18"/>
                <w:rtl/>
              </w:rPr>
              <w:t xml:space="preserve">الواجهة</w:t>
            </w:r>
          </w:p>
        </w:tc>
        <w:tc>
          <w:tcPr>
            <w:tcW w:type="dxa" w:w="4713"/>
            <w:tcBorders>
              <w:top w:val="single" w:color="C9D2DE" w:sz="4"/>
              <w:left w:val="single" w:color="C9D2DE" w:sz="4"/>
              <w:bottom w:val="single" w:color="C9D2DE" w:sz="4"/>
              <w:right w:val="single" w:color="C9D2DE" w:sz="4"/>
            </w:tcBorders>
            <w:shd w:fill="1F3864" w:val="clear"/>
            <w:tcMar>
              <w:top w:type="dxa" w:w="50"/>
              <w:left w:type="dxa" w:w="100"/>
              <w:bottom w:type="dxa" w:w="50"/>
              <w:right w:type="dxa" w:w="100"/>
            </w:tcMar>
            <w:vAlign w:val="center"/>
          </w:tcPr>
          <w:p>
            <w:pPr>
              <w:bidi/>
              <w:spacing w:after="20" w:before="20" w:line="260"/>
              <w:jc w:val="right"/>
            </w:pPr>
            <w:r>
              <w:rPr>
                <w:rFonts w:ascii="Arial" w:cs="Arial" w:eastAsia="Arial" w:hAnsi="Arial"/>
                <w:b/>
                <w:bCs/>
                <w:color w:val="FFFFFF"/>
                <w:sz w:val="18"/>
                <w:szCs w:val="18"/>
                <w:rtl/>
              </w:rPr>
              <w:t xml:space="preserve">الخادم</w:t>
            </w:r>
          </w:p>
        </w:tc>
      </w:tr>
      <w:tr>
        <w:trPr>
          <w:cantSplit/>
          <w:tblHeader w:val="false"/>
        </w:trPr>
        <w:tc>
          <w:tcPr>
            <w:tcW w:type="dxa" w:w="5033"/>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TF-SC-040: شاشة قوائم الأسعار بأنواعها الخمسة</w:t>
            </w:r>
          </w:p>
        </w:tc>
        <w:tc>
          <w:tcPr>
            <w:tcW w:type="dxa" w:w="4713"/>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TB-SC-040: </w:t>
            </w:r>
            <w:r>
              <w:rPr>
                <w:rFonts w:ascii="Consolas" w:cs="Consolas" w:eastAsia="Consolas" w:hAnsi="Consolas"/>
                <w:color w:val="9B2C2C"/>
                <w:sz w:val="16"/>
                <w:szCs w:val="16"/>
                <w:shd w:fill="F4F4F6" w:val="clear"/>
                <w:rtl w:val="false"/>
              </w:rPr>
              <w:t xml:space="preserve">‎EP-SC-030‎</w:t>
            </w:r>
            <w:r>
              <w:rPr>
                <w:rFonts w:ascii="Arial" w:cs="Arial" w:eastAsia="Arial" w:hAnsi="Arial"/>
                <w:b w:val="false"/>
                <w:bCs w:val="false"/>
                <w:color w:val="1A1A1A"/>
                <w:sz w:val="18"/>
                <w:szCs w:val="18"/>
                <w:rtl/>
              </w:rPr>
              <w:t xml:space="preserve"> + أسبقية القواعد الخمس في </w:t>
            </w:r>
            <w:r>
              <w:rPr>
                <w:rFonts w:ascii="Consolas" w:cs="Consolas" w:eastAsia="Consolas" w:hAnsi="Consolas"/>
                <w:color w:val="9B2C2C"/>
                <w:sz w:val="16"/>
                <w:szCs w:val="16"/>
                <w:shd w:fill="F4F4F6" w:val="clear"/>
                <w:rtl w:val="false"/>
              </w:rPr>
              <w:t xml:space="preserve">‎PricingEngine‎</w:t>
            </w:r>
          </w:p>
        </w:tc>
      </w:tr>
      <w:tr>
        <w:trPr>
          <w:cantSplit/>
          <w:tblHeader w:val="false"/>
        </w:trPr>
        <w:tc>
          <w:tcPr>
            <w:tcW w:type="dxa" w:w="5033"/>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TF-SC-041: محرر شرائح الكمية بمدى من–إلى مع تحقق من عدم التداخل</w:t>
            </w:r>
          </w:p>
        </w:tc>
        <w:tc>
          <w:tcPr>
            <w:tcW w:type="dxa" w:w="4713"/>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TB-SC-041: </w:t>
            </w:r>
            <w:r>
              <w:rPr>
                <w:rFonts w:ascii="Consolas" w:cs="Consolas" w:eastAsia="Consolas" w:hAnsi="Consolas"/>
                <w:color w:val="9B2C2C"/>
                <w:sz w:val="16"/>
                <w:szCs w:val="16"/>
                <w:shd w:fill="F4F4F6" w:val="clear"/>
                <w:rtl w:val="false"/>
              </w:rPr>
              <w:t xml:space="preserve">‎EP-SC-031‎</w:t>
            </w:r>
            <w:r>
              <w:rPr>
                <w:rFonts w:ascii="Arial" w:cs="Arial" w:eastAsia="Arial" w:hAnsi="Arial"/>
                <w:b w:val="false"/>
                <w:bCs w:val="false"/>
                <w:color w:val="1A1A1A"/>
                <w:sz w:val="18"/>
                <w:szCs w:val="18"/>
                <w:rtl/>
              </w:rPr>
              <w:t xml:space="preserve"> + تحقق خادمي من التداخل والفجوات</w:t>
            </w:r>
          </w:p>
        </w:tc>
      </w:tr>
      <w:tr>
        <w:trPr>
          <w:cantSplit/>
          <w:tblHeader w:val="false"/>
        </w:trPr>
        <w:tc>
          <w:tcPr>
            <w:tcW w:type="dxa" w:w="5033"/>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TF-SC-042: جدولة تغيير سعر مستقبلي بتاريخ سريان</w:t>
            </w:r>
          </w:p>
        </w:tc>
        <w:tc>
          <w:tcPr>
            <w:tcW w:type="dxa" w:w="4713"/>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TB-SC-042: </w:t>
            </w:r>
            <w:r>
              <w:rPr>
                <w:rFonts w:ascii="Consolas" w:cs="Consolas" w:eastAsia="Consolas" w:hAnsi="Consolas"/>
                <w:color w:val="9B2C2C"/>
                <w:sz w:val="16"/>
                <w:szCs w:val="16"/>
                <w:shd w:fill="F4F4F6" w:val="clear"/>
                <w:rtl w:val="false"/>
              </w:rPr>
              <w:t xml:space="preserve">‎EP-SC-032‎</w:t>
            </w:r>
            <w:r>
              <w:rPr>
                <w:rFonts w:ascii="Arial" w:cs="Arial" w:eastAsia="Arial" w:hAnsi="Arial"/>
                <w:b w:val="false"/>
                <w:bCs w:val="false"/>
                <w:color w:val="1A1A1A"/>
                <w:sz w:val="18"/>
                <w:szCs w:val="18"/>
                <w:rtl/>
              </w:rPr>
              <w:t xml:space="preserve"> + وظيفة مجدولة تفعّله تلقائياً</w:t>
            </w:r>
          </w:p>
        </w:tc>
      </w:tr>
      <w:tr>
        <w:trPr>
          <w:cantSplit/>
          <w:tblHeader w:val="false"/>
        </w:trPr>
        <w:tc>
          <w:tcPr>
            <w:tcW w:type="dxa" w:w="5033"/>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TF-SC-043: حقل سبب </w:t>
            </w:r>
            <w:r>
              <w:rPr>
                <w:rFonts w:ascii="Arial" w:cs="Arial" w:eastAsia="Arial" w:hAnsi="Arial"/>
                <w:b/>
                <w:bCs/>
                <w:color w:val="0F2A4A"/>
                <w:sz w:val="18"/>
                <w:szCs w:val="18"/>
                <w:rtl/>
              </w:rPr>
              <w:t xml:space="preserve">إلزامي</w:t>
            </w:r>
            <w:r>
              <w:rPr>
                <w:rFonts w:ascii="Arial" w:cs="Arial" w:eastAsia="Arial" w:hAnsi="Arial"/>
                <w:b w:val="false"/>
                <w:bCs w:val="false"/>
                <w:color w:val="1A1A1A"/>
                <w:sz w:val="18"/>
                <w:szCs w:val="18"/>
                <w:rtl/>
              </w:rPr>
              <w:t xml:space="preserve"> في كل تغيير سعر</w:t>
            </w:r>
          </w:p>
        </w:tc>
        <w:tc>
          <w:tcPr>
            <w:tcW w:type="dxa" w:w="4713"/>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TB-SC-043: 422 عند غيابه + سجل التغييرات الكامل</w:t>
            </w:r>
          </w:p>
        </w:tc>
      </w:tr>
      <w:tr>
        <w:trPr>
          <w:cantSplit/>
          <w:tblHeader w:val="false"/>
        </w:trPr>
        <w:tc>
          <w:tcPr>
            <w:tcW w:type="dxa" w:w="5033"/>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TF-SC-044: شاشة سجل تغيّر الأسعار: من غيّر، ماذا كان، ماذا أصبح، متى، ولماذا</w:t>
            </w:r>
          </w:p>
        </w:tc>
        <w:tc>
          <w:tcPr>
            <w:tcW w:type="dxa" w:w="4713"/>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TB-SC-044: </w:t>
            </w:r>
            <w:r>
              <w:rPr>
                <w:rFonts w:ascii="Consolas" w:cs="Consolas" w:eastAsia="Consolas" w:hAnsi="Consolas"/>
                <w:color w:val="9B2C2C"/>
                <w:sz w:val="16"/>
                <w:szCs w:val="16"/>
                <w:shd w:fill="F4F4F6" w:val="clear"/>
                <w:rtl w:val="false"/>
              </w:rPr>
              <w:t xml:space="preserve">‎EP-SC-034‎</w:t>
            </w:r>
          </w:p>
        </w:tc>
      </w:tr>
      <w:tr>
        <w:trPr>
          <w:cantSplit/>
          <w:tblHeader w:val="false"/>
        </w:trPr>
        <w:tc>
          <w:tcPr>
            <w:tcW w:type="dxa" w:w="5033"/>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TF-SC-045: ضبط سقف الخصم المسموح للمندوب</w:t>
            </w:r>
          </w:p>
        </w:tc>
        <w:tc>
          <w:tcPr>
            <w:tcW w:type="dxa" w:w="4713"/>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TB-SC-045: </w:t>
            </w:r>
            <w:r>
              <w:rPr>
                <w:rFonts w:ascii="Consolas" w:cs="Consolas" w:eastAsia="Consolas" w:hAnsi="Consolas"/>
                <w:color w:val="9B2C2C"/>
                <w:sz w:val="16"/>
                <w:szCs w:val="16"/>
                <w:shd w:fill="F4F4F6" w:val="clear"/>
                <w:rtl w:val="false"/>
              </w:rPr>
              <w:t xml:space="preserve">‎EP-SC-035‎</w:t>
            </w:r>
            <w:r>
              <w:rPr>
                <w:rFonts w:ascii="Arial" w:cs="Arial" w:eastAsia="Arial" w:hAnsi="Arial"/>
                <w:b w:val="false"/>
                <w:bCs w:val="false"/>
                <w:color w:val="1A1A1A"/>
                <w:sz w:val="18"/>
                <w:szCs w:val="18"/>
                <w:rtl/>
              </w:rPr>
              <w:t xml:space="preserve"> + فرض السقف عند تسجيل الطلب (BR-12)</w:t>
            </w:r>
          </w:p>
        </w:tc>
      </w:tr>
      <w:tr>
        <w:trPr>
          <w:cantSplit/>
          <w:tblHeader w:val="false"/>
        </w:trPr>
        <w:tc>
          <w:tcPr>
            <w:tcW w:type="dxa" w:w="5033"/>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TF-SC-046: معاينة السعر: «ماذا سيرى تاجر في المنطقة س بكمية ص»</w:t>
            </w:r>
          </w:p>
        </w:tc>
        <w:tc>
          <w:tcPr>
            <w:tcW w:type="dxa" w:w="4713"/>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TB-SC-046: </w:t>
            </w:r>
            <w:r>
              <w:rPr>
                <w:rFonts w:ascii="Consolas" w:cs="Consolas" w:eastAsia="Consolas" w:hAnsi="Consolas"/>
                <w:color w:val="9B2C2C"/>
                <w:sz w:val="16"/>
                <w:szCs w:val="16"/>
                <w:shd w:fill="F4F4F6" w:val="clear"/>
                <w:rtl w:val="false"/>
              </w:rPr>
              <w:t xml:space="preserve">‎EP-APP-030‎</w:t>
            </w:r>
            <w:r>
              <w:rPr>
                <w:rFonts w:ascii="Arial" w:cs="Arial" w:eastAsia="Arial" w:hAnsi="Arial"/>
                <w:b w:val="false"/>
                <w:bCs w:val="false"/>
                <w:color w:val="1A1A1A"/>
                <w:sz w:val="18"/>
                <w:szCs w:val="18"/>
                <w:rtl/>
              </w:rPr>
              <w:t xml:space="preserve"> بوضع معاينة — أداة تشخيص أساسية</w:t>
            </w:r>
          </w:p>
        </w:tc>
      </w:tr>
    </w:tbl>
    <w:p>
      <w:pPr>
        <w:spacing w:after="160"/>
      </w:pPr>
    </w:p>
    <w:p>
      <w:pPr>
        <w:bidi/>
        <w:spacing w:after="100" w:before="60" w:line="300"/>
        <w:jc w:val="both"/>
      </w:pPr>
      <w:r>
        <w:rPr>
          <w:rFonts w:ascii="Arial" w:cs="Arial" w:eastAsia="Arial" w:hAnsi="Arial"/>
          <w:b/>
          <w:bCs/>
          <w:color w:val="0F2A4A"/>
          <w:sz w:val="20"/>
          <w:szCs w:val="20"/>
          <w:rtl/>
        </w:rPr>
        <w:t xml:space="preserve">فصل مهام ملزم:</w:t>
      </w:r>
      <w:r>
        <w:rPr>
          <w:rFonts w:ascii="Arial" w:cs="Arial" w:eastAsia="Arial" w:hAnsi="Arial"/>
          <w:b w:val="false"/>
          <w:bCs w:val="false"/>
          <w:color w:val="1A1A1A"/>
          <w:sz w:val="20"/>
          <w:szCs w:val="20"/>
          <w:rtl/>
        </w:rPr>
        <w:t xml:space="preserve"> من يملك </w:t>
      </w:r>
      <w:r>
        <w:rPr>
          <w:rFonts w:ascii="Consolas" w:cs="Consolas" w:eastAsia="Consolas" w:hAnsi="Consolas"/>
          <w:color w:val="9B2C2C"/>
          <w:sz w:val="18"/>
          <w:szCs w:val="18"/>
          <w:shd w:fill="F4F4F6" w:val="clear"/>
          <w:rtl w:val="false"/>
        </w:rPr>
        <w:t xml:space="preserve">‎sc.pricing.update‎</w:t>
      </w:r>
      <w:r>
        <w:rPr>
          <w:rFonts w:ascii="Arial" w:cs="Arial" w:eastAsia="Arial" w:hAnsi="Arial"/>
          <w:b w:val="false"/>
          <w:bCs w:val="false"/>
          <w:color w:val="1A1A1A"/>
          <w:sz w:val="20"/>
          <w:szCs w:val="20"/>
          <w:rtl/>
        </w:rPr>
        <w:t xml:space="preserve"> لا يملك </w:t>
      </w:r>
      <w:r>
        <w:rPr>
          <w:rFonts w:ascii="Consolas" w:cs="Consolas" w:eastAsia="Consolas" w:hAnsi="Consolas"/>
          <w:color w:val="9B2C2C"/>
          <w:sz w:val="18"/>
          <w:szCs w:val="18"/>
          <w:shd w:fill="F4F4F6" w:val="clear"/>
          <w:rtl w:val="false"/>
        </w:rPr>
        <w:t xml:space="preserve">‎sc.returns.decide‎</w:t>
      </w:r>
      <w:r>
        <w:rPr>
          <w:rFonts w:ascii="Arial" w:cs="Arial" w:eastAsia="Arial" w:hAnsi="Arial"/>
          <w:b w:val="false"/>
          <w:bCs w:val="false"/>
          <w:color w:val="1A1A1A"/>
          <w:sz w:val="20"/>
          <w:szCs w:val="20"/>
          <w:rtl/>
        </w:rPr>
        <w:t xml:space="preserve"> (SOD-02). الواجهة تعرض التعارض عند بناء الدور والخادم يرفض الحفظ.</w:t>
      </w:r>
    </w:p>
    <w:p>
      <w:pPr>
        <w:pStyle w:val="Heading3"/>
        <w:bidi/>
        <w:spacing w:after="110" w:before="220"/>
        <w:jc w:val="right"/>
      </w:pPr>
      <w:r>
        <w:rPr>
          <w:rFonts w:ascii="Arial" w:cs="Arial" w:eastAsia="Arial" w:hAnsi="Arial"/>
          <w:b/>
          <w:bCs/>
          <w:color w:val="2E5C8A"/>
          <w:sz w:val="23"/>
          <w:szCs w:val="23"/>
          <w:rtl/>
        </w:rPr>
        <w:t xml:space="preserve">3.4 العروض والخصومات (SP-08)</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172"/>
        <w:gridCol w:w="3574"/>
      </w:tblGrid>
      <w:tr>
        <w:trPr>
          <w:cantSplit/>
          <w:tblHeader/>
        </w:trPr>
        <w:tc>
          <w:tcPr>
            <w:tcW w:type="dxa" w:w="6172"/>
            <w:tcBorders>
              <w:top w:val="single" w:color="C9D2DE" w:sz="4"/>
              <w:left w:val="single" w:color="C9D2DE" w:sz="4"/>
              <w:bottom w:val="single" w:color="C9D2DE" w:sz="4"/>
              <w:right w:val="single" w:color="C9D2DE" w:sz="4"/>
            </w:tcBorders>
            <w:shd w:fill="1F3864" w:val="clear"/>
            <w:tcMar>
              <w:top w:type="dxa" w:w="50"/>
              <w:left w:type="dxa" w:w="100"/>
              <w:bottom w:type="dxa" w:w="50"/>
              <w:right w:type="dxa" w:w="100"/>
            </w:tcMar>
            <w:vAlign w:val="center"/>
          </w:tcPr>
          <w:p>
            <w:pPr>
              <w:bidi/>
              <w:spacing w:after="20" w:before="20" w:line="260"/>
              <w:jc w:val="right"/>
            </w:pPr>
            <w:r>
              <w:rPr>
                <w:rFonts w:ascii="Arial" w:cs="Arial" w:eastAsia="Arial" w:hAnsi="Arial"/>
                <w:b/>
                <w:bCs/>
                <w:color w:val="FFFFFF"/>
                <w:sz w:val="18"/>
                <w:szCs w:val="18"/>
                <w:rtl/>
              </w:rPr>
              <w:t xml:space="preserve">الواجهة</w:t>
            </w:r>
          </w:p>
        </w:tc>
        <w:tc>
          <w:tcPr>
            <w:tcW w:type="dxa" w:w="3574"/>
            <w:tcBorders>
              <w:top w:val="single" w:color="C9D2DE" w:sz="4"/>
              <w:left w:val="single" w:color="C9D2DE" w:sz="4"/>
              <w:bottom w:val="single" w:color="C9D2DE" w:sz="4"/>
              <w:right w:val="single" w:color="C9D2DE" w:sz="4"/>
            </w:tcBorders>
            <w:shd w:fill="1F3864" w:val="clear"/>
            <w:tcMar>
              <w:top w:type="dxa" w:w="50"/>
              <w:left w:type="dxa" w:w="100"/>
              <w:bottom w:type="dxa" w:w="50"/>
              <w:right w:type="dxa" w:w="100"/>
            </w:tcMar>
            <w:vAlign w:val="center"/>
          </w:tcPr>
          <w:p>
            <w:pPr>
              <w:bidi/>
              <w:spacing w:after="20" w:before="20" w:line="260"/>
              <w:jc w:val="right"/>
            </w:pPr>
            <w:r>
              <w:rPr>
                <w:rFonts w:ascii="Arial" w:cs="Arial" w:eastAsia="Arial" w:hAnsi="Arial"/>
                <w:b/>
                <w:bCs/>
                <w:color w:val="FFFFFF"/>
                <w:sz w:val="18"/>
                <w:szCs w:val="18"/>
                <w:rtl/>
              </w:rPr>
              <w:t xml:space="preserve">الخادم</w:t>
            </w:r>
          </w:p>
        </w:tc>
      </w:tr>
      <w:tr>
        <w:trPr>
          <w:cantSplit/>
          <w:tblHeader w:val="false"/>
        </w:trPr>
        <w:tc>
          <w:tcPr>
            <w:tcW w:type="dxa" w:w="6172"/>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TF-SC-050: معالج إنشاء عرض بأنواعه الستة، كل نوع بنموذجه</w:t>
            </w:r>
          </w:p>
        </w:tc>
        <w:tc>
          <w:tcPr>
            <w:tcW w:type="dxa" w:w="3574"/>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TB-SC-050: </w:t>
            </w:r>
            <w:r>
              <w:rPr>
                <w:rFonts w:ascii="Consolas" w:cs="Consolas" w:eastAsia="Consolas" w:hAnsi="Consolas"/>
                <w:color w:val="9B2C2C"/>
                <w:sz w:val="16"/>
                <w:szCs w:val="16"/>
                <w:shd w:fill="F4F4F6" w:val="clear"/>
                <w:rtl w:val="false"/>
              </w:rPr>
              <w:t xml:space="preserve">‎EP-SC-040‎</w:t>
            </w:r>
            <w:r>
              <w:rPr>
                <w:rFonts w:ascii="Arial" w:cs="Arial" w:eastAsia="Arial" w:hAnsi="Arial"/>
                <w:b w:val="false"/>
                <w:bCs w:val="false"/>
                <w:color w:val="1A1A1A"/>
                <w:sz w:val="18"/>
                <w:szCs w:val="18"/>
                <w:rtl/>
              </w:rPr>
              <w:t xml:space="preserve"> بتحقق لكل نوع</w:t>
            </w:r>
          </w:p>
        </w:tc>
      </w:tr>
      <w:tr>
        <w:trPr>
          <w:cantSplit/>
          <w:tblHeader w:val="false"/>
        </w:trPr>
        <w:tc>
          <w:tcPr>
            <w:tcW w:type="dxa" w:w="6172"/>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TF-SC-051: محرر استهداف مركّب بمنطق «و»: نشاط + منطقة + مجموعة + تاجر</w:t>
            </w:r>
          </w:p>
        </w:tc>
        <w:tc>
          <w:tcPr>
            <w:tcW w:type="dxa" w:w="3574"/>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TB-SC-051: تقييم الاستهداف في محرك العروض</w:t>
            </w:r>
          </w:p>
        </w:tc>
      </w:tr>
      <w:tr>
        <w:trPr>
          <w:cantSplit/>
          <w:tblHeader w:val="false"/>
        </w:trPr>
        <w:tc>
          <w:tcPr>
            <w:tcW w:type="dxa" w:w="6172"/>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TF-SC-052: محرر القيود: الفترة، الكمية الإجمالية، حد التاجر، حد الطلب، الحد الأدنى للفاتورة</w:t>
            </w:r>
          </w:p>
        </w:tc>
        <w:tc>
          <w:tcPr>
            <w:tcW w:type="dxa" w:w="3574"/>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TB-SC-052: فرض القيود في تقييم السلة</w:t>
            </w:r>
          </w:p>
        </w:tc>
      </w:tr>
      <w:tr>
        <w:trPr>
          <w:cantSplit/>
          <w:tblHeader w:val="false"/>
        </w:trPr>
        <w:tc>
          <w:tcPr>
            <w:tcW w:type="dxa" w:w="6172"/>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TF-SC-053: قابلية الدمج والأولوية الرقمية عند التعارض</w:t>
            </w:r>
          </w:p>
        </w:tc>
        <w:tc>
          <w:tcPr>
            <w:tcW w:type="dxa" w:w="3574"/>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TB-SC-053: خوارزمية الحل عند التعارض</w:t>
            </w:r>
          </w:p>
        </w:tc>
      </w:tr>
      <w:tr>
        <w:trPr>
          <w:cantSplit/>
          <w:tblHeader w:val="false"/>
        </w:trPr>
        <w:tc>
          <w:tcPr>
            <w:tcW w:type="dxa" w:w="6172"/>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TF-SC-054: معاينة أثر العرض قبل النشر بلغة الأعمال</w:t>
            </w:r>
          </w:p>
        </w:tc>
        <w:tc>
          <w:tcPr>
            <w:tcW w:type="dxa" w:w="3574"/>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TB-SC-054: نقطة محاكاة على سلة تجريبية</w:t>
            </w:r>
          </w:p>
        </w:tc>
      </w:tr>
      <w:tr>
        <w:trPr>
          <w:cantSplit/>
          <w:tblHeader w:val="false"/>
        </w:trPr>
        <w:tc>
          <w:tcPr>
            <w:tcW w:type="dxa" w:w="6172"/>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TF-SC-055: تقرير أداء العرض بمؤشراته الستة</w:t>
            </w:r>
          </w:p>
        </w:tc>
        <w:tc>
          <w:tcPr>
            <w:tcW w:type="dxa" w:w="3574"/>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TB-SC-055: </w:t>
            </w:r>
            <w:r>
              <w:rPr>
                <w:rFonts w:ascii="Consolas" w:cs="Consolas" w:eastAsia="Consolas" w:hAnsi="Consolas"/>
                <w:color w:val="9B2C2C"/>
                <w:sz w:val="16"/>
                <w:szCs w:val="16"/>
                <w:shd w:fill="F4F4F6" w:val="clear"/>
                <w:rtl w:val="false"/>
              </w:rPr>
              <w:t xml:space="preserve">‎EP-SC-042‎</w:t>
            </w:r>
          </w:p>
        </w:tc>
      </w:tr>
    </w:tbl>
    <w:p>
      <w:pPr>
        <w:spacing w:after="160"/>
      </w:pPr>
    </w:p>
    <w:p>
      <w:pPr>
        <w:pStyle w:val="Heading3"/>
        <w:bidi/>
        <w:spacing w:after="110" w:before="220"/>
        <w:jc w:val="right"/>
      </w:pPr>
      <w:r>
        <w:rPr>
          <w:rFonts w:ascii="Arial" w:cs="Arial" w:eastAsia="Arial" w:hAnsi="Arial"/>
          <w:b/>
          <w:bCs/>
          <w:color w:val="2E5C8A"/>
          <w:sz w:val="23"/>
          <w:szCs w:val="23"/>
          <w:rtl/>
        </w:rPr>
        <w:t xml:space="preserve">3.5 المخزون (SP-09) — </w:t>
      </w:r>
      <w:r>
        <w:rPr>
          <w:rFonts w:ascii="Consolas" w:cs="Consolas" w:eastAsia="Consolas" w:hAnsi="Consolas"/>
          <w:color w:val="9B2C2C"/>
          <w:sz w:val="21"/>
          <w:szCs w:val="21"/>
          <w:shd w:fill="F4F4F6" w:val="clear"/>
          <w:rtl w:val="false"/>
        </w:rPr>
        <w:t xml:space="preserve">‎sc.inventory.*‎</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911"/>
        <w:gridCol w:w="3835"/>
      </w:tblGrid>
      <w:tr>
        <w:trPr>
          <w:cantSplit/>
          <w:tblHeader/>
        </w:trPr>
        <w:tc>
          <w:tcPr>
            <w:tcW w:type="dxa" w:w="5911"/>
            <w:tcBorders>
              <w:top w:val="single" w:color="C9D2DE" w:sz="4"/>
              <w:left w:val="single" w:color="C9D2DE" w:sz="4"/>
              <w:bottom w:val="single" w:color="C9D2DE" w:sz="4"/>
              <w:right w:val="single" w:color="C9D2DE" w:sz="4"/>
            </w:tcBorders>
            <w:shd w:fill="1F3864" w:val="clear"/>
            <w:tcMar>
              <w:top w:type="dxa" w:w="50"/>
              <w:left w:type="dxa" w:w="100"/>
              <w:bottom w:type="dxa" w:w="50"/>
              <w:right w:type="dxa" w:w="100"/>
            </w:tcMar>
            <w:vAlign w:val="center"/>
          </w:tcPr>
          <w:p>
            <w:pPr>
              <w:bidi/>
              <w:spacing w:after="20" w:before="20" w:line="260"/>
              <w:jc w:val="right"/>
            </w:pPr>
            <w:r>
              <w:rPr>
                <w:rFonts w:ascii="Arial" w:cs="Arial" w:eastAsia="Arial" w:hAnsi="Arial"/>
                <w:b/>
                <w:bCs/>
                <w:color w:val="FFFFFF"/>
                <w:sz w:val="18"/>
                <w:szCs w:val="18"/>
                <w:rtl/>
              </w:rPr>
              <w:t xml:space="preserve">الواجهة</w:t>
            </w:r>
          </w:p>
        </w:tc>
        <w:tc>
          <w:tcPr>
            <w:tcW w:type="dxa" w:w="3835"/>
            <w:tcBorders>
              <w:top w:val="single" w:color="C9D2DE" w:sz="4"/>
              <w:left w:val="single" w:color="C9D2DE" w:sz="4"/>
              <w:bottom w:val="single" w:color="C9D2DE" w:sz="4"/>
              <w:right w:val="single" w:color="C9D2DE" w:sz="4"/>
            </w:tcBorders>
            <w:shd w:fill="1F3864" w:val="clear"/>
            <w:tcMar>
              <w:top w:type="dxa" w:w="50"/>
              <w:left w:type="dxa" w:w="100"/>
              <w:bottom w:type="dxa" w:w="50"/>
              <w:right w:type="dxa" w:w="100"/>
            </w:tcMar>
            <w:vAlign w:val="center"/>
          </w:tcPr>
          <w:p>
            <w:pPr>
              <w:bidi/>
              <w:spacing w:after="20" w:before="20" w:line="260"/>
              <w:jc w:val="right"/>
            </w:pPr>
            <w:r>
              <w:rPr>
                <w:rFonts w:ascii="Arial" w:cs="Arial" w:eastAsia="Arial" w:hAnsi="Arial"/>
                <w:b/>
                <w:bCs/>
                <w:color w:val="FFFFFF"/>
                <w:sz w:val="18"/>
                <w:szCs w:val="18"/>
                <w:rtl/>
              </w:rPr>
              <w:t xml:space="preserve">الخادم</w:t>
            </w:r>
          </w:p>
        </w:tc>
      </w:tr>
      <w:tr>
        <w:trPr>
          <w:cantSplit/>
          <w:tblHeader w:val="false"/>
        </w:trPr>
        <w:tc>
          <w:tcPr>
            <w:tcW w:type="dxa" w:w="5911"/>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TF-SC-060: شاشة الأرصدة بالحالات الأربع لكل صنف في كل مستودع</w:t>
            </w:r>
          </w:p>
        </w:tc>
        <w:tc>
          <w:tcPr>
            <w:tcW w:type="dxa" w:w="3835"/>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TB-SC-060: </w:t>
            </w:r>
            <w:r>
              <w:rPr>
                <w:rFonts w:ascii="Consolas" w:cs="Consolas" w:eastAsia="Consolas" w:hAnsi="Consolas"/>
                <w:color w:val="9B2C2C"/>
                <w:sz w:val="16"/>
                <w:szCs w:val="16"/>
                <w:shd w:fill="F4F4F6" w:val="clear"/>
                <w:rtl w:val="false"/>
              </w:rPr>
              <w:t xml:space="preserve">‎EP-SC-050‎</w:t>
            </w:r>
          </w:p>
        </w:tc>
      </w:tr>
      <w:tr>
        <w:trPr>
          <w:cantSplit/>
          <w:tblHeader w:val="false"/>
        </w:trPr>
        <w:tc>
          <w:tcPr>
            <w:tcW w:type="dxa" w:w="5911"/>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TF-SC-061: التسوية اليدوية بتأكيد مزدوج وسبب إلزامي</w:t>
            </w:r>
          </w:p>
        </w:tc>
        <w:tc>
          <w:tcPr>
            <w:tcW w:type="dxa" w:w="3835"/>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TB-SC-061: </w:t>
            </w:r>
            <w:r>
              <w:rPr>
                <w:rFonts w:ascii="Consolas" w:cs="Consolas" w:eastAsia="Consolas" w:hAnsi="Consolas"/>
                <w:color w:val="9B2C2C"/>
                <w:sz w:val="16"/>
                <w:szCs w:val="16"/>
                <w:shd w:fill="F4F4F6" w:val="clear"/>
                <w:rtl w:val="false"/>
              </w:rPr>
              <w:t xml:space="preserve">‎EP-SC-051‎</w:t>
            </w:r>
            <w:r>
              <w:rPr>
                <w:rFonts w:ascii="Arial" w:cs="Arial" w:eastAsia="Arial" w:hAnsi="Arial"/>
                <w:b w:val="false"/>
                <w:bCs w:val="false"/>
                <w:color w:val="1A1A1A"/>
                <w:sz w:val="18"/>
                <w:szCs w:val="18"/>
                <w:rtl/>
              </w:rPr>
              <w:t xml:space="preserve"> — حرجة + SOD-03</w:t>
            </w:r>
          </w:p>
        </w:tc>
      </w:tr>
      <w:tr>
        <w:trPr>
          <w:cantSplit/>
          <w:tblHeader w:val="false"/>
        </w:trPr>
        <w:tc>
          <w:tcPr>
            <w:tcW w:type="dxa" w:w="5911"/>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TF-SC-062: مستند التحويل بين المستودعات بحالتي «مُرسَل» و«مُستلَم»</w:t>
            </w:r>
          </w:p>
        </w:tc>
        <w:tc>
          <w:tcPr>
            <w:tcW w:type="dxa" w:w="3835"/>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TB-SC-062: </w:t>
            </w:r>
            <w:r>
              <w:rPr>
                <w:rFonts w:ascii="Consolas" w:cs="Consolas" w:eastAsia="Consolas" w:hAnsi="Consolas"/>
                <w:color w:val="9B2C2C"/>
                <w:sz w:val="16"/>
                <w:szCs w:val="16"/>
                <w:shd w:fill="F4F4F6" w:val="clear"/>
                <w:rtl w:val="false"/>
              </w:rPr>
              <w:t xml:space="preserve">‎EP-SC-052‎</w:t>
            </w:r>
          </w:p>
        </w:tc>
      </w:tr>
      <w:tr>
        <w:trPr>
          <w:cantSplit/>
          <w:tblHeader w:val="false"/>
        </w:trPr>
        <w:tc>
          <w:tcPr>
            <w:tcW w:type="dxa" w:w="5911"/>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TF-SC-063: سجل الحركات بالرصيد قبل وبعد — قراءة فقط</w:t>
            </w:r>
          </w:p>
        </w:tc>
        <w:tc>
          <w:tcPr>
            <w:tcW w:type="dxa" w:w="3835"/>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TB-SC-063: </w:t>
            </w:r>
            <w:r>
              <w:rPr>
                <w:rFonts w:ascii="Consolas" w:cs="Consolas" w:eastAsia="Consolas" w:hAnsi="Consolas"/>
                <w:color w:val="9B2C2C"/>
                <w:sz w:val="16"/>
                <w:szCs w:val="16"/>
                <w:shd w:fill="F4F4F6" w:val="clear"/>
                <w:rtl w:val="false"/>
              </w:rPr>
              <w:t xml:space="preserve">‎EP-SC-053‎</w:t>
            </w:r>
            <w:r>
              <w:rPr>
                <w:rFonts w:ascii="Arial" w:cs="Arial" w:eastAsia="Arial" w:hAnsi="Arial"/>
                <w:b w:val="false"/>
                <w:bCs w:val="false"/>
                <w:color w:val="1A1A1A"/>
                <w:sz w:val="18"/>
                <w:szCs w:val="18"/>
                <w:rtl/>
              </w:rPr>
              <w:t xml:space="preserve"> — سجل لا يقبل التعديل</w:t>
            </w:r>
          </w:p>
        </w:tc>
      </w:tr>
      <w:tr>
        <w:trPr>
          <w:cantSplit/>
          <w:tblHeader w:val="false"/>
        </w:trPr>
        <w:tc>
          <w:tcPr>
            <w:tcW w:type="dxa" w:w="5911"/>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TF-SC-064: حدود إعادة الطلب وتنبيهاتها</w:t>
            </w:r>
          </w:p>
        </w:tc>
        <w:tc>
          <w:tcPr>
            <w:tcW w:type="dxa" w:w="3835"/>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TB-SC-064: </w:t>
            </w:r>
            <w:r>
              <w:rPr>
                <w:rFonts w:ascii="Consolas" w:cs="Consolas" w:eastAsia="Consolas" w:hAnsi="Consolas"/>
                <w:color w:val="9B2C2C"/>
                <w:sz w:val="16"/>
                <w:szCs w:val="16"/>
                <w:shd w:fill="F4F4F6" w:val="clear"/>
                <w:rtl w:val="false"/>
              </w:rPr>
              <w:t xml:space="preserve">‎EP-SC-054‎</w:t>
            </w:r>
            <w:r>
              <w:rPr>
                <w:rFonts w:ascii="Arial" w:cs="Arial" w:eastAsia="Arial" w:hAnsi="Arial"/>
                <w:b w:val="false"/>
                <w:bCs w:val="false"/>
                <w:color w:val="1A1A1A"/>
                <w:sz w:val="18"/>
                <w:szCs w:val="18"/>
                <w:rtl/>
              </w:rPr>
              <w:t xml:space="preserve"> + تنبيه لوحة القيادة</w:t>
            </w:r>
          </w:p>
        </w:tc>
      </w:tr>
      <w:tr>
        <w:trPr>
          <w:cantSplit/>
          <w:tblHeader w:val="false"/>
        </w:trPr>
        <w:tc>
          <w:tcPr>
            <w:tcW w:type="dxa" w:w="5911"/>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TF-SC-065: تواريخ الصلاحية ورقم الدفعة وسياسة FEFO</w:t>
            </w:r>
          </w:p>
        </w:tc>
        <w:tc>
          <w:tcPr>
            <w:tcW w:type="dxa" w:w="3835"/>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TB-SC-065: تنبيه قرب انتهاء الصلاحية</w:t>
            </w:r>
          </w:p>
        </w:tc>
      </w:tr>
    </w:tbl>
    <w:p>
      <w:pPr>
        <w:spacing w:after="160"/>
      </w:pPr>
    </w:p>
    <w:p>
      <w:pPr>
        <w:pStyle w:val="Heading3"/>
        <w:bidi/>
        <w:spacing w:after="110" w:before="220"/>
        <w:jc w:val="right"/>
      </w:pPr>
      <w:r>
        <w:rPr>
          <w:rFonts w:ascii="Arial" w:cs="Arial" w:eastAsia="Arial" w:hAnsi="Arial"/>
          <w:b/>
          <w:bCs/>
          <w:color w:val="2E5C8A"/>
          <w:sz w:val="23"/>
          <w:szCs w:val="23"/>
          <w:rtl/>
        </w:rPr>
        <w:t xml:space="preserve">3.6 الطلبات (SP-09 → SP-10) — الوحدة الأكثر استخداماً يومياً</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624"/>
        <w:gridCol w:w="4122"/>
      </w:tblGrid>
      <w:tr>
        <w:trPr>
          <w:cantSplit/>
          <w:tblHeader/>
        </w:trPr>
        <w:tc>
          <w:tcPr>
            <w:tcW w:type="dxa" w:w="5624"/>
            <w:tcBorders>
              <w:top w:val="single" w:color="C9D2DE" w:sz="4"/>
              <w:left w:val="single" w:color="C9D2DE" w:sz="4"/>
              <w:bottom w:val="single" w:color="C9D2DE" w:sz="4"/>
              <w:right w:val="single" w:color="C9D2DE" w:sz="4"/>
            </w:tcBorders>
            <w:shd w:fill="1F3864" w:val="clear"/>
            <w:tcMar>
              <w:top w:type="dxa" w:w="50"/>
              <w:left w:type="dxa" w:w="100"/>
              <w:bottom w:type="dxa" w:w="50"/>
              <w:right w:type="dxa" w:w="100"/>
            </w:tcMar>
            <w:vAlign w:val="center"/>
          </w:tcPr>
          <w:p>
            <w:pPr>
              <w:bidi/>
              <w:spacing w:after="20" w:before="20" w:line="260"/>
              <w:jc w:val="right"/>
            </w:pPr>
            <w:r>
              <w:rPr>
                <w:rFonts w:ascii="Arial" w:cs="Arial" w:eastAsia="Arial" w:hAnsi="Arial"/>
                <w:b/>
                <w:bCs/>
                <w:color w:val="FFFFFF"/>
                <w:sz w:val="18"/>
                <w:szCs w:val="18"/>
                <w:rtl/>
              </w:rPr>
              <w:t xml:space="preserve">الواجهة</w:t>
            </w:r>
          </w:p>
        </w:tc>
        <w:tc>
          <w:tcPr>
            <w:tcW w:type="dxa" w:w="4122"/>
            <w:tcBorders>
              <w:top w:val="single" w:color="C9D2DE" w:sz="4"/>
              <w:left w:val="single" w:color="C9D2DE" w:sz="4"/>
              <w:bottom w:val="single" w:color="C9D2DE" w:sz="4"/>
              <w:right w:val="single" w:color="C9D2DE" w:sz="4"/>
            </w:tcBorders>
            <w:shd w:fill="1F3864" w:val="clear"/>
            <w:tcMar>
              <w:top w:type="dxa" w:w="50"/>
              <w:left w:type="dxa" w:w="100"/>
              <w:bottom w:type="dxa" w:w="50"/>
              <w:right w:type="dxa" w:w="100"/>
            </w:tcMar>
            <w:vAlign w:val="center"/>
          </w:tcPr>
          <w:p>
            <w:pPr>
              <w:bidi/>
              <w:spacing w:after="20" w:before="20" w:line="260"/>
              <w:jc w:val="right"/>
            </w:pPr>
            <w:r>
              <w:rPr>
                <w:rFonts w:ascii="Arial" w:cs="Arial" w:eastAsia="Arial" w:hAnsi="Arial"/>
                <w:b/>
                <w:bCs/>
                <w:color w:val="FFFFFF"/>
                <w:sz w:val="18"/>
                <w:szCs w:val="18"/>
                <w:rtl/>
              </w:rPr>
              <w:t xml:space="preserve">الخادم</w:t>
            </w:r>
          </w:p>
        </w:tc>
      </w:tr>
      <w:tr>
        <w:trPr>
          <w:cantSplit/>
          <w:tblHeader w:val="false"/>
        </w:trPr>
        <w:tc>
          <w:tcPr>
            <w:tcW w:type="dxa" w:w="5624"/>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TF-SC-070: صندوق الوارد بالعرض الافتراضي: المعلقة تصاعدياً حسب الورود مجمَّعة حسب المنطقة</w:t>
            </w:r>
          </w:p>
        </w:tc>
        <w:tc>
          <w:tcPr>
            <w:tcW w:type="dxa" w:w="4122"/>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TB-SC-070: </w:t>
            </w:r>
            <w:r>
              <w:rPr>
                <w:rFonts w:ascii="Consolas" w:cs="Consolas" w:eastAsia="Consolas" w:hAnsi="Consolas"/>
                <w:color w:val="9B2C2C"/>
                <w:sz w:val="16"/>
                <w:szCs w:val="16"/>
                <w:shd w:fill="F4F4F6" w:val="clear"/>
                <w:rtl w:val="false"/>
              </w:rPr>
              <w:t xml:space="preserve">‎EP-SC-060‎</w:t>
            </w:r>
            <w:r>
              <w:rPr>
                <w:rFonts w:ascii="Arial" w:cs="Arial" w:eastAsia="Arial" w:hAnsi="Arial"/>
                <w:b w:val="false"/>
                <w:bCs w:val="false"/>
                <w:color w:val="1A1A1A"/>
                <w:sz w:val="18"/>
                <w:szCs w:val="18"/>
                <w:rtl/>
              </w:rPr>
              <w:t xml:space="preserve"> بالأعمدة التسعة</w:t>
            </w:r>
          </w:p>
        </w:tc>
      </w:tr>
      <w:tr>
        <w:trPr>
          <w:cantSplit/>
          <w:tblHeader w:val="false"/>
        </w:trPr>
        <w:tc>
          <w:tcPr>
            <w:tcW w:type="dxa" w:w="5624"/>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TF-SC-071: تلوين تحذيري لما تجاوز مدة الانتظار المسموحة</w:t>
            </w:r>
          </w:p>
        </w:tc>
        <w:tc>
          <w:tcPr>
            <w:tcW w:type="dxa" w:w="4122"/>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TB-SC-071: عتبة قابلة للضبط، الافتراضي ساعتان</w:t>
            </w:r>
          </w:p>
        </w:tc>
      </w:tr>
      <w:tr>
        <w:trPr>
          <w:cantSplit/>
          <w:tblHeader w:val="false"/>
        </w:trPr>
        <w:tc>
          <w:tcPr>
            <w:tcW w:type="dxa" w:w="5624"/>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TF-SC-072: الفلاتر الثمانية والفلاتر المحفوظة</w:t>
            </w:r>
          </w:p>
        </w:tc>
        <w:tc>
          <w:tcPr>
            <w:tcW w:type="dxa" w:w="4122"/>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TB-SC-072: فهارس تدعم الفلترة على 5000 طلب يومياً</w:t>
            </w:r>
          </w:p>
        </w:tc>
      </w:tr>
      <w:tr>
        <w:trPr>
          <w:cantSplit/>
          <w:tblHeader w:val="false"/>
        </w:trPr>
        <w:tc>
          <w:tcPr>
            <w:tcW w:type="dxa" w:w="5624"/>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TF-SC-073: الإجراءات الجماعية: تأكيد، رفض، إسناد، جدولة، طباعة أوامر تجهيز</w:t>
            </w:r>
          </w:p>
        </w:tc>
        <w:tc>
          <w:tcPr>
            <w:tcW w:type="dxa" w:w="4122"/>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TB-SC-073: </w:t>
            </w:r>
            <w:r>
              <w:rPr>
                <w:rFonts w:ascii="Consolas" w:cs="Consolas" w:eastAsia="Consolas" w:hAnsi="Consolas"/>
                <w:color w:val="9B2C2C"/>
                <w:sz w:val="16"/>
                <w:szCs w:val="16"/>
                <w:shd w:fill="F4F4F6" w:val="clear"/>
                <w:rtl w:val="false"/>
              </w:rPr>
              <w:t xml:space="preserve">‎EP-SC-063‎</w:t>
            </w:r>
            <w:r>
              <w:rPr>
                <w:rFonts w:ascii="Arial" w:cs="Arial" w:eastAsia="Arial" w:hAnsi="Arial"/>
                <w:b w:val="false"/>
                <w:bCs w:val="false"/>
                <w:color w:val="1A1A1A"/>
                <w:sz w:val="18"/>
                <w:szCs w:val="18"/>
                <w:rtl/>
              </w:rPr>
              <w:t xml:space="preserve"> — 50 طلباً في أقل من دقيقتين</w:t>
            </w:r>
          </w:p>
        </w:tc>
      </w:tr>
      <w:tr>
        <w:trPr>
          <w:cantSplit/>
          <w:tblHeader w:val="false"/>
        </w:trPr>
        <w:tc>
          <w:tcPr>
            <w:tcW w:type="dxa" w:w="5624"/>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TF-SC-074: شاشة تفاصيل الطلب بأقسامها السبعة والخط الزمني</w:t>
            </w:r>
          </w:p>
        </w:tc>
        <w:tc>
          <w:tcPr>
            <w:tcW w:type="dxa" w:w="4122"/>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TB-SC-074: </w:t>
            </w:r>
            <w:r>
              <w:rPr>
                <w:rFonts w:ascii="Consolas" w:cs="Consolas" w:eastAsia="Consolas" w:hAnsi="Consolas"/>
                <w:color w:val="9B2C2C"/>
                <w:sz w:val="16"/>
                <w:szCs w:val="16"/>
                <w:shd w:fill="F4F4F6" w:val="clear"/>
                <w:rtl w:val="false"/>
              </w:rPr>
              <w:t xml:space="preserve">‎EP-SC-061‎</w:t>
            </w:r>
          </w:p>
        </w:tc>
      </w:tr>
      <w:tr>
        <w:trPr>
          <w:cantSplit/>
          <w:tblHeader w:val="false"/>
        </w:trPr>
        <w:tc>
          <w:tcPr>
            <w:tcW w:type="dxa" w:w="5624"/>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TF-SC-075: تعديل الكمية أو حذف بند قبل التأكيد بسبب إلزامي</w:t>
            </w:r>
          </w:p>
        </w:tc>
        <w:tc>
          <w:tcPr>
            <w:tcW w:type="dxa" w:w="4122"/>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TB-SC-075: </w:t>
            </w:r>
            <w:r>
              <w:rPr>
                <w:rFonts w:ascii="Consolas" w:cs="Consolas" w:eastAsia="Consolas" w:hAnsi="Consolas"/>
                <w:color w:val="9B2C2C"/>
                <w:sz w:val="16"/>
                <w:szCs w:val="16"/>
                <w:shd w:fill="F4F4F6" w:val="clear"/>
                <w:rtl w:val="false"/>
              </w:rPr>
              <w:t xml:space="preserve">‎EP-SC-065‎</w:t>
            </w:r>
            <w:r>
              <w:rPr>
                <w:rFonts w:ascii="Arial" w:cs="Arial" w:eastAsia="Arial" w:hAnsi="Arial"/>
                <w:b w:val="false"/>
                <w:bCs w:val="false"/>
                <w:color w:val="1A1A1A"/>
                <w:sz w:val="18"/>
                <w:szCs w:val="18"/>
                <w:rtl/>
              </w:rPr>
              <w:t xml:space="preserve"> + إشعار التاجر بالتعديل</w:t>
            </w:r>
          </w:p>
        </w:tc>
      </w:tr>
      <w:tr>
        <w:trPr>
          <w:cantSplit/>
          <w:tblHeader w:val="false"/>
        </w:trPr>
        <w:tc>
          <w:tcPr>
            <w:tcW w:type="dxa" w:w="5624"/>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TF-SC-076: أزرار الإجراء بحسب </w:t>
            </w:r>
            <w:r>
              <w:rPr>
                <w:rFonts w:ascii="Consolas" w:cs="Consolas" w:eastAsia="Consolas" w:hAnsi="Consolas"/>
                <w:color w:val="9B2C2C"/>
                <w:sz w:val="16"/>
                <w:szCs w:val="16"/>
                <w:shd w:fill="F4F4F6" w:val="clear"/>
                <w:rtl w:val="false"/>
              </w:rPr>
              <w:t xml:space="preserve">‎allowed_actions‎</w:t>
            </w:r>
            <w:r>
              <w:rPr>
                <w:rFonts w:ascii="Arial" w:cs="Arial" w:eastAsia="Arial" w:hAnsi="Arial"/>
                <w:b w:val="false"/>
                <w:bCs w:val="false"/>
                <w:color w:val="1A1A1A"/>
                <w:sz w:val="18"/>
                <w:szCs w:val="18"/>
                <w:rtl/>
              </w:rPr>
              <w:t xml:space="preserve"> القادمة من الخادم — الواجهة لا تعرف الانتقالات</w:t>
            </w:r>
          </w:p>
        </w:tc>
        <w:tc>
          <w:tcPr>
            <w:tcW w:type="dxa" w:w="4122"/>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TB-SC-076: آلة الحالة مصدر الحقيقة، و409 على أي انتقال غير مسموح</w:t>
            </w:r>
          </w:p>
        </w:tc>
      </w:tr>
      <w:tr>
        <w:trPr>
          <w:cantSplit/>
          <w:tblHeader w:val="false"/>
        </w:trPr>
        <w:tc>
          <w:tcPr>
            <w:tcW w:type="dxa" w:w="5624"/>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TF-SC-077: شاشة الإسناد: قائمة مندوبي المنطقة مع حمولتهم الحالية وعدد طلباتهم اليوم</w:t>
            </w:r>
          </w:p>
        </w:tc>
        <w:tc>
          <w:tcPr>
            <w:tcW w:type="dxa" w:w="4122"/>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TB-SC-077: </w:t>
            </w:r>
            <w:r>
              <w:rPr>
                <w:rFonts w:ascii="Consolas" w:cs="Consolas" w:eastAsia="Consolas" w:hAnsi="Consolas"/>
                <w:color w:val="9B2C2C"/>
                <w:sz w:val="16"/>
                <w:szCs w:val="16"/>
                <w:shd w:fill="F4F4F6" w:val="clear"/>
                <w:rtl w:val="false"/>
              </w:rPr>
              <w:t xml:space="preserve">‎EP-SC-066‎</w:t>
            </w:r>
            <w:r>
              <w:rPr>
                <w:rFonts w:ascii="Arial" w:cs="Arial" w:eastAsia="Arial" w:hAnsi="Arial"/>
                <w:b w:val="false"/>
                <w:bCs w:val="false"/>
                <w:color w:val="1A1A1A"/>
                <w:sz w:val="18"/>
                <w:szCs w:val="18"/>
                <w:rtl/>
              </w:rPr>
              <w:t xml:space="preserve"> بالأنماط الثلاثة، ورفض المندوب خارج الخدمة أو خارج مناطقه (BR-19)</w:t>
            </w:r>
          </w:p>
        </w:tc>
      </w:tr>
      <w:tr>
        <w:trPr>
          <w:cantSplit/>
          <w:tblHeader w:val="false"/>
        </w:trPr>
        <w:tc>
          <w:tcPr>
            <w:tcW w:type="dxa" w:w="5624"/>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TF-SC-078: تقويم أسبوعي وشهري للطلبات المجدولة لكل منطقة ومندوب</w:t>
            </w:r>
          </w:p>
        </w:tc>
        <w:tc>
          <w:tcPr>
            <w:tcW w:type="dxa" w:w="4122"/>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TB-SC-078: </w:t>
            </w:r>
            <w:r>
              <w:rPr>
                <w:rFonts w:ascii="Consolas" w:cs="Consolas" w:eastAsia="Consolas" w:hAnsi="Consolas"/>
                <w:color w:val="9B2C2C"/>
                <w:sz w:val="16"/>
                <w:szCs w:val="16"/>
                <w:shd w:fill="F4F4F6" w:val="clear"/>
                <w:rtl w:val="false"/>
              </w:rPr>
              <w:t xml:space="preserve">‎EP-SC-068‎</w:t>
            </w:r>
            <w:r>
              <w:rPr>
                <w:rFonts w:ascii="Arial" w:cs="Arial" w:eastAsia="Arial" w:hAnsi="Arial"/>
                <w:b w:val="false"/>
                <w:bCs w:val="false"/>
                <w:color w:val="1A1A1A"/>
                <w:sz w:val="18"/>
                <w:szCs w:val="18"/>
                <w:rtl/>
              </w:rPr>
              <w:t xml:space="preserve"> + تنبيه صباحي بغير المُسنَد</w:t>
            </w:r>
          </w:p>
        </w:tc>
      </w:tr>
    </w:tbl>
    <w:p>
      <w:pPr>
        <w:spacing w:after="160"/>
      </w:pPr>
    </w:p>
    <w:p>
      <w:pPr>
        <w:pStyle w:val="Heading3"/>
        <w:bidi/>
        <w:spacing w:after="110" w:before="220"/>
        <w:jc w:val="right"/>
      </w:pPr>
      <w:r>
        <w:rPr>
          <w:rFonts w:ascii="Arial" w:cs="Arial" w:eastAsia="Arial" w:hAnsi="Arial"/>
          <w:b/>
          <w:bCs/>
          <w:color w:val="2E5C8A"/>
          <w:sz w:val="23"/>
          <w:szCs w:val="23"/>
          <w:rtl/>
        </w:rPr>
        <w:t xml:space="preserve">3.7 المرتجعات والاستبدال (SP-12)</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957"/>
        <w:gridCol w:w="3789"/>
      </w:tblGrid>
      <w:tr>
        <w:trPr>
          <w:cantSplit/>
          <w:tblHeader/>
        </w:trPr>
        <w:tc>
          <w:tcPr>
            <w:tcW w:type="dxa" w:w="5957"/>
            <w:tcBorders>
              <w:top w:val="single" w:color="C9D2DE" w:sz="4"/>
              <w:left w:val="single" w:color="C9D2DE" w:sz="4"/>
              <w:bottom w:val="single" w:color="C9D2DE" w:sz="4"/>
              <w:right w:val="single" w:color="C9D2DE" w:sz="4"/>
            </w:tcBorders>
            <w:shd w:fill="1F3864" w:val="clear"/>
            <w:tcMar>
              <w:top w:type="dxa" w:w="50"/>
              <w:left w:type="dxa" w:w="100"/>
              <w:bottom w:type="dxa" w:w="50"/>
              <w:right w:type="dxa" w:w="100"/>
            </w:tcMar>
            <w:vAlign w:val="center"/>
          </w:tcPr>
          <w:p>
            <w:pPr>
              <w:bidi/>
              <w:spacing w:after="20" w:before="20" w:line="260"/>
              <w:jc w:val="right"/>
            </w:pPr>
            <w:r>
              <w:rPr>
                <w:rFonts w:ascii="Arial" w:cs="Arial" w:eastAsia="Arial" w:hAnsi="Arial"/>
                <w:b/>
                <w:bCs/>
                <w:color w:val="FFFFFF"/>
                <w:sz w:val="18"/>
                <w:szCs w:val="18"/>
                <w:rtl/>
              </w:rPr>
              <w:t xml:space="preserve">الواجهة</w:t>
            </w:r>
          </w:p>
        </w:tc>
        <w:tc>
          <w:tcPr>
            <w:tcW w:type="dxa" w:w="3789"/>
            <w:tcBorders>
              <w:top w:val="single" w:color="C9D2DE" w:sz="4"/>
              <w:left w:val="single" w:color="C9D2DE" w:sz="4"/>
              <w:bottom w:val="single" w:color="C9D2DE" w:sz="4"/>
              <w:right w:val="single" w:color="C9D2DE" w:sz="4"/>
            </w:tcBorders>
            <w:shd w:fill="1F3864" w:val="clear"/>
            <w:tcMar>
              <w:top w:type="dxa" w:w="50"/>
              <w:left w:type="dxa" w:w="100"/>
              <w:bottom w:type="dxa" w:w="50"/>
              <w:right w:type="dxa" w:w="100"/>
            </w:tcMar>
            <w:vAlign w:val="center"/>
          </w:tcPr>
          <w:p>
            <w:pPr>
              <w:bidi/>
              <w:spacing w:after="20" w:before="20" w:line="260"/>
              <w:jc w:val="right"/>
            </w:pPr>
            <w:r>
              <w:rPr>
                <w:rFonts w:ascii="Arial" w:cs="Arial" w:eastAsia="Arial" w:hAnsi="Arial"/>
                <w:b/>
                <w:bCs/>
                <w:color w:val="FFFFFF"/>
                <w:sz w:val="18"/>
                <w:szCs w:val="18"/>
                <w:rtl/>
              </w:rPr>
              <w:t xml:space="preserve">الخادم</w:t>
            </w:r>
          </w:p>
        </w:tc>
      </w:tr>
      <w:tr>
        <w:trPr>
          <w:cantSplit/>
          <w:tblHeader w:val="false"/>
        </w:trPr>
        <w:tc>
          <w:tcPr>
            <w:tcW w:type="dxa" w:w="5957"/>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TF-SC-080: صندوق قرارات موحد يستقبل من التطبيقين</w:t>
            </w:r>
          </w:p>
        </w:tc>
        <w:tc>
          <w:tcPr>
            <w:tcW w:type="dxa" w:w="3789"/>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TB-SC-080: </w:t>
            </w:r>
            <w:r>
              <w:rPr>
                <w:rFonts w:ascii="Consolas" w:cs="Consolas" w:eastAsia="Consolas" w:hAnsi="Consolas"/>
                <w:color w:val="9B2C2C"/>
                <w:sz w:val="16"/>
                <w:szCs w:val="16"/>
                <w:shd w:fill="F4F4F6" w:val="clear"/>
                <w:rtl w:val="false"/>
              </w:rPr>
              <w:t xml:space="preserve">‎EP-SC-070‎</w:t>
            </w:r>
          </w:p>
        </w:tc>
      </w:tr>
      <w:tr>
        <w:trPr>
          <w:cantSplit/>
          <w:tblHeader w:val="false"/>
        </w:trPr>
        <w:tc>
          <w:tcPr>
            <w:tcW w:type="dxa" w:w="5957"/>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TF-SC-081: بطاقة الطلب بكل بياناتها والصور المرفقة</w:t>
            </w:r>
          </w:p>
        </w:tc>
        <w:tc>
          <w:tcPr>
            <w:tcW w:type="dxa" w:w="3789"/>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TB-SC-081: عرض المرفقات بروابط موقَّعة</w:t>
            </w:r>
          </w:p>
        </w:tc>
      </w:tr>
      <w:tr>
        <w:trPr>
          <w:cantSplit/>
          <w:tblHeader w:val="false"/>
        </w:trPr>
        <w:tc>
          <w:tcPr>
            <w:tcW w:type="dxa" w:w="5957"/>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TF-SC-082: قرار قبول أو رفض بسبب إلزامي وإشعار فوري للطرفين</w:t>
            </w:r>
          </w:p>
        </w:tc>
        <w:tc>
          <w:tcPr>
            <w:tcW w:type="dxa" w:w="3789"/>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TB-SC-082: </w:t>
            </w:r>
            <w:r>
              <w:rPr>
                <w:rFonts w:ascii="Consolas" w:cs="Consolas" w:eastAsia="Consolas" w:hAnsi="Consolas"/>
                <w:color w:val="9B2C2C"/>
                <w:sz w:val="16"/>
                <w:szCs w:val="16"/>
                <w:shd w:fill="F4F4F6" w:val="clear"/>
                <w:rtl w:val="false"/>
              </w:rPr>
              <w:t xml:space="preserve">‎EP-SC-071‎</w:t>
            </w:r>
            <w:r>
              <w:rPr>
                <w:rFonts w:ascii="Arial" w:cs="Arial" w:eastAsia="Arial" w:hAnsi="Arial"/>
                <w:b w:val="false"/>
                <w:bCs w:val="false"/>
                <w:color w:val="1A1A1A"/>
                <w:sz w:val="18"/>
                <w:szCs w:val="18"/>
                <w:rtl/>
              </w:rPr>
              <w:t xml:space="preserve"> + الأثر المالي والمخزني (BR-13)</w:t>
            </w:r>
          </w:p>
        </w:tc>
      </w:tr>
      <w:tr>
        <w:trPr>
          <w:cantSplit/>
          <w:tblHeader w:val="false"/>
        </w:trPr>
        <w:tc>
          <w:tcPr>
            <w:tcW w:type="dxa" w:w="5957"/>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TF-SC-083: مؤقت SLA ظاهر مع تصعيد آلي عند تجاوزه</w:t>
            </w:r>
          </w:p>
        </w:tc>
        <w:tc>
          <w:tcPr>
            <w:tcW w:type="dxa" w:w="3789"/>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TB-SC-083: وظيفة تصعيد مجدولة</w:t>
            </w:r>
          </w:p>
        </w:tc>
      </w:tr>
      <w:tr>
        <w:trPr>
          <w:cantSplit/>
          <w:tblHeader w:val="false"/>
        </w:trPr>
        <w:tc>
          <w:tcPr>
            <w:tcW w:type="dxa" w:w="5957"/>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TF-SC-084: تقرير أسباب المرتجعات مرتباً تنازلياً ومصنفاً</w:t>
            </w:r>
          </w:p>
        </w:tc>
        <w:tc>
          <w:tcPr>
            <w:tcW w:type="dxa" w:w="3789"/>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TB-SC-084: تقرير مجمَّع</w:t>
            </w:r>
          </w:p>
        </w:tc>
      </w:tr>
    </w:tbl>
    <w:p>
      <w:pPr>
        <w:spacing w:after="160"/>
      </w:pPr>
    </w:p>
    <w:p>
      <w:pPr>
        <w:pStyle w:val="Heading3"/>
        <w:bidi/>
        <w:spacing w:after="110" w:before="220"/>
        <w:jc w:val="right"/>
      </w:pPr>
      <w:r>
        <w:rPr>
          <w:rFonts w:ascii="Arial" w:cs="Arial" w:eastAsia="Arial" w:hAnsi="Arial"/>
          <w:b/>
          <w:bCs/>
          <w:color w:val="2E5C8A"/>
          <w:sz w:val="23"/>
          <w:szCs w:val="23"/>
          <w:rtl/>
        </w:rPr>
        <w:t xml:space="preserve">3.8 المندوبون (SP-10 → SP-13)</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954"/>
        <w:gridCol w:w="3792"/>
      </w:tblGrid>
      <w:tr>
        <w:trPr>
          <w:cantSplit/>
          <w:tblHeader/>
        </w:trPr>
        <w:tc>
          <w:tcPr>
            <w:tcW w:type="dxa" w:w="5954"/>
            <w:tcBorders>
              <w:top w:val="single" w:color="C9D2DE" w:sz="4"/>
              <w:left w:val="single" w:color="C9D2DE" w:sz="4"/>
              <w:bottom w:val="single" w:color="C9D2DE" w:sz="4"/>
              <w:right w:val="single" w:color="C9D2DE" w:sz="4"/>
            </w:tcBorders>
            <w:shd w:fill="1F3864" w:val="clear"/>
            <w:tcMar>
              <w:top w:type="dxa" w:w="50"/>
              <w:left w:type="dxa" w:w="100"/>
              <w:bottom w:type="dxa" w:w="50"/>
              <w:right w:type="dxa" w:w="100"/>
            </w:tcMar>
            <w:vAlign w:val="center"/>
          </w:tcPr>
          <w:p>
            <w:pPr>
              <w:bidi/>
              <w:spacing w:after="20" w:before="20" w:line="260"/>
              <w:jc w:val="right"/>
            </w:pPr>
            <w:r>
              <w:rPr>
                <w:rFonts w:ascii="Arial" w:cs="Arial" w:eastAsia="Arial" w:hAnsi="Arial"/>
                <w:b/>
                <w:bCs/>
                <w:color w:val="FFFFFF"/>
                <w:sz w:val="18"/>
                <w:szCs w:val="18"/>
                <w:rtl/>
              </w:rPr>
              <w:t xml:space="preserve">الواجهة</w:t>
            </w:r>
          </w:p>
        </w:tc>
        <w:tc>
          <w:tcPr>
            <w:tcW w:type="dxa" w:w="3792"/>
            <w:tcBorders>
              <w:top w:val="single" w:color="C9D2DE" w:sz="4"/>
              <w:left w:val="single" w:color="C9D2DE" w:sz="4"/>
              <w:bottom w:val="single" w:color="C9D2DE" w:sz="4"/>
              <w:right w:val="single" w:color="C9D2DE" w:sz="4"/>
            </w:tcBorders>
            <w:shd w:fill="1F3864" w:val="clear"/>
            <w:tcMar>
              <w:top w:type="dxa" w:w="50"/>
              <w:left w:type="dxa" w:w="100"/>
              <w:bottom w:type="dxa" w:w="50"/>
              <w:right w:type="dxa" w:w="100"/>
            </w:tcMar>
            <w:vAlign w:val="center"/>
          </w:tcPr>
          <w:p>
            <w:pPr>
              <w:bidi/>
              <w:spacing w:after="20" w:before="20" w:line="260"/>
              <w:jc w:val="right"/>
            </w:pPr>
            <w:r>
              <w:rPr>
                <w:rFonts w:ascii="Arial" w:cs="Arial" w:eastAsia="Arial" w:hAnsi="Arial"/>
                <w:b/>
                <w:bCs/>
                <w:color w:val="FFFFFF"/>
                <w:sz w:val="18"/>
                <w:szCs w:val="18"/>
                <w:rtl/>
              </w:rPr>
              <w:t xml:space="preserve">الخادم</w:t>
            </w:r>
          </w:p>
        </w:tc>
      </w:tr>
      <w:tr>
        <w:trPr>
          <w:cantSplit/>
          <w:tblHeader w:val="false"/>
        </w:trPr>
        <w:tc>
          <w:tcPr>
            <w:tcW w:type="dxa" w:w="5954"/>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TF-SC-090: قائمة المندوبين وبطاقة كل مندوب</w:t>
            </w:r>
          </w:p>
        </w:tc>
        <w:tc>
          <w:tcPr>
            <w:tcW w:type="dxa" w:w="3792"/>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TB-SC-090: نقاط CRUD + اعتماد التسجيل الذاتي</w:t>
            </w:r>
          </w:p>
        </w:tc>
      </w:tr>
      <w:tr>
        <w:trPr>
          <w:cantSplit/>
          <w:tblHeader w:val="false"/>
        </w:trPr>
        <w:tc>
          <w:tcPr>
            <w:tcW w:type="dxa" w:w="5954"/>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TF-SC-091: محرر المناطق والسقوف: سقف الخصم، سقف التحصيل النقدي، حد الطلبات اليومية</w:t>
            </w:r>
          </w:p>
        </w:tc>
        <w:tc>
          <w:tcPr>
            <w:tcW w:type="dxa" w:w="3792"/>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TB-SC-091: </w:t>
            </w:r>
            <w:r>
              <w:rPr>
                <w:rFonts w:ascii="Consolas" w:cs="Consolas" w:eastAsia="Consolas" w:hAnsi="Consolas"/>
                <w:color w:val="9B2C2C"/>
                <w:sz w:val="16"/>
                <w:szCs w:val="16"/>
                <w:shd w:fill="F4F4F6" w:val="clear"/>
                <w:rtl w:val="false"/>
              </w:rPr>
              <w:t xml:space="preserve">‎EP-SC-035‎</w:t>
            </w:r>
            <w:r>
              <w:rPr>
                <w:rFonts w:ascii="Arial" w:cs="Arial" w:eastAsia="Arial" w:hAnsi="Arial"/>
                <w:b w:val="false"/>
                <w:bCs w:val="false"/>
                <w:color w:val="1A1A1A"/>
                <w:sz w:val="18"/>
                <w:szCs w:val="18"/>
                <w:rtl/>
              </w:rPr>
              <w:t xml:space="preserve"> + فرض السقوف في التطبيق</w:t>
            </w:r>
          </w:p>
        </w:tc>
      </w:tr>
      <w:tr>
        <w:trPr>
          <w:cantSplit/>
          <w:tblHeader w:val="false"/>
        </w:trPr>
        <w:tc>
          <w:tcPr>
            <w:tcW w:type="dxa" w:w="5954"/>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TF-SC-092: التتبع الحي على الخريطة أثناء «داخل الخدمة» وعرض مسار اليوم</w:t>
            </w:r>
          </w:p>
        </w:tc>
        <w:tc>
          <w:tcPr>
            <w:tcW w:type="dxa" w:w="3792"/>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TB-SC-092: قناة زمن حقيقي + مسار من نبضات الموقع</w:t>
            </w:r>
          </w:p>
        </w:tc>
      </w:tr>
      <w:tr>
        <w:trPr>
          <w:cantSplit/>
          <w:tblHeader w:val="false"/>
        </w:trPr>
        <w:tc>
          <w:tcPr>
            <w:tcW w:type="dxa" w:w="5954"/>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TF-SC-093: شاشة المحفظة: الرصيد، سجل التحصيلات، السحوبات، الذمم غير المحصَّلة</w:t>
            </w:r>
          </w:p>
        </w:tc>
        <w:tc>
          <w:tcPr>
            <w:tcW w:type="dxa" w:w="3792"/>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TB-SC-093: </w:t>
            </w:r>
            <w:r>
              <w:rPr>
                <w:rFonts w:ascii="Consolas" w:cs="Consolas" w:eastAsia="Consolas" w:hAnsi="Consolas"/>
                <w:color w:val="9B2C2C"/>
                <w:sz w:val="16"/>
                <w:szCs w:val="16"/>
                <w:shd w:fill="F4F4F6" w:val="clear"/>
                <w:rtl w:val="false"/>
              </w:rPr>
              <w:t xml:space="preserve">‎EP-SC-084‎</w:t>
            </w:r>
          </w:p>
        </w:tc>
      </w:tr>
      <w:tr>
        <w:trPr>
          <w:cantSplit/>
          <w:tblHeader w:val="false"/>
        </w:trPr>
        <w:tc>
          <w:tcPr>
            <w:tcW w:type="dxa" w:w="5954"/>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TF-SC-094: شاشة التسوية: إدخال رقم العملية والمبلغ وطباعة مذكرة قبض</w:t>
            </w:r>
          </w:p>
        </w:tc>
        <w:tc>
          <w:tcPr>
            <w:tcW w:type="dxa" w:w="3792"/>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TB-SC-094: خصم من المحفظة + سند قبض PDF</w:t>
            </w:r>
          </w:p>
        </w:tc>
      </w:tr>
      <w:tr>
        <w:trPr>
          <w:cantSplit/>
          <w:tblHeader w:val="false"/>
        </w:trPr>
        <w:tc>
          <w:tcPr>
            <w:tcW w:type="dxa" w:w="5954"/>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TF-SC-095: التقييمات بمتوسط النجوم والوسوم السريعة</w:t>
            </w:r>
          </w:p>
        </w:tc>
        <w:tc>
          <w:tcPr>
            <w:tcW w:type="dxa" w:w="3792"/>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TB-SC-095: تجميع التقييمات</w:t>
            </w:r>
          </w:p>
        </w:tc>
      </w:tr>
      <w:tr>
        <w:trPr>
          <w:cantSplit/>
          <w:tblHeader w:val="false"/>
        </w:trPr>
        <w:tc>
          <w:tcPr>
            <w:tcW w:type="dxa" w:w="5954"/>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TF-SC-096: مؤشرات الأداء السبعة</w:t>
            </w:r>
          </w:p>
        </w:tc>
        <w:tc>
          <w:tcPr>
            <w:tcW w:type="dxa" w:w="3792"/>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TB-SC-096: من اللقطات اليومية</w:t>
            </w:r>
          </w:p>
        </w:tc>
      </w:tr>
      <w:tr>
        <w:trPr>
          <w:cantSplit/>
          <w:tblHeader w:val="false"/>
        </w:trPr>
        <w:tc>
          <w:tcPr>
            <w:tcW w:type="dxa" w:w="5954"/>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TF-SC-097: التعطيل الفوري مع تحويل المهام القائمة لمندوب آخر في خطوة واحدة</w:t>
            </w:r>
          </w:p>
        </w:tc>
        <w:tc>
          <w:tcPr>
            <w:tcW w:type="dxa" w:w="3792"/>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TB-SC-097: عملية واحدة ذرية + إبطال الجلسات فوراً (BR-PM-08)</w:t>
            </w:r>
          </w:p>
        </w:tc>
      </w:tr>
    </w:tbl>
    <w:p>
      <w:pPr>
        <w:spacing w:after="160"/>
      </w:pPr>
    </w:p>
    <w:p>
      <w:pPr>
        <w:pStyle w:val="Heading3"/>
        <w:bidi/>
        <w:spacing w:after="110" w:before="220"/>
        <w:jc w:val="right"/>
      </w:pPr>
      <w:r>
        <w:rPr>
          <w:rFonts w:ascii="Arial" w:cs="Arial" w:eastAsia="Arial" w:hAnsi="Arial"/>
          <w:b/>
          <w:bCs/>
          <w:color w:val="2E5C8A"/>
          <w:sz w:val="23"/>
          <w:szCs w:val="23"/>
          <w:rtl/>
        </w:rPr>
        <w:t xml:space="preserve">3.9 التجار (SP-09 → SP-13)</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378"/>
        <w:gridCol w:w="4368"/>
      </w:tblGrid>
      <w:tr>
        <w:trPr>
          <w:cantSplit/>
          <w:tblHeader/>
        </w:trPr>
        <w:tc>
          <w:tcPr>
            <w:tcW w:type="dxa" w:w="5378"/>
            <w:tcBorders>
              <w:top w:val="single" w:color="C9D2DE" w:sz="4"/>
              <w:left w:val="single" w:color="C9D2DE" w:sz="4"/>
              <w:bottom w:val="single" w:color="C9D2DE" w:sz="4"/>
              <w:right w:val="single" w:color="C9D2DE" w:sz="4"/>
            </w:tcBorders>
            <w:shd w:fill="1F3864" w:val="clear"/>
            <w:tcMar>
              <w:top w:type="dxa" w:w="50"/>
              <w:left w:type="dxa" w:w="100"/>
              <w:bottom w:type="dxa" w:w="50"/>
              <w:right w:type="dxa" w:w="100"/>
            </w:tcMar>
            <w:vAlign w:val="center"/>
          </w:tcPr>
          <w:p>
            <w:pPr>
              <w:bidi/>
              <w:spacing w:after="20" w:before="20" w:line="260"/>
              <w:jc w:val="right"/>
            </w:pPr>
            <w:r>
              <w:rPr>
                <w:rFonts w:ascii="Arial" w:cs="Arial" w:eastAsia="Arial" w:hAnsi="Arial"/>
                <w:b/>
                <w:bCs/>
                <w:color w:val="FFFFFF"/>
                <w:sz w:val="18"/>
                <w:szCs w:val="18"/>
                <w:rtl/>
              </w:rPr>
              <w:t xml:space="preserve">الواجهة</w:t>
            </w:r>
          </w:p>
        </w:tc>
        <w:tc>
          <w:tcPr>
            <w:tcW w:type="dxa" w:w="4368"/>
            <w:tcBorders>
              <w:top w:val="single" w:color="C9D2DE" w:sz="4"/>
              <w:left w:val="single" w:color="C9D2DE" w:sz="4"/>
              <w:bottom w:val="single" w:color="C9D2DE" w:sz="4"/>
              <w:right w:val="single" w:color="C9D2DE" w:sz="4"/>
            </w:tcBorders>
            <w:shd w:fill="1F3864" w:val="clear"/>
            <w:tcMar>
              <w:top w:type="dxa" w:w="50"/>
              <w:left w:type="dxa" w:w="100"/>
              <w:bottom w:type="dxa" w:w="50"/>
              <w:right w:type="dxa" w:w="100"/>
            </w:tcMar>
            <w:vAlign w:val="center"/>
          </w:tcPr>
          <w:p>
            <w:pPr>
              <w:bidi/>
              <w:spacing w:after="20" w:before="20" w:line="260"/>
              <w:jc w:val="right"/>
            </w:pPr>
            <w:r>
              <w:rPr>
                <w:rFonts w:ascii="Arial" w:cs="Arial" w:eastAsia="Arial" w:hAnsi="Arial"/>
                <w:b/>
                <w:bCs/>
                <w:color w:val="FFFFFF"/>
                <w:sz w:val="18"/>
                <w:szCs w:val="18"/>
                <w:rtl/>
              </w:rPr>
              <w:t xml:space="preserve">الخادم</w:t>
            </w:r>
          </w:p>
        </w:tc>
      </w:tr>
      <w:tr>
        <w:trPr>
          <w:cantSplit/>
          <w:tblHeader w:val="false"/>
        </w:trPr>
        <w:tc>
          <w:tcPr>
            <w:tcW w:type="dxa" w:w="5378"/>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TF-SC-100: قائمة التجار بالفلاتر الستة</w:t>
            </w:r>
          </w:p>
        </w:tc>
        <w:tc>
          <w:tcPr>
            <w:tcW w:type="dxa" w:w="4368"/>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TB-SC-100: نقطة القائمة</w:t>
            </w:r>
          </w:p>
        </w:tc>
      </w:tr>
      <w:tr>
        <w:trPr>
          <w:cantSplit/>
          <w:tblHeader w:val="false"/>
        </w:trPr>
        <w:tc>
          <w:tcPr>
            <w:tcW w:type="dxa" w:w="5378"/>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TF-SC-101: اعتماد طلبات التسجيل مع التحقق من الموقع والهاتف</w:t>
            </w:r>
          </w:p>
        </w:tc>
        <w:tc>
          <w:tcPr>
            <w:tcW w:type="dxa" w:w="4368"/>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TB-SC-101: </w:t>
            </w:r>
            <w:r>
              <w:rPr>
                <w:rFonts w:ascii="Consolas" w:cs="Consolas" w:eastAsia="Consolas" w:hAnsi="Consolas"/>
                <w:color w:val="9B2C2C"/>
                <w:sz w:val="16"/>
                <w:szCs w:val="16"/>
                <w:shd w:fill="F4F4F6" w:val="clear"/>
                <w:rtl w:val="false"/>
              </w:rPr>
              <w:t xml:space="preserve">‎sc.retailers.approve‎</w:t>
            </w:r>
          </w:p>
        </w:tc>
      </w:tr>
      <w:tr>
        <w:trPr>
          <w:cantSplit/>
          <w:tblHeader w:val="false"/>
        </w:trPr>
        <w:tc>
          <w:tcPr>
            <w:tcW w:type="dxa" w:w="5378"/>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TF-SC-102: بطاقة التاجر 360 بأقسامها الثمانية</w:t>
            </w:r>
          </w:p>
        </w:tc>
        <w:tc>
          <w:tcPr>
            <w:tcW w:type="dxa" w:w="4368"/>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TB-SC-102: نقطة مجمَّعة واحدة لا ثمانية نداءات</w:t>
            </w:r>
          </w:p>
        </w:tc>
      </w:tr>
      <w:tr>
        <w:trPr>
          <w:cantSplit/>
          <w:tblHeader w:val="false"/>
        </w:trPr>
        <w:tc>
          <w:tcPr>
            <w:tcW w:type="dxa" w:w="5378"/>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TF-SC-103: مجموعات التجار وإضافة وإزالة جماعية</w:t>
            </w:r>
          </w:p>
        </w:tc>
        <w:tc>
          <w:tcPr>
            <w:tcW w:type="dxa" w:w="4368"/>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TB-SC-103: تُستخدم في التسعير والعروض والإشعارات</w:t>
            </w:r>
          </w:p>
        </w:tc>
      </w:tr>
      <w:tr>
        <w:trPr>
          <w:cantSplit/>
          <w:tblHeader w:val="false"/>
        </w:trPr>
        <w:tc>
          <w:tcPr>
            <w:tcW w:type="dxa" w:w="5378"/>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TF-SC-104: الائتمان: السقف، مدة السماح، سلوك التجاوز الثلاثي</w:t>
            </w:r>
          </w:p>
        </w:tc>
        <w:tc>
          <w:tcPr>
            <w:tcW w:type="dxa" w:w="4368"/>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TB-SC-104: </w:t>
            </w:r>
            <w:r>
              <w:rPr>
                <w:rFonts w:ascii="Consolas" w:cs="Consolas" w:eastAsia="Consolas" w:hAnsi="Consolas"/>
                <w:color w:val="9B2C2C"/>
                <w:sz w:val="16"/>
                <w:szCs w:val="16"/>
                <w:shd w:fill="F4F4F6" w:val="clear"/>
                <w:rtl w:val="false"/>
              </w:rPr>
              <w:t xml:space="preserve">‎EP-SC-086‎</w:t>
            </w:r>
            <w:r>
              <w:rPr>
                <w:rFonts w:ascii="Arial" w:cs="Arial" w:eastAsia="Arial" w:hAnsi="Arial"/>
                <w:b w:val="false"/>
                <w:bCs w:val="false"/>
                <w:color w:val="1A1A1A"/>
                <w:sz w:val="18"/>
                <w:szCs w:val="18"/>
                <w:rtl/>
              </w:rPr>
              <w:t xml:space="preserve"> + فرض السلوك عند إرسال الطلب (423)</w:t>
            </w:r>
          </w:p>
        </w:tc>
      </w:tr>
      <w:tr>
        <w:trPr>
          <w:cantSplit/>
          <w:tblHeader w:val="false"/>
        </w:trPr>
        <w:tc>
          <w:tcPr>
            <w:tcW w:type="dxa" w:w="5378"/>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TF-SC-105: الحظر المؤقت أو الدائم بسبب موثَّق</w:t>
            </w:r>
          </w:p>
        </w:tc>
        <w:tc>
          <w:tcPr>
            <w:tcW w:type="dxa" w:w="4368"/>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TB-SC-105: </w:t>
            </w:r>
            <w:r>
              <w:rPr>
                <w:rFonts w:ascii="Consolas" w:cs="Consolas" w:eastAsia="Consolas" w:hAnsi="Consolas"/>
                <w:color w:val="9B2C2C"/>
                <w:sz w:val="16"/>
                <w:szCs w:val="16"/>
                <w:shd w:fill="F4F4F6" w:val="clear"/>
                <w:rtl w:val="false"/>
              </w:rPr>
              <w:t xml:space="preserve">‎sc.retailers.block‎</w:t>
            </w:r>
          </w:p>
        </w:tc>
      </w:tr>
    </w:tbl>
    <w:p>
      <w:pPr>
        <w:spacing w:after="160"/>
      </w:pPr>
    </w:p>
    <w:p>
      <w:pPr>
        <w:pStyle w:val="Heading3"/>
        <w:bidi/>
        <w:spacing w:after="110" w:before="220"/>
        <w:jc w:val="right"/>
      </w:pPr>
      <w:r>
        <w:rPr>
          <w:rFonts w:ascii="Arial" w:cs="Arial" w:eastAsia="Arial" w:hAnsi="Arial"/>
          <w:b/>
          <w:bCs/>
          <w:color w:val="2E5C8A"/>
          <w:sz w:val="23"/>
          <w:szCs w:val="23"/>
          <w:rtl/>
        </w:rPr>
        <w:t xml:space="preserve">3.10 المناطق والتغطية (SP-09)</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52"/>
        <w:gridCol w:w="2694"/>
      </w:tblGrid>
      <w:tr>
        <w:trPr>
          <w:cantSplit/>
          <w:tblHeader/>
        </w:trPr>
        <w:tc>
          <w:tcPr>
            <w:tcW w:type="dxa" w:w="7052"/>
            <w:tcBorders>
              <w:top w:val="single" w:color="C9D2DE" w:sz="4"/>
              <w:left w:val="single" w:color="C9D2DE" w:sz="4"/>
              <w:bottom w:val="single" w:color="C9D2DE" w:sz="4"/>
              <w:right w:val="single" w:color="C9D2DE" w:sz="4"/>
            </w:tcBorders>
            <w:shd w:fill="1F3864" w:val="clear"/>
            <w:tcMar>
              <w:top w:type="dxa" w:w="50"/>
              <w:left w:type="dxa" w:w="100"/>
              <w:bottom w:type="dxa" w:w="50"/>
              <w:right w:type="dxa" w:w="100"/>
            </w:tcMar>
            <w:vAlign w:val="center"/>
          </w:tcPr>
          <w:p>
            <w:pPr>
              <w:bidi/>
              <w:spacing w:after="20" w:before="20" w:line="260"/>
              <w:jc w:val="right"/>
            </w:pPr>
            <w:r>
              <w:rPr>
                <w:rFonts w:ascii="Arial" w:cs="Arial" w:eastAsia="Arial" w:hAnsi="Arial"/>
                <w:b/>
                <w:bCs/>
                <w:color w:val="FFFFFF"/>
                <w:sz w:val="18"/>
                <w:szCs w:val="18"/>
                <w:rtl/>
              </w:rPr>
              <w:t xml:space="preserve">الواجهة</w:t>
            </w:r>
          </w:p>
        </w:tc>
        <w:tc>
          <w:tcPr>
            <w:tcW w:type="dxa" w:w="2694"/>
            <w:tcBorders>
              <w:top w:val="single" w:color="C9D2DE" w:sz="4"/>
              <w:left w:val="single" w:color="C9D2DE" w:sz="4"/>
              <w:bottom w:val="single" w:color="C9D2DE" w:sz="4"/>
              <w:right w:val="single" w:color="C9D2DE" w:sz="4"/>
            </w:tcBorders>
            <w:shd w:fill="1F3864" w:val="clear"/>
            <w:tcMar>
              <w:top w:type="dxa" w:w="50"/>
              <w:left w:type="dxa" w:w="100"/>
              <w:bottom w:type="dxa" w:w="50"/>
              <w:right w:type="dxa" w:w="100"/>
            </w:tcMar>
            <w:vAlign w:val="center"/>
          </w:tcPr>
          <w:p>
            <w:pPr>
              <w:bidi/>
              <w:spacing w:after="20" w:before="20" w:line="260"/>
              <w:jc w:val="right"/>
            </w:pPr>
            <w:r>
              <w:rPr>
                <w:rFonts w:ascii="Arial" w:cs="Arial" w:eastAsia="Arial" w:hAnsi="Arial"/>
                <w:b/>
                <w:bCs/>
                <w:color w:val="FFFFFF"/>
                <w:sz w:val="18"/>
                <w:szCs w:val="18"/>
                <w:rtl/>
              </w:rPr>
              <w:t xml:space="preserve">الخادم</w:t>
            </w:r>
          </w:p>
        </w:tc>
      </w:tr>
      <w:tr>
        <w:trPr>
          <w:cantSplit/>
          <w:tblHeader w:val="false"/>
        </w:trPr>
        <w:tc>
          <w:tcPr>
            <w:tcW w:type="dxa" w:w="7052"/>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TF-SC-110: شاشة التغطية: المندوبون، المستودع الخادم، أيام وأوقات التوصيل، الحد الأدنى للطلب، قائمة السعر</w:t>
            </w:r>
          </w:p>
        </w:tc>
        <w:tc>
          <w:tcPr>
            <w:tcW w:type="dxa" w:w="2694"/>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TB-SC-110: نقاط التغطية</w:t>
            </w:r>
          </w:p>
        </w:tc>
      </w:tr>
      <w:tr>
        <w:trPr>
          <w:cantSplit/>
          <w:tblHeader w:val="false"/>
        </w:trPr>
        <w:tc>
          <w:tcPr>
            <w:tcW w:type="dxa" w:w="7052"/>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TF-SC-111: رسم الحدود الجغرافية على الخريطة</w:t>
            </w:r>
          </w:p>
        </w:tc>
        <w:tc>
          <w:tcPr>
            <w:tcW w:type="dxa" w:w="2694"/>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TB-SC-111: تخزين المضلّع والتحقق من صلاحيته</w:t>
            </w:r>
          </w:p>
        </w:tc>
      </w:tr>
      <w:tr>
        <w:trPr>
          <w:cantSplit/>
          <w:tblHeader w:val="false"/>
        </w:trPr>
        <w:tc>
          <w:tcPr>
            <w:tcW w:type="dxa" w:w="7052"/>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TF-SC-112: تقرير التغطية: مناطق بلا مندوب، بلا مخزون خادم، ذات طلب مرتفع وتغطية منخفضة</w:t>
            </w:r>
          </w:p>
        </w:tc>
        <w:tc>
          <w:tcPr>
            <w:tcW w:type="dxa" w:w="2694"/>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TB-SC-112: تقرير مجمَّع</w:t>
            </w:r>
          </w:p>
        </w:tc>
      </w:tr>
    </w:tbl>
    <w:p>
      <w:pPr>
        <w:spacing w:after="160"/>
      </w:pPr>
    </w:p>
    <w:p>
      <w:pPr>
        <w:pStyle w:val="Heading3"/>
        <w:bidi/>
        <w:spacing w:after="110" w:before="220"/>
        <w:jc w:val="right"/>
      </w:pPr>
      <w:r>
        <w:rPr>
          <w:rFonts w:ascii="Arial" w:cs="Arial" w:eastAsia="Arial" w:hAnsi="Arial"/>
          <w:b/>
          <w:bCs/>
          <w:color w:val="2E5C8A"/>
          <w:sz w:val="23"/>
          <w:szCs w:val="23"/>
          <w:rtl/>
        </w:rPr>
        <w:t xml:space="preserve">3.11 الوحدة المالية (SP-13)</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397"/>
        <w:gridCol w:w="3349"/>
      </w:tblGrid>
      <w:tr>
        <w:trPr>
          <w:cantSplit/>
          <w:tblHeader/>
        </w:trPr>
        <w:tc>
          <w:tcPr>
            <w:tcW w:type="dxa" w:w="6397"/>
            <w:tcBorders>
              <w:top w:val="single" w:color="C9D2DE" w:sz="4"/>
              <w:left w:val="single" w:color="C9D2DE" w:sz="4"/>
              <w:bottom w:val="single" w:color="C9D2DE" w:sz="4"/>
              <w:right w:val="single" w:color="C9D2DE" w:sz="4"/>
            </w:tcBorders>
            <w:shd w:fill="1F3864" w:val="clear"/>
            <w:tcMar>
              <w:top w:type="dxa" w:w="50"/>
              <w:left w:type="dxa" w:w="100"/>
              <w:bottom w:type="dxa" w:w="50"/>
              <w:right w:type="dxa" w:w="100"/>
            </w:tcMar>
            <w:vAlign w:val="center"/>
          </w:tcPr>
          <w:p>
            <w:pPr>
              <w:bidi/>
              <w:spacing w:after="20" w:before="20" w:line="260"/>
              <w:jc w:val="right"/>
            </w:pPr>
            <w:r>
              <w:rPr>
                <w:rFonts w:ascii="Arial" w:cs="Arial" w:eastAsia="Arial" w:hAnsi="Arial"/>
                <w:b/>
                <w:bCs/>
                <w:color w:val="FFFFFF"/>
                <w:sz w:val="18"/>
                <w:szCs w:val="18"/>
                <w:rtl/>
              </w:rPr>
              <w:t xml:space="preserve">الواجهة</w:t>
            </w:r>
          </w:p>
        </w:tc>
        <w:tc>
          <w:tcPr>
            <w:tcW w:type="dxa" w:w="3349"/>
            <w:tcBorders>
              <w:top w:val="single" w:color="C9D2DE" w:sz="4"/>
              <w:left w:val="single" w:color="C9D2DE" w:sz="4"/>
              <w:bottom w:val="single" w:color="C9D2DE" w:sz="4"/>
              <w:right w:val="single" w:color="C9D2DE" w:sz="4"/>
            </w:tcBorders>
            <w:shd w:fill="1F3864" w:val="clear"/>
            <w:tcMar>
              <w:top w:type="dxa" w:w="50"/>
              <w:left w:type="dxa" w:w="100"/>
              <w:bottom w:type="dxa" w:w="50"/>
              <w:right w:type="dxa" w:w="100"/>
            </w:tcMar>
            <w:vAlign w:val="center"/>
          </w:tcPr>
          <w:p>
            <w:pPr>
              <w:bidi/>
              <w:spacing w:after="20" w:before="20" w:line="260"/>
              <w:jc w:val="right"/>
            </w:pPr>
            <w:r>
              <w:rPr>
                <w:rFonts w:ascii="Arial" w:cs="Arial" w:eastAsia="Arial" w:hAnsi="Arial"/>
                <w:b/>
                <w:bCs/>
                <w:color w:val="FFFFFF"/>
                <w:sz w:val="18"/>
                <w:szCs w:val="18"/>
                <w:rtl/>
              </w:rPr>
              <w:t xml:space="preserve">الخادم</w:t>
            </w:r>
          </w:p>
        </w:tc>
      </w:tr>
      <w:tr>
        <w:trPr>
          <w:cantSplit/>
          <w:tblHeader w:val="false"/>
        </w:trPr>
        <w:tc>
          <w:tcPr>
            <w:tcW w:type="dxa" w:w="6397"/>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TF-SC-120: قائمة الفواتير بحالاتها السبع</w:t>
            </w:r>
          </w:p>
        </w:tc>
        <w:tc>
          <w:tcPr>
            <w:tcW w:type="dxa" w:w="3349"/>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TB-SC-120: </w:t>
            </w:r>
            <w:r>
              <w:rPr>
                <w:rFonts w:ascii="Consolas" w:cs="Consolas" w:eastAsia="Consolas" w:hAnsi="Consolas"/>
                <w:color w:val="9B2C2C"/>
                <w:sz w:val="16"/>
                <w:szCs w:val="16"/>
                <w:shd w:fill="F4F4F6" w:val="clear"/>
                <w:rtl w:val="false"/>
              </w:rPr>
              <w:t xml:space="preserve">‎EP-SC-080‎</w:t>
            </w:r>
            <w:r>
              <w:rPr>
                <w:rFonts w:ascii="Arial" w:cs="Arial" w:eastAsia="Arial" w:hAnsi="Arial"/>
                <w:b w:val="false"/>
                <w:bCs w:val="false"/>
                <w:color w:val="1A1A1A"/>
                <w:sz w:val="18"/>
                <w:szCs w:val="18"/>
                <w:rtl/>
              </w:rPr>
              <w:t xml:space="preserve"> + آلة حالة الفاتورة</w:t>
            </w:r>
          </w:p>
        </w:tc>
      </w:tr>
      <w:tr>
        <w:trPr>
          <w:cantSplit/>
          <w:tblHeader w:val="false"/>
        </w:trPr>
        <w:tc>
          <w:tcPr>
            <w:tcW w:type="dxa" w:w="6397"/>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TF-SC-121: منع تعديل فاتورة مثبّتة، والتصحيح بمذكرة دائنة أو مدينة مرتبطة</w:t>
            </w:r>
          </w:p>
        </w:tc>
        <w:tc>
          <w:tcPr>
            <w:tcW w:type="dxa" w:w="3349"/>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TB-SC-121: </w:t>
            </w:r>
            <w:r>
              <w:rPr>
                <w:rFonts w:ascii="Consolas" w:cs="Consolas" w:eastAsia="Consolas" w:hAnsi="Consolas"/>
                <w:color w:val="9B2C2C"/>
                <w:sz w:val="16"/>
                <w:szCs w:val="16"/>
                <w:shd w:fill="F4F4F6" w:val="clear"/>
                <w:rtl w:val="false"/>
              </w:rPr>
              <w:t xml:space="preserve">‎EP-SC-081/082‎</w:t>
            </w:r>
            <w:r>
              <w:rPr>
                <w:rFonts w:ascii="Arial" w:cs="Arial" w:eastAsia="Arial" w:hAnsi="Arial"/>
                <w:b w:val="false"/>
                <w:bCs w:val="false"/>
                <w:color w:val="1A1A1A"/>
                <w:sz w:val="18"/>
                <w:szCs w:val="18"/>
                <w:rtl/>
              </w:rPr>
              <w:t xml:space="preserve"> — حرجة + مزدوج (BR-10)</w:t>
            </w:r>
          </w:p>
        </w:tc>
      </w:tr>
      <w:tr>
        <w:trPr>
          <w:cantSplit/>
          <w:tblHeader w:val="false"/>
        </w:trPr>
        <w:tc>
          <w:tcPr>
            <w:tcW w:type="dxa" w:w="6397"/>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TF-SC-122: شاشة الدفعات بمصادرها الثلاثة والتخصيص التلقائي FIFO مع إعادة تخصيص يدوية</w:t>
            </w:r>
          </w:p>
        </w:tc>
        <w:tc>
          <w:tcPr>
            <w:tcW w:type="dxa" w:w="3349"/>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TB-SC-122: </w:t>
            </w:r>
            <w:r>
              <w:rPr>
                <w:rFonts w:ascii="Consolas" w:cs="Consolas" w:eastAsia="Consolas" w:hAnsi="Consolas"/>
                <w:color w:val="9B2C2C"/>
                <w:sz w:val="16"/>
                <w:szCs w:val="16"/>
                <w:shd w:fill="F4F4F6" w:val="clear"/>
                <w:rtl w:val="false"/>
              </w:rPr>
              <w:t xml:space="preserve">‎EP-SC-083‎</w:t>
            </w:r>
            <w:r>
              <w:rPr>
                <w:rFonts w:ascii="Arial" w:cs="Arial" w:eastAsia="Arial" w:hAnsi="Arial"/>
                <w:b w:val="false"/>
                <w:bCs w:val="false"/>
                <w:color w:val="1A1A1A"/>
                <w:sz w:val="18"/>
                <w:szCs w:val="18"/>
                <w:rtl/>
              </w:rPr>
              <w:t xml:space="preserve"> + SOD-01</w:t>
            </w:r>
          </w:p>
        </w:tc>
      </w:tr>
      <w:tr>
        <w:trPr>
          <w:cantSplit/>
          <w:tblHeader w:val="false"/>
        </w:trPr>
        <w:tc>
          <w:tcPr>
            <w:tcW w:type="dxa" w:w="6397"/>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TF-SC-123: كشف حساب التاجر بين تاريخين قابل للتصدير والمشاركة</w:t>
            </w:r>
          </w:p>
        </w:tc>
        <w:tc>
          <w:tcPr>
            <w:tcW w:type="dxa" w:w="3349"/>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TB-SC-123: توليد PDF بترويسة القناة</w:t>
            </w:r>
          </w:p>
        </w:tc>
      </w:tr>
      <w:tr>
        <w:trPr>
          <w:cantSplit/>
          <w:tblHeader w:val="false"/>
        </w:trPr>
        <w:tc>
          <w:tcPr>
            <w:tcW w:type="dxa" w:w="6397"/>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TF-SC-124: أعمار الديون بالشرائح الأربع مجمَّعة حسب المنطقة والمندوب</w:t>
            </w:r>
          </w:p>
        </w:tc>
        <w:tc>
          <w:tcPr>
            <w:tcW w:type="dxa" w:w="3349"/>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TB-SC-124: </w:t>
            </w:r>
            <w:r>
              <w:rPr>
                <w:rFonts w:ascii="Consolas" w:cs="Consolas" w:eastAsia="Consolas" w:hAnsi="Consolas"/>
                <w:color w:val="9B2C2C"/>
                <w:sz w:val="16"/>
                <w:szCs w:val="16"/>
                <w:shd w:fill="F4F4F6" w:val="clear"/>
                <w:rtl w:val="false"/>
              </w:rPr>
              <w:t xml:space="preserve">‎EP-SC-085‎</w:t>
            </w:r>
          </w:p>
        </w:tc>
      </w:tr>
      <w:tr>
        <w:trPr>
          <w:cantSplit/>
          <w:tblHeader w:val="false"/>
        </w:trPr>
        <w:tc>
          <w:tcPr>
            <w:tcW w:type="dxa" w:w="6397"/>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TF-SC-125: تقرير التحصيل اليومي لكل مندوب مقابل المستهدف</w:t>
            </w:r>
          </w:p>
        </w:tc>
        <w:tc>
          <w:tcPr>
            <w:tcW w:type="dxa" w:w="3349"/>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TB-SC-125: من اللقطات</w:t>
            </w:r>
          </w:p>
        </w:tc>
      </w:tr>
    </w:tbl>
    <w:p>
      <w:pPr>
        <w:spacing w:after="160"/>
      </w:pPr>
    </w:p>
    <w:p>
      <w:pPr>
        <w:pStyle w:val="Heading3"/>
        <w:bidi/>
        <w:spacing w:after="110" w:before="220"/>
        <w:jc w:val="right"/>
      </w:pPr>
      <w:r>
        <w:rPr>
          <w:rFonts w:ascii="Arial" w:cs="Arial" w:eastAsia="Arial" w:hAnsi="Arial"/>
          <w:b/>
          <w:bCs/>
          <w:color w:val="2E5C8A"/>
          <w:sz w:val="23"/>
          <w:szCs w:val="23"/>
          <w:rtl/>
        </w:rPr>
        <w:t xml:space="preserve">3.12 المحتوى والتسويق (SP-15)</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577"/>
        <w:gridCol w:w="3169"/>
      </w:tblGrid>
      <w:tr>
        <w:trPr>
          <w:cantSplit/>
          <w:tblHeader/>
        </w:trPr>
        <w:tc>
          <w:tcPr>
            <w:tcW w:type="dxa" w:w="6577"/>
            <w:tcBorders>
              <w:top w:val="single" w:color="C9D2DE" w:sz="4"/>
              <w:left w:val="single" w:color="C9D2DE" w:sz="4"/>
              <w:bottom w:val="single" w:color="C9D2DE" w:sz="4"/>
              <w:right w:val="single" w:color="C9D2DE" w:sz="4"/>
            </w:tcBorders>
            <w:shd w:fill="1F3864" w:val="clear"/>
            <w:tcMar>
              <w:top w:type="dxa" w:w="50"/>
              <w:left w:type="dxa" w:w="100"/>
              <w:bottom w:type="dxa" w:w="50"/>
              <w:right w:type="dxa" w:w="100"/>
            </w:tcMar>
            <w:vAlign w:val="center"/>
          </w:tcPr>
          <w:p>
            <w:pPr>
              <w:bidi/>
              <w:spacing w:after="20" w:before="20" w:line="260"/>
              <w:jc w:val="right"/>
            </w:pPr>
            <w:r>
              <w:rPr>
                <w:rFonts w:ascii="Arial" w:cs="Arial" w:eastAsia="Arial" w:hAnsi="Arial"/>
                <w:b/>
                <w:bCs/>
                <w:color w:val="FFFFFF"/>
                <w:sz w:val="18"/>
                <w:szCs w:val="18"/>
                <w:rtl/>
              </w:rPr>
              <w:t xml:space="preserve">الواجهة</w:t>
            </w:r>
          </w:p>
        </w:tc>
        <w:tc>
          <w:tcPr>
            <w:tcW w:type="dxa" w:w="3169"/>
            <w:tcBorders>
              <w:top w:val="single" w:color="C9D2DE" w:sz="4"/>
              <w:left w:val="single" w:color="C9D2DE" w:sz="4"/>
              <w:bottom w:val="single" w:color="C9D2DE" w:sz="4"/>
              <w:right w:val="single" w:color="C9D2DE" w:sz="4"/>
            </w:tcBorders>
            <w:shd w:fill="1F3864" w:val="clear"/>
            <w:tcMar>
              <w:top w:type="dxa" w:w="50"/>
              <w:left w:type="dxa" w:w="100"/>
              <w:bottom w:type="dxa" w:w="50"/>
              <w:right w:type="dxa" w:w="100"/>
            </w:tcMar>
            <w:vAlign w:val="center"/>
          </w:tcPr>
          <w:p>
            <w:pPr>
              <w:bidi/>
              <w:spacing w:after="20" w:before="20" w:line="260"/>
              <w:jc w:val="right"/>
            </w:pPr>
            <w:r>
              <w:rPr>
                <w:rFonts w:ascii="Arial" w:cs="Arial" w:eastAsia="Arial" w:hAnsi="Arial"/>
                <w:b/>
                <w:bCs/>
                <w:color w:val="FFFFFF"/>
                <w:sz w:val="18"/>
                <w:szCs w:val="18"/>
                <w:rtl/>
              </w:rPr>
              <w:t xml:space="preserve">الخادم</w:t>
            </w:r>
          </w:p>
        </w:tc>
      </w:tr>
      <w:tr>
        <w:trPr>
          <w:cantSplit/>
          <w:tblHeader w:val="false"/>
        </w:trPr>
        <w:tc>
          <w:tcPr>
            <w:tcW w:type="dxa" w:w="6577"/>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TF-SC-130: محرر الانترو بالاستهداف بالنشاط والمنطقة</w:t>
            </w:r>
          </w:p>
        </w:tc>
        <w:tc>
          <w:tcPr>
            <w:tcW w:type="dxa" w:w="3169"/>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TB-SC-130: </w:t>
            </w:r>
            <w:r>
              <w:rPr>
                <w:rFonts w:ascii="Consolas" w:cs="Consolas" w:eastAsia="Consolas" w:hAnsi="Consolas"/>
                <w:color w:val="9B2C2C"/>
                <w:sz w:val="16"/>
                <w:szCs w:val="16"/>
                <w:shd w:fill="F4F4F6" w:val="clear"/>
                <w:rtl w:val="false"/>
              </w:rPr>
              <w:t xml:space="preserve">‎EP-SC-100‎</w:t>
            </w:r>
          </w:p>
        </w:tc>
      </w:tr>
      <w:tr>
        <w:trPr>
          <w:cantSplit/>
          <w:tblHeader w:val="false"/>
        </w:trPr>
        <w:tc>
          <w:tcPr>
            <w:tcW w:type="dxa" w:w="6577"/>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TF-SC-131: محرر البنرات بإعداداته السبعة + معاينة على شكل الشاشة الفعلية</w:t>
            </w:r>
          </w:p>
        </w:tc>
        <w:tc>
          <w:tcPr>
            <w:tcW w:type="dxa" w:w="3169"/>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TB-SC-131: </w:t>
            </w:r>
            <w:r>
              <w:rPr>
                <w:rFonts w:ascii="Consolas" w:cs="Consolas" w:eastAsia="Consolas" w:hAnsi="Consolas"/>
                <w:color w:val="9B2C2C"/>
                <w:sz w:val="16"/>
                <w:szCs w:val="16"/>
                <w:shd w:fill="F4F4F6" w:val="clear"/>
                <w:rtl w:val="false"/>
              </w:rPr>
              <w:t xml:space="preserve">‎EP-SC-101‎</w:t>
            </w:r>
            <w:r>
              <w:rPr>
                <w:rFonts w:ascii="Arial" w:cs="Arial" w:eastAsia="Arial" w:hAnsi="Arial"/>
                <w:b w:val="false"/>
                <w:bCs w:val="false"/>
                <w:color w:val="1A1A1A"/>
                <w:sz w:val="18"/>
                <w:szCs w:val="18"/>
                <w:rtl/>
              </w:rPr>
              <w:t xml:space="preserve"> + قياس الظهور والنقر و CTR</w:t>
            </w:r>
          </w:p>
        </w:tc>
      </w:tr>
      <w:tr>
        <w:trPr>
          <w:cantSplit/>
          <w:tblHeader w:val="false"/>
        </w:trPr>
        <w:tc>
          <w:tcPr>
            <w:tcW w:type="dxa" w:w="6577"/>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TF-SC-132: بانِي الساليدرات: الاسم، المصدر، الترتيب، مكان الظهور، عدد العناصر، زر عرض الكل، الاستهداف</w:t>
            </w:r>
          </w:p>
        </w:tc>
        <w:tc>
          <w:tcPr>
            <w:tcW w:type="dxa" w:w="3169"/>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TB-SC-132: </w:t>
            </w:r>
            <w:r>
              <w:rPr>
                <w:rFonts w:ascii="Consolas" w:cs="Consolas" w:eastAsia="Consolas" w:hAnsi="Consolas"/>
                <w:color w:val="9B2C2C"/>
                <w:sz w:val="16"/>
                <w:szCs w:val="16"/>
                <w:shd w:fill="F4F4F6" w:val="clear"/>
                <w:rtl w:val="false"/>
              </w:rPr>
              <w:t xml:space="preserve">‎EP-SC-103‎</w:t>
            </w:r>
            <w:r>
              <w:rPr>
                <w:rFonts w:ascii="Arial" w:cs="Arial" w:eastAsia="Arial" w:hAnsi="Arial"/>
                <w:b w:val="false"/>
                <w:bCs w:val="false"/>
                <w:color w:val="1A1A1A"/>
                <w:sz w:val="18"/>
                <w:szCs w:val="18"/>
                <w:rtl/>
              </w:rPr>
              <w:t xml:space="preserve"> بالخوارزميات الست</w:t>
            </w:r>
          </w:p>
        </w:tc>
      </w:tr>
      <w:tr>
        <w:trPr>
          <w:cantSplit/>
          <w:tblHeader w:val="false"/>
        </w:trPr>
        <w:tc>
          <w:tcPr>
            <w:tcW w:type="dxa" w:w="6577"/>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TF-SC-133: معاينة الساليدر بنتائجه الفعلية قبل النشر</w:t>
            </w:r>
          </w:p>
        </w:tc>
        <w:tc>
          <w:tcPr>
            <w:tcW w:type="dxa" w:w="3169"/>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TB-SC-133: نقطة معاينة</w:t>
            </w:r>
          </w:p>
        </w:tc>
      </w:tr>
    </w:tbl>
    <w:p>
      <w:pPr>
        <w:spacing w:after="160"/>
      </w:pPr>
    </w:p>
    <w:p>
      <w:pPr>
        <w:pStyle w:val="Heading3"/>
        <w:bidi/>
        <w:spacing w:after="110" w:before="220"/>
        <w:jc w:val="right"/>
      </w:pPr>
      <w:r>
        <w:rPr>
          <w:rFonts w:ascii="Arial" w:cs="Arial" w:eastAsia="Arial" w:hAnsi="Arial"/>
          <w:b/>
          <w:bCs/>
          <w:color w:val="2E5C8A"/>
          <w:sz w:val="23"/>
          <w:szCs w:val="23"/>
          <w:rtl/>
        </w:rPr>
        <w:t xml:space="preserve">3.13 الإشعارات والنقاط (SP-14 → SP-15)</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469"/>
        <w:gridCol w:w="3277"/>
      </w:tblGrid>
      <w:tr>
        <w:trPr>
          <w:cantSplit/>
          <w:tblHeader/>
        </w:trPr>
        <w:tc>
          <w:tcPr>
            <w:tcW w:type="dxa" w:w="6469"/>
            <w:tcBorders>
              <w:top w:val="single" w:color="C9D2DE" w:sz="4"/>
              <w:left w:val="single" w:color="C9D2DE" w:sz="4"/>
              <w:bottom w:val="single" w:color="C9D2DE" w:sz="4"/>
              <w:right w:val="single" w:color="C9D2DE" w:sz="4"/>
            </w:tcBorders>
            <w:shd w:fill="1F3864" w:val="clear"/>
            <w:tcMar>
              <w:top w:type="dxa" w:w="50"/>
              <w:left w:type="dxa" w:w="100"/>
              <w:bottom w:type="dxa" w:w="50"/>
              <w:right w:type="dxa" w:w="100"/>
            </w:tcMar>
            <w:vAlign w:val="center"/>
          </w:tcPr>
          <w:p>
            <w:pPr>
              <w:bidi/>
              <w:spacing w:after="20" w:before="20" w:line="260"/>
              <w:jc w:val="right"/>
            </w:pPr>
            <w:r>
              <w:rPr>
                <w:rFonts w:ascii="Arial" w:cs="Arial" w:eastAsia="Arial" w:hAnsi="Arial"/>
                <w:b/>
                <w:bCs/>
                <w:color w:val="FFFFFF"/>
                <w:sz w:val="18"/>
                <w:szCs w:val="18"/>
                <w:rtl/>
              </w:rPr>
              <w:t xml:space="preserve">الواجهة</w:t>
            </w:r>
          </w:p>
        </w:tc>
        <w:tc>
          <w:tcPr>
            <w:tcW w:type="dxa" w:w="3277"/>
            <w:tcBorders>
              <w:top w:val="single" w:color="C9D2DE" w:sz="4"/>
              <w:left w:val="single" w:color="C9D2DE" w:sz="4"/>
              <w:bottom w:val="single" w:color="C9D2DE" w:sz="4"/>
              <w:right w:val="single" w:color="C9D2DE" w:sz="4"/>
            </w:tcBorders>
            <w:shd w:fill="1F3864" w:val="clear"/>
            <w:tcMar>
              <w:top w:type="dxa" w:w="50"/>
              <w:left w:type="dxa" w:w="100"/>
              <w:bottom w:type="dxa" w:w="50"/>
              <w:right w:type="dxa" w:w="100"/>
            </w:tcMar>
            <w:vAlign w:val="center"/>
          </w:tcPr>
          <w:p>
            <w:pPr>
              <w:bidi/>
              <w:spacing w:after="20" w:before="20" w:line="260"/>
              <w:jc w:val="right"/>
            </w:pPr>
            <w:r>
              <w:rPr>
                <w:rFonts w:ascii="Arial" w:cs="Arial" w:eastAsia="Arial" w:hAnsi="Arial"/>
                <w:b/>
                <w:bCs/>
                <w:color w:val="FFFFFF"/>
                <w:sz w:val="18"/>
                <w:szCs w:val="18"/>
                <w:rtl/>
              </w:rPr>
              <w:t xml:space="preserve">الخادم</w:t>
            </w:r>
          </w:p>
        </w:tc>
      </w:tr>
      <w:tr>
        <w:trPr>
          <w:cantSplit/>
          <w:tblHeader w:val="false"/>
        </w:trPr>
        <w:tc>
          <w:tcPr>
            <w:tcW w:type="dxa" w:w="6469"/>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TF-SC-140: منشئ الإشعار بمحتواه واستهدافه وقنواته وجدولته</w:t>
            </w:r>
          </w:p>
        </w:tc>
        <w:tc>
          <w:tcPr>
            <w:tcW w:type="dxa" w:w="3277"/>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TB-SC-140: </w:t>
            </w:r>
            <w:r>
              <w:rPr>
                <w:rFonts w:ascii="Consolas" w:cs="Consolas" w:eastAsia="Consolas" w:hAnsi="Consolas"/>
                <w:color w:val="9B2C2C"/>
                <w:sz w:val="16"/>
                <w:szCs w:val="16"/>
                <w:shd w:fill="F4F4F6" w:val="clear"/>
                <w:rtl w:val="false"/>
              </w:rPr>
              <w:t xml:space="preserve">‎EP-SC-090‎</w:t>
            </w:r>
            <w:r>
              <w:rPr>
                <w:rFonts w:ascii="Arial" w:cs="Arial" w:eastAsia="Arial" w:hAnsi="Arial"/>
                <w:b w:val="false"/>
                <w:bCs w:val="false"/>
                <w:color w:val="1A1A1A"/>
                <w:sz w:val="18"/>
                <w:szCs w:val="18"/>
                <w:rtl/>
              </w:rPr>
              <w:t xml:space="preserve"> + مراعاة ساعات الهدوء</w:t>
            </w:r>
          </w:p>
        </w:tc>
      </w:tr>
      <w:tr>
        <w:trPr>
          <w:cantSplit/>
          <w:tblHeader w:val="false"/>
        </w:trPr>
        <w:tc>
          <w:tcPr>
            <w:tcW w:type="dxa" w:w="6469"/>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TF-SC-141: محرر القوالب التلقائية المرتبطة بأحداث النظام</w:t>
            </w:r>
          </w:p>
        </w:tc>
        <w:tc>
          <w:tcPr>
            <w:tcW w:type="dxa" w:w="3277"/>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TB-SC-141: </w:t>
            </w:r>
            <w:r>
              <w:rPr>
                <w:rFonts w:ascii="Consolas" w:cs="Consolas" w:eastAsia="Consolas" w:hAnsi="Consolas"/>
                <w:color w:val="9B2C2C"/>
                <w:sz w:val="16"/>
                <w:szCs w:val="16"/>
                <w:shd w:fill="F4F4F6" w:val="clear"/>
                <w:rtl w:val="false"/>
              </w:rPr>
              <w:t xml:space="preserve">‎EP-SC-091‎</w:t>
            </w:r>
          </w:p>
        </w:tc>
      </w:tr>
      <w:tr>
        <w:trPr>
          <w:cantSplit/>
          <w:tblHeader w:val="false"/>
        </w:trPr>
        <w:tc>
          <w:tcPr>
            <w:tcW w:type="dxa" w:w="6469"/>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TF-SC-142: سجل الإرسال بحالة كل رسالة وسبب الفشل</w:t>
            </w:r>
          </w:p>
        </w:tc>
        <w:tc>
          <w:tcPr>
            <w:tcW w:type="dxa" w:w="3277"/>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TB-SC-142: </w:t>
            </w:r>
            <w:r>
              <w:rPr>
                <w:rFonts w:ascii="Consolas" w:cs="Consolas" w:eastAsia="Consolas" w:hAnsi="Consolas"/>
                <w:color w:val="9B2C2C"/>
                <w:sz w:val="16"/>
                <w:szCs w:val="16"/>
                <w:shd w:fill="F4F4F6" w:val="clear"/>
                <w:rtl w:val="false"/>
              </w:rPr>
              <w:t xml:space="preserve">‎EP-SC-092‎</w:t>
            </w:r>
          </w:p>
        </w:tc>
      </w:tr>
      <w:tr>
        <w:trPr>
          <w:cantSplit/>
          <w:tblHeader w:val="false"/>
        </w:trPr>
        <w:tc>
          <w:tcPr>
            <w:tcW w:type="dxa" w:w="6469"/>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TF-SC-143: محرر قواعد النقاط للتاجر وللمندوب والمستويات والجوائز</w:t>
            </w:r>
          </w:p>
        </w:tc>
        <w:tc>
          <w:tcPr>
            <w:tcW w:type="dxa" w:w="3277"/>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TB-SC-143: </w:t>
            </w:r>
            <w:r>
              <w:rPr>
                <w:rFonts w:ascii="Consolas" w:cs="Consolas" w:eastAsia="Consolas" w:hAnsi="Consolas"/>
                <w:color w:val="9B2C2C"/>
                <w:sz w:val="16"/>
                <w:szCs w:val="16"/>
                <w:shd w:fill="F4F4F6" w:val="clear"/>
                <w:rtl w:val="false"/>
              </w:rPr>
              <w:t xml:space="preserve">‎EP-SC-110/111‎</w:t>
            </w:r>
          </w:p>
        </w:tc>
      </w:tr>
    </w:tbl>
    <w:p>
      <w:pPr>
        <w:spacing w:after="160"/>
      </w:pPr>
    </w:p>
    <w:p>
      <w:pPr>
        <w:pStyle w:val="Heading3"/>
        <w:bidi/>
        <w:spacing w:after="110" w:before="220"/>
        <w:jc w:val="right"/>
      </w:pPr>
      <w:r>
        <w:rPr>
          <w:rFonts w:ascii="Arial" w:cs="Arial" w:eastAsia="Arial" w:hAnsi="Arial"/>
          <w:b/>
          <w:bCs/>
          <w:color w:val="2E5C8A"/>
          <w:sz w:val="23"/>
          <w:szCs w:val="23"/>
          <w:rtl/>
        </w:rPr>
        <w:t xml:space="preserve">3.14 التقارير والإعدادات والصلاحيات (SP-16)</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787"/>
        <w:gridCol w:w="3959"/>
      </w:tblGrid>
      <w:tr>
        <w:trPr>
          <w:cantSplit/>
          <w:tblHeader/>
        </w:trPr>
        <w:tc>
          <w:tcPr>
            <w:tcW w:type="dxa" w:w="5787"/>
            <w:tcBorders>
              <w:top w:val="single" w:color="C9D2DE" w:sz="4"/>
              <w:left w:val="single" w:color="C9D2DE" w:sz="4"/>
              <w:bottom w:val="single" w:color="C9D2DE" w:sz="4"/>
              <w:right w:val="single" w:color="C9D2DE" w:sz="4"/>
            </w:tcBorders>
            <w:shd w:fill="1F3864" w:val="clear"/>
            <w:tcMar>
              <w:top w:type="dxa" w:w="50"/>
              <w:left w:type="dxa" w:w="100"/>
              <w:bottom w:type="dxa" w:w="50"/>
              <w:right w:type="dxa" w:w="100"/>
            </w:tcMar>
            <w:vAlign w:val="center"/>
          </w:tcPr>
          <w:p>
            <w:pPr>
              <w:bidi/>
              <w:spacing w:after="20" w:before="20" w:line="260"/>
              <w:jc w:val="right"/>
            </w:pPr>
            <w:r>
              <w:rPr>
                <w:rFonts w:ascii="Arial" w:cs="Arial" w:eastAsia="Arial" w:hAnsi="Arial"/>
                <w:b/>
                <w:bCs/>
                <w:color w:val="FFFFFF"/>
                <w:sz w:val="18"/>
                <w:szCs w:val="18"/>
                <w:rtl/>
              </w:rPr>
              <w:t xml:space="preserve">الواجهة</w:t>
            </w:r>
          </w:p>
        </w:tc>
        <w:tc>
          <w:tcPr>
            <w:tcW w:type="dxa" w:w="3959"/>
            <w:tcBorders>
              <w:top w:val="single" w:color="C9D2DE" w:sz="4"/>
              <w:left w:val="single" w:color="C9D2DE" w:sz="4"/>
              <w:bottom w:val="single" w:color="C9D2DE" w:sz="4"/>
              <w:right w:val="single" w:color="C9D2DE" w:sz="4"/>
            </w:tcBorders>
            <w:shd w:fill="1F3864" w:val="clear"/>
            <w:tcMar>
              <w:top w:type="dxa" w:w="50"/>
              <w:left w:type="dxa" w:w="100"/>
              <w:bottom w:type="dxa" w:w="50"/>
              <w:right w:type="dxa" w:w="100"/>
            </w:tcMar>
            <w:vAlign w:val="center"/>
          </w:tcPr>
          <w:p>
            <w:pPr>
              <w:bidi/>
              <w:spacing w:after="20" w:before="20" w:line="260"/>
              <w:jc w:val="right"/>
            </w:pPr>
            <w:r>
              <w:rPr>
                <w:rFonts w:ascii="Arial" w:cs="Arial" w:eastAsia="Arial" w:hAnsi="Arial"/>
                <w:b/>
                <w:bCs/>
                <w:color w:val="FFFFFF"/>
                <w:sz w:val="18"/>
                <w:szCs w:val="18"/>
                <w:rtl/>
              </w:rPr>
              <w:t xml:space="preserve">الخادم</w:t>
            </w:r>
          </w:p>
        </w:tc>
      </w:tr>
      <w:tr>
        <w:trPr>
          <w:cantSplit/>
          <w:tblHeader w:val="false"/>
        </w:trPr>
        <w:tc>
          <w:tcPr>
            <w:tcW w:type="dxa" w:w="5787"/>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TF-SC-150: التقارير التسعة بفلاتر موحدة وتصدير</w:t>
            </w:r>
          </w:p>
        </w:tc>
        <w:tc>
          <w:tcPr>
            <w:tcW w:type="dxa" w:w="3959"/>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TB-SC-150: </w:t>
            </w:r>
            <w:r>
              <w:rPr>
                <w:rFonts w:ascii="Consolas" w:cs="Consolas" w:eastAsia="Consolas" w:hAnsi="Consolas"/>
                <w:color w:val="9B2C2C"/>
                <w:sz w:val="16"/>
                <w:szCs w:val="16"/>
                <w:shd w:fill="F4F4F6" w:val="clear"/>
                <w:rtl w:val="false"/>
              </w:rPr>
              <w:t xml:space="preserve">‎EP-SC-121/122‎</w:t>
            </w:r>
          </w:p>
        </w:tc>
      </w:tr>
      <w:tr>
        <w:trPr>
          <w:cantSplit/>
          <w:tblHeader w:val="false"/>
        </w:trPr>
        <w:tc>
          <w:tcPr>
            <w:tcW w:type="dxa" w:w="5787"/>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TF-SC-151: تقرير الهوامش خلف صلاحية حرجة مستقلة</w:t>
            </w:r>
          </w:p>
        </w:tc>
        <w:tc>
          <w:tcPr>
            <w:tcW w:type="dxa" w:w="3959"/>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TB-SC-151: </w:t>
            </w:r>
            <w:r>
              <w:rPr>
                <w:rFonts w:ascii="Consolas" w:cs="Consolas" w:eastAsia="Consolas" w:hAnsi="Consolas"/>
                <w:color w:val="9B2C2C"/>
                <w:sz w:val="16"/>
                <w:szCs w:val="16"/>
                <w:shd w:fill="F4F4F6" w:val="clear"/>
                <w:rtl w:val="false"/>
              </w:rPr>
              <w:t xml:space="preserve">‎EP-SC-123‎</w:t>
            </w:r>
          </w:p>
        </w:tc>
      </w:tr>
      <w:tr>
        <w:trPr>
          <w:cantSplit/>
          <w:tblHeader w:val="false"/>
        </w:trPr>
        <w:tc>
          <w:tcPr>
            <w:tcW w:type="dxa" w:w="5787"/>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TF-SC-152: إدارة مستخدمي القناة وأدوارهم ضمن سلّة القناة فقط</w:t>
            </w:r>
          </w:p>
        </w:tc>
        <w:tc>
          <w:tcPr>
            <w:tcW w:type="dxa" w:w="3959"/>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TB-SC-152: لا يمنح مدير القناة ما ليس في سلّته (BR-PM-04)</w:t>
            </w:r>
          </w:p>
        </w:tc>
      </w:tr>
      <w:tr>
        <w:trPr>
          <w:cantSplit/>
          <w:tblHeader w:val="false"/>
        </w:trPr>
        <w:tc>
          <w:tcPr>
            <w:tcW w:type="dxa" w:w="5787"/>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TF-SC-153: سجل تدقيق القناة مفلتراً وقابلاً للتصدير</w:t>
            </w:r>
          </w:p>
        </w:tc>
        <w:tc>
          <w:tcPr>
            <w:tcW w:type="dxa" w:w="3959"/>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TB-SC-153: مقطع من السجل مقيَّد بالقناة</w:t>
            </w:r>
          </w:p>
        </w:tc>
      </w:tr>
      <w:tr>
        <w:trPr>
          <w:cantSplit/>
          <w:tblHeader w:val="false"/>
        </w:trPr>
        <w:tc>
          <w:tcPr>
            <w:tcW w:type="dxa" w:w="5787"/>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TF-SC-154: سياسات الطلب والتشغيل والتكاملات</w:t>
            </w:r>
          </w:p>
        </w:tc>
        <w:tc>
          <w:tcPr>
            <w:tcW w:type="dxa" w:w="3959"/>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TB-SC-154: نقاط الإعدادات</w:t>
            </w:r>
          </w:p>
        </w:tc>
      </w:tr>
    </w:tbl>
    <w:p>
      <w:pPr>
        <w:spacing w:after="160"/>
      </w:pPr>
    </w:p>
    <w:p>
      <w:pPr>
        <w:pBdr>
          <w:bottom w:val="single" w:color="C9D2DE" w:sz="6"/>
        </w:pBdr>
        <w:spacing w:after="160" w:before="100"/>
      </w:pPr>
    </w:p>
    <w:p>
      <w:pPr>
        <w:pStyle w:val="Heading2"/>
        <w:pBdr>
          <w:bottom w:val="single" w:color="2E5C8A" w:sz="6"/>
        </w:pBdr>
        <w:bidi/>
        <w:spacing w:after="140" w:before="280"/>
        <w:jc w:val="right"/>
      </w:pPr>
      <w:r>
        <w:rPr>
          <w:rFonts w:ascii="Arial" w:cs="Arial" w:eastAsia="Arial" w:hAnsi="Arial"/>
          <w:b/>
          <w:bCs/>
          <w:color w:val="1F3864"/>
          <w:sz w:val="26"/>
          <w:szCs w:val="26"/>
          <w:rtl/>
        </w:rPr>
        <w:t xml:space="preserve">4. معايير القبول لهذه اللوحة</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28"/>
        <w:gridCol w:w="7536"/>
        <w:gridCol w:w="1482"/>
      </w:tblGrid>
      <w:tr>
        <w:trPr>
          <w:cantSplit/>
          <w:tblHeader/>
        </w:trPr>
        <w:tc>
          <w:tcPr>
            <w:tcW w:type="dxa" w:w="728"/>
            <w:tcBorders>
              <w:top w:val="single" w:color="C9D2DE" w:sz="4"/>
              <w:left w:val="single" w:color="C9D2DE" w:sz="4"/>
              <w:bottom w:val="single" w:color="C9D2DE" w:sz="4"/>
              <w:right w:val="single" w:color="C9D2DE" w:sz="4"/>
            </w:tcBorders>
            <w:shd w:fill="1F3864" w:val="clear"/>
            <w:tcMar>
              <w:top w:type="dxa" w:w="50"/>
              <w:left w:type="dxa" w:w="100"/>
              <w:bottom w:type="dxa" w:w="50"/>
              <w:right w:type="dxa" w:w="100"/>
            </w:tcMar>
            <w:vAlign w:val="center"/>
          </w:tcPr>
          <w:p>
            <w:pPr>
              <w:bidi/>
              <w:spacing w:after="20" w:before="20" w:line="260"/>
              <w:jc w:val="right"/>
            </w:pPr>
            <w:r>
              <w:rPr>
                <w:rFonts w:ascii="Arial" w:cs="Arial" w:eastAsia="Arial" w:hAnsi="Arial"/>
                <w:b/>
                <w:bCs/>
                <w:color w:val="FFFFFF"/>
                <w:sz w:val="18"/>
                <w:szCs w:val="18"/>
                <w:rtl/>
              </w:rPr>
              <w:t xml:space="preserve">#</w:t>
            </w:r>
          </w:p>
        </w:tc>
        <w:tc>
          <w:tcPr>
            <w:tcW w:type="dxa" w:w="7536"/>
            <w:tcBorders>
              <w:top w:val="single" w:color="C9D2DE" w:sz="4"/>
              <w:left w:val="single" w:color="C9D2DE" w:sz="4"/>
              <w:bottom w:val="single" w:color="C9D2DE" w:sz="4"/>
              <w:right w:val="single" w:color="C9D2DE" w:sz="4"/>
            </w:tcBorders>
            <w:shd w:fill="1F3864" w:val="clear"/>
            <w:tcMar>
              <w:top w:type="dxa" w:w="50"/>
              <w:left w:type="dxa" w:w="100"/>
              <w:bottom w:type="dxa" w:w="50"/>
              <w:right w:type="dxa" w:w="100"/>
            </w:tcMar>
            <w:vAlign w:val="center"/>
          </w:tcPr>
          <w:p>
            <w:pPr>
              <w:bidi/>
              <w:spacing w:after="20" w:before="20" w:line="260"/>
              <w:jc w:val="right"/>
            </w:pPr>
            <w:r>
              <w:rPr>
                <w:rFonts w:ascii="Arial" w:cs="Arial" w:eastAsia="Arial" w:hAnsi="Arial"/>
                <w:b/>
                <w:bCs/>
                <w:color w:val="FFFFFF"/>
                <w:sz w:val="18"/>
                <w:szCs w:val="18"/>
                <w:rtl/>
              </w:rPr>
              <w:t xml:space="preserve">المعيار</w:t>
            </w:r>
          </w:p>
        </w:tc>
        <w:tc>
          <w:tcPr>
            <w:tcW w:type="dxa" w:w="1482"/>
            <w:tcBorders>
              <w:top w:val="single" w:color="C9D2DE" w:sz="4"/>
              <w:left w:val="single" w:color="C9D2DE" w:sz="4"/>
              <w:bottom w:val="single" w:color="C9D2DE" w:sz="4"/>
              <w:right w:val="single" w:color="C9D2DE" w:sz="4"/>
            </w:tcBorders>
            <w:shd w:fill="1F3864" w:val="clear"/>
            <w:tcMar>
              <w:top w:type="dxa" w:w="50"/>
              <w:left w:type="dxa" w:w="100"/>
              <w:bottom w:type="dxa" w:w="50"/>
              <w:right w:type="dxa" w:w="100"/>
            </w:tcMar>
            <w:vAlign w:val="center"/>
          </w:tcPr>
          <w:p>
            <w:pPr>
              <w:bidi/>
              <w:spacing w:after="20" w:before="20" w:line="260"/>
              <w:jc w:val="right"/>
            </w:pPr>
            <w:r>
              <w:rPr>
                <w:rFonts w:ascii="Arial" w:cs="Arial" w:eastAsia="Arial" w:hAnsi="Arial"/>
                <w:b/>
                <w:bCs/>
                <w:color w:val="FFFFFF"/>
                <w:sz w:val="18"/>
                <w:szCs w:val="18"/>
                <w:rtl/>
              </w:rPr>
              <w:t xml:space="preserve">طريقة القياس</w:t>
            </w:r>
          </w:p>
        </w:tc>
      </w:tr>
      <w:tr>
        <w:trPr>
          <w:cantSplit/>
          <w:tblHeader w:val="false"/>
        </w:trPr>
        <w:tc>
          <w:tcPr>
            <w:tcW w:type="dxa" w:w="728"/>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1</w:t>
            </w:r>
          </w:p>
        </w:tc>
        <w:tc>
          <w:tcPr>
            <w:tcW w:type="dxa" w:w="7536"/>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تأكيد 50 طلباً معلقاً وإسنادها لمندوبيها في أقل من دقيقتين</w:t>
            </w:r>
          </w:p>
        </w:tc>
        <w:tc>
          <w:tcPr>
            <w:tcW w:type="dxa" w:w="1482"/>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قياس زمني</w:t>
            </w:r>
          </w:p>
        </w:tc>
      </w:tr>
      <w:tr>
        <w:trPr>
          <w:cantSplit/>
          <w:tblHeader w:val="false"/>
        </w:trPr>
        <w:tc>
          <w:tcPr>
            <w:tcW w:type="dxa" w:w="728"/>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2</w:t>
            </w:r>
          </w:p>
        </w:tc>
        <w:tc>
          <w:tcPr>
            <w:tcW w:type="dxa" w:w="7536"/>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منتج يُضاف بأسعاره وشرائحه يظهر صحيحاً لتاجر في المنطقة الصحيحة خالل ثوانٍ</w:t>
            </w:r>
          </w:p>
        </w:tc>
        <w:tc>
          <w:tcPr>
            <w:tcW w:type="dxa" w:w="1482"/>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سيناريو عبر نظامين</w:t>
            </w:r>
          </w:p>
        </w:tc>
      </w:tr>
      <w:tr>
        <w:trPr>
          <w:cantSplit/>
          <w:tblHeader w:val="false"/>
        </w:trPr>
        <w:tc>
          <w:tcPr>
            <w:tcW w:type="dxa" w:w="728"/>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3</w:t>
            </w:r>
          </w:p>
        </w:tc>
        <w:tc>
          <w:tcPr>
            <w:tcW w:type="dxa" w:w="7536"/>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عرض شرطي يُطبَّق تلقائياً في سلة التاجر ويُحسب صحيحاً في الفاتورة</w:t>
            </w:r>
          </w:p>
        </w:tc>
        <w:tc>
          <w:tcPr>
            <w:tcW w:type="dxa" w:w="1482"/>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سيناريو</w:t>
            </w:r>
          </w:p>
        </w:tc>
      </w:tr>
      <w:tr>
        <w:trPr>
          <w:cantSplit/>
          <w:tblHeader w:val="false"/>
        </w:trPr>
        <w:tc>
          <w:tcPr>
            <w:tcW w:type="dxa" w:w="728"/>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4</w:t>
            </w:r>
          </w:p>
        </w:tc>
        <w:tc>
          <w:tcPr>
            <w:tcW w:type="dxa" w:w="7536"/>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لا يمكن بأي مسار إظهار اسم القناة قبل التأكيد أو المندوب قبل الانطالق</w:t>
            </w:r>
          </w:p>
        </w:tc>
        <w:tc>
          <w:tcPr>
            <w:tcW w:type="dxa" w:w="1482"/>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فحص استجابة API</w:t>
            </w:r>
          </w:p>
        </w:tc>
      </w:tr>
      <w:tr>
        <w:trPr>
          <w:cantSplit/>
          <w:tblHeader w:val="false"/>
        </w:trPr>
        <w:tc>
          <w:tcPr>
            <w:tcW w:type="dxa" w:w="728"/>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5</w:t>
            </w:r>
          </w:p>
        </w:tc>
        <w:tc>
          <w:tcPr>
            <w:tcW w:type="dxa" w:w="7536"/>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مجموع أرصدة المخزون بعد دورة كاملة = الافتتاحي + الوارد − المسلَّم + المرتجع الصالح</w:t>
            </w:r>
          </w:p>
        </w:tc>
        <w:tc>
          <w:tcPr>
            <w:tcW w:type="dxa" w:w="1482"/>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مطابقة آلية</w:t>
            </w:r>
          </w:p>
        </w:tc>
      </w:tr>
      <w:tr>
        <w:trPr>
          <w:cantSplit/>
          <w:tblHeader w:val="false"/>
        </w:trPr>
        <w:tc>
          <w:tcPr>
            <w:tcW w:type="dxa" w:w="728"/>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6</w:t>
            </w:r>
          </w:p>
        </w:tc>
        <w:tc>
          <w:tcPr>
            <w:tcW w:type="dxa" w:w="7536"/>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كشف حساب أي تاجر يطابق فواتيره ودفعاته ومرتجعاته في أي لحظة</w:t>
            </w:r>
          </w:p>
        </w:tc>
        <w:tc>
          <w:tcPr>
            <w:tcW w:type="dxa" w:w="1482"/>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مطابقة آلية</w:t>
            </w:r>
          </w:p>
        </w:tc>
      </w:tr>
      <w:tr>
        <w:trPr>
          <w:cantSplit/>
          <w:tblHeader w:val="false"/>
        </w:trPr>
        <w:tc>
          <w:tcPr>
            <w:tcW w:type="dxa" w:w="728"/>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7</w:t>
            </w:r>
          </w:p>
        </w:tc>
        <w:tc>
          <w:tcPr>
            <w:tcW w:type="dxa" w:w="7536"/>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رصيد محفظة أي مندوب = التحصيلات − التسليمات للمحاسب</w:t>
            </w:r>
          </w:p>
        </w:tc>
        <w:tc>
          <w:tcPr>
            <w:tcW w:type="dxa" w:w="1482"/>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مطابقة آلية</w:t>
            </w:r>
          </w:p>
        </w:tc>
      </w:tr>
      <w:tr>
        <w:trPr>
          <w:cantSplit/>
          <w:tblHeader w:val="false"/>
        </w:trPr>
        <w:tc>
          <w:tcPr>
            <w:tcW w:type="dxa" w:w="728"/>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8</w:t>
            </w:r>
          </w:p>
        </w:tc>
        <w:tc>
          <w:tcPr>
            <w:tcW w:type="dxa" w:w="7536"/>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مستخدم بدور محدود يفتح رابطاً بلا صلاحية فيرى 403 واضحة، والقسم غير ظاهر في قائمته</w:t>
            </w:r>
          </w:p>
        </w:tc>
        <w:tc>
          <w:tcPr>
            <w:tcW w:type="dxa" w:w="1482"/>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اختبار صلاحيات آلي في CI</w:t>
            </w:r>
          </w:p>
        </w:tc>
      </w:tr>
      <w:tr>
        <w:trPr>
          <w:cantSplit/>
          <w:tblHeader w:val="false"/>
        </w:trPr>
        <w:tc>
          <w:tcPr>
            <w:tcW w:type="dxa" w:w="728"/>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9</w:t>
            </w:r>
          </w:p>
        </w:tc>
        <w:tc>
          <w:tcPr>
            <w:tcW w:type="dxa" w:w="7536"/>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محاولة حفظ دور يجمع صلاحيتين متعارضتين تُرفض مع بيان القاعدة</w:t>
            </w:r>
          </w:p>
        </w:tc>
        <w:tc>
          <w:tcPr>
            <w:tcW w:type="dxa" w:w="1482"/>
            <w:tcBorders>
              <w:top w:val="single" w:color="C9D2DE" w:sz="4"/>
              <w:left w:val="single" w:color="C9D2DE" w:sz="4"/>
              <w:bottom w:val="single" w:color="C9D2DE" w:sz="4"/>
              <w:right w:val="single" w:color="C9D2DE" w:sz="4"/>
            </w:tcBorders>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اختبار لكل قاعدة SOD</w:t>
            </w:r>
          </w:p>
        </w:tc>
      </w:tr>
      <w:tr>
        <w:trPr>
          <w:cantSplit/>
          <w:tblHeader w:val="false"/>
        </w:trPr>
        <w:tc>
          <w:tcPr>
            <w:tcW w:type="dxa" w:w="728"/>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10</w:t>
            </w:r>
          </w:p>
        </w:tc>
        <w:tc>
          <w:tcPr>
            <w:tcW w:type="dxa" w:w="7536"/>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زمن استجابة أقل من ثانية للشاشات التشغيلية اليومية</w:t>
            </w:r>
          </w:p>
        </w:tc>
        <w:tc>
          <w:tcPr>
            <w:tcW w:type="dxa" w:w="1482"/>
            <w:tcBorders>
              <w:top w:val="single" w:color="C9D2DE" w:sz="4"/>
              <w:left w:val="single" w:color="C9D2DE" w:sz="4"/>
              <w:bottom w:val="single" w:color="C9D2DE" w:sz="4"/>
              <w:right w:val="single" w:color="C9D2DE" w:sz="4"/>
            </w:tcBorders>
            <w:shd w:fill="F2F5F9" w:val="clear"/>
            <w:tcMar>
              <w:top w:type="dxa" w:w="50"/>
              <w:left w:type="dxa" w:w="100"/>
              <w:bottom w:type="dxa" w:w="50"/>
              <w:right w:type="dxa" w:w="100"/>
            </w:tcMar>
            <w:vAlign w:val="center"/>
          </w:tcPr>
          <w:p>
            <w:pPr>
              <w:bidi/>
              <w:spacing w:after="20" w:before="20" w:line="260"/>
              <w:jc w:val="right"/>
            </w:pPr>
            <w:r>
              <w:rPr>
                <w:rFonts w:ascii="Arial" w:cs="Arial" w:eastAsia="Arial" w:hAnsi="Arial"/>
                <w:b w:val="false"/>
                <w:bCs w:val="false"/>
                <w:color w:val="1A1A1A"/>
                <w:sz w:val="18"/>
                <w:szCs w:val="18"/>
                <w:rtl/>
              </w:rPr>
              <w:t xml:space="preserve">k6</w:t>
            </w:r>
          </w:p>
        </w:tc>
      </w:tr>
    </w:tbl>
    <w:p>
      <w:pPr>
        <w:spacing w:after="160"/>
      </w:pPr>
    </w:p>
    <w:sectPr>
      <w:headerReference w:type="default" r:id="rId7"/>
      <w:headerReference w:type="first" r:id="rId8"/>
      <w:footerReference w:type="default" r:id="rId9"/>
      <w:footerReference w:type="first" r:id="rId10"/>
      <w:pgSz w:w="11906" w:h="16838" w:orient="portrait"/>
      <w:pgMar w:top="1134" w:right="1080" w:bottom="1134"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DE" w:sz="4"/>
      </w:pBdr>
      <w:bidi/>
      <w:spacing w:before="40"/>
      <w:jc w:val="center"/>
    </w:pPr>
    <w:r>
      <w:rPr>
        <w:rFonts w:ascii="Arial" w:cs="Arial" w:eastAsia="Arial" w:hAnsi="Arial"/>
        <w:color w:val="6B7280"/>
        <w:sz w:val="16"/>
        <w:szCs w:val="16"/>
        <w:rtl/>
      </w:rPr>
      <w:t xml:space="preserve">DOC-12C  |  صفحة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tl/>
      </w:rPr>
      <w:t xml:space="preserve"> من </w:t>
    </w:r>
    <w:r>
      <w:rPr>
        <w:rFonts w:ascii="Arial" w:cs="Arial" w:eastAsia="Arial" w:hAnsi="Arial"/>
        <w:color w:val="6B7280"/>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E" w:sz="4"/>
      </w:pBdr>
      <w:bidi/>
      <w:spacing w:after="40"/>
      <w:jc w:val="right"/>
    </w:pPr>
    <w:r>
      <w:rPr>
        <w:rFonts w:ascii="Arial" w:cs="Arial" w:eastAsia="Arial" w:hAnsi="Arial"/>
        <w:color w:val="6B7280"/>
        <w:sz w:val="16"/>
        <w:szCs w:val="16"/>
        <w:rtl/>
      </w:rPr>
      <w:t xml:space="preserve">منصة التوزيع B2B — السوق السوري  —  لوحة قناة التوريد — مهام الفريقين</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400" w:hanging="220"/>
      </w:pPr>
    </w:lvl>
  </w:abstractNum>
  <w:abstractNum w:abstractNumId="3" w15:restartNumberingAfterBreak="0">
    <w:multiLevelType w:val="hybridMultilevel"/>
    <w:lvl w:ilvl="0" w15:tentative="1">
      <w:start w:val="1"/>
      <w:numFmt w:val="decimal"/>
      <w:lvlText w:val="%1."/>
      <w:lvlJc w:val="right"/>
      <w:pPr>
        <w:ind w:right="4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لوحة قناة التوريد — مهام الفريقين</dc:title>
  <dc:creator>إدارة المشروع</dc:creator>
  <dc:description>DOC-12C</dc:description>
  <cp:lastModifiedBy>Un-named</cp:lastModifiedBy>
  <cp:revision>1</cp:revision>
  <dcterms:created xsi:type="dcterms:W3CDTF">2026-08-29T16:06:53.790Z</dcterms:created>
  <dcterms:modified xsi:type="dcterms:W3CDTF">2026-08-29T16:06:53.790Z</dcterms:modified>
</cp:coreProperties>
</file>

<file path=docProps/custom.xml><?xml version="1.0" encoding="utf-8"?>
<Properties xmlns="http://schemas.openxmlformats.org/officeDocument/2006/custom-properties" xmlns:vt="http://schemas.openxmlformats.org/officeDocument/2006/docPropsVTypes"/>
</file>