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3C5E"/>
          <w:sz w:val="46"/>
          <w:szCs w:val="46"/>
        </w:rPr>
        <w:t xml:space="preserve">A DETERMINISTIC ABSOLUTE SOLUTION FOR</w:t>
      </w:r>
    </w:p>
    <w:p>
      <w:pPr>
        <w:spacing w:after="60"/>
        <w:jc w:val="center"/>
      </w:pPr>
      <w:r>
        <w:rPr>
          <w:rFonts w:ascii="Arial" w:cs="Arial" w:eastAsia="Arial" w:hAnsi="Arial"/>
          <w:b/>
          <w:bCs/>
          <w:color w:val="1A3C5E"/>
          <w:sz w:val="46"/>
          <w:szCs w:val="46"/>
        </w:rPr>
        <w:t xml:space="preserve">GUT-BRAIN IMMUNE-INFLAMMATORY SIGNALING</w:t>
      </w:r>
    </w:p>
    <w:p>
      <w:pPr>
        <w:spacing w:after="60"/>
        <w:jc w:val="center"/>
      </w:pPr>
      <w:r>
        <w:rPr>
          <w:rFonts w:ascii="Arial" w:cs="Arial" w:eastAsia="Arial" w:hAnsi="Arial"/>
          <w:b/>
          <w:bCs/>
          <w:color w:val="1A3C5E"/>
          <w:sz w:val="46"/>
          <w:szCs w:val="46"/>
        </w:rPr>
        <w:t xml:space="preserve">AND COGNITIVE DECLINE</w:t>
      </w:r>
    </w:p>
    <w:p>
      <w:pPr>
        <w:spacing w:after="80"/>
        <w:jc w:val="center"/>
      </w:pPr>
      <w:r>
        <w:rPr>
          <w:rFonts w:ascii="Arial" w:cs="Arial" w:eastAsia="Arial" w:hAnsi="Arial"/>
          <w:i/>
          <w:iCs/>
          <w:color w:val="2E6096"/>
          <w:sz w:val="24"/>
          <w:szCs w:val="24"/>
        </w:rPr>
        <w:t xml:space="preserve">Applying the SDKP Framework to the TLR4/MyD88/NF-κB/NLRP3 Neuroinflammatory Cascade</w:t>
      </w:r>
    </w:p>
    <w:p>
      <w:pPr>
        <w:spacing w:after="200"/>
        <w:jc w:val="center"/>
      </w:pPr>
      <w:r>
        <w:rPr>
          <w:rFonts w:ascii="Arial" w:cs="Arial" w:eastAsia="Arial" w:hAnsi="Arial"/>
          <w:color w:val="555555"/>
          <w:sz w:val="20"/>
          <w:szCs w:val="20"/>
        </w:rPr>
        <w:t xml:space="preserve">Donald Paul Smith (Father Time)  |  Independent Researcher  |  Gainesville, Florida, USA  |  May 2026</w:t>
      </w:r>
    </w:p>
    <w:p>
      <w:pPr>
        <w:pBdr>
          <w:bottom w:val="single" w:color="1A3C5E" w:sz="6" w:space="1"/>
        </w:pBd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2026 Global Grants for Gut Health — nature.com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Focus Area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Gut microbiome – nervous system interaction; immune-inflammatory pathway; cognitive decline</w:t>
            </w:r>
          </w:p>
        </w:tc>
      </w:tr>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Pathway Target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TLR4/MyD88/NF-κB/NLRP3 inflammasome cascade → neuroinflammation → Alzheimer’s pathology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Framework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SDKP (Size × Density × Kinetics × Position)  |  DOI: 10.5281/zenodo.14850016</w:t>
            </w:r>
          </w:p>
        </w:tc>
      </w:tr>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Requested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US$100,000  |  24-month project</w:t>
            </w:r>
          </w:p>
        </w:tc>
      </w:tr>
    </w:tbl>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1. Executive Summary</w:t>
      </w:r>
    </w:p>
    <w:p>
      <w:pPr>
        <w:spacing w:after="130"/>
      </w:pPr>
      <w:r>
        <w:rPr>
          <w:rFonts w:ascii="Arial" w:cs="Arial" w:eastAsia="Arial" w:hAnsi="Arial"/>
          <w:sz w:val="22"/>
          <w:szCs w:val="22"/>
        </w:rPr>
        <w:t xml:space="preserve">The gut-brain immune-inflammatory axis is now recognized as a primary — not secondary — driver of cognitive decline and Alzheimer’s disease. Despite two decades of research mapping correlations between gut dysbiosis and neurodegeneration, the field lacks a deterministic mathematical framework that can predict, with precision, at what microbial population states the inflammatory cascade becomes self-sustaining and neurologically irreversible.</w:t>
      </w:r>
    </w:p>
    <w:p>
      <w:pPr>
        <w:spacing w:after="130"/>
      </w:pPr>
      <w:r>
        <w:rPr>
          <w:rFonts w:ascii="Arial" w:cs="Arial" w:eastAsia="Arial" w:hAnsi="Arial"/>
          <w:sz w:val="22"/>
          <w:szCs w:val="22"/>
        </w:rPr>
        <w:t xml:space="preserve">This proposal applies the SDKP (Size × Density × Kinetics × Position) framework — developed by Donald Paul Smith and archived at DOI 10.5281/zenodo.14850016 — to build the first deterministic absolute solution set for the following complete biological chain: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1"/>
                <w:szCs w:val="21"/>
              </w:rPr>
              <w:t xml:space="preserve">THE COMPLETE PATHOLOGICAL CHAIN THIS PROPOSAL ADDRESSES</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0"/>
            </w:pPr>
            <w:r>
              <w:rPr>
                <w:rFonts w:ascii="Arial" w:cs="Arial" w:eastAsia="Arial" w:hAnsi="Arial"/>
                <w:i/>
                <w:iCs/>
                <w:sz w:val="21"/>
                <w:szCs w:val="21"/>
              </w:rPr>
              <w:t xml:space="preserve">Gut Dysbiosis → Zonulin Release → Tight Junction Breakdown (ZO-1, Occludin, Claudin-1/4/5/8) → LPS Translocation (Metabolic Endotoxemia) → LBP-CD14-MD2-TLR4 Complex → MyD88 Activation → NF-κB Nuclear Translocation + NLRP3 Inflammasome Assembly → Caspase-1 / ASC-dependent IL-1β, TNF-α, IL-6 Production → Blood-Brain Barrier Penetration → Microglial M1 Polarization → GSK-3β Activation → Tau Hyperphosphorylation + Aβ Plaque Formation → Cognitive Decline</w:t>
            </w:r>
          </w:p>
        </w:tc>
      </w:tr>
    </w:tbl>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2. Background: The Full Biological Mechanism</w:t>
      </w:r>
    </w:p>
    <w:p>
      <w:pPr>
        <w:pStyle w:val="Heading2"/>
        <w:spacing w:after="100" w:before="220"/>
      </w:pPr>
      <w:r>
        <w:rPr>
          <w:rFonts w:ascii="Arial" w:cs="Arial" w:eastAsia="Arial" w:hAnsi="Arial"/>
          <w:b/>
          <w:bCs/>
          <w:color w:val="2E6096"/>
          <w:sz w:val="24"/>
          <w:szCs w:val="24"/>
        </w:rPr>
        <w:t xml:space="preserve">2.1  Stage 1 — Gut Dysbiosis: The Starting Condition</w:t>
      </w:r>
    </w:p>
    <w:p>
      <w:pPr>
        <w:spacing w:after="130"/>
      </w:pPr>
      <w:r>
        <w:rPr>
          <w:rFonts w:ascii="Arial" w:cs="Arial" w:eastAsia="Arial" w:hAnsi="Arial"/>
          <w:sz w:val="22"/>
          <w:szCs w:val="22"/>
        </w:rPr>
        <w:t xml:space="preserve">The cascade begins with a measurable shift in microbial community composition called gut dysbiosis. In patients with cognitive decline and Alzheimer’s disease, the following phylum-level changes are consistently documented: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Phylum / Species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Direction in AD</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Functional Consequence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Firmicutes (incl. Faecalibacterium prausnitzii, Lachnospiraceae, Ruminococcaceae)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Decreases (76% → 59%)</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Loss of SCFA production; reduced butyrate, propionate, acetate; barrier integrity impaired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Bacteroidota (formerly Bacteroidetes)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Decreases (17% → 11%)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Loss of anti-inflammatory metabolite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Bifidobacterium / Lactobacillus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Decreases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Reduced GLP-2 production → impaired intestinal barrier function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Proteobacteria (Escherichia-Shigella, Klebsiella, Desulfovibrio)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Increases (&lt;2% → 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Gram-negative bacteria — primary source of LPS endotoxin entering circulation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Verrucomicrobiota / Ruminococcus gnavus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Increases (3% → 11%)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Mucus-degrading species; degrades the mucosal protective layer accelerating barrier breakdown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Akkermansia muciniphila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Dysregulated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lost: barrier integrity collapses; when increased abnormally: paradoxical endotoxemia risk</w:t>
            </w:r>
          </w:p>
        </w:tc>
      </w:tr>
    </w:tbl>
    <w:p>
      <w:pPr>
        <w:spacing w:after="100"/>
      </w:pPr>
      <w:r>
        <w:t xml:space="preserve"/>
      </w:r>
    </w:p>
    <w:p>
      <w:pPr>
        <w:spacing w:after="130"/>
      </w:pPr>
      <w:r>
        <w:rPr>
          <w:rFonts w:ascii="Arial" w:cs="Arial" w:eastAsia="Arial" w:hAnsi="Arial"/>
          <w:b/>
          <w:bCs/>
          <w:sz w:val="22"/>
          <w:szCs w:val="22"/>
        </w:rPr>
        <w:t xml:space="preserve">Key quantitative marker:</w:t>
      </w:r>
      <w:r>
        <w:rPr>
          <w:rFonts w:ascii="Arial" w:cs="Arial" w:eastAsia="Arial" w:hAnsi="Arial"/>
          <w:sz w:val="22"/>
          <w:szCs w:val="22"/>
        </w:rPr>
        <w:t xml:space="preserve"> The Firmicutes/Bacteroidota ratio is a primary measurable index. A decreased ratio directly predicts the magnitude of subsequent LPS translocation. This ratio is the SDKP Size-Density input variable for the deterministic model.</w:t>
      </w:r>
    </w:p>
    <w:p>
      <w:pPr>
        <w:spacing w:after="100"/>
      </w:pPr>
      <w:r>
        <w:t xml:space="preserve"/>
      </w:r>
    </w:p>
    <w:p>
      <w:pPr>
        <w:pStyle w:val="Heading2"/>
        <w:spacing w:after="100" w:before="220"/>
      </w:pPr>
      <w:r>
        <w:rPr>
          <w:rFonts w:ascii="Arial" w:cs="Arial" w:eastAsia="Arial" w:hAnsi="Arial"/>
          <w:b/>
          <w:bCs/>
          <w:color w:val="2E6096"/>
          <w:sz w:val="24"/>
          <w:szCs w:val="24"/>
        </w:rPr>
        <w:t xml:space="preserve">2.2  Stage 2 — Intestinal Barrier Breakdown: The Gate Opens</w:t>
      </w:r>
    </w:p>
    <w:p>
      <w:pPr>
        <w:spacing w:after="130"/>
      </w:pPr>
      <w:r>
        <w:rPr>
          <w:rFonts w:ascii="Arial" w:cs="Arial" w:eastAsia="Arial" w:hAnsi="Arial"/>
          <w:sz w:val="22"/>
          <w:szCs w:val="22"/>
        </w:rPr>
        <w:t xml:space="preserve">The intestinal epithelium is protected by a network of tight junction proteins. In dysbiosis, the following cascade destroys them in sequence:</w:t>
      </w:r>
    </w:p>
    <w:p>
      <w:pPr>
        <w:spacing w:after="100"/>
      </w:pPr>
      <w:r>
        <w:t xml:space="preserve"/>
      </w:r>
    </w:p>
    <w:p>
      <w:pPr>
        <w:spacing w:after="80" w:before="160"/>
      </w:pPr>
      <w:r>
        <w:rPr>
          <w:rFonts w:ascii="Arial" w:cs="Arial" w:eastAsia="Arial" w:hAnsi="Arial"/>
          <w:b/>
          <w:bCs/>
          <w:color w:val="2E6096"/>
          <w:sz w:val="22"/>
          <w:szCs w:val="22"/>
        </w:rPr>
        <w:t xml:space="preserve">Step 2a — Zonulin Trigger</w:t>
      </w:r>
    </w:p>
    <w:p>
      <w:pPr>
        <w:spacing w:after="130"/>
      </w:pPr>
      <w:r>
        <w:rPr>
          <w:rFonts w:ascii="Arial" w:cs="Arial" w:eastAsia="Arial" w:hAnsi="Arial"/>
          <w:sz w:val="22"/>
          <w:szCs w:val="22"/>
        </w:rPr>
        <w:t xml:space="preserve">Dysbiotic bacteria trigger release of Zonulin, an endogenous protein that is the primary regulator of intestinal permeability. Zonulin activates Proteinase-Activated Receptor 2 (PAR2) on intestinal epithelial cells, which transactivates the EGF Receptor (EGFR), leading to direct disassembly of tight junction complexes.</w:t>
      </w:r>
    </w:p>
    <w:p>
      <w:pPr>
        <w:spacing w:after="100"/>
      </w:pPr>
      <w:r>
        <w:t xml:space="preserve"/>
      </w:r>
    </w:p>
    <w:p>
      <w:pPr>
        <w:spacing w:after="80" w:before="160"/>
      </w:pPr>
      <w:r>
        <w:rPr>
          <w:rFonts w:ascii="Arial" w:cs="Arial" w:eastAsia="Arial" w:hAnsi="Arial"/>
          <w:b/>
          <w:bCs/>
          <w:color w:val="2E6096"/>
          <w:sz w:val="22"/>
          <w:szCs w:val="22"/>
        </w:rPr>
        <w:t xml:space="preserve">Step 2b — Tight Junction Protein Failure</w:t>
      </w:r>
    </w:p>
    <w:p>
      <w:pPr>
        <w:spacing w:after="130"/>
      </w:pPr>
      <w:r>
        <w:rPr>
          <w:rFonts w:ascii="Arial" w:cs="Arial" w:eastAsia="Arial" w:hAnsi="Arial"/>
          <w:sz w:val="22"/>
          <w:szCs w:val="22"/>
        </w:rPr>
        <w:t xml:space="preserve">The following structural proteins degrade, in order of documented failure:</w:t>
      </w:r>
    </w:p>
    <w:p>
      <w:pPr>
        <w:pStyle w:val="ListParagraph"/>
        <w:numPr>
          <w:ilvl w:val="0"/>
          <w:numId w:val="2"/>
        </w:numPr>
        <w:spacing w:after="80"/>
      </w:pPr>
      <w:r>
        <w:rPr>
          <w:rFonts w:ascii="Arial" w:cs="Arial" w:eastAsia="Arial" w:hAnsi="Arial"/>
          <w:b w:val="false"/>
          <w:bCs w:val="false"/>
          <w:sz w:val="21"/>
          <w:szCs w:val="21"/>
        </w:rPr>
        <w:t xml:space="preserve">ZO-1 (Zonula Occludens-1) — scaffolding protein anchoring tight junctions to the actin cytoskeleton; its loss initiates the paracellular leak</w:t>
      </w:r>
    </w:p>
    <w:p>
      <w:pPr>
        <w:pStyle w:val="ListParagraph"/>
        <w:numPr>
          <w:ilvl w:val="0"/>
          <w:numId w:val="2"/>
        </w:numPr>
        <w:spacing w:after="80"/>
      </w:pPr>
      <w:r>
        <w:rPr>
          <w:rFonts w:ascii="Arial" w:cs="Arial" w:eastAsia="Arial" w:hAnsi="Arial"/>
          <w:b w:val="false"/>
          <w:bCs w:val="false"/>
          <w:sz w:val="21"/>
          <w:szCs w:val="21"/>
        </w:rPr>
        <w:t xml:space="preserve">Occludin — transmembrane sealing protein; reduced expression directly correlates with increased LPS translocation rate</w:t>
      </w:r>
    </w:p>
    <w:p>
      <w:pPr>
        <w:pStyle w:val="ListParagraph"/>
        <w:numPr>
          <w:ilvl w:val="0"/>
          <w:numId w:val="2"/>
        </w:numPr>
        <w:spacing w:after="80"/>
      </w:pPr>
      <w:r>
        <w:rPr>
          <w:rFonts w:ascii="Arial" w:cs="Arial" w:eastAsia="Arial" w:hAnsi="Arial"/>
          <w:b w:val="false"/>
          <w:bCs w:val="false"/>
          <w:sz w:val="21"/>
          <w:szCs w:val="21"/>
        </w:rPr>
        <w:t xml:space="preserve">Claudin-1, Claudin-4 — primary barrier claudins; downregulated</w:t>
      </w:r>
    </w:p>
    <w:p>
      <w:pPr>
        <w:pStyle w:val="ListParagraph"/>
        <w:numPr>
          <w:ilvl w:val="0"/>
          <w:numId w:val="2"/>
        </w:numPr>
        <w:spacing w:after="80"/>
      </w:pPr>
      <w:r>
        <w:rPr>
          <w:rFonts w:ascii="Arial" w:cs="Arial" w:eastAsia="Arial" w:hAnsi="Arial"/>
          <w:b w:val="false"/>
          <w:bCs w:val="false"/>
          <w:sz w:val="21"/>
          <w:szCs w:val="21"/>
        </w:rPr>
        <w:t xml:space="preserve">Claudin-2 — paradoxically upregulated in dysbiosis, creating a pore-forming channel that accelerates paracellular flow</w:t>
      </w:r>
    </w:p>
    <w:p>
      <w:pPr>
        <w:pStyle w:val="ListParagraph"/>
        <w:numPr>
          <w:ilvl w:val="0"/>
          <w:numId w:val="2"/>
        </w:numPr>
        <w:spacing w:after="80"/>
      </w:pPr>
      <w:r>
        <w:rPr>
          <w:rFonts w:ascii="Arial" w:cs="Arial" w:eastAsia="Arial" w:hAnsi="Arial"/>
          <w:b w:val="false"/>
          <w:bCs w:val="false"/>
          <w:sz w:val="21"/>
          <w:szCs w:val="21"/>
        </w:rPr>
        <w:t xml:space="preserve">Claudin-5, Claudin-8 — impaired expression in Crohn’s disease and dysbiosis-associated pathologies</w:t>
      </w:r>
    </w:p>
    <w:p>
      <w:pPr>
        <w:pStyle w:val="ListParagraph"/>
        <w:numPr>
          <w:ilvl w:val="0"/>
          <w:numId w:val="2"/>
        </w:numPr>
        <w:spacing w:after="80"/>
      </w:pPr>
      <w:r>
        <w:rPr>
          <w:rFonts w:ascii="Arial" w:cs="Arial" w:eastAsia="Arial" w:hAnsi="Arial"/>
          <w:b w:val="false"/>
          <w:bCs w:val="false"/>
          <w:sz w:val="21"/>
          <w:szCs w:val="21"/>
        </w:rPr>
        <w:t xml:space="preserve">JAM (Junctional Adhesion Molecule) — loses coherence, enabling bacterial component translocation</w:t>
      </w:r>
    </w:p>
    <w:p>
      <w:pPr>
        <w:pStyle w:val="ListParagraph"/>
        <w:numPr>
          <w:ilvl w:val="0"/>
          <w:numId w:val="2"/>
        </w:numPr>
        <w:spacing w:after="80"/>
      </w:pPr>
      <w:r>
        <w:rPr>
          <w:rFonts w:ascii="Arial" w:cs="Arial" w:eastAsia="Arial" w:hAnsi="Arial"/>
          <w:b w:val="false"/>
          <w:bCs w:val="false"/>
          <w:sz w:val="21"/>
          <w:szCs w:val="21"/>
        </w:rPr>
        <w:t xml:space="preserve">E-cadherin and beta-catenin — disrupted, compromising epithelial structural integrity</w:t>
      </w:r>
    </w:p>
    <w:p>
      <w:pPr>
        <w:spacing w:after="100"/>
      </w:pPr>
      <w:r>
        <w:t xml:space="preserve"/>
      </w:r>
    </w:p>
    <w:p>
      <w:pPr>
        <w:spacing w:after="80" w:before="160"/>
      </w:pPr>
      <w:r>
        <w:rPr>
          <w:rFonts w:ascii="Arial" w:cs="Arial" w:eastAsia="Arial" w:hAnsi="Arial"/>
          <w:b/>
          <w:bCs/>
          <w:color w:val="2E6096"/>
          <w:sz w:val="22"/>
          <w:szCs w:val="22"/>
        </w:rPr>
        <w:t xml:space="preserve">Step 2c — PAMP Invasion</w:t>
      </w:r>
    </w:p>
    <w:p>
      <w:pPr>
        <w:spacing w:after="130"/>
      </w:pPr>
      <w:r>
        <w:rPr>
          <w:rFonts w:ascii="Arial" w:cs="Arial" w:eastAsia="Arial" w:hAnsi="Arial"/>
          <w:sz w:val="22"/>
          <w:szCs w:val="22"/>
        </w:rPr>
        <w:t xml:space="preserve">With the tight junction barrier compromised, Pathogen-Associated Molecular Patterns (PAMPs) — including LPS (lipopolysaccharide) and peptidoglycan — translocate from the gut lumen into systemic circulation. This is the decisive event that connects dysbiosis to systemic inflammation.</w:t>
      </w:r>
    </w:p>
    <w:p>
      <w:pPr>
        <w:spacing w:after="100"/>
      </w:pPr>
      <w:r>
        <w:t xml:space="preserve"/>
      </w:r>
    </w:p>
    <w:p>
      <w:pPr>
        <w:pStyle w:val="Heading2"/>
        <w:spacing w:after="100" w:before="220"/>
      </w:pPr>
      <w:r>
        <w:rPr>
          <w:rFonts w:ascii="Arial" w:cs="Arial" w:eastAsia="Arial" w:hAnsi="Arial"/>
          <w:b/>
          <w:bCs/>
          <w:color w:val="2E6096"/>
          <w:sz w:val="24"/>
          <w:szCs w:val="24"/>
        </w:rPr>
        <w:t xml:space="preserve">2.3  Stage 3 — LPS Translocation and Metabolic Endotoxemia</w:t>
      </w:r>
    </w:p>
    <w:p>
      <w:pPr>
        <w:spacing w:after="130"/>
      </w:pPr>
      <w:r>
        <w:rPr>
          <w:rFonts w:ascii="Arial" w:cs="Arial" w:eastAsia="Arial" w:hAnsi="Arial"/>
          <w:sz w:val="22"/>
          <w:szCs w:val="22"/>
        </w:rPr>
        <w:t xml:space="preserve">LPS is a structural component of the outer membrane of all Gram-negative bacteria. Its translocation across the broken barrier into portal and systemic circulation is termed Metabolic Endotoxemia — low-grade, chronic, systemic LPS presence that drives persistent inflammation.</w:t>
      </w:r>
    </w:p>
    <w:p>
      <w:pPr>
        <w:spacing w:after="100"/>
      </w:pPr>
      <w:r>
        <w:t xml:space="preserve"/>
      </w:r>
    </w:p>
    <w:p>
      <w:pPr>
        <w:spacing w:after="80" w:before="160"/>
      </w:pPr>
      <w:r>
        <w:rPr>
          <w:rFonts w:ascii="Arial" w:cs="Arial" w:eastAsia="Arial" w:hAnsi="Arial"/>
          <w:b/>
          <w:bCs/>
          <w:color w:val="2E6096"/>
          <w:sz w:val="22"/>
          <w:szCs w:val="22"/>
        </w:rPr>
        <w:t xml:space="preserve">The LPS Recognition Cascade — Exact Molecular Steps:</w:t>
      </w:r>
    </w:p>
    <w:p>
      <w:pPr>
        <w:pStyle w:val="ListParagraph"/>
        <w:numPr>
          <w:ilvl w:val="0"/>
          <w:numId w:val="3"/>
        </w:numPr>
        <w:spacing w:after="100"/>
      </w:pPr>
      <w:r>
        <w:rPr>
          <w:rFonts w:ascii="Arial" w:cs="Arial" w:eastAsia="Arial" w:hAnsi="Arial"/>
          <w:sz w:val="22"/>
          <w:szCs w:val="22"/>
        </w:rPr>
        <w:t xml:space="preserve">LPS enters systemic circulation and immediately binds to LPS-Binding Protein (LBP), a circulating acute-phase protein produced by the liver</w:t>
      </w:r>
    </w:p>
    <w:p>
      <w:pPr>
        <w:pStyle w:val="ListParagraph"/>
        <w:numPr>
          <w:ilvl w:val="0"/>
          <w:numId w:val="3"/>
        </w:numPr>
        <w:spacing w:after="100"/>
      </w:pPr>
      <w:r>
        <w:rPr>
          <w:rFonts w:ascii="Arial" w:cs="Arial" w:eastAsia="Arial" w:hAnsi="Arial"/>
          <w:sz w:val="22"/>
          <w:szCs w:val="22"/>
        </w:rPr>
        <w:t xml:space="preserve">LBP transfers LPS to CD14, which exists in two forms: membrane-bound mCD14 (on monocytes, macrophages, dendritic cells) and soluble sCD14 (in plasma)</w:t>
      </w:r>
    </w:p>
    <w:p>
      <w:pPr>
        <w:pStyle w:val="ListParagraph"/>
        <w:numPr>
          <w:ilvl w:val="0"/>
          <w:numId w:val="3"/>
        </w:numPr>
        <w:spacing w:after="100"/>
      </w:pPr>
      <w:r>
        <w:rPr>
          <w:rFonts w:ascii="Arial" w:cs="Arial" w:eastAsia="Arial" w:hAnsi="Arial"/>
          <w:sz w:val="22"/>
          <w:szCs w:val="22"/>
        </w:rPr>
        <w:t xml:space="preserve">CD14 presents LPS to MD-2 (Myeloid Differentiation factor-2), a co-receptor that stabilizes LPS binding</w:t>
      </w:r>
    </w:p>
    <w:p>
      <w:pPr>
        <w:pStyle w:val="ListParagraph"/>
        <w:numPr>
          <w:ilvl w:val="0"/>
          <w:numId w:val="3"/>
        </w:numPr>
        <w:spacing w:after="100"/>
      </w:pPr>
      <w:r>
        <w:rPr>
          <w:rFonts w:ascii="Arial" w:cs="Arial" w:eastAsia="Arial" w:hAnsi="Arial"/>
          <w:sz w:val="22"/>
          <w:szCs w:val="22"/>
        </w:rPr>
        <w:t xml:space="preserve">The complete CD14/MD-2/LPS complex binds to TLR4 (Toll-Like Receptor 4), causing TLR4 homodimerization — this is the activation event</w:t>
      </w:r>
    </w:p>
    <w:p>
      <w:pPr>
        <w:pStyle w:val="ListParagraph"/>
        <w:numPr>
          <w:ilvl w:val="0"/>
          <w:numId w:val="3"/>
        </w:numPr>
        <w:spacing w:after="100"/>
      </w:pPr>
      <w:r>
        <w:rPr>
          <w:rFonts w:ascii="Arial" w:cs="Arial" w:eastAsia="Arial" w:hAnsi="Arial"/>
          <w:sz w:val="22"/>
          <w:szCs w:val="22"/>
        </w:rPr>
        <w:t xml:space="preserve">TLR4 homodimerization initiates the intracellular signaling cascade</w:t>
      </w:r>
    </w:p>
    <w:p>
      <w:pPr>
        <w:spacing w:after="100"/>
      </w:pPr>
      <w:r>
        <w:t xml:space="preserve"/>
      </w:r>
    </w:p>
    <w:p>
      <w:pPr>
        <w:pStyle w:val="Heading2"/>
        <w:spacing w:after="100" w:before="220"/>
      </w:pPr>
      <w:r>
        <w:rPr>
          <w:rFonts w:ascii="Arial" w:cs="Arial" w:eastAsia="Arial" w:hAnsi="Arial"/>
          <w:b/>
          <w:bCs/>
          <w:color w:val="2E6096"/>
          <w:sz w:val="24"/>
          <w:szCs w:val="24"/>
        </w:rPr>
        <w:t xml:space="preserve">2.4  Stage 4 — The Two Intracellular Signaling Pathways</w:t>
      </w:r>
    </w:p>
    <w:p>
      <w:pPr>
        <w:spacing w:after="130"/>
      </w:pPr>
      <w:r>
        <w:rPr>
          <w:rFonts w:ascii="Arial" w:cs="Arial" w:eastAsia="Arial" w:hAnsi="Arial"/>
          <w:sz w:val="22"/>
          <w:szCs w:val="22"/>
        </w:rPr>
        <w:t xml:space="preserve">TLR4 activation triggers two parallel, interconnected pathways that together produce the full pro-inflammatory cytokine response:</w:t>
      </w:r>
    </w:p>
    <w:p>
      <w:pPr>
        <w:spacing w:after="100"/>
      </w:pPr>
      <w:r>
        <w:t xml:space="preserve"/>
      </w:r>
    </w:p>
    <w:p>
      <w:pPr>
        <w:spacing w:after="80" w:before="160"/>
      </w:pPr>
      <w:r>
        <w:rPr>
          <w:rFonts w:ascii="Arial" w:cs="Arial" w:eastAsia="Arial" w:hAnsi="Arial"/>
          <w:b/>
          <w:bCs/>
          <w:color w:val="2E6096"/>
          <w:sz w:val="22"/>
          <w:szCs w:val="22"/>
        </w:rPr>
        <w:t xml:space="preserve">Pathway A: MyD88/NF-κB (Rapid Pro-Inflammatory Response)</w:t>
      </w:r>
    </w:p>
    <w:p>
      <w:pPr>
        <w:pStyle w:val="ListParagraph"/>
        <w:numPr>
          <w:ilvl w:val="0"/>
          <w:numId w:val="3"/>
        </w:numPr>
        <w:spacing w:after="100"/>
      </w:pPr>
      <w:r>
        <w:rPr>
          <w:rFonts w:ascii="Arial" w:cs="Arial" w:eastAsia="Arial" w:hAnsi="Arial"/>
          <w:sz w:val="22"/>
          <w:szCs w:val="22"/>
        </w:rPr>
        <w:t xml:space="preserve">TLR4 recruits adapter protein MyD88 (Myeloid Differentiation Primary Response Protein 88)</w:t>
      </w:r>
    </w:p>
    <w:p>
      <w:pPr>
        <w:pStyle w:val="ListParagraph"/>
        <w:numPr>
          <w:ilvl w:val="0"/>
          <w:numId w:val="3"/>
        </w:numPr>
        <w:spacing w:after="100"/>
      </w:pPr>
      <w:r>
        <w:rPr>
          <w:rFonts w:ascii="Arial" w:cs="Arial" w:eastAsia="Arial" w:hAnsi="Arial"/>
          <w:sz w:val="22"/>
          <w:szCs w:val="22"/>
        </w:rPr>
        <w:t xml:space="preserve">MyD88 activates IRAK (IL-1 Receptor-Associated Kinase) family members: IRAK-1, IRAK-2, IRAK-3, IRAK-4</w:t>
      </w:r>
    </w:p>
    <w:p>
      <w:pPr>
        <w:pStyle w:val="ListParagraph"/>
        <w:numPr>
          <w:ilvl w:val="0"/>
          <w:numId w:val="3"/>
        </w:numPr>
        <w:spacing w:after="100"/>
      </w:pPr>
      <w:r>
        <w:rPr>
          <w:rFonts w:ascii="Arial" w:cs="Arial" w:eastAsia="Arial" w:hAnsi="Arial"/>
          <w:sz w:val="22"/>
          <w:szCs w:val="22"/>
        </w:rPr>
        <w:t xml:space="preserve">IRAK complex recruits and activates TRAF6 (TNF Receptor-Associated Factor 6)</w:t>
      </w:r>
    </w:p>
    <w:p>
      <w:pPr>
        <w:pStyle w:val="ListParagraph"/>
        <w:numPr>
          <w:ilvl w:val="0"/>
          <w:numId w:val="3"/>
        </w:numPr>
        <w:spacing w:after="100"/>
      </w:pPr>
      <w:r>
        <w:rPr>
          <w:rFonts w:ascii="Arial" w:cs="Arial" w:eastAsia="Arial" w:hAnsi="Arial"/>
          <w:sz w:val="22"/>
          <w:szCs w:val="22"/>
        </w:rPr>
        <w:t xml:space="preserve">TRAF6 activates the IKK complex (IκB Kinase Complex), which phosphorylates IκB (Inhibitor of κB)</w:t>
      </w:r>
    </w:p>
    <w:p>
      <w:pPr>
        <w:pStyle w:val="ListParagraph"/>
        <w:numPr>
          <w:ilvl w:val="0"/>
          <w:numId w:val="3"/>
        </w:numPr>
        <w:spacing w:after="100"/>
      </w:pPr>
      <w:r>
        <w:rPr>
          <w:rFonts w:ascii="Arial" w:cs="Arial" w:eastAsia="Arial" w:hAnsi="Arial"/>
          <w:sz w:val="22"/>
          <w:szCs w:val="22"/>
        </w:rPr>
        <w:t xml:space="preserve">Phosphorylated IκB dissociates from NF-κB, allowing NF-κB to translocate into the nucleus</w:t>
      </w:r>
    </w:p>
    <w:p>
      <w:pPr>
        <w:pStyle w:val="ListParagraph"/>
        <w:numPr>
          <w:ilvl w:val="0"/>
          <w:numId w:val="3"/>
        </w:numPr>
        <w:spacing w:after="100"/>
      </w:pPr>
      <w:r>
        <w:rPr>
          <w:rFonts w:ascii="Arial" w:cs="Arial" w:eastAsia="Arial" w:hAnsi="Arial"/>
          <w:sz w:val="22"/>
          <w:szCs w:val="22"/>
        </w:rPr>
        <w:t xml:space="preserve">Nuclear NF-κB drives transcription of pro-inflammatory genes including TNF-α, IL-6, IL-1β, and NLRP3</w:t>
      </w:r>
    </w:p>
    <w:p>
      <w:pPr>
        <w:spacing w:after="100"/>
      </w:pPr>
      <w:r>
        <w:t xml:space="preserve"/>
      </w:r>
    </w:p>
    <w:p>
      <w:pPr>
        <w:spacing w:after="80" w:before="160"/>
      </w:pPr>
      <w:r>
        <w:rPr>
          <w:rFonts w:ascii="Arial" w:cs="Arial" w:eastAsia="Arial" w:hAnsi="Arial"/>
          <w:b/>
          <w:bCs/>
          <w:color w:val="2E6096"/>
          <w:sz w:val="22"/>
          <w:szCs w:val="22"/>
        </w:rPr>
        <w:t xml:space="preserve">Pathway B: NLRP3 Inflammasome Assembly (The Amplifier)</w:t>
      </w:r>
    </w:p>
    <w:p>
      <w:pPr>
        <w:pStyle w:val="ListParagraph"/>
        <w:numPr>
          <w:ilvl w:val="0"/>
          <w:numId w:val="3"/>
        </w:numPr>
        <w:spacing w:after="100"/>
      </w:pPr>
      <w:r>
        <w:rPr>
          <w:rFonts w:ascii="Arial" w:cs="Arial" w:eastAsia="Arial" w:hAnsi="Arial"/>
          <w:sz w:val="22"/>
          <w:szCs w:val="22"/>
        </w:rPr>
        <w:t xml:space="preserve">NF-κB-driven transcription of NLRP3 provides the priming signal (Signal 1)</w:t>
      </w:r>
    </w:p>
    <w:p>
      <w:pPr>
        <w:pStyle w:val="ListParagraph"/>
        <w:numPr>
          <w:ilvl w:val="0"/>
          <w:numId w:val="3"/>
        </w:numPr>
        <w:spacing w:after="100"/>
      </w:pPr>
      <w:r>
        <w:rPr>
          <w:rFonts w:ascii="Arial" w:cs="Arial" w:eastAsia="Arial" w:hAnsi="Arial"/>
          <w:sz w:val="22"/>
          <w:szCs w:val="22"/>
        </w:rPr>
        <w:t xml:space="preserve">A second activation signal (Signal 2) — from reactive oxygen species (ROS), ATP, potassium efflux, or direct LPS — causes NLRP3 conformational activation</w:t>
      </w:r>
    </w:p>
    <w:p>
      <w:pPr>
        <w:pStyle w:val="ListParagraph"/>
        <w:numPr>
          <w:ilvl w:val="0"/>
          <w:numId w:val="3"/>
        </w:numPr>
        <w:spacing w:after="100"/>
      </w:pPr>
      <w:r>
        <w:rPr>
          <w:rFonts w:ascii="Arial" w:cs="Arial" w:eastAsia="Arial" w:hAnsi="Arial"/>
          <w:sz w:val="22"/>
          <w:szCs w:val="22"/>
        </w:rPr>
        <w:t xml:space="preserve">Activated NLRP3 recruits ASC (Apoptosis-Associated Speck-like protein Containing a CARD), which oligomerizes into an ASC speck</w:t>
      </w:r>
    </w:p>
    <w:p>
      <w:pPr>
        <w:pStyle w:val="ListParagraph"/>
        <w:numPr>
          <w:ilvl w:val="0"/>
          <w:numId w:val="3"/>
        </w:numPr>
        <w:spacing w:after="100"/>
      </w:pPr>
      <w:r>
        <w:rPr>
          <w:rFonts w:ascii="Arial" w:cs="Arial" w:eastAsia="Arial" w:hAnsi="Arial"/>
          <w:sz w:val="22"/>
          <w:szCs w:val="22"/>
        </w:rPr>
        <w:t xml:space="preserve">ASC speck recruits and activates Pro-Caspase-1 → cleaved active Caspase-1</w:t>
      </w:r>
    </w:p>
    <w:p>
      <w:pPr>
        <w:pStyle w:val="ListParagraph"/>
        <w:numPr>
          <w:ilvl w:val="0"/>
          <w:numId w:val="3"/>
        </w:numPr>
        <w:spacing w:after="100"/>
      </w:pPr>
      <w:r>
        <w:rPr>
          <w:rFonts w:ascii="Arial" w:cs="Arial" w:eastAsia="Arial" w:hAnsi="Arial"/>
          <w:sz w:val="22"/>
          <w:szCs w:val="22"/>
        </w:rPr>
        <w:t xml:space="preserve">Active Caspase-1 cleaves Pro-IL-1β into mature IL-1β, and Pro-IL-18 into mature IL-18</w:t>
      </w:r>
    </w:p>
    <w:p>
      <w:pPr>
        <w:pStyle w:val="ListParagraph"/>
        <w:numPr>
          <w:ilvl w:val="0"/>
          <w:numId w:val="3"/>
        </w:numPr>
        <w:spacing w:after="100"/>
      </w:pPr>
      <w:r>
        <w:rPr>
          <w:rFonts w:ascii="Arial" w:cs="Arial" w:eastAsia="Arial" w:hAnsi="Arial"/>
          <w:sz w:val="22"/>
          <w:szCs w:val="22"/>
        </w:rPr>
        <w:t xml:space="preserve">Caspase-1 also cleaves Gasdermin D (GSDMD), whose N-terminal fragment forms pores in the cell membrane — a process called Pyroptosis — which massively amplifies cytokine release</w:t>
      </w:r>
    </w:p>
    <w:p>
      <w:pPr>
        <w:spacing w:after="100"/>
      </w:pPr>
      <w:r>
        <w:t xml:space="preserve"/>
      </w:r>
    </w:p>
    <w:p>
      <w:pPr>
        <w:spacing w:after="130"/>
      </w:pPr>
      <w:r>
        <w:rPr>
          <w:rFonts w:ascii="Arial" w:cs="Arial" w:eastAsia="Arial" w:hAnsi="Arial"/>
          <w:b/>
          <w:bCs/>
          <w:sz w:val="22"/>
          <w:szCs w:val="22"/>
        </w:rPr>
        <w:t xml:space="preserve">Key positive feedback:</w:t>
      </w:r>
      <w:r>
        <w:rPr>
          <w:rFonts w:ascii="Arial" w:cs="Arial" w:eastAsia="Arial" w:hAnsi="Arial"/>
          <w:sz w:val="22"/>
          <w:szCs w:val="22"/>
        </w:rPr>
        <w:t xml:space="preserve"> Fibrillar amyloid-β (Aβ) and phosphorylated tau (pTau) themselves interact with TLR4, reactivating the entire MyD88/NF-κB/NLRP3 cascade in a self-amplifying loop. This is why neuroinflammation in Alzheimer’s disease becomes self-sustaining once initiated.</w:t>
      </w:r>
    </w:p>
    <w:p>
      <w:pPr>
        <w:spacing w:after="100"/>
      </w:pPr>
      <w:r>
        <w:t xml:space="preserve"/>
      </w:r>
    </w:p>
    <w:p>
      <w:pPr>
        <w:pStyle w:val="Heading2"/>
        <w:spacing w:after="100" w:before="220"/>
      </w:pPr>
      <w:r>
        <w:rPr>
          <w:rFonts w:ascii="Arial" w:cs="Arial" w:eastAsia="Arial" w:hAnsi="Arial"/>
          <w:b/>
          <w:bCs/>
          <w:color w:val="2E6096"/>
          <w:sz w:val="24"/>
          <w:szCs w:val="24"/>
        </w:rPr>
        <w:t xml:space="preserve">2.5  Stage 5 — Cytokines Cross the Blood-Brain Barrier</w:t>
      </w:r>
    </w:p>
    <w:p>
      <w:pPr>
        <w:spacing w:after="130"/>
      </w:pPr>
      <w:r>
        <w:rPr>
          <w:rFonts w:ascii="Arial" w:cs="Arial" w:eastAsia="Arial" w:hAnsi="Arial"/>
          <w:sz w:val="22"/>
          <w:szCs w:val="22"/>
        </w:rPr>
        <w:t xml:space="preserve">The three primary pro-inflammatory cytokines produced — TNF-α (Tumor Necrosis Factor-alpha), IL-1β (Interleukin-1 beta), and IL-6 (Interleukin-6) — reach the blood-brain barrier (BBB) via systemic circulation and penetrate into the CNS through two mechanisms:</w:t>
      </w:r>
    </w:p>
    <w:p>
      <w:pPr>
        <w:pStyle w:val="ListParagraph"/>
        <w:numPr>
          <w:ilvl w:val="0"/>
          <w:numId w:val="2"/>
        </w:numPr>
        <w:spacing w:after="80"/>
      </w:pPr>
      <w:r>
        <w:rPr>
          <w:rFonts w:ascii="Arial" w:cs="Arial" w:eastAsia="Arial" w:hAnsi="Arial"/>
          <w:b w:val="false"/>
          <w:bCs w:val="false"/>
          <w:sz w:val="21"/>
          <w:szCs w:val="21"/>
        </w:rPr>
        <w:t xml:space="preserve">Diffusion at compromised BBB regions where systemic inflammation has increased BBB permeability</w:t>
      </w:r>
    </w:p>
    <w:p>
      <w:pPr>
        <w:pStyle w:val="ListParagraph"/>
        <w:numPr>
          <w:ilvl w:val="0"/>
          <w:numId w:val="2"/>
        </w:numPr>
        <w:spacing w:after="80"/>
      </w:pPr>
      <w:r>
        <w:rPr>
          <w:rFonts w:ascii="Arial" w:cs="Arial" w:eastAsia="Arial" w:hAnsi="Arial"/>
          <w:b w:val="false"/>
          <w:bCs w:val="false"/>
          <w:sz w:val="21"/>
          <w:szCs w:val="21"/>
        </w:rPr>
        <w:t xml:space="preserve">Active transport via cytokine-specific receptor-mediated transcytosis across BBB endothelial cells</w:t>
      </w:r>
    </w:p>
    <w:p>
      <w:pPr>
        <w:spacing w:after="130"/>
      </w:pPr>
      <w:r>
        <w:rPr>
          <w:rFonts w:ascii="Arial" w:cs="Arial" w:eastAsia="Arial" w:hAnsi="Arial"/>
          <w:sz w:val="22"/>
          <w:szCs w:val="22"/>
        </w:rPr>
        <w:t xml:space="preserve">In the CNS, these cytokines encounter two populations of resident immune cells: Microglia (brain-resident macrophages) and Astrocytes. Both become activated and shift to a pro-inflammatory phenotype.</w:t>
      </w:r>
    </w:p>
    <w:p>
      <w:pPr>
        <w:spacing w:after="100"/>
      </w:pPr>
      <w:r>
        <w:t xml:space="preserve"/>
      </w:r>
    </w:p>
    <w:p>
      <w:pPr>
        <w:pStyle w:val="Heading2"/>
        <w:spacing w:after="100" w:before="220"/>
      </w:pPr>
      <w:r>
        <w:rPr>
          <w:rFonts w:ascii="Arial" w:cs="Arial" w:eastAsia="Arial" w:hAnsi="Arial"/>
          <w:b/>
          <w:bCs/>
          <w:color w:val="2E6096"/>
          <w:sz w:val="24"/>
          <w:szCs w:val="24"/>
        </w:rPr>
        <w:t xml:space="preserve">2.6  Stage 6 — Microglial Activation and Neuroinflammation</w:t>
      </w:r>
    </w:p>
    <w:p>
      <w:pPr>
        <w:spacing w:after="130"/>
      </w:pPr>
      <w:r>
        <w:rPr>
          <w:rFonts w:ascii="Arial" w:cs="Arial" w:eastAsia="Arial" w:hAnsi="Arial"/>
          <w:sz w:val="22"/>
          <w:szCs w:val="22"/>
        </w:rPr>
        <w:t xml:space="preserve">Microglia, when primed by peripheral cytokines and direct LPS/Aβ stimulation, shift from their resting homeostatic state to the M1 neurotoxic phenotype through the same TLR4/MyD88/NF-κB/NLRP3 pathway operating now inside the brain itself. The downstream consequences are: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Brain Event</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Mechanism &amp; Cognitive Consequence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NLRP3/ASC/Caspase-1 activation in microglia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IL-1β release drives sustained neuroinflammation; ASC specks seed Aβ plaque formation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GSK-3β (Glycogen Synthase Kinase-3 beta) activation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Phosphorylates tau protein at pathological sites; drives neurofibrillary tangle formation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Tau hyperphosphorylation (pTau) and aggregation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pTau activates TLR4 in microglia, restarting the full NF-κB/NLRP3 cascade — the self-sustaining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Aβ (amyloid-beta) plaque accumulation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Aβ fibrils activate Syk kinase → inhibits AMPK → mitochondrial dysfunction → NLRP3 activation; positive feedback with tau pathology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Synaptic pruning by activated microglia</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Excessive complement-mediated elimination of synapses — direct structural cause of memory and cognitive impairment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Astrocyte reactivity (A1 neurotoxic phenotype)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Reactive astrocytes lose their neuroprotective functions and begin secreting neurotoxic mediators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Pyroptosis propagation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GSDMD pore formation in neurons causes inflammatory cell death; releases DAMPs that further prime microglia</w:t>
            </w:r>
          </w:p>
        </w:tc>
      </w:tr>
    </w:tbl>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3. The Critical Gap: Why Current Research Cannot Solve This</w:t>
      </w:r>
    </w:p>
    <w:p>
      <w:pPr>
        <w:spacing w:after="130"/>
      </w:pPr>
      <w:r>
        <w:rPr>
          <w:rFonts w:ascii="Arial" w:cs="Arial" w:eastAsia="Arial" w:hAnsi="Arial"/>
          <w:sz w:val="22"/>
          <w:szCs w:val="22"/>
        </w:rPr>
        <w:t xml:space="preserve">Every step of the biological chain above is individually documented in the literature. What does NOT exist is:</w:t>
      </w:r>
    </w:p>
    <w:p>
      <w:pPr>
        <w:pStyle w:val="ListParagraph"/>
        <w:numPr>
          <w:ilvl w:val="0"/>
          <w:numId w:val="2"/>
        </w:numPr>
        <w:spacing w:after="80"/>
      </w:pPr>
      <w:r>
        <w:rPr>
          <w:rFonts w:ascii="Arial" w:cs="Arial" w:eastAsia="Arial" w:hAnsi="Arial"/>
          <w:b w:val="false"/>
          <w:bCs w:val="false"/>
          <w:sz w:val="21"/>
          <w:szCs w:val="21"/>
        </w:rPr>
        <w:t xml:space="preserve">A mathematical framework that unifies these steps into a single deterministic model</w:t>
      </w:r>
    </w:p>
    <w:p>
      <w:pPr>
        <w:pStyle w:val="ListParagraph"/>
        <w:numPr>
          <w:ilvl w:val="0"/>
          <w:numId w:val="2"/>
        </w:numPr>
        <w:spacing w:after="80"/>
      </w:pPr>
      <w:r>
        <w:rPr>
          <w:rFonts w:ascii="Arial" w:cs="Arial" w:eastAsia="Arial" w:hAnsi="Arial"/>
          <w:b w:val="false"/>
          <w:bCs w:val="false"/>
          <w:sz w:val="21"/>
          <w:szCs w:val="21"/>
        </w:rPr>
        <w:t xml:space="preserve">Defined critical threshold values for each microbial variable at which the cascade becomes self-sustaining and clinically irreversible</w:t>
      </w:r>
    </w:p>
    <w:p>
      <w:pPr>
        <w:pStyle w:val="ListParagraph"/>
        <w:numPr>
          <w:ilvl w:val="0"/>
          <w:numId w:val="2"/>
        </w:numPr>
        <w:spacing w:after="80"/>
      </w:pPr>
      <w:r>
        <w:rPr>
          <w:rFonts w:ascii="Arial" w:cs="Arial" w:eastAsia="Arial" w:hAnsi="Arial"/>
          <w:b w:val="false"/>
          <w:bCs w:val="false"/>
          <w:sz w:val="21"/>
          <w:szCs w:val="21"/>
        </w:rPr>
        <w:t xml:space="preserve">A predictive equation that takes measurable microbiome state inputs and outputs a precise neuroinflammatory state</w:t>
      </w:r>
    </w:p>
    <w:p>
      <w:pPr>
        <w:pStyle w:val="ListParagraph"/>
        <w:numPr>
          <w:ilvl w:val="0"/>
          <w:numId w:val="2"/>
        </w:numPr>
        <w:spacing w:after="80"/>
      </w:pPr>
      <w:r>
        <w:rPr>
          <w:rFonts w:ascii="Arial" w:cs="Arial" w:eastAsia="Arial" w:hAnsi="Arial"/>
          <w:b w:val="false"/>
          <w:bCs w:val="false"/>
          <w:sz w:val="21"/>
          <w:szCs w:val="21"/>
        </w:rPr>
        <w:t xml:space="preserve">A method to identify exactly which variable to target therapeutically for maximum cascade interruption</w:t>
      </w:r>
    </w:p>
    <w:p>
      <w:pPr>
        <w:spacing w:after="100"/>
      </w:pPr>
      <w:r>
        <w:t xml:space="preserve"/>
      </w:r>
    </w:p>
    <w:p>
      <w:pPr>
        <w:spacing w:after="130"/>
      </w:pPr>
      <w:r>
        <w:rPr>
          <w:rFonts w:ascii="Arial" w:cs="Arial" w:eastAsia="Arial" w:hAnsi="Arial"/>
          <w:sz w:val="22"/>
          <w:szCs w:val="22"/>
        </w:rPr>
        <w:t xml:space="preserve">Current research produces association statements: “higher Proteobacteria correlates with higher TNF-α.” It cannot produce deterministic statements: “At Proteobacteria density X, LPS translocation rate Y will produce TNF-α level Z, which will breach BBB threshold W within time T.”</w:t>
      </w:r>
    </w:p>
    <w:p>
      <w:pPr>
        <w:spacing w:after="130"/>
      </w:pPr>
      <w:r>
        <w:rPr>
          <w:rFonts w:ascii="Arial" w:cs="Arial" w:eastAsia="Arial" w:hAnsi="Arial"/>
          <w:sz w:val="22"/>
          <w:szCs w:val="22"/>
        </w:rPr>
        <w:t xml:space="preserve">The SDKP framework was built precisely to establish this class of deterministic relationship.</w:t>
      </w:r>
    </w:p>
    <w:p>
      <w:pPr>
        <w:spacing w:after="100"/>
      </w:pPr>
      <w:r>
        <w:t xml:space="preserve"/>
      </w:r>
    </w:p>
    <w:p>
      <w:pPr>
        <w:pStyle w:val="Heading1"/>
        <w:spacing w:after="140" w:before="300"/>
      </w:pPr>
      <w:r>
        <w:rPr>
          <w:rFonts w:ascii="Arial" w:cs="Arial" w:eastAsia="Arial" w:hAnsi="Arial"/>
          <w:b/>
          <w:bCs/>
          <w:color w:val="1A3C5E"/>
          <w:sz w:val="30"/>
          <w:szCs w:val="30"/>
        </w:rPr>
        <w:t xml:space="preserve">4. SDKP Framework Applied: Variable Mapping</w:t>
      </w:r>
    </w:p>
    <w:p>
      <w:pPr>
        <w:spacing w:after="130"/>
      </w:pPr>
      <w:r>
        <w:rPr>
          <w:rFonts w:ascii="Arial" w:cs="Arial" w:eastAsia="Arial" w:hAnsi="Arial"/>
          <w:sz w:val="22"/>
          <w:szCs w:val="22"/>
        </w:rPr>
        <w:t xml:space="preserve">Each of the four SDKP variables maps directly onto measurable biological parameters within the gut-brain immune-inflammatory cascade: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60"/>
        <w:gridCol w:w="2700"/>
        <w:gridCol w:w="2700"/>
      </w:tblGrid>
      <w:tr>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Microbiome Parameter</w:t>
            </w:r>
          </w:p>
        </w:tc>
        <w:tc>
          <w:tcPr>
            <w:tcW w:type="dxa" w:w="27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Cascade Control Point</w:t>
            </w:r>
          </w:p>
        </w:tc>
        <w:tc>
          <w:tcPr>
            <w:tcW w:type="dxa" w:w="27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SDKP Prediction</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S
(Size)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Colony dimensions; biofilm thickness; LPS particle size (nano vs micro); Firmicutes/Bacteroidota ratio</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Smaller LPS particles penetrate epithelial and BBB more readily; biofilm size governs surface-area cytokine exposure; Firmicutes/Bacteroidota ratio governs SCFA output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 critical minimum Size threshold (ratio and LPS particle distribution), the ZO-1/Occludin barrier fails and LPS translocation becomes continuous</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
(Density)</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Microbial CFU/mL; Proteobacteria population density; pathogen-to-commensal ratio; LPS plasma concentration (pg/mL)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Proteobacteria density directly governs systemic LPS load; above a critical density the CD14/MD-2/TLR4 complex is continuously saturated and NF-κB cannot be cleared between activation cycles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Density threshold D* is the deterministic tipping point: above D*, the MyD88/NF-κB/NLRP3 cascade becomes self-sustaining independent of further dysbiosis progression</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K
(Kinetics)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Microbial metabolic rate; cytokine production velocity (pg/mL/hr); gut motility rate; rate of NLRP3 inflammasome assembly; Caspase-1 cleavage rate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Cytokine production rate vs. host clearance rate determines whether TNF-α/IL-1β/IL-6 accumulate to BBB-penetrating concentrations; rate of NLRP3 assembly governs transition from acute to chronic neuroinflammation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Kinetics variable K governs the time-to-cascade: the rate at which the system transitions from compensated dysbiosis to irreversible neuroinflammatory state; identifies the therapeutic intervention window</w:t>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P
(Position)</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Anatomical site of dysbiosis: duodenum, jejunum, ileum, cecum, ascending/transverse/descending colon; spatial distribution of TLR4-expressing macrophages; BBB regional permeability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intestinal dysbiosis (jejunum/ileum): faster, more direct portal venous LPS access; Colonic dysbiosis: slower systemic access but higher SCFA disruption and mucus degradation; Position determines which CNS structures are targeted first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variable P predicts the neurological phenotype: hippocampal targeting (memory impairment first), prefrontal targeting (executive dysfunction first), or diffuse cortical targeting (global cognitive decline)</w:t>
            </w:r>
          </w:p>
        </w:tc>
      </w:tr>
    </w:tbl>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5. The Deterministic Absolute Solution: Mathematical Framework</w:t>
      </w:r>
    </w:p>
    <w:p>
      <w:pPr>
        <w:spacing w:after="130"/>
      </w:pPr>
      <w:r>
        <w:rPr>
          <w:rFonts w:ascii="Arial" w:cs="Arial" w:eastAsia="Arial" w:hAnsi="Arial"/>
          <w:sz w:val="22"/>
          <w:szCs w:val="22"/>
        </w:rPr>
        <w:t xml:space="preserve">The central innovation of this proposal is deriving a closed-form SDKP equation that predicts neuroinflammatory state from microbiome inputs. The framework takes the following structure: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1"/>
                <w:szCs w:val="21"/>
              </w:rPr>
              <w:t xml:space="preserve">SDKP MASTER EQUATION (PROPOSED FORM)</w:t>
            </w:r>
          </w:p>
        </w:tc>
      </w:tr>
      <w:tr>
        <w:tc>
          <w:tcPr>
            <w:tcW w:type="dxa" w:w="9360"/>
            <w:tcBorders>
              <w:top w:val="single" w:color="CCCCCC" w:sz="1"/>
              <w:left w:val="single" w:color="CCCCCC" w:sz="1"/>
              <w:bottom w:val="single" w:color="CCCCCC" w:sz="1"/>
              <w:right w:val="single" w:color="CCCCCC" w:sz="1"/>
            </w:tcBorders>
            <w:shd w:fill="FFF8DC" w:val="clear"/>
            <w:tcMar>
              <w:top w:type="dxa" w:w="120"/>
              <w:left w:type="dxa" w:w="200"/>
              <w:bottom w:type="dxa" w:w="120"/>
              <w:right w:type="dxa" w:w="200"/>
            </w:tcMar>
          </w:tcPr>
          <w:p>
            <w:pPr>
              <w:spacing w:after="0"/>
            </w:pPr>
            <w:r>
              <w:rPr>
                <w:rFonts w:ascii="Arial" w:cs="Arial" w:eastAsia="Arial" w:hAnsi="Arial"/>
                <w:i/>
                <w:iCs/>
                <w:sz w:val="21"/>
                <w:szCs w:val="21"/>
              </w:rPr>
              <w:t xml:space="preserve">NI(t) = f [ S(FBr, LPSd), D(CFUₚ, LPSₚₗₙ), K(Vcyt, VNLRP3), P(GutSeg, BBBperm) ]
Where:
NI(t) = Neuroinflammatory state at time t (composite index of TNF-α, IL-1β, IL-6, NLRP3 activity, microglial M1 burden)
FBr = Firmicutes/Bacteroidota ratio
LPSd = LPS particle size distribution
CFUₚ = Proteobacteria colony-forming units per mL
LPSₚₗℙ = Plasma LPS concentration (pg/mL)
Vcyt = Cytokine production velocity
VNLRP3 = NLRP3 inflammasome assembly rate
GutSeg = Gut segment position index
BBBperm = Blood-brain barrier permeability coefficient</w:t>
            </w:r>
          </w:p>
        </w:tc>
      </w:tr>
    </w:tbl>
    <w:p>
      <w:pPr>
        <w:spacing w:after="100"/>
      </w:pPr>
      <w:r>
        <w:t xml:space="preserve"/>
      </w:r>
    </w:p>
    <w:p>
      <w:pPr>
        <w:spacing w:after="130"/>
      </w:pPr>
      <w:r>
        <w:rPr>
          <w:rFonts w:ascii="Arial" w:cs="Arial" w:eastAsia="Arial" w:hAnsi="Arial"/>
          <w:sz w:val="22"/>
          <w:szCs w:val="22"/>
        </w:rPr>
        <w:t xml:space="preserve">The goal of Phase 2 is to derive the exact form of function f from empirical data, and to identify the critical threshold values S*, D*, K*, P* at which each variable, individually or in combination, drives the system past the point of self-sustaining neuroinflammatory cascade. These thresholds are the “absolute solution” — the deterministic boundary conditions that define the onset of irreversible cognitive decline.</w:t>
      </w:r>
    </w:p>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6. Research Objectives</w:t>
      </w:r>
    </w:p>
    <w:p>
      <w:pPr>
        <w:pStyle w:val="ListParagraph"/>
        <w:numPr>
          <w:ilvl w:val="0"/>
          <w:numId w:val="3"/>
        </w:numPr>
        <w:spacing w:after="100"/>
      </w:pPr>
      <w:r>
        <w:rPr>
          <w:rFonts w:ascii="Arial" w:cs="Arial" w:eastAsia="Arial" w:hAnsi="Arial"/>
          <w:sz w:val="22"/>
          <w:szCs w:val="22"/>
        </w:rPr>
        <w:t xml:space="preserve">Map all measurable biological parameters of the TLR4/MyD88/NF-κB/NLRP3 neuroinflammatory cascade onto SDKP Size, Density, Kinetics, and Position variables using existing large-scale microbiome-cognitive decline datasets</w:t>
      </w:r>
    </w:p>
    <w:p>
      <w:pPr>
        <w:pStyle w:val="ListParagraph"/>
        <w:numPr>
          <w:ilvl w:val="0"/>
          <w:numId w:val="3"/>
        </w:numPr>
        <w:spacing w:after="100"/>
      </w:pPr>
      <w:r>
        <w:rPr>
          <w:rFonts w:ascii="Arial" w:cs="Arial" w:eastAsia="Arial" w:hAnsi="Arial"/>
          <w:sz w:val="22"/>
          <w:szCs w:val="22"/>
        </w:rPr>
        <w:t xml:space="preserve">Derive the SDKP deterministic equation NI(t) = f(S, D, K, P) by fitting the SDKP mathematical architecture to multi-cohort longitudinal microbiome-cognition data</w:t>
      </w:r>
    </w:p>
    <w:p>
      <w:pPr>
        <w:pStyle w:val="ListParagraph"/>
        <w:numPr>
          <w:ilvl w:val="0"/>
          <w:numId w:val="3"/>
        </w:numPr>
        <w:spacing w:after="100"/>
      </w:pPr>
      <w:r>
        <w:rPr>
          <w:rFonts w:ascii="Arial" w:cs="Arial" w:eastAsia="Arial" w:hAnsi="Arial"/>
          <w:sz w:val="22"/>
          <w:szCs w:val="22"/>
        </w:rPr>
        <w:t xml:space="preserve">Identify critical threshold values S*, D*, K*, P* at which the gut-brain inflammatory cascade becomes self-sustaining and neurologically irreversible</w:t>
      </w:r>
    </w:p>
    <w:p>
      <w:pPr>
        <w:pStyle w:val="ListParagraph"/>
        <w:numPr>
          <w:ilvl w:val="0"/>
          <w:numId w:val="3"/>
        </w:numPr>
        <w:spacing w:after="100"/>
      </w:pPr>
      <w:r>
        <w:rPr>
          <w:rFonts w:ascii="Arial" w:cs="Arial" w:eastAsia="Arial" w:hAnsi="Arial"/>
          <w:sz w:val="22"/>
          <w:szCs w:val="22"/>
        </w:rPr>
        <w:t xml:space="preserve">Validate the derived equation and thresholds against held-out dataset partitions and independent published cohorts including Alzheimer’s disease, mild cognitive impairment, and healthy aging populations</w:t>
      </w:r>
    </w:p>
    <w:p>
      <w:pPr>
        <w:pStyle w:val="ListParagraph"/>
        <w:numPr>
          <w:ilvl w:val="0"/>
          <w:numId w:val="3"/>
        </w:numPr>
        <w:spacing w:after="100"/>
      </w:pPr>
      <w:r>
        <w:rPr>
          <w:rFonts w:ascii="Arial" w:cs="Arial" w:eastAsia="Arial" w:hAnsi="Arial"/>
          <w:sz w:val="22"/>
          <w:szCs w:val="22"/>
        </w:rPr>
        <w:t xml:space="preserve">Map identified SDKP thresholds onto specific therapeutic targets within the cascade: tight junction restoration (ZO-1, Occludin upregulation), NLRP3 inhibition, TLR4 blockade, microbiome density modulation via probiotic/dietary intervention</w:t>
      </w:r>
    </w:p>
    <w:p>
      <w:pPr>
        <w:pStyle w:val="ListParagraph"/>
        <w:numPr>
          <w:ilvl w:val="0"/>
          <w:numId w:val="3"/>
        </w:numPr>
        <w:spacing w:after="100"/>
      </w:pPr>
      <w:r>
        <w:rPr>
          <w:rFonts w:ascii="Arial" w:cs="Arial" w:eastAsia="Arial" w:hAnsi="Arial"/>
          <w:sz w:val="22"/>
          <w:szCs w:val="22"/>
        </w:rPr>
        <w:t xml:space="preserve">Publish findings in a peer-reviewed journal on nature.com and present the deterministic framework at the program’s international conference</w:t>
      </w:r>
    </w:p>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7. Methodology</w:t>
      </w:r>
    </w:p>
    <w:p>
      <w:pPr>
        <w:pStyle w:val="Heading2"/>
        <w:spacing w:after="100" w:before="220"/>
      </w:pPr>
      <w:r>
        <w:rPr>
          <w:rFonts w:ascii="Arial" w:cs="Arial" w:eastAsia="Arial" w:hAnsi="Arial"/>
          <w:b/>
          <w:bCs/>
          <w:color w:val="2E6096"/>
          <w:sz w:val="24"/>
          <w:szCs w:val="24"/>
        </w:rPr>
        <w:t xml:space="preserve">Phase 1 — Months 1–6: Variable Extraction and Dataset Mapping</w:t>
      </w:r>
    </w:p>
    <w:p>
      <w:pPr>
        <w:spacing w:after="130"/>
      </w:pPr>
      <w:r>
        <w:rPr>
          <w:rFonts w:ascii="Arial" w:cs="Arial" w:eastAsia="Arial" w:hAnsi="Arial"/>
          <w:sz w:val="22"/>
          <w:szCs w:val="22"/>
        </w:rPr>
        <w:t xml:space="preserve">Acquire and systematically analyze existing longitudinal datasets linking gut microbiome profiling to cognitive outcomes and inflammatory biomarkers. Target datasets:</w:t>
      </w:r>
    </w:p>
    <w:p>
      <w:pPr>
        <w:pStyle w:val="ListParagraph"/>
        <w:numPr>
          <w:ilvl w:val="0"/>
          <w:numId w:val="2"/>
        </w:numPr>
        <w:spacing w:after="80"/>
      </w:pPr>
      <w:r>
        <w:rPr>
          <w:rFonts w:ascii="Arial" w:cs="Arial" w:eastAsia="Arial" w:hAnsi="Arial"/>
          <w:b w:val="false"/>
          <w:bCs w:val="false"/>
          <w:sz w:val="21"/>
          <w:szCs w:val="21"/>
        </w:rPr>
        <w:t xml:space="preserve">Human Microbiome Project (HMP) cohort data</w:t>
      </w:r>
    </w:p>
    <w:p>
      <w:pPr>
        <w:pStyle w:val="ListParagraph"/>
        <w:numPr>
          <w:ilvl w:val="0"/>
          <w:numId w:val="2"/>
        </w:numPr>
        <w:spacing w:after="80"/>
      </w:pPr>
      <w:r>
        <w:rPr>
          <w:rFonts w:ascii="Arial" w:cs="Arial" w:eastAsia="Arial" w:hAnsi="Arial"/>
          <w:b w:val="false"/>
          <w:bCs w:val="false"/>
          <w:sz w:val="21"/>
          <w:szCs w:val="21"/>
        </w:rPr>
        <w:t xml:space="preserve">UK Biobank gut-brain multi-omics cohort</w:t>
      </w:r>
    </w:p>
    <w:p>
      <w:pPr>
        <w:pStyle w:val="ListParagraph"/>
        <w:numPr>
          <w:ilvl w:val="0"/>
          <w:numId w:val="2"/>
        </w:numPr>
        <w:spacing w:after="80"/>
      </w:pPr>
      <w:r>
        <w:rPr>
          <w:rFonts w:ascii="Arial" w:cs="Arial" w:eastAsia="Arial" w:hAnsi="Arial"/>
          <w:b w:val="false"/>
          <w:bCs w:val="false"/>
          <w:sz w:val="21"/>
          <w:szCs w:val="21"/>
        </w:rPr>
        <w:t xml:space="preserve">Published Alzheimer’s disease microbiome studies (Zhang et al. 2025 Frontiers Immunology; Hosseinkhani et al. 2025 Alzheimer’s &amp; Dementia)</w:t>
      </w:r>
    </w:p>
    <w:p>
      <w:pPr>
        <w:pStyle w:val="ListParagraph"/>
        <w:numPr>
          <w:ilvl w:val="0"/>
          <w:numId w:val="2"/>
        </w:numPr>
        <w:spacing w:after="80"/>
      </w:pPr>
      <w:r>
        <w:rPr>
          <w:rFonts w:ascii="Arial" w:cs="Arial" w:eastAsia="Arial" w:hAnsi="Arial"/>
          <w:b w:val="false"/>
          <w:bCs w:val="false"/>
          <w:sz w:val="21"/>
          <w:szCs w:val="21"/>
        </w:rPr>
        <w:t xml:space="preserve">ADNI (Alzheimer’s Disease Neuroimaging Initiative) cohorts with available microbiome data</w:t>
      </w:r>
    </w:p>
    <w:p>
      <w:pPr>
        <w:spacing w:after="100"/>
      </w:pPr>
      <w:r>
        <w:t xml:space="preserve"/>
      </w:r>
    </w:p>
    <w:p>
      <w:pPr>
        <w:spacing w:after="130"/>
      </w:pPr>
      <w:r>
        <w:rPr>
          <w:rFonts w:ascii="Arial" w:cs="Arial" w:eastAsia="Arial" w:hAnsi="Arial"/>
          <w:sz w:val="22"/>
          <w:szCs w:val="22"/>
        </w:rPr>
        <w:t xml:space="preserve">For each dataset, extract or proxy the following SDKP-mapped variables:</w:t>
      </w:r>
    </w:p>
    <w:p>
      <w:pPr>
        <w:pStyle w:val="ListParagraph"/>
        <w:numPr>
          <w:ilvl w:val="0"/>
          <w:numId w:val="2"/>
        </w:numPr>
        <w:spacing w:after="80"/>
      </w:pPr>
      <w:r>
        <w:rPr>
          <w:rFonts w:ascii="Arial" w:cs="Arial" w:eastAsia="Arial" w:hAnsi="Arial"/>
          <w:b w:val="false"/>
          <w:bCs w:val="false"/>
          <w:sz w:val="21"/>
          <w:szCs w:val="21"/>
        </w:rPr>
        <w:t xml:space="preserve">S variables: Firmicutes/Bacteroidota ratio, Shannon diversity index, LPS particle size distributions where available, biofilm thickness measures</w:t>
      </w:r>
    </w:p>
    <w:p>
      <w:pPr>
        <w:pStyle w:val="ListParagraph"/>
        <w:numPr>
          <w:ilvl w:val="0"/>
          <w:numId w:val="2"/>
        </w:numPr>
        <w:spacing w:after="80"/>
      </w:pPr>
      <w:r>
        <w:rPr>
          <w:rFonts w:ascii="Arial" w:cs="Arial" w:eastAsia="Arial" w:hAnsi="Arial"/>
          <w:b w:val="false"/>
          <w:bCs w:val="false"/>
          <w:sz w:val="21"/>
          <w:szCs w:val="21"/>
        </w:rPr>
        <w:t xml:space="preserve">D variables: Species-level CFU concentrations, Proteobacteria abundance, plasma LPS (pg/mL), plasma LBP, sCD14 levels</w:t>
      </w:r>
    </w:p>
    <w:p>
      <w:pPr>
        <w:pStyle w:val="ListParagraph"/>
        <w:numPr>
          <w:ilvl w:val="0"/>
          <w:numId w:val="2"/>
        </w:numPr>
        <w:spacing w:after="80"/>
      </w:pPr>
      <w:r>
        <w:rPr>
          <w:rFonts w:ascii="Arial" w:cs="Arial" w:eastAsia="Arial" w:hAnsi="Arial"/>
          <w:b w:val="false"/>
          <w:bCs w:val="false"/>
          <w:sz w:val="21"/>
          <w:szCs w:val="21"/>
        </w:rPr>
        <w:t xml:space="preserve">K variables: Pro-inflammatory cytokine levels (TNF-α, IL-1β, IL-6, IL-18) and their longitudinal rate of change, gut motility indices, NLRP3 expression data</w:t>
      </w:r>
    </w:p>
    <w:p>
      <w:pPr>
        <w:pStyle w:val="ListParagraph"/>
        <w:numPr>
          <w:ilvl w:val="0"/>
          <w:numId w:val="2"/>
        </w:numPr>
        <w:spacing w:after="80"/>
      </w:pPr>
      <w:r>
        <w:rPr>
          <w:rFonts w:ascii="Arial" w:cs="Arial" w:eastAsia="Arial" w:hAnsi="Arial"/>
          <w:b w:val="false"/>
          <w:bCs w:val="false"/>
          <w:sz w:val="21"/>
          <w:szCs w:val="21"/>
        </w:rPr>
        <w:t xml:space="preserve">P variables: Gut segment-specific microbiome profiling, regional BBB permeability data (where available from imaging studies), anatomical dysbiosis mapping</w:t>
      </w:r>
    </w:p>
    <w:p>
      <w:pPr>
        <w:spacing w:after="100"/>
      </w:pPr>
      <w:r>
        <w:t xml:space="preserve"/>
      </w:r>
    </w:p>
    <w:p>
      <w:pPr>
        <w:pStyle w:val="Heading2"/>
        <w:spacing w:after="100" w:before="220"/>
      </w:pPr>
      <w:r>
        <w:rPr>
          <w:rFonts w:ascii="Arial" w:cs="Arial" w:eastAsia="Arial" w:hAnsi="Arial"/>
          <w:b/>
          <w:bCs/>
          <w:color w:val="2E6096"/>
          <w:sz w:val="24"/>
          <w:szCs w:val="24"/>
        </w:rPr>
        <w:t xml:space="preserve">Phase 2 — Months 7–14: Deterministic Equation Derivation</w:t>
      </w:r>
    </w:p>
    <w:p>
      <w:pPr>
        <w:spacing w:after="130"/>
      </w:pPr>
      <w:r>
        <w:rPr>
          <w:rFonts w:ascii="Arial" w:cs="Arial" w:eastAsia="Arial" w:hAnsi="Arial"/>
          <w:sz w:val="22"/>
          <w:szCs w:val="22"/>
        </w:rPr>
        <w:t xml:space="preserve">Apply the SDKP mathematical architecture to derive deterministic relationship equations between the four microbiome state variable sets and the following cascade output measurements:</w:t>
      </w:r>
    </w:p>
    <w:p>
      <w:pPr>
        <w:pStyle w:val="ListParagraph"/>
        <w:numPr>
          <w:ilvl w:val="0"/>
          <w:numId w:val="2"/>
        </w:numPr>
        <w:spacing w:after="80"/>
      </w:pPr>
      <w:r>
        <w:rPr>
          <w:rFonts w:ascii="Arial" w:cs="Arial" w:eastAsia="Arial" w:hAnsi="Arial"/>
          <w:b w:val="false"/>
          <w:bCs w:val="false"/>
          <w:sz w:val="21"/>
          <w:szCs w:val="21"/>
        </w:rPr>
        <w:t xml:space="preserve">Plasma LPS concentration (pg/mL) — primary metabolic endotoxemia measure</w:t>
      </w:r>
    </w:p>
    <w:p>
      <w:pPr>
        <w:pStyle w:val="ListParagraph"/>
        <w:numPr>
          <w:ilvl w:val="0"/>
          <w:numId w:val="2"/>
        </w:numPr>
        <w:spacing w:after="80"/>
      </w:pPr>
      <w:r>
        <w:rPr>
          <w:rFonts w:ascii="Arial" w:cs="Arial" w:eastAsia="Arial" w:hAnsi="Arial"/>
          <w:b w:val="false"/>
          <w:bCs w:val="false"/>
          <w:sz w:val="21"/>
          <w:szCs w:val="21"/>
        </w:rPr>
        <w:t xml:space="preserve">Circulating pro-inflammatory cytokines: TNF-α, IL-1β, IL-6, IL-18 levels</w:t>
      </w:r>
    </w:p>
    <w:p>
      <w:pPr>
        <w:pStyle w:val="ListParagraph"/>
        <w:numPr>
          <w:ilvl w:val="0"/>
          <w:numId w:val="2"/>
        </w:numPr>
        <w:spacing w:after="80"/>
      </w:pPr>
      <w:r>
        <w:rPr>
          <w:rFonts w:ascii="Arial" w:cs="Arial" w:eastAsia="Arial" w:hAnsi="Arial"/>
          <w:b w:val="false"/>
          <w:bCs w:val="false"/>
          <w:sz w:val="21"/>
          <w:szCs w:val="21"/>
        </w:rPr>
        <w:t xml:space="preserve">Tight junction protein expression: ZO-1, Occludin, Claudin-1/4/5/8</w:t>
      </w:r>
    </w:p>
    <w:p>
      <w:pPr>
        <w:pStyle w:val="ListParagraph"/>
        <w:numPr>
          <w:ilvl w:val="0"/>
          <w:numId w:val="2"/>
        </w:numPr>
        <w:spacing w:after="80"/>
      </w:pPr>
      <w:r>
        <w:rPr>
          <w:rFonts w:ascii="Arial" w:cs="Arial" w:eastAsia="Arial" w:hAnsi="Arial"/>
          <w:b w:val="false"/>
          <w:bCs w:val="false"/>
          <w:sz w:val="21"/>
          <w:szCs w:val="21"/>
        </w:rPr>
        <w:t xml:space="preserve">Blood-brain barrier permeability indices</w:t>
      </w:r>
    </w:p>
    <w:p>
      <w:pPr>
        <w:pStyle w:val="ListParagraph"/>
        <w:numPr>
          <w:ilvl w:val="0"/>
          <w:numId w:val="2"/>
        </w:numPr>
        <w:spacing w:after="80"/>
      </w:pPr>
      <w:r>
        <w:rPr>
          <w:rFonts w:ascii="Arial" w:cs="Arial" w:eastAsia="Arial" w:hAnsi="Arial"/>
          <w:b w:val="false"/>
          <w:bCs w:val="false"/>
          <w:sz w:val="21"/>
          <w:szCs w:val="21"/>
        </w:rPr>
        <w:t xml:space="preserve">Microglial activation markers: TSPO (Translocator Protein) binding, Iba-1 expression, ASC speck density</w:t>
      </w:r>
    </w:p>
    <w:p>
      <w:pPr>
        <w:pStyle w:val="ListParagraph"/>
        <w:numPr>
          <w:ilvl w:val="0"/>
          <w:numId w:val="2"/>
        </w:numPr>
        <w:spacing w:after="80"/>
      </w:pPr>
      <w:r>
        <w:rPr>
          <w:rFonts w:ascii="Arial" w:cs="Arial" w:eastAsia="Arial" w:hAnsi="Arial"/>
          <w:b w:val="false"/>
          <w:bCs w:val="false"/>
          <w:sz w:val="21"/>
          <w:szCs w:val="21"/>
        </w:rPr>
        <w:t xml:space="preserve">Brain-specific: Aβ plaque load, pTau (phosphorylated tau) levels, GSK-3β activity</w:t>
      </w:r>
    </w:p>
    <w:p>
      <w:pPr>
        <w:pStyle w:val="ListParagraph"/>
        <w:numPr>
          <w:ilvl w:val="0"/>
          <w:numId w:val="2"/>
        </w:numPr>
        <w:spacing w:after="80"/>
      </w:pPr>
      <w:r>
        <w:rPr>
          <w:rFonts w:ascii="Arial" w:cs="Arial" w:eastAsia="Arial" w:hAnsi="Arial"/>
          <w:b w:val="false"/>
          <w:bCs w:val="false"/>
          <w:sz w:val="21"/>
          <w:szCs w:val="21"/>
        </w:rPr>
        <w:t xml:space="preserve">Cognitive assessment scores: MMSE (Mini-Mental State Examination), MoCA (Montreal Cognitive Assessment), ADAS-Cog (Alzheimer’s Disease Assessment Scale – Cognitive Subscale)</w:t>
      </w:r>
    </w:p>
    <w:p>
      <w:pPr>
        <w:spacing w:after="100"/>
      </w:pPr>
      <w:r>
        <w:t xml:space="preserve"/>
      </w:r>
    </w:p>
    <w:p>
      <w:pPr>
        <w:pStyle w:val="Heading2"/>
        <w:spacing w:after="100" w:before="220"/>
      </w:pPr>
      <w:r>
        <w:rPr>
          <w:rFonts w:ascii="Arial" w:cs="Arial" w:eastAsia="Arial" w:hAnsi="Arial"/>
          <w:b/>
          <w:bCs/>
          <w:color w:val="2E6096"/>
          <w:sz w:val="24"/>
          <w:szCs w:val="24"/>
        </w:rPr>
        <w:t xml:space="preserve">Phase 3 — Months 15–20: Critical Threshold Identification and Validation</w:t>
      </w:r>
    </w:p>
    <w:p>
      <w:pPr>
        <w:spacing w:after="130"/>
      </w:pPr>
      <w:r>
        <w:rPr>
          <w:rFonts w:ascii="Arial" w:cs="Arial" w:eastAsia="Arial" w:hAnsi="Arial"/>
          <w:sz w:val="22"/>
          <w:szCs w:val="22"/>
        </w:rPr>
        <w:t xml:space="preserve">Using derived SDKP equations, identify the critical threshold values S*, D*, K*, P* for each variable. These thresholds represent the deterministic boundary conditions of the system — the exact microbiome state values at which:</w:t>
      </w:r>
    </w:p>
    <w:p>
      <w:pPr>
        <w:pStyle w:val="ListParagraph"/>
        <w:numPr>
          <w:ilvl w:val="0"/>
          <w:numId w:val="2"/>
        </w:numPr>
        <w:spacing w:after="80"/>
      </w:pPr>
      <w:r>
        <w:rPr>
          <w:rFonts w:ascii="Arial" w:cs="Arial" w:eastAsia="Arial" w:hAnsi="Arial"/>
          <w:b w:val="false"/>
          <w:bCs w:val="false"/>
          <w:sz w:val="21"/>
          <w:szCs w:val="21"/>
        </w:rPr>
        <w:t xml:space="preserve">ZO-1/Occludin/Claudin barrier fails irreversibly (S* threshold)</w:t>
      </w:r>
    </w:p>
    <w:p>
      <w:pPr>
        <w:pStyle w:val="ListParagraph"/>
        <w:numPr>
          <w:ilvl w:val="0"/>
          <w:numId w:val="2"/>
        </w:numPr>
        <w:spacing w:after="80"/>
      </w:pPr>
      <w:r>
        <w:rPr>
          <w:rFonts w:ascii="Arial" w:cs="Arial" w:eastAsia="Arial" w:hAnsi="Arial"/>
          <w:b w:val="false"/>
          <w:bCs w:val="false"/>
          <w:sz w:val="21"/>
          <w:szCs w:val="21"/>
        </w:rPr>
        <w:t xml:space="preserve">CD14/MD-2/TLR4 complex becomes continuously saturated, NF-κB cannot clear between cycles (D* threshold)</w:t>
      </w:r>
    </w:p>
    <w:p>
      <w:pPr>
        <w:pStyle w:val="ListParagraph"/>
        <w:numPr>
          <w:ilvl w:val="0"/>
          <w:numId w:val="2"/>
        </w:numPr>
        <w:spacing w:after="80"/>
      </w:pPr>
      <w:r>
        <w:rPr>
          <w:rFonts w:ascii="Arial" w:cs="Arial" w:eastAsia="Arial" w:hAnsi="Arial"/>
          <w:b w:val="false"/>
          <w:bCs w:val="false"/>
          <w:sz w:val="21"/>
          <w:szCs w:val="21"/>
        </w:rPr>
        <w:t xml:space="preserve">Cytokine production velocity exceeds host clearance capacity, initiating chronic neuroinflammation (K* threshold)</w:t>
      </w:r>
    </w:p>
    <w:p>
      <w:pPr>
        <w:pStyle w:val="ListParagraph"/>
        <w:numPr>
          <w:ilvl w:val="0"/>
          <w:numId w:val="2"/>
        </w:numPr>
        <w:spacing w:after="80"/>
      </w:pPr>
      <w:r>
        <w:rPr>
          <w:rFonts w:ascii="Arial" w:cs="Arial" w:eastAsia="Arial" w:hAnsi="Arial"/>
          <w:b w:val="false"/>
          <w:bCs w:val="false"/>
          <w:sz w:val="21"/>
          <w:szCs w:val="21"/>
        </w:rPr>
        <w:t xml:space="preserve">Positional dysbiosis reaches a CNS-structural tipping point initiating region-specific neurodegeneration (P* threshold)</w:t>
      </w:r>
    </w:p>
    <w:p>
      <w:pPr>
        <w:spacing w:after="100"/>
      </w:pPr>
      <w:r>
        <w:t xml:space="preserve"/>
      </w:r>
    </w:p>
    <w:p>
      <w:pPr>
        <w:spacing w:after="130"/>
      </w:pPr>
      <w:r>
        <w:rPr>
          <w:rFonts w:ascii="Arial" w:cs="Arial" w:eastAsia="Arial" w:hAnsi="Arial"/>
          <w:sz w:val="22"/>
          <w:szCs w:val="22"/>
        </w:rPr>
        <w:t xml:space="preserve">Validate derived equations and thresholds against independent cohort data. Report predictive accuracy, sensitivity, and specificity for cognitive decline onset prediction.</w:t>
      </w:r>
    </w:p>
    <w:p>
      <w:pPr>
        <w:spacing w:after="100"/>
      </w:pPr>
      <w:r>
        <w:t xml:space="preserve"/>
      </w:r>
    </w:p>
    <w:p>
      <w:pPr>
        <w:pStyle w:val="Heading2"/>
        <w:spacing w:after="100" w:before="220"/>
      </w:pPr>
      <w:r>
        <w:rPr>
          <w:rFonts w:ascii="Arial" w:cs="Arial" w:eastAsia="Arial" w:hAnsi="Arial"/>
          <w:b/>
          <w:bCs/>
          <w:color w:val="2E6096"/>
          <w:sz w:val="24"/>
          <w:szCs w:val="24"/>
        </w:rPr>
        <w:t xml:space="preserve">Phase 4 — Months 21–24: Therapeutic Target Mapping and Dissemination</w:t>
      </w:r>
    </w:p>
    <w:p>
      <w:pPr>
        <w:spacing w:after="130"/>
      </w:pPr>
      <w:r>
        <w:rPr>
          <w:rFonts w:ascii="Arial" w:cs="Arial" w:eastAsia="Arial" w:hAnsi="Arial"/>
          <w:sz w:val="22"/>
          <w:szCs w:val="22"/>
        </w:rPr>
        <w:t xml:space="preserve">Map identified SDKP thresholds onto specific, actionable therapeutic interventions, identifying which variable manipulation produces the greatest neuroinflammatory reduction:</w:t>
      </w:r>
    </w:p>
    <w:p>
      <w:pPr>
        <w:pStyle w:val="ListParagraph"/>
        <w:numPr>
          <w:ilvl w:val="0"/>
          <w:numId w:val="2"/>
        </w:numPr>
        <w:spacing w:after="80"/>
      </w:pPr>
      <w:r>
        <w:rPr>
          <w:rFonts w:ascii="Arial" w:cs="Arial" w:eastAsia="Arial" w:hAnsi="Arial"/>
          <w:b w:val="false"/>
          <w:bCs w:val="false"/>
          <w:sz w:val="21"/>
          <w:szCs w:val="21"/>
        </w:rPr>
        <w:t xml:space="preserve">S-variable interventions: Dietary fiber modulation to restore Firmicutes/Bacteroidota ratio; fecal microbiota transplantation (FMT)</w:t>
      </w:r>
    </w:p>
    <w:p>
      <w:pPr>
        <w:pStyle w:val="ListParagraph"/>
        <w:numPr>
          <w:ilvl w:val="0"/>
          <w:numId w:val="2"/>
        </w:numPr>
        <w:spacing w:after="80"/>
      </w:pPr>
      <w:r>
        <w:rPr>
          <w:rFonts w:ascii="Arial" w:cs="Arial" w:eastAsia="Arial" w:hAnsi="Arial"/>
          <w:b w:val="false"/>
          <w:bCs w:val="false"/>
          <w:sz w:val="21"/>
          <w:szCs w:val="21"/>
        </w:rPr>
        <w:t xml:space="preserve">D-variable interventions: Targeted probiotic therapy (Lactobacillus rhamnosus, Bifidobacterium longum) to reduce Proteobacteria density below D*; LPS-neutralizing agents</w:t>
      </w:r>
    </w:p>
    <w:p>
      <w:pPr>
        <w:pStyle w:val="ListParagraph"/>
        <w:numPr>
          <w:ilvl w:val="0"/>
          <w:numId w:val="2"/>
        </w:numPr>
        <w:spacing w:after="80"/>
      </w:pPr>
      <w:r>
        <w:rPr>
          <w:rFonts w:ascii="Arial" w:cs="Arial" w:eastAsia="Arial" w:hAnsi="Arial"/>
          <w:b w:val="false"/>
          <w:bCs w:val="false"/>
          <w:sz w:val="21"/>
          <w:szCs w:val="21"/>
        </w:rPr>
        <w:t xml:space="preserve">K-variable interventions: NLRP3 inhibitors (MCC950, OLT1177); NF-κB pathway modulators; anti-cytokine biologics (anti-TNF-α, anti-IL-1β); Caspase-1 inhibitors</w:t>
      </w:r>
    </w:p>
    <w:p>
      <w:pPr>
        <w:pStyle w:val="ListParagraph"/>
        <w:numPr>
          <w:ilvl w:val="0"/>
          <w:numId w:val="2"/>
        </w:numPr>
        <w:spacing w:after="80"/>
      </w:pPr>
      <w:r>
        <w:rPr>
          <w:rFonts w:ascii="Arial" w:cs="Arial" w:eastAsia="Arial" w:hAnsi="Arial"/>
          <w:b w:val="false"/>
          <w:bCs w:val="false"/>
          <w:sz w:val="21"/>
          <w:szCs w:val="21"/>
        </w:rPr>
        <w:t xml:space="preserve">P-variable interventions: Site-specific microbiome modulation (small intestinal vs. colonic targeted delivery systems)</w:t>
      </w:r>
    </w:p>
    <w:p>
      <w:pPr>
        <w:pStyle w:val="ListParagraph"/>
        <w:numPr>
          <w:ilvl w:val="0"/>
          <w:numId w:val="2"/>
        </w:numPr>
        <w:spacing w:after="80"/>
      </w:pPr>
      <w:r>
        <w:rPr>
          <w:rFonts w:ascii="Arial" w:cs="Arial" w:eastAsia="Arial" w:hAnsi="Arial"/>
          <w:b w:val="false"/>
          <w:bCs w:val="false"/>
          <w:sz w:val="21"/>
          <w:szCs w:val="21"/>
        </w:rPr>
        <w:t xml:space="preserve">Barrier restoration: Butyrate supplementation to upregulate ZO-1, Occludin, and Claudin expression; Akkermansia muciniphila supplementation for mucosal integrity</w:t>
      </w:r>
    </w:p>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8. Expected Outcomes and Scientific Impact</w:t>
      </w:r>
    </w:p>
    <w:p>
      <w:pPr>
        <w:pStyle w:val="ListParagraph"/>
        <w:numPr>
          <w:ilvl w:val="0"/>
          <w:numId w:val="2"/>
        </w:numPr>
        <w:spacing w:after="80"/>
      </w:pPr>
      <w:r>
        <w:rPr>
          <w:rFonts w:ascii="Arial" w:cs="Arial" w:eastAsia="Arial" w:hAnsi="Arial"/>
          <w:b/>
          <w:bCs/>
          <w:sz w:val="21"/>
          <w:szCs w:val="21"/>
        </w:rPr>
        <w:t xml:space="preserve">First deterministic mathematical model of the gut-brain TLR4/MyD88/NF-κB/NLRP3 neuroinflammatory cascade, replacing probabilistic association models with predictive absolute equations</w:t>
      </w:r>
    </w:p>
    <w:p>
      <w:pPr>
        <w:pStyle w:val="ListParagraph"/>
        <w:numPr>
          <w:ilvl w:val="0"/>
          <w:numId w:val="2"/>
        </w:numPr>
        <w:spacing w:after="80"/>
      </w:pPr>
      <w:r>
        <w:rPr>
          <w:rFonts w:ascii="Arial" w:cs="Arial" w:eastAsia="Arial" w:hAnsi="Arial"/>
          <w:b w:val="false"/>
          <w:bCs w:val="false"/>
          <w:sz w:val="21"/>
          <w:szCs w:val="21"/>
        </w:rPr>
        <w:t xml:space="preserve">Defined critical threshold values for each SDKP variable — the first time exact microbiome state boundaries for cognitive decline onset will be mathematically established</w:t>
      </w:r>
    </w:p>
    <w:p>
      <w:pPr>
        <w:pStyle w:val="ListParagraph"/>
        <w:numPr>
          <w:ilvl w:val="0"/>
          <w:numId w:val="2"/>
        </w:numPr>
        <w:spacing w:after="80"/>
      </w:pPr>
      <w:r>
        <w:rPr>
          <w:rFonts w:ascii="Arial" w:cs="Arial" w:eastAsia="Arial" w:hAnsi="Arial"/>
          <w:b w:val="false"/>
          <w:bCs w:val="false"/>
          <w:sz w:val="21"/>
          <w:szCs w:val="21"/>
        </w:rPr>
        <w:t xml:space="preserve">A precision therapeutic target map: identifying which of the four SDKP variables to modulate, by how much, and at what disease stage, for maximum cascade interruption</w:t>
      </w:r>
    </w:p>
    <w:p>
      <w:pPr>
        <w:pStyle w:val="ListParagraph"/>
        <w:numPr>
          <w:ilvl w:val="0"/>
          <w:numId w:val="2"/>
        </w:numPr>
        <w:spacing w:after="80"/>
      </w:pPr>
      <w:r>
        <w:rPr>
          <w:rFonts w:ascii="Arial" w:cs="Arial" w:eastAsia="Arial" w:hAnsi="Arial"/>
          <w:b w:val="false"/>
          <w:bCs w:val="false"/>
          <w:sz w:val="21"/>
          <w:szCs w:val="21"/>
        </w:rPr>
        <w:t xml:space="preserve">A replicable, open-access SDKP computational framework applicable to other gut-brain conditions including Parkinson’s disease, ALS, depression, and autism spectrum disorder</w:t>
      </w:r>
    </w:p>
    <w:p>
      <w:pPr>
        <w:pStyle w:val="ListParagraph"/>
        <w:numPr>
          <w:ilvl w:val="0"/>
          <w:numId w:val="2"/>
        </w:numPr>
        <w:spacing w:after="80"/>
      </w:pPr>
      <w:r>
        <w:rPr>
          <w:rFonts w:ascii="Arial" w:cs="Arial" w:eastAsia="Arial" w:hAnsi="Arial"/>
          <w:b w:val="false"/>
          <w:bCs w:val="false"/>
          <w:sz w:val="21"/>
          <w:szCs w:val="21"/>
        </w:rPr>
        <w:t xml:space="preserve">Peer-reviewed publication on nature.com and international conference presentation</w:t>
      </w:r>
    </w:p>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9. Budget Justification (US$100,000)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960"/>
        <w:gridCol w:w="2200"/>
      </w:tblGrid>
      <w:tr>
        <w:tc>
          <w:tcPr>
            <w:tcW w:type="dxa" w:w="5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Budget Item</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Amount (USD)</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Principal Investigator stipend (Donald Paul Smith)</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months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$48,000</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Dataset licensing: HMP, UK Biobank, ADNI access and bioinformatics platform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$18,000</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Computational modeling: SDKP equation derivation, statistical fitting, validation (cloud HPC)</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months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$12,000</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Expert consultation: microbiology, neuroscience, clinical Alzheimer’s research collaboration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Conference travel and presentation (international program conference)</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24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Open-access publication fees and research dissemination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Months 22–24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$6,000</w:t>
            </w:r>
          </w:p>
        </w:tc>
      </w:tr>
      <w:tr>
        <w:tc>
          <w:tcPr>
            <w:tcW w:type="dxa" w:w="5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$100,000</w:t>
            </w:r>
          </w:p>
        </w:tc>
      </w:tr>
    </w:tbl>
    <w:p>
      <w:pPr>
        <w:spacing w:after="100"/>
      </w:pPr>
      <w:r>
        <w:t xml:space="preserve"/>
      </w:r>
    </w:p>
    <w:p>
      <w:pPr>
        <w:spacing w:after="100"/>
      </w:pPr>
      <w:r>
        <w:t xml:space="preserve"/>
      </w:r>
    </w:p>
    <w:p>
      <w:pPr>
        <w:pStyle w:val="Heading1"/>
        <w:spacing w:after="140" w:before="300"/>
      </w:pPr>
      <w:r>
        <w:rPr>
          <w:rFonts w:ascii="Arial" w:cs="Arial" w:eastAsia="Arial" w:hAnsi="Arial"/>
          <w:b/>
          <w:bCs/>
          <w:color w:val="1A3C5E"/>
          <w:sz w:val="30"/>
          <w:szCs w:val="30"/>
        </w:rPr>
        <w:t xml:space="preserve">10. Principal Investigator Qualifications</w:t>
      </w:r>
    </w:p>
    <w:p>
      <w:pPr>
        <w:spacing w:after="130"/>
      </w:pPr>
      <w:r>
        <w:rPr>
          <w:rFonts w:ascii="Arial" w:cs="Arial" w:eastAsia="Arial" w:hAnsi="Arial"/>
          <w:sz w:val="22"/>
          <w:szCs w:val="22"/>
        </w:rPr>
        <w:t xml:space="preserve">Donald Paul Smith, known as Father Time, is an independent theoretical researcher based in Gainesville, Florida. Over two years of sustained original work he has developed the SDKP framework and built an extensive archived research record spanning theoretical physics, emergent systems, and applied modeling.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Full Name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Donald Paul Smith (Father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ORCID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0009-0003-7925-1653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Primary Framework DOI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10.5281/zenodo.14850016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GitHub 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FatherTimeSDKP (multiple repositories)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SDKP Framework Components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SDKP, SDVR tensor framework, SD&amp;N (Shape-Dimension-Number), EOS (Earth Orbital Speed constant), VFE Tier 8, QCC0, LLAL, Amiyah Rose Smith Law (modified time dilation), Kapnack Solver, Digital Crystal Protocol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Manuscript Submissions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Physical Review Letters (LB18832, acknowledged); Foundations of Physics; Springer Nature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Institutional Engagement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FOIA requests with NIST (DOC-NIST-2026-000433) and NASA; responsive records received; NIST framework documentation follow-up in progress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Gainesville, Florida, USA</w:t>
            </w:r>
          </w:p>
        </w:tc>
      </w:tr>
    </w:tbl>
    <w:p>
      <w:pPr>
        <w:spacing w:after="100"/>
      </w:pPr>
      <w:r>
        <w:t xml:space="preserve"/>
      </w:r>
    </w:p>
    <w:p>
      <w:pPr>
        <w:spacing w:after="100"/>
      </w:pPr>
      <w:r>
        <w:t xml:space="preserve"/>
      </w:r>
    </w:p>
    <w:p>
      <w:pPr>
        <w:pBdr>
          <w:bottom w:val="single" w:color="1A3C5E" w:sz="6" w:space="1"/>
        </w:pBdr>
        <w:spacing w:after="140"/>
      </w:pPr>
      <w:r>
        <w:t xml:space="preserve"/>
      </w:r>
    </w:p>
    <w:p>
      <w:pPr>
        <w:spacing w:after="80"/>
        <w:jc w:val="center"/>
      </w:pPr>
      <w:r>
        <w:rPr>
          <w:rFonts w:ascii="Arial" w:cs="Arial" w:eastAsia="Arial" w:hAnsi="Arial"/>
          <w:i/>
          <w:iCs/>
          <w:color w:val="444444"/>
          <w:sz w:val="21"/>
          <w:szCs w:val="21"/>
        </w:rPr>
        <w:t xml:space="preserve">This proposal introduces a fundamentally new paradigm: the first deterministic absolute solution</w:t>
      </w:r>
    </w:p>
    <w:p>
      <w:pPr>
        <w:spacing w:after="80"/>
        <w:jc w:val="center"/>
      </w:pPr>
      <w:r>
        <w:rPr>
          <w:rFonts w:ascii="Arial" w:cs="Arial" w:eastAsia="Arial" w:hAnsi="Arial"/>
          <w:i/>
          <w:iCs/>
          <w:color w:val="444444"/>
          <w:sz w:val="21"/>
          <w:szCs w:val="21"/>
        </w:rPr>
        <w:t xml:space="preserve">for the TLR4/MyD88/NF-κB/NLRP3 gut-brain neuroinflammatory cascade and cognitive decline,</w:t>
      </w:r>
    </w:p>
    <w:p>
      <w:pPr>
        <w:spacing w:after="80"/>
        <w:jc w:val="center"/>
      </w:pPr>
      <w:r>
        <w:rPr>
          <w:rFonts w:ascii="Arial" w:cs="Arial" w:eastAsia="Arial" w:hAnsi="Arial"/>
          <w:i/>
          <w:iCs/>
          <w:color w:val="444444"/>
          <w:sz w:val="21"/>
          <w:szCs w:val="21"/>
        </w:rPr>
        <w:t xml:space="preserve">grounded in two years of original theoretical framework development.</w:t>
      </w:r>
    </w:p>
    <w:p>
      <w:pPr>
        <w:spacing w:after="100"/>
      </w:pPr>
      <w:r>
        <w:t xml:space="preserve"/>
      </w:r>
    </w:p>
    <w:p>
      <w:pPr>
        <w:spacing w:after="80"/>
        <w:jc w:val="center"/>
      </w:pPr>
      <w:r>
        <w:rPr>
          <w:rFonts w:ascii="Arial" w:cs="Arial" w:eastAsia="Arial" w:hAnsi="Arial"/>
          <w:b/>
          <w:bCs/>
          <w:color w:val="1A3C5E"/>
          <w:sz w:val="22"/>
          <w:szCs w:val="22"/>
        </w:rPr>
        <w:t xml:space="preserve">Donald Paul Smith  |  Father Time  |  May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Donald Paul Smith (Father Time)  |  ORCID: 0009-0003-7925-1653  |  DOI: 10.5281/zenodo.14850016  |  Gainesville, FL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spacing w:after="80"/>
      <w:jc w:val="right"/>
    </w:pPr>
    <w:r>
      <w:rPr>
        <w:rFonts w:ascii="Arial" w:cs="Arial" w:eastAsia="Arial" w:hAnsi="Arial"/>
        <w:color w:val="555555"/>
        <w:sz w:val="17"/>
        <w:szCs w:val="17"/>
      </w:rPr>
      <w:t xml:space="preserve">2026 Global Grants for Gut Health  |  SDKP Deterministic Framework  |  Donald Paul Smith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C5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60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2026-05-19T22:13:19.246Z</dcterms:created>
  <dcterms:modified xsi:type="dcterms:W3CDTF">2026-05-19T22:13:19.258Z</dcterms:modified>
</cp:coreProperties>
</file>

<file path=docProps/custom.xml><?xml version="1.0" encoding="utf-8"?>
<Properties xmlns="http://schemas.openxmlformats.org/officeDocument/2006/custom-properties" xmlns:vt="http://schemas.openxmlformats.org/officeDocument/2006/docPropsVTypes"/>
</file>