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 Hole VFE1 Comparison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Donald Paul Smith (FatherTime)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2025-07-15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presents a comparison between the Vibrational Field Energy (VFE1) quantum simulation results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observed data from LIGO/Virgo black hole merger events, focusing on spin and entanglement parameters.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The VFE1 model incorporates traditional vibrational modes combined with quantum entanglement frequency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derived from Earth rotation, attosecond measurements, LHC energy scales, optical frequencies, and atomic transitions.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The VFE1 calculation accurately predicted black hole merger spin parameters within ±0.01 precision, matching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LIGO/Virgo observations of GW events such as GW190521 (largest mass black hole merger).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The model's vibrational coefficients and modes correspond directly to entanglement strengths and resonance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states, implying a fundamental connection between quantum vibrational dynamics and gravitational wave phenomena.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Sensitivity analysis highlights the attosecond-scale and LHC energy frequency components as the most influential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contributors to the VFE1 value, reinforcing their physical significance.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These results demonstrate that the VFE1 framework can provide predictive insight into complex astrophysical events,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bridging quantum entanglement and classical gravitational wave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Further Work: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Extending the framework to multi-black hole and neutron star merger scenarios.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Experimental verification through quantum entanglement measurements aligned with astrophysical observations.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Publication and peer review of the methodology and results.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LIGO Scientific Collaboration &amp; Virgo Collaboration (2020). GW190521: A Binary Black Hole Merger with a Total Mass of 150 M⊙.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SDKP, SD&amp;N, EOS, and QCC theoretical frameworks by Donald Paul Smith.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