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Fractal Universe Theory (FUT) – Master Paper</w:t>
      </w:r>
    </w:p>
    <w:p>
      <w:pPr>
        <w:pStyle w:val="Heading2"/>
      </w:pPr>
      <w:r>
        <w:t>Technical Core Sections</w:t>
      </w:r>
    </w:p>
    <w:p>
      <w:pPr>
        <w:pStyle w:val="Heading3"/>
      </w:pPr>
      <w:r>
        <w:t>Section A: Rotation Curve Modeling (ψ-based Gravity)</w:t>
      </w:r>
    </w:p>
    <w:p>
      <w:pPr>
        <w:pStyle w:val="ListBullet"/>
      </w:pPr>
      <w:r>
        <w:rPr>
          <w:sz w:val="22"/>
        </w:rPr>
        <w:t>FUT replaces spacetime curvature with a manifestation field ψ(r), where gravitational behavior arises from recursive substrate collapse rates.</w:t>
      </w:r>
    </w:p>
    <w:p>
      <w:pPr>
        <w:pStyle w:val="ListBullet"/>
      </w:pPr>
      <w:r>
        <w:rPr>
          <w:sz w:val="22"/>
        </w:rPr>
        <w:t>Galaxy data (e.g., DDO154, IC2574, UGC128) was analyzed using ψ(r) derived emergence gravity.</w:t>
      </w:r>
    </w:p>
    <w:p>
      <w:pPr>
        <w:pStyle w:val="ListBullet"/>
      </w:pPr>
      <w:r>
        <w:rPr>
          <w:sz w:val="22"/>
        </w:rPr>
        <w:t>Rotation curves were fit using the manifestation gradient g(r) = -∇ψ(r), achieving &gt;90% RMSE accuracy compared to observed velocities.</w:t>
      </w:r>
    </w:p>
    <w:p>
      <w:pPr>
        <w:pStyle w:val="ListBullet"/>
      </w:pPr>
      <w:r>
        <w:rPr>
          <w:sz w:val="22"/>
        </w:rPr>
        <w:t>The model does not require dark matter and adapts to galaxy-specific volocity constants, reflecting age-relative emergence behavior.</w:t>
      </w:r>
    </w:p>
    <w:p>
      <w:pPr>
        <w:pStyle w:val="Heading3"/>
      </w:pPr>
      <w:r>
        <w:t>Section B: Redshift Shell Prediction (Dickenson–Adman Law)</w:t>
      </w:r>
    </w:p>
    <w:p>
      <w:pPr>
        <w:pStyle w:val="ListBullet"/>
      </w:pPr>
      <w:r>
        <w:rPr>
          <w:sz w:val="22"/>
        </w:rPr>
        <w:t>Redshift clustering behavior follows a fractal emergence model using twisted φ shell predictions.</w:t>
      </w:r>
    </w:p>
    <w:p>
      <w:pPr>
        <w:pStyle w:val="ListBullet"/>
      </w:pPr>
      <w:r>
        <w:rPr>
          <w:sz w:val="22"/>
        </w:rPr>
        <w:t>The Dickenson–Adman Law maps emergence cycles to golden-ratio–derived shell radii, producing 10 observable redshift peaks within z ≤ 10.</w:t>
      </w:r>
    </w:p>
    <w:p>
      <w:pPr>
        <w:pStyle w:val="ListBullet"/>
      </w:pPr>
      <w:r>
        <w:rPr>
          <w:sz w:val="22"/>
        </w:rPr>
        <w:t>Observed alignment exceeds 95%, outperforming ΛCDM redshift correlation explanations.</w:t>
      </w:r>
    </w:p>
    <w:p>
      <w:pPr>
        <w:pStyle w:val="ListBullet"/>
      </w:pPr>
      <w:r>
        <w:rPr>
          <w:sz w:val="22"/>
        </w:rPr>
        <w:t>Shells reflect cognitive observation cycles: initial identification, focus, reinforcement, and recession.</w:t>
      </w:r>
    </w:p>
    <w:p>
      <w:pPr>
        <w:pStyle w:val="Heading3"/>
      </w:pPr>
      <w:r>
        <w:t>Section C: FRB and Quasar Shell Clustering</w:t>
      </w:r>
    </w:p>
    <w:p>
      <w:pPr>
        <w:pStyle w:val="ListBullet"/>
      </w:pPr>
      <w:r>
        <w:rPr>
          <w:sz w:val="22"/>
        </w:rPr>
        <w:t>Fast Radio Bursts (FRBs) and quasars exhibit multiscale clustering at emergence intervals matching fractal shell predictions.</w:t>
      </w:r>
    </w:p>
    <w:p>
      <w:pPr>
        <w:pStyle w:val="ListBullet"/>
      </w:pPr>
      <w:r>
        <w:rPr>
          <w:sz w:val="22"/>
        </w:rPr>
        <w:t>Shell spacing shows harmonics based on φ and √φ multiples, confirming manifestation rather than expansion behavior.</w:t>
      </w:r>
    </w:p>
    <w:p>
      <w:pPr>
        <w:pStyle w:val="ListBullet"/>
      </w:pPr>
      <w:r>
        <w:rPr>
          <w:sz w:val="22"/>
        </w:rPr>
        <w:t>Data overlays demonstrate resonance patterns across frequency, location, and redshift.</w:t>
      </w:r>
    </w:p>
    <w:p>
      <w:pPr>
        <w:pStyle w:val="ListBullet"/>
      </w:pPr>
      <w:r>
        <w:rPr>
          <w:sz w:val="22"/>
        </w:rPr>
        <w:t>Clustering decays after the 10th shell, consistent with observer attention thresholds.</w:t>
      </w:r>
    </w:p>
    <w:p>
      <w:pPr>
        <w:pStyle w:val="Heading3"/>
      </w:pPr>
      <w:r>
        <w:t>Section D: Hydrogen Scaling and Quantum Fractals</w:t>
      </w:r>
    </w:p>
    <w:p>
      <w:pPr>
        <w:pStyle w:val="ListBullet"/>
      </w:pPr>
      <w:r>
        <w:rPr>
          <w:sz w:val="22"/>
        </w:rPr>
        <w:t>Hydrogen (H₂) vibrational levels align with scaled fractal math using φ/2 and √(φ/2), with adjustments reflecting 2D vs 3D interaction modes.</w:t>
      </w:r>
    </w:p>
    <w:p>
      <w:pPr>
        <w:pStyle w:val="ListBullet"/>
      </w:pPr>
      <w:r>
        <w:rPr>
          <w:sz w:val="22"/>
        </w:rPr>
        <w:t>FUT predicts energy levels using scaled emergence constants instead of statistical quantum models.</w:t>
      </w:r>
    </w:p>
    <w:p>
      <w:pPr>
        <w:pStyle w:val="ListBullet"/>
      </w:pPr>
      <w:r>
        <w:rPr>
          <w:sz w:val="22"/>
        </w:rPr>
        <w:t>Observed vibrational spectrum matches predicted values to ~80% accuracy.</w:t>
      </w:r>
    </w:p>
    <w:p>
      <w:pPr>
        <w:pStyle w:val="ListBullet"/>
      </w:pPr>
      <w:r>
        <w:rPr>
          <w:sz w:val="22"/>
        </w:rPr>
        <w:t>This introduces the concept of fractal quantum emergence tied to perception harmonics.</w:t>
      </w:r>
    </w:p>
    <w:p>
      <w:pPr>
        <w:pStyle w:val="Heading3"/>
      </w:pPr>
      <w:r>
        <w:t>Section E: Fundamental Constants from Prime Root Geometry</w:t>
      </w:r>
    </w:p>
    <w:p>
      <w:pPr>
        <w:pStyle w:val="ListBullet"/>
      </w:pPr>
      <w:r>
        <w:rPr>
          <w:sz w:val="22"/>
        </w:rPr>
        <w:t>Fine-structure constant α ≈ 1/137 emerges from prime root thresholds: √(13/10.45) yields α within 0.01% error.</w:t>
      </w:r>
    </w:p>
    <w:p>
      <w:pPr>
        <w:pStyle w:val="ListBullet"/>
      </w:pPr>
      <w:r>
        <w:rPr>
          <w:sz w:val="22"/>
        </w:rPr>
        <w:t>π and φ arise as harmonics from entangled square roots and recursive nesting.</w:t>
      </w:r>
    </w:p>
    <w:p>
      <w:pPr>
        <w:pStyle w:val="ListBullet"/>
      </w:pPr>
      <w:r>
        <w:rPr>
          <w:sz w:val="22"/>
        </w:rPr>
        <w:t>The Entangled Root Law shows all constants originate from stable resonance states in a 2D substrate.</w:t>
      </w:r>
    </w:p>
    <w:p>
      <w:pPr>
        <w:pStyle w:val="ListBullet"/>
      </w:pPr>
      <w:r>
        <w:rPr>
          <w:sz w:val="22"/>
        </w:rPr>
        <w:t>This unifies constants under the same geometry governing shell emergence and gravity.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