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9A318" w14:textId="77777777" w:rsidR="0053119D" w:rsidRDefault="00EA1E4B">
      <w:pPr>
        <w:spacing w:before="200" w:after="100"/>
        <w:jc w:val="center"/>
      </w:pPr>
      <w:r>
        <w:rPr>
          <w:b/>
          <w:bCs/>
          <w:sz w:val="32"/>
          <w:szCs w:val="32"/>
        </w:rPr>
        <w:t>THE PEPSICO FINANCIAL ANALYSIS SERIES</w:t>
      </w:r>
    </w:p>
    <w:p w14:paraId="3FF9A319" w14:textId="77777777" w:rsidR="0053119D" w:rsidRDefault="00EA1E4B">
      <w:pPr>
        <w:spacing w:before="80" w:after="80"/>
        <w:jc w:val="center"/>
      </w:pPr>
      <w:r>
        <w:rPr>
          <w:b/>
          <w:bCs/>
          <w:sz w:val="28"/>
          <w:szCs w:val="28"/>
        </w:rPr>
        <w:t>Part I — FSA and Financial Health Assessment</w:t>
      </w:r>
    </w:p>
    <w:p w14:paraId="3FF9A31A" w14:textId="77777777" w:rsidR="0053119D" w:rsidRDefault="00EA1E4B">
      <w:pPr>
        <w:spacing w:before="80" w:after="300"/>
        <w:jc w:val="center"/>
      </w:pPr>
      <w:r>
        <w:rPr>
          <w:b/>
          <w:bCs/>
          <w:sz w:val="28"/>
          <w:szCs w:val="28"/>
        </w:rPr>
        <w:t>Section A — Business Understanding</w:t>
      </w:r>
    </w:p>
    <w:p w14:paraId="3FF9A31B" w14:textId="77777777" w:rsidR="0053119D" w:rsidRDefault="00EA1E4B">
      <w:pPr>
        <w:pBdr>
          <w:bottom w:val="single" w:sz="6" w:space="0" w:color="000000"/>
        </w:pBdr>
        <w:spacing w:before="400" w:after="160"/>
      </w:pPr>
      <w:r>
        <w:rPr>
          <w:b/>
          <w:bCs/>
          <w:sz w:val="32"/>
          <w:szCs w:val="32"/>
        </w:rPr>
        <w:t>A1 — Company Overview and History</w:t>
      </w:r>
    </w:p>
    <w:p w14:paraId="3FF9A31C" w14:textId="77777777" w:rsidR="0053119D" w:rsidRDefault="00EA1E4B">
      <w:pPr>
        <w:spacing w:before="100" w:after="160"/>
        <w:ind w:left="360"/>
      </w:pPr>
      <w:r>
        <w:rPr>
          <w:i/>
          <w:iCs/>
          <w:sz w:val="24"/>
          <w:szCs w:val="24"/>
        </w:rPr>
        <w:t>Primary question: What is PepsiCo and what shaped the company we are analyzing today?</w:t>
      </w:r>
    </w:p>
    <w:p w14:paraId="3FF9A31D" w14:textId="77777777" w:rsidR="0053119D" w:rsidRDefault="00EA1E4B">
      <w:pPr>
        <w:spacing w:before="100" w:after="100"/>
      </w:pPr>
      <w:r>
        <w:rPr>
          <w:sz w:val="24"/>
          <w:szCs w:val="24"/>
        </w:rPr>
        <w:t>PepsiCo, Inc. was incorporated on June 8, 1965, when the Pepsi-Cola Company merged with Frito-Lay, Inc. The Pepsi-Cola Company itself traces its origins to August 28, 1898, when pharmacist Caleb Bradham renamed his carbonated drink Pepsi-Cola in New Bern, North Carolina. PepsiCo was initially incorporated in Delaware and headquartered in Manhattan, New York, before relocating to Purchase, New York in 1970 and reincorporating in North Carolina in 1986.</w:t>
      </w:r>
    </w:p>
    <w:p w14:paraId="3FF9A31E" w14:textId="77777777" w:rsidR="0053119D" w:rsidRDefault="00EA1E4B">
      <w:pPr>
        <w:spacing w:before="100" w:after="100"/>
      </w:pPr>
      <w:r>
        <w:rPr>
          <w:sz w:val="24"/>
          <w:szCs w:val="24"/>
        </w:rPr>
        <w:t>The 1965 merger combined Pepsi-Cola's beverage portfolio with Frito-Lay's savory snack business — a pairing that has defined PepsiCo's identity as both a beverage and convenient food company ever since. A second defining moment came in 2001, when PepsiCo acquired The Quaker Oats Company for approximately $13.4 billion, adding the Quaker, Gatorade, and Tropicana brands and broadening the company's portfolio beyond carbonated beverages and salty snacks. Tropicana was subsequently divested in 2022.</w:t>
      </w:r>
    </w:p>
    <w:p w14:paraId="3FF9A31F" w14:textId="77777777" w:rsidR="0053119D" w:rsidRDefault="00EA1E4B">
      <w:pPr>
        <w:spacing w:before="100" w:after="100"/>
      </w:pPr>
      <w:r>
        <w:rPr>
          <w:sz w:val="24"/>
          <w:szCs w:val="24"/>
        </w:rPr>
        <w:t>Today, PepsiCo is one of the world's largest food and beverage companies, with products sold in more than 200 countries and territories. The company reported net revenues of $93.9 billion in fiscal year 2025 and employs approximately 306,000 people globally. PepsiCo's portfolio includes 23 brands that each generate more than $1 billion in estimated annual retail sales, including Pepsi, Lay's, Doritos, Gatorade, Mountain Dew, Quaker, and others.</w:t>
      </w:r>
    </w:p>
    <w:p w14:paraId="3FF9A320" w14:textId="77777777" w:rsidR="0053119D" w:rsidRDefault="0053119D">
      <w:pPr>
        <w:spacing w:before="100" w:after="100"/>
      </w:pPr>
    </w:p>
    <w:p w14:paraId="3FF9A321" w14:textId="77777777" w:rsidR="0053119D" w:rsidRDefault="00EA1E4B">
      <w:pPr>
        <w:spacing w:before="280" w:after="120"/>
      </w:pPr>
      <w:r>
        <w:rPr>
          <w:b/>
          <w:bCs/>
          <w:sz w:val="28"/>
          <w:szCs w:val="28"/>
        </w:rPr>
        <w:t>Key Takeaways — A1</w:t>
      </w:r>
    </w:p>
    <w:p w14:paraId="3FF9A322" w14:textId="77777777" w:rsidR="0053119D" w:rsidRDefault="00EA1E4B">
      <w:pPr>
        <w:spacing w:before="100" w:after="100"/>
      </w:pPr>
      <w:r>
        <w:rPr>
          <w:sz w:val="24"/>
          <w:szCs w:val="24"/>
        </w:rPr>
        <w:t>PepsiCo's current structure is the product of two foundational events — the 1965 merger that combined beverages and convenient foods under one company, and the 2001 Quaker Oats acquisition that added cereal and sports drinks. These events explain why PepsiCo operates across a broader set of product categories than a pure beverage company like Coca-Cola, and why the segment structure and competitive landscape look different from what a single-category consumer goods company would produce. The analysis throug</w:t>
      </w:r>
      <w:r>
        <w:rPr>
          <w:sz w:val="24"/>
          <w:szCs w:val="24"/>
        </w:rPr>
        <w:t>hout Part I is conducted with this dual-category, multi-decade context in mind.</w:t>
      </w:r>
    </w:p>
    <w:p w14:paraId="3FF9A323" w14:textId="77777777" w:rsidR="0053119D" w:rsidRDefault="0053119D">
      <w:pPr>
        <w:spacing w:before="100" w:after="100"/>
      </w:pPr>
    </w:p>
    <w:p w14:paraId="3FF9A324" w14:textId="77777777" w:rsidR="0053119D" w:rsidRDefault="00EA1E4B">
      <w:pPr>
        <w:spacing w:before="100" w:after="100"/>
      </w:pPr>
      <w:r>
        <w:rPr>
          <w:sz w:val="24"/>
          <w:szCs w:val="24"/>
        </w:rPr>
        <w:t>Sources:</w:t>
      </w:r>
    </w:p>
    <w:p w14:paraId="3FF9A325" w14:textId="77777777" w:rsidR="0053119D" w:rsidRDefault="00EA1E4B">
      <w:pPr>
        <w:spacing w:before="40" w:after="60"/>
        <w:ind w:left="360"/>
      </w:pPr>
      <w:r>
        <w:rPr>
          <w:i/>
          <w:iCs/>
          <w:color w:val="444444"/>
        </w:rPr>
        <w:t>PepsiCo, Inc. (2025). About the Company. https://www.pepsico.com/about/about-the-company</w:t>
      </w:r>
    </w:p>
    <w:p w14:paraId="3FF9A326" w14:textId="77777777" w:rsidR="0053119D" w:rsidRDefault="00EA1E4B">
      <w:pPr>
        <w:spacing w:before="40" w:after="60"/>
        <w:ind w:left="360"/>
      </w:pPr>
      <w:r>
        <w:rPr>
          <w:i/>
          <w:iCs/>
          <w:color w:val="444444"/>
        </w:rPr>
        <w:t>PepsiCo, Inc. (2025). Annual Report on Form 10-K for fiscal year ended December 27, 2025. United States Securities and Exchange Commission. https://investors.pepsico.com/docs/pepsico-5v9wci20/media/Files/investors/q4-2025-form-10k.pdf</w:t>
      </w:r>
    </w:p>
    <w:p w14:paraId="3FF9A327" w14:textId="77777777" w:rsidR="0053119D" w:rsidRDefault="00EA1E4B">
      <w:pPr>
        <w:spacing w:before="40" w:after="60"/>
        <w:ind w:left="360"/>
      </w:pPr>
      <w:proofErr w:type="spellStart"/>
      <w:r>
        <w:rPr>
          <w:i/>
          <w:iCs/>
          <w:color w:val="444444"/>
        </w:rPr>
        <w:t>MatrixBCG</w:t>
      </w:r>
      <w:proofErr w:type="spellEnd"/>
      <w:r>
        <w:rPr>
          <w:i/>
          <w:iCs/>
          <w:color w:val="444444"/>
        </w:rPr>
        <w:t>. (2026). Brief History of PepsiCo Company. https://matrixbcg.com/blogs/brief-history/pepsico</w:t>
      </w:r>
    </w:p>
    <w:p w14:paraId="3FF9A329" w14:textId="550417AE" w:rsidR="0053119D" w:rsidRDefault="00EA1E4B" w:rsidP="00403375">
      <w:r>
        <w:br w:type="page"/>
      </w:r>
      <w:r>
        <w:rPr>
          <w:b/>
          <w:bCs/>
          <w:sz w:val="32"/>
          <w:szCs w:val="32"/>
        </w:rPr>
        <w:lastRenderedPageBreak/>
        <w:t>A2 — Business Model and Revenue Streams</w:t>
      </w:r>
    </w:p>
    <w:p w14:paraId="3FF9A32A" w14:textId="77777777" w:rsidR="0053119D" w:rsidRDefault="00EA1E4B">
      <w:pPr>
        <w:spacing w:before="100" w:after="160"/>
        <w:ind w:left="360"/>
      </w:pPr>
      <w:r>
        <w:rPr>
          <w:i/>
          <w:iCs/>
          <w:sz w:val="24"/>
          <w:szCs w:val="24"/>
        </w:rPr>
        <w:t>Primary question: How does PepsiCo make money and through what channels does it reach its customers?</w:t>
      </w:r>
    </w:p>
    <w:p w14:paraId="3FF9A32B" w14:textId="77777777" w:rsidR="0053119D" w:rsidRDefault="00EA1E4B">
      <w:pPr>
        <w:spacing w:before="100" w:after="100"/>
      </w:pPr>
      <w:r>
        <w:rPr>
          <w:sz w:val="24"/>
          <w:szCs w:val="24"/>
        </w:rPr>
        <w:t>PepsiCo generates revenue from the manufacture, marketing, distribution, and sale of beverages and convenient food and snack products. Revenue is recognized when products are shipped or delivered to customers — the point at which control transfers. This policy is consistent across all years in the analysis window and across all segments.</w:t>
      </w:r>
    </w:p>
    <w:p w14:paraId="3FF9A32C" w14:textId="77777777" w:rsidR="0053119D" w:rsidRDefault="00EA1E4B">
      <w:pPr>
        <w:spacing w:before="100" w:after="100"/>
      </w:pPr>
      <w:r>
        <w:rPr>
          <w:sz w:val="24"/>
          <w:szCs w:val="24"/>
        </w:rPr>
        <w:t xml:space="preserve">The company reaches consumers through four primary distribution </w:t>
      </w:r>
      <w:proofErr w:type="gramStart"/>
      <w:r>
        <w:rPr>
          <w:sz w:val="24"/>
          <w:szCs w:val="24"/>
        </w:rPr>
        <w:t>channels,</w:t>
      </w:r>
      <w:proofErr w:type="gramEnd"/>
      <w:r>
        <w:rPr>
          <w:sz w:val="24"/>
          <w:szCs w:val="24"/>
        </w:rPr>
        <w:t xml:space="preserve"> each suited to different product types and markets:</w:t>
      </w:r>
    </w:p>
    <w:p w14:paraId="3FF9A32D" w14:textId="77777777" w:rsidR="0053119D" w:rsidRDefault="0053119D">
      <w:pPr>
        <w:spacing w:before="100" w:after="100"/>
      </w:pPr>
    </w:p>
    <w:p w14:paraId="3FF9A32E" w14:textId="77777777" w:rsidR="0053119D" w:rsidRDefault="00EA1E4B">
      <w:pPr>
        <w:spacing w:before="100" w:after="100"/>
      </w:pPr>
      <w:r>
        <w:rPr>
          <w:b/>
          <w:bCs/>
          <w:sz w:val="24"/>
          <w:szCs w:val="24"/>
        </w:rPr>
        <w:t>Direct-store-delivery (DSD)</w:t>
      </w:r>
      <w:r>
        <w:rPr>
          <w:sz w:val="24"/>
          <w:szCs w:val="24"/>
        </w:rPr>
        <w:t xml:space="preserve"> is used primarily for Frito-Lay snack products and certain beverages. Under this model, PepsiCo employees deliver products directly to retail stores and place them on shelves, giving the company control over in-store presentation and freshness management. Products distributed through DSD are removed and replaced by PepsiCo if they are damaged or past their use-by date.</w:t>
      </w:r>
    </w:p>
    <w:p w14:paraId="3FF9A32F" w14:textId="77777777" w:rsidR="0053119D" w:rsidRDefault="0053119D">
      <w:pPr>
        <w:spacing w:before="100" w:after="100"/>
      </w:pPr>
    </w:p>
    <w:p w14:paraId="3FF9A330" w14:textId="77777777" w:rsidR="0053119D" w:rsidRDefault="00EA1E4B">
      <w:pPr>
        <w:spacing w:before="100" w:after="100"/>
      </w:pPr>
      <w:r>
        <w:rPr>
          <w:b/>
          <w:bCs/>
          <w:sz w:val="24"/>
          <w:szCs w:val="24"/>
        </w:rPr>
        <w:t>Customer warehouse distribution</w:t>
      </w:r>
      <w:r>
        <w:rPr>
          <w:sz w:val="24"/>
          <w:szCs w:val="24"/>
        </w:rPr>
        <w:t xml:space="preserve"> is used for products where shelf-life is longer and in-store management by PepsiCo employees is less critical. Under this model, retailers manage their own inventory and warehousing.</w:t>
      </w:r>
    </w:p>
    <w:p w14:paraId="3FF9A331" w14:textId="77777777" w:rsidR="0053119D" w:rsidRDefault="0053119D">
      <w:pPr>
        <w:spacing w:before="100" w:after="100"/>
      </w:pPr>
    </w:p>
    <w:p w14:paraId="3FF9A332" w14:textId="77777777" w:rsidR="0053119D" w:rsidRDefault="00EA1E4B">
      <w:pPr>
        <w:spacing w:before="100" w:after="100"/>
      </w:pPr>
      <w:r>
        <w:rPr>
          <w:b/>
          <w:bCs/>
          <w:sz w:val="24"/>
          <w:szCs w:val="24"/>
        </w:rPr>
        <w:t>Distributor networks and independent franchise bottlers</w:t>
      </w:r>
      <w:r>
        <w:rPr>
          <w:sz w:val="24"/>
          <w:szCs w:val="24"/>
        </w:rPr>
        <w:t xml:space="preserve"> are used in markets — particularly international markets — where PepsiCo does not operate its own distribution infrastructure. Independent bottlers purchase concentrate from PepsiCo, manufacture the finished beverage, and distribute it to retailers. PepsiCo supports these bottlers through funding of advertising and marketing activities, which is accounted for as a reduction of revenue.</w:t>
      </w:r>
    </w:p>
    <w:p w14:paraId="3FF9A333" w14:textId="77777777" w:rsidR="0053119D" w:rsidRDefault="0053119D">
      <w:pPr>
        <w:spacing w:before="100" w:after="100"/>
      </w:pPr>
    </w:p>
    <w:p w14:paraId="3FF9A334" w14:textId="77777777" w:rsidR="0053119D" w:rsidRDefault="00EA1E4B">
      <w:pPr>
        <w:spacing w:before="100" w:after="100"/>
      </w:pPr>
      <w:r>
        <w:rPr>
          <w:b/>
          <w:bCs/>
          <w:sz w:val="24"/>
          <w:szCs w:val="24"/>
        </w:rPr>
        <w:t>E-commerce channels</w:t>
      </w:r>
      <w:r>
        <w:rPr>
          <w:sz w:val="24"/>
          <w:szCs w:val="24"/>
        </w:rPr>
        <w:t xml:space="preserve"> have grown across the analysis window, particularly following the acquisition of Be &amp; Cheery in China in 2020, which gave PepsiCo a direct online snack sales platform in that market.</w:t>
      </w:r>
    </w:p>
    <w:p w14:paraId="3FF9A335" w14:textId="77777777" w:rsidR="0053119D" w:rsidRDefault="0053119D">
      <w:pPr>
        <w:spacing w:before="100" w:after="100"/>
      </w:pPr>
    </w:p>
    <w:p w14:paraId="3FF9A336" w14:textId="77777777" w:rsidR="0053119D" w:rsidRDefault="00EA1E4B">
      <w:pPr>
        <w:spacing w:before="100" w:after="100"/>
      </w:pPr>
      <w:r>
        <w:rPr>
          <w:sz w:val="24"/>
          <w:szCs w:val="24"/>
        </w:rPr>
        <w:t>Walmart and its affiliates represent approximately 13-14% of PepsiCo's consolidated net revenue consistently across the analysis window, making it the single largest customer and a disclosed concentration risk in each annual filing.</w:t>
      </w:r>
    </w:p>
    <w:p w14:paraId="3FF9A337" w14:textId="77777777" w:rsidR="0053119D" w:rsidRDefault="00EA1E4B">
      <w:pPr>
        <w:spacing w:before="100" w:after="100"/>
      </w:pPr>
      <w:r>
        <w:rPr>
          <w:sz w:val="24"/>
          <w:szCs w:val="24"/>
        </w:rPr>
        <w:t>Using the segment revenue data available for the analysis window, North American operations (PFNA and PBNA combined) represent approximately 60% of consolidated net revenue in the most recent years, with international operations representing approximately 40%.</w:t>
      </w:r>
    </w:p>
    <w:p w14:paraId="3FF9A338" w14:textId="77777777" w:rsidR="0053119D" w:rsidRDefault="0053119D">
      <w:pPr>
        <w:spacing w:before="100" w:after="100"/>
      </w:pPr>
    </w:p>
    <w:p w14:paraId="3FF9A339" w14:textId="77777777" w:rsidR="0053119D" w:rsidRDefault="00EA1E4B">
      <w:pPr>
        <w:spacing w:before="280" w:after="120"/>
      </w:pPr>
      <w:r>
        <w:rPr>
          <w:b/>
          <w:bCs/>
          <w:sz w:val="28"/>
          <w:szCs w:val="28"/>
        </w:rPr>
        <w:t>Key Takeaways — A2</w:t>
      </w:r>
    </w:p>
    <w:p w14:paraId="3FF9A33A" w14:textId="77777777" w:rsidR="0053119D" w:rsidRDefault="00EA1E4B">
      <w:pPr>
        <w:spacing w:before="100" w:after="100"/>
      </w:pPr>
      <w:r>
        <w:rPr>
          <w:sz w:val="24"/>
          <w:szCs w:val="24"/>
        </w:rPr>
        <w:t xml:space="preserve">PepsiCo's revenue model combines direct control through owned manufacturing and DSD distribution in North America with a more asset-light franchise and distributor model in many </w:t>
      </w:r>
      <w:r>
        <w:rPr>
          <w:sz w:val="24"/>
          <w:szCs w:val="24"/>
        </w:rPr>
        <w:lastRenderedPageBreak/>
        <w:t>international markets. These different distribution models create different cost structures and operating responsibilities. The financial implications of these differences will be examined later in the analysis.</w:t>
      </w:r>
    </w:p>
    <w:p w14:paraId="3FF9A33B" w14:textId="77777777" w:rsidR="0053119D" w:rsidRDefault="0053119D">
      <w:pPr>
        <w:spacing w:before="100" w:after="100"/>
      </w:pPr>
    </w:p>
    <w:p w14:paraId="3FF9A33C" w14:textId="77777777" w:rsidR="0053119D" w:rsidRDefault="00EA1E4B">
      <w:pPr>
        <w:spacing w:before="100" w:after="100"/>
      </w:pPr>
      <w:r>
        <w:rPr>
          <w:sz w:val="24"/>
          <w:szCs w:val="24"/>
        </w:rPr>
        <w:t>Sources:</w:t>
      </w:r>
    </w:p>
    <w:p w14:paraId="3FF9A33D" w14:textId="77777777" w:rsidR="0053119D" w:rsidRDefault="00EA1E4B">
      <w:pPr>
        <w:spacing w:before="40" w:after="60"/>
        <w:ind w:left="360"/>
      </w:pPr>
      <w:r>
        <w:rPr>
          <w:i/>
          <w:iCs/>
          <w:color w:val="444444"/>
        </w:rPr>
        <w:t>PepsiCo, Inc. Annual Reports on Form 10-K, fiscal years 2019-2025. United States Securities and Exchange Commission. Revenue recognition and distribution channel disclosures appear in the Notes to Consolidated Financial Statements in each filing.</w:t>
      </w:r>
    </w:p>
    <w:p w14:paraId="3FF9A33E" w14:textId="77777777" w:rsidR="0053119D" w:rsidRDefault="00EA1E4B">
      <w:r>
        <w:br w:type="page"/>
      </w:r>
    </w:p>
    <w:p w14:paraId="3FF9A33F" w14:textId="77777777" w:rsidR="0053119D" w:rsidRDefault="00EA1E4B">
      <w:pPr>
        <w:pBdr>
          <w:bottom w:val="single" w:sz="6" w:space="0" w:color="000000"/>
        </w:pBdr>
        <w:spacing w:before="400" w:after="160"/>
      </w:pPr>
      <w:r>
        <w:rPr>
          <w:b/>
          <w:bCs/>
          <w:sz w:val="32"/>
          <w:szCs w:val="32"/>
        </w:rPr>
        <w:lastRenderedPageBreak/>
        <w:t>A3 — Segment Deep Dive</w:t>
      </w:r>
    </w:p>
    <w:p w14:paraId="3FF9A340" w14:textId="77777777" w:rsidR="0053119D" w:rsidRDefault="00EA1E4B">
      <w:pPr>
        <w:spacing w:before="100" w:after="160"/>
        <w:ind w:left="360"/>
      </w:pPr>
      <w:r>
        <w:rPr>
          <w:i/>
          <w:iCs/>
          <w:sz w:val="24"/>
          <w:szCs w:val="24"/>
        </w:rPr>
        <w:t>Primary question: What are the six segments and how do they differ economically?</w:t>
      </w:r>
    </w:p>
    <w:p w14:paraId="3FF9A341" w14:textId="77777777" w:rsidR="0053119D" w:rsidRDefault="00EA1E4B">
      <w:pPr>
        <w:spacing w:before="280" w:after="120"/>
      </w:pPr>
      <w:r>
        <w:rPr>
          <w:b/>
          <w:bCs/>
          <w:sz w:val="28"/>
          <w:szCs w:val="28"/>
        </w:rPr>
        <w:t>Note on Segment Reclassification (Effective Q1 2025)</w:t>
      </w:r>
    </w:p>
    <w:p w14:paraId="3FF9A342" w14:textId="77777777" w:rsidR="0053119D" w:rsidRDefault="00EA1E4B">
      <w:pPr>
        <w:spacing w:before="100" w:after="100"/>
      </w:pPr>
      <w:r>
        <w:rPr>
          <w:sz w:val="24"/>
          <w:szCs w:val="24"/>
        </w:rPr>
        <w:t>Understanding what changed in the 2025 segment reorganization is necessary before comparing any figures across the full analysis window, because what looks like segment revenue growth or decline may simply reflect a change in what is being counted inside that segment.</w:t>
      </w:r>
    </w:p>
    <w:p w14:paraId="3FF9A343" w14:textId="77777777" w:rsidR="0053119D" w:rsidRDefault="00EA1E4B">
      <w:pPr>
        <w:spacing w:before="100" w:after="100"/>
      </w:pPr>
      <w:r>
        <w:rPr>
          <w:sz w:val="24"/>
          <w:szCs w:val="24"/>
        </w:rPr>
        <w:t>In North America, Frito-Lay North America (FLNA) and Quaker Foods North America (QFNA) were merged into a single segment — PepsiCo Foods North America (PFNA). These two segments were previously separate because Frito-Lay (savory snacks) and Quaker (cereals, oatmeal, bars) operated as distinct businesses with different brand portfolios, distribution systems, and cost structures. Under the new structure they are reported together under unified North American foods leadership. Any comparison of PFNA revenue to</w:t>
      </w:r>
      <w:r>
        <w:rPr>
          <w:sz w:val="24"/>
          <w:szCs w:val="24"/>
        </w:rPr>
        <w:t xml:space="preserve"> prior FLNA revenue alone will overstate growth — PFNA is the combination of both. For the purposes of cross-year comparison, PFNA figures for years prior to the reorganization can be derived by adding FLNA and QFNA together, as segment reporting does not involve intercompany eliminations between segments.</w:t>
      </w:r>
    </w:p>
    <w:p w14:paraId="3FF9A344" w14:textId="77777777" w:rsidR="0053119D" w:rsidRDefault="00EA1E4B">
      <w:pPr>
        <w:spacing w:before="100" w:after="100"/>
      </w:pPr>
      <w:r>
        <w:rPr>
          <w:sz w:val="24"/>
          <w:szCs w:val="24"/>
        </w:rPr>
        <w:t>PepsiCo Beverages North America (PBNA) was not changed.</w:t>
      </w:r>
    </w:p>
    <w:p w14:paraId="3FF9A345" w14:textId="77777777" w:rsidR="0053119D" w:rsidRDefault="00EA1E4B">
      <w:pPr>
        <w:spacing w:before="100" w:after="100"/>
      </w:pPr>
      <w:r>
        <w:rPr>
          <w:sz w:val="24"/>
          <w:szCs w:val="24"/>
        </w:rPr>
        <w:t>Internationally, the reorganization was more significant. In the old structure, each geographic region (</w:t>
      </w:r>
      <w:proofErr w:type="spellStart"/>
      <w:r>
        <w:rPr>
          <w:sz w:val="24"/>
          <w:szCs w:val="24"/>
        </w:rPr>
        <w:t>LatAm</w:t>
      </w:r>
      <w:proofErr w:type="spellEnd"/>
      <w:r>
        <w:rPr>
          <w:sz w:val="24"/>
          <w:szCs w:val="24"/>
        </w:rPr>
        <w:t>, Europe, AMESA, APAC) contained a mix of foods, franchise beverages, and in some cases company-owned bottling operations — all reported together. The new structure separates these by business type:</w:t>
      </w:r>
    </w:p>
    <w:p w14:paraId="3FF9A346" w14:textId="77777777" w:rsidR="0053119D" w:rsidRDefault="0053119D">
      <w:pPr>
        <w:spacing w:before="100" w:after="100"/>
      </w:pPr>
    </w:p>
    <w:p w14:paraId="3FF9A347" w14:textId="77777777" w:rsidR="0053119D" w:rsidRDefault="00EA1E4B">
      <w:pPr>
        <w:spacing w:before="100" w:after="100"/>
      </w:pPr>
      <w:r>
        <w:rPr>
          <w:sz w:val="24"/>
          <w:szCs w:val="24"/>
        </w:rPr>
        <w:t xml:space="preserve">All international franchise beverage businesses — previously scattered across </w:t>
      </w:r>
      <w:proofErr w:type="spellStart"/>
      <w:r>
        <w:rPr>
          <w:sz w:val="24"/>
          <w:szCs w:val="24"/>
        </w:rPr>
        <w:t>LatAm</w:t>
      </w:r>
      <w:proofErr w:type="spellEnd"/>
      <w:r>
        <w:rPr>
          <w:sz w:val="24"/>
          <w:szCs w:val="24"/>
        </w:rPr>
        <w:t>, Europe, AMESA, and APAC — were consolidated into a new segment called IB Franchise. This also includes the SodaStream business in its entirety, because SodaStream is managed as a global direct-to-consumer business rather than a traditional North American DSD beverage. Franchise beverage businesses sell concentrate to independent bottlers who bear the manufacturing and distribution costs — a structurally different model from owned operations that was previously not visible as a standalone unit.</w:t>
      </w:r>
    </w:p>
    <w:p w14:paraId="3FF9A348" w14:textId="77777777" w:rsidR="0053119D" w:rsidRDefault="00EA1E4B">
      <w:pPr>
        <w:spacing w:before="100" w:after="100"/>
      </w:pPr>
      <w:r>
        <w:rPr>
          <w:sz w:val="24"/>
          <w:szCs w:val="24"/>
        </w:rPr>
        <w:t>All company-owned international bottling operations were consolidated into EMEA alongside European, Middle Eastern, and African foods. The 2024 Annual Report states explicitly: "The company-owned bottling businesses operating internationally are all located within EMEA."</w:t>
      </w:r>
    </w:p>
    <w:p w14:paraId="3FF9A349" w14:textId="77777777" w:rsidR="0053119D" w:rsidRDefault="00EA1E4B">
      <w:pPr>
        <w:spacing w:before="100" w:after="100"/>
      </w:pPr>
      <w:r>
        <w:rPr>
          <w:sz w:val="24"/>
          <w:szCs w:val="24"/>
        </w:rPr>
        <w:t xml:space="preserve">International foods were reorganized into three geographic segments: </w:t>
      </w:r>
      <w:proofErr w:type="spellStart"/>
      <w:r>
        <w:rPr>
          <w:sz w:val="24"/>
          <w:szCs w:val="24"/>
        </w:rPr>
        <w:t>LatAm</w:t>
      </w:r>
      <w:proofErr w:type="spellEnd"/>
      <w:r>
        <w:rPr>
          <w:sz w:val="24"/>
          <w:szCs w:val="24"/>
        </w:rPr>
        <w:t xml:space="preserve"> Foods, EMEA, and Asia Pacific Foods — with India moving from the former AMESA segment into Asia Pacific Foods.</w:t>
      </w:r>
    </w:p>
    <w:p w14:paraId="3FF9A34A" w14:textId="77777777" w:rsidR="0053119D" w:rsidRDefault="00EA1E4B">
      <w:pPr>
        <w:spacing w:before="100" w:after="100"/>
      </w:pPr>
      <w:r>
        <w:rPr>
          <w:sz w:val="24"/>
          <w:szCs w:val="24"/>
        </w:rPr>
        <w:t>PepsiCo has provided recast 2023 and 2024 data on the new six-segment basis. Data for 2019-2022 remains on the original seven-segment structure and cannot be directly compared to 2023-2025 segment figures without this context.</w:t>
      </w:r>
    </w:p>
    <w:p w14:paraId="3FF9A34B" w14:textId="77777777" w:rsidR="0053119D" w:rsidRDefault="0053119D">
      <w:pPr>
        <w:spacing w:before="100" w:after="100"/>
      </w:pPr>
    </w:p>
    <w:p w14:paraId="3FF9A34C" w14:textId="77777777" w:rsidR="0053119D" w:rsidRDefault="00EA1E4B">
      <w:pPr>
        <w:spacing w:before="280" w:after="120"/>
      </w:pPr>
      <w:r>
        <w:rPr>
          <w:b/>
          <w:bCs/>
          <w:sz w:val="28"/>
          <w:szCs w:val="28"/>
        </w:rPr>
        <w:t>Segment Summary — Current Six-Segment Structure (Effective Q1 2025)</w:t>
      </w:r>
    </w:p>
    <w:p w14:paraId="3FF9A34D" w14:textId="77777777" w:rsidR="0053119D" w:rsidRDefault="0053119D">
      <w:pPr>
        <w:spacing w:before="100" w:after="10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240"/>
        <w:gridCol w:w="3420"/>
      </w:tblGrid>
      <w:tr w:rsidR="0053119D" w14:paraId="3FF9A351" w14:textId="77777777">
        <w:tblPrEx>
          <w:tblCellMar>
            <w:top w:w="0" w:type="dxa"/>
            <w:bottom w:w="0" w:type="dxa"/>
          </w:tblCellMar>
        </w:tblPrEx>
        <w:tc>
          <w:tcPr>
            <w:tcW w:w="1440" w:type="dxa"/>
            <w:shd w:val="clear" w:color="auto" w:fill="CCCCCC"/>
          </w:tcPr>
          <w:p w14:paraId="3FF9A34E" w14:textId="77777777" w:rsidR="0053119D" w:rsidRDefault="00EA1E4B">
            <w:r>
              <w:rPr>
                <w:b/>
                <w:bCs/>
                <w:sz w:val="22"/>
                <w:szCs w:val="22"/>
              </w:rPr>
              <w:t>Segment</w:t>
            </w:r>
          </w:p>
        </w:tc>
        <w:tc>
          <w:tcPr>
            <w:tcW w:w="3240" w:type="dxa"/>
            <w:shd w:val="clear" w:color="auto" w:fill="CCCCCC"/>
          </w:tcPr>
          <w:p w14:paraId="3FF9A34F" w14:textId="77777777" w:rsidR="0053119D" w:rsidRDefault="00EA1E4B">
            <w:r>
              <w:rPr>
                <w:b/>
                <w:bCs/>
                <w:sz w:val="22"/>
                <w:szCs w:val="22"/>
              </w:rPr>
              <w:t>What It Covers</w:t>
            </w:r>
          </w:p>
        </w:tc>
        <w:tc>
          <w:tcPr>
            <w:tcW w:w="3420" w:type="dxa"/>
            <w:shd w:val="clear" w:color="auto" w:fill="CCCCCC"/>
          </w:tcPr>
          <w:p w14:paraId="3FF9A350" w14:textId="77777777" w:rsidR="0053119D" w:rsidRDefault="00EA1E4B">
            <w:r>
              <w:rPr>
                <w:b/>
                <w:bCs/>
                <w:sz w:val="22"/>
                <w:szCs w:val="22"/>
              </w:rPr>
              <w:t>Business Model</w:t>
            </w:r>
          </w:p>
        </w:tc>
      </w:tr>
      <w:tr w:rsidR="0053119D" w14:paraId="3FF9A355" w14:textId="77777777">
        <w:tblPrEx>
          <w:tblCellMar>
            <w:top w:w="0" w:type="dxa"/>
            <w:bottom w:w="0" w:type="dxa"/>
          </w:tblCellMar>
        </w:tblPrEx>
        <w:tc>
          <w:tcPr>
            <w:tcW w:w="1440" w:type="dxa"/>
          </w:tcPr>
          <w:p w14:paraId="3FF9A352" w14:textId="77777777" w:rsidR="0053119D" w:rsidRDefault="00EA1E4B">
            <w:r>
              <w:rPr>
                <w:sz w:val="22"/>
                <w:szCs w:val="22"/>
              </w:rPr>
              <w:t>PFNA</w:t>
            </w:r>
          </w:p>
        </w:tc>
        <w:tc>
          <w:tcPr>
            <w:tcW w:w="3240" w:type="dxa"/>
          </w:tcPr>
          <w:p w14:paraId="3FF9A353" w14:textId="77777777" w:rsidR="0053119D" w:rsidRDefault="00EA1E4B">
            <w:r>
              <w:rPr>
                <w:sz w:val="22"/>
                <w:szCs w:val="22"/>
              </w:rPr>
              <w:t>All convenient food businesses in US and Canada (Frito-Lay + Quaker)</w:t>
            </w:r>
          </w:p>
        </w:tc>
        <w:tc>
          <w:tcPr>
            <w:tcW w:w="3420" w:type="dxa"/>
          </w:tcPr>
          <w:p w14:paraId="3FF9A354" w14:textId="77777777" w:rsidR="0053119D" w:rsidRDefault="00EA1E4B">
            <w:r>
              <w:rPr>
                <w:sz w:val="22"/>
                <w:szCs w:val="22"/>
              </w:rPr>
              <w:t>Owned manufacturing and DSD distribution</w:t>
            </w:r>
          </w:p>
        </w:tc>
      </w:tr>
      <w:tr w:rsidR="0053119D" w14:paraId="3FF9A359" w14:textId="77777777">
        <w:tblPrEx>
          <w:tblCellMar>
            <w:top w:w="0" w:type="dxa"/>
            <w:bottom w:w="0" w:type="dxa"/>
          </w:tblCellMar>
        </w:tblPrEx>
        <w:tc>
          <w:tcPr>
            <w:tcW w:w="1440" w:type="dxa"/>
          </w:tcPr>
          <w:p w14:paraId="3FF9A356" w14:textId="77777777" w:rsidR="0053119D" w:rsidRDefault="00EA1E4B">
            <w:r>
              <w:rPr>
                <w:sz w:val="22"/>
                <w:szCs w:val="22"/>
              </w:rPr>
              <w:t>PBNA</w:t>
            </w:r>
          </w:p>
        </w:tc>
        <w:tc>
          <w:tcPr>
            <w:tcW w:w="3240" w:type="dxa"/>
          </w:tcPr>
          <w:p w14:paraId="3FF9A357" w14:textId="77777777" w:rsidR="0053119D" w:rsidRDefault="00EA1E4B">
            <w:r>
              <w:rPr>
                <w:sz w:val="22"/>
                <w:szCs w:val="22"/>
              </w:rPr>
              <w:t>All beverage businesses in US and Canada</w:t>
            </w:r>
          </w:p>
        </w:tc>
        <w:tc>
          <w:tcPr>
            <w:tcW w:w="3420" w:type="dxa"/>
          </w:tcPr>
          <w:p w14:paraId="3FF9A358" w14:textId="77777777" w:rsidR="0053119D" w:rsidRDefault="00EA1E4B">
            <w:r>
              <w:rPr>
                <w:sz w:val="22"/>
                <w:szCs w:val="22"/>
              </w:rPr>
              <w:t>Owned manufacturing, DSD, and independent franchise bottlers</w:t>
            </w:r>
          </w:p>
        </w:tc>
      </w:tr>
      <w:tr w:rsidR="0053119D" w14:paraId="3FF9A35D" w14:textId="77777777">
        <w:tblPrEx>
          <w:tblCellMar>
            <w:top w:w="0" w:type="dxa"/>
            <w:bottom w:w="0" w:type="dxa"/>
          </w:tblCellMar>
        </w:tblPrEx>
        <w:tc>
          <w:tcPr>
            <w:tcW w:w="1440" w:type="dxa"/>
          </w:tcPr>
          <w:p w14:paraId="3FF9A35A" w14:textId="77777777" w:rsidR="0053119D" w:rsidRDefault="00EA1E4B">
            <w:r>
              <w:rPr>
                <w:sz w:val="22"/>
                <w:szCs w:val="22"/>
              </w:rPr>
              <w:t>IB Franchise</w:t>
            </w:r>
          </w:p>
        </w:tc>
        <w:tc>
          <w:tcPr>
            <w:tcW w:w="3240" w:type="dxa"/>
          </w:tcPr>
          <w:p w14:paraId="3FF9A35B" w14:textId="77777777" w:rsidR="0053119D" w:rsidRDefault="00EA1E4B">
            <w:r>
              <w:rPr>
                <w:sz w:val="22"/>
                <w:szCs w:val="22"/>
              </w:rPr>
              <w:t>International franchise beverages globally + SodaStream worldwide</w:t>
            </w:r>
          </w:p>
        </w:tc>
        <w:tc>
          <w:tcPr>
            <w:tcW w:w="3420" w:type="dxa"/>
          </w:tcPr>
          <w:p w14:paraId="3FF9A35C" w14:textId="77777777" w:rsidR="0053119D" w:rsidRDefault="00EA1E4B">
            <w:r>
              <w:rPr>
                <w:sz w:val="22"/>
                <w:szCs w:val="22"/>
              </w:rPr>
              <w:t>Asset-</w:t>
            </w:r>
            <w:proofErr w:type="gramStart"/>
            <w:r>
              <w:rPr>
                <w:sz w:val="22"/>
                <w:szCs w:val="22"/>
              </w:rPr>
              <w:t>light:</w:t>
            </w:r>
            <w:proofErr w:type="gramEnd"/>
            <w:r>
              <w:rPr>
                <w:sz w:val="22"/>
                <w:szCs w:val="22"/>
              </w:rPr>
              <w:t xml:space="preserve"> sells concentrate to independent bottlers</w:t>
            </w:r>
          </w:p>
        </w:tc>
      </w:tr>
      <w:tr w:rsidR="0053119D" w14:paraId="3FF9A361" w14:textId="77777777">
        <w:tblPrEx>
          <w:tblCellMar>
            <w:top w:w="0" w:type="dxa"/>
            <w:bottom w:w="0" w:type="dxa"/>
          </w:tblCellMar>
        </w:tblPrEx>
        <w:tc>
          <w:tcPr>
            <w:tcW w:w="1440" w:type="dxa"/>
          </w:tcPr>
          <w:p w14:paraId="3FF9A35E" w14:textId="77777777" w:rsidR="0053119D" w:rsidRDefault="00EA1E4B">
            <w:r>
              <w:rPr>
                <w:sz w:val="22"/>
                <w:szCs w:val="22"/>
              </w:rPr>
              <w:t>EMEA</w:t>
            </w:r>
          </w:p>
        </w:tc>
        <w:tc>
          <w:tcPr>
            <w:tcW w:w="3240" w:type="dxa"/>
          </w:tcPr>
          <w:p w14:paraId="3FF9A35F" w14:textId="77777777" w:rsidR="0053119D" w:rsidRDefault="00EA1E4B">
            <w:r>
              <w:rPr>
                <w:sz w:val="22"/>
                <w:szCs w:val="22"/>
              </w:rPr>
              <w:t>Convenient foods + company-owned bottlers in Europe, Middle East and Africa</w:t>
            </w:r>
          </w:p>
        </w:tc>
        <w:tc>
          <w:tcPr>
            <w:tcW w:w="3420" w:type="dxa"/>
          </w:tcPr>
          <w:p w14:paraId="3FF9A360" w14:textId="77777777" w:rsidR="0053119D" w:rsidRDefault="00EA1E4B">
            <w:r>
              <w:rPr>
                <w:sz w:val="22"/>
                <w:szCs w:val="22"/>
              </w:rPr>
              <w:t>Mixed: owned manufacturing for both foods and beverages</w:t>
            </w:r>
          </w:p>
        </w:tc>
      </w:tr>
      <w:tr w:rsidR="0053119D" w14:paraId="3FF9A365" w14:textId="77777777">
        <w:tblPrEx>
          <w:tblCellMar>
            <w:top w:w="0" w:type="dxa"/>
            <w:bottom w:w="0" w:type="dxa"/>
          </w:tblCellMar>
        </w:tblPrEx>
        <w:tc>
          <w:tcPr>
            <w:tcW w:w="1440" w:type="dxa"/>
          </w:tcPr>
          <w:p w14:paraId="3FF9A362" w14:textId="77777777" w:rsidR="0053119D" w:rsidRDefault="00EA1E4B">
            <w:proofErr w:type="spellStart"/>
            <w:r>
              <w:rPr>
                <w:sz w:val="22"/>
                <w:szCs w:val="22"/>
              </w:rPr>
              <w:t>LatAm</w:t>
            </w:r>
            <w:proofErr w:type="spellEnd"/>
            <w:r>
              <w:rPr>
                <w:sz w:val="22"/>
                <w:szCs w:val="22"/>
              </w:rPr>
              <w:t xml:space="preserve"> Foods</w:t>
            </w:r>
          </w:p>
        </w:tc>
        <w:tc>
          <w:tcPr>
            <w:tcW w:w="3240" w:type="dxa"/>
          </w:tcPr>
          <w:p w14:paraId="3FF9A363" w14:textId="77777777" w:rsidR="0053119D" w:rsidRDefault="00EA1E4B">
            <w:r>
              <w:rPr>
                <w:sz w:val="22"/>
                <w:szCs w:val="22"/>
              </w:rPr>
              <w:t>Convenient food businesses in Latin America only</w:t>
            </w:r>
          </w:p>
        </w:tc>
        <w:tc>
          <w:tcPr>
            <w:tcW w:w="3420" w:type="dxa"/>
          </w:tcPr>
          <w:p w14:paraId="3FF9A364" w14:textId="77777777" w:rsidR="0053119D" w:rsidRDefault="00EA1E4B">
            <w:r>
              <w:rPr>
                <w:sz w:val="22"/>
                <w:szCs w:val="22"/>
              </w:rPr>
              <w:t>Owned manufacturing and distribution</w:t>
            </w:r>
          </w:p>
        </w:tc>
      </w:tr>
      <w:tr w:rsidR="0053119D" w14:paraId="3FF9A369" w14:textId="77777777">
        <w:tblPrEx>
          <w:tblCellMar>
            <w:top w:w="0" w:type="dxa"/>
            <w:bottom w:w="0" w:type="dxa"/>
          </w:tblCellMar>
        </w:tblPrEx>
        <w:tc>
          <w:tcPr>
            <w:tcW w:w="1440" w:type="dxa"/>
          </w:tcPr>
          <w:p w14:paraId="3FF9A366" w14:textId="77777777" w:rsidR="0053119D" w:rsidRDefault="00EA1E4B">
            <w:r>
              <w:rPr>
                <w:sz w:val="22"/>
                <w:szCs w:val="22"/>
              </w:rPr>
              <w:t>Asia Pacific Foods</w:t>
            </w:r>
          </w:p>
        </w:tc>
        <w:tc>
          <w:tcPr>
            <w:tcW w:w="3240" w:type="dxa"/>
          </w:tcPr>
          <w:p w14:paraId="3FF9A367" w14:textId="77777777" w:rsidR="0053119D" w:rsidRDefault="00EA1E4B">
            <w:r>
              <w:rPr>
                <w:sz w:val="22"/>
                <w:szCs w:val="22"/>
              </w:rPr>
              <w:t>Convenient food businesses in APAC, China, Australia, New Zealand and India</w:t>
            </w:r>
          </w:p>
        </w:tc>
        <w:tc>
          <w:tcPr>
            <w:tcW w:w="3420" w:type="dxa"/>
          </w:tcPr>
          <w:p w14:paraId="3FF9A368" w14:textId="77777777" w:rsidR="0053119D" w:rsidRDefault="00EA1E4B">
            <w:r>
              <w:rPr>
                <w:sz w:val="22"/>
                <w:szCs w:val="22"/>
              </w:rPr>
              <w:t>Owned manufacturing and distribution</w:t>
            </w:r>
          </w:p>
        </w:tc>
      </w:tr>
    </w:tbl>
    <w:p w14:paraId="3FF9A36A" w14:textId="77777777" w:rsidR="0053119D" w:rsidRDefault="0053119D">
      <w:pPr>
        <w:spacing w:before="100" w:after="100"/>
      </w:pPr>
    </w:p>
    <w:p w14:paraId="3FF9A36B" w14:textId="77777777" w:rsidR="0053119D" w:rsidRDefault="00EA1E4B">
      <w:pPr>
        <w:spacing w:before="280" w:after="120"/>
      </w:pPr>
      <w:r>
        <w:rPr>
          <w:b/>
          <w:bCs/>
          <w:sz w:val="28"/>
          <w:szCs w:val="28"/>
        </w:rPr>
        <w:t>Key Takeaways — A3</w:t>
      </w:r>
    </w:p>
    <w:p w14:paraId="3FF9A36C" w14:textId="77777777" w:rsidR="0053119D" w:rsidRDefault="00EA1E4B">
      <w:pPr>
        <w:spacing w:before="100" w:after="100"/>
      </w:pPr>
      <w:r>
        <w:rPr>
          <w:sz w:val="24"/>
          <w:szCs w:val="24"/>
        </w:rPr>
        <w:t>PepsiCo's six operating segments represent businesses that differ in three important ways.</w:t>
      </w:r>
    </w:p>
    <w:p w14:paraId="3FF9A36D" w14:textId="77777777" w:rsidR="0053119D" w:rsidRDefault="00EA1E4B">
      <w:pPr>
        <w:spacing w:before="100" w:after="100"/>
      </w:pPr>
      <w:r>
        <w:rPr>
          <w:sz w:val="24"/>
          <w:szCs w:val="24"/>
        </w:rPr>
        <w:t>First, the portfolio spans both beverages and convenient foods, meaning different segments operate in different product categories with different production processes, distribution models, and competitive environments.</w:t>
      </w:r>
    </w:p>
    <w:p w14:paraId="3FF9A36E" w14:textId="77777777" w:rsidR="0053119D" w:rsidRDefault="00EA1E4B">
      <w:pPr>
        <w:spacing w:before="100" w:after="100"/>
      </w:pPr>
      <w:r>
        <w:rPr>
          <w:sz w:val="24"/>
          <w:szCs w:val="24"/>
        </w:rPr>
        <w:t>Second, the company operates through both company-owned operations and franchise-based beverage businesses. The 2025 reorganization separated international franchise beverages into a standalone segment, indicating that management views this business differently from company-owned bottling and food operations. The financial implications of this distinction will be explored later in the analysis.</w:t>
      </w:r>
    </w:p>
    <w:p w14:paraId="3FF9A36F" w14:textId="77777777" w:rsidR="0053119D" w:rsidRDefault="00EA1E4B">
      <w:pPr>
        <w:spacing w:before="100" w:after="100"/>
      </w:pPr>
      <w:r>
        <w:rPr>
          <w:sz w:val="24"/>
          <w:szCs w:val="24"/>
        </w:rPr>
        <w:t>Third, the portfolio is geographically diverse. North American operations are primarily exposed to a single regulatory and currency environment, while international segments operate across multiple countries, currencies, and regulatory systems. As a result, exchange rates, taxation, and regional economic conditions are expected to influence financial performance differently across segments.</w:t>
      </w:r>
    </w:p>
    <w:p w14:paraId="3FF9A370" w14:textId="77777777" w:rsidR="0053119D" w:rsidRDefault="00EA1E4B">
      <w:pPr>
        <w:spacing w:before="100" w:after="100"/>
      </w:pPr>
      <w:r>
        <w:rPr>
          <w:sz w:val="24"/>
          <w:szCs w:val="24"/>
        </w:rPr>
        <w:t>One additional structural question emerging from this segment review is whether the different operating models require materially different levels of capital investment. This will be examined through capital expenditure, return on invested capital, and margin analysis in Sections B and C and in Part II.</w:t>
      </w:r>
    </w:p>
    <w:p w14:paraId="3FF9A371" w14:textId="77777777" w:rsidR="0053119D" w:rsidRDefault="00EA1E4B">
      <w:pPr>
        <w:spacing w:before="100" w:after="100"/>
      </w:pPr>
      <w:r>
        <w:rPr>
          <w:sz w:val="24"/>
          <w:szCs w:val="24"/>
        </w:rPr>
        <w:t>These structural differences suggest that segment performance should not be interpreted through a single lens. Throughout the analysis, each segment will be evaluated within its own operating context rather than assuming that all parts of the business respond similarly to economic conditions.</w:t>
      </w:r>
    </w:p>
    <w:p w14:paraId="3FF9A372" w14:textId="77777777" w:rsidR="0053119D" w:rsidRDefault="0053119D">
      <w:pPr>
        <w:spacing w:before="100" w:after="100"/>
      </w:pPr>
    </w:p>
    <w:p w14:paraId="3FF9A373" w14:textId="77777777" w:rsidR="0053119D" w:rsidRDefault="00EA1E4B">
      <w:pPr>
        <w:spacing w:before="100" w:after="100"/>
      </w:pPr>
      <w:r>
        <w:rPr>
          <w:sz w:val="24"/>
          <w:szCs w:val="24"/>
        </w:rPr>
        <w:t>Sources:</w:t>
      </w:r>
    </w:p>
    <w:p w14:paraId="3FF9A374" w14:textId="77777777" w:rsidR="0053119D" w:rsidRDefault="00EA1E4B">
      <w:pPr>
        <w:spacing w:before="40" w:after="60"/>
        <w:ind w:left="360"/>
      </w:pPr>
      <w:r>
        <w:rPr>
          <w:i/>
          <w:iCs/>
          <w:color w:val="444444"/>
        </w:rPr>
        <w:lastRenderedPageBreak/>
        <w:t>PepsiCo, Inc. (2024). Annual Report on Form 10-K for fiscal year ended December 28, 2024. United States Securities and Exchange Commission. https://www.sec.gov/Archives/edgar/data/77476/000130817925000292/pep4354281-ars.pdf</w:t>
      </w:r>
    </w:p>
    <w:p w14:paraId="3FF9A375" w14:textId="77777777" w:rsidR="0053119D" w:rsidRDefault="00EA1E4B">
      <w:pPr>
        <w:spacing w:before="40" w:after="60"/>
        <w:ind w:left="360"/>
      </w:pPr>
      <w:r>
        <w:rPr>
          <w:i/>
          <w:iCs/>
          <w:color w:val="444444"/>
        </w:rPr>
        <w:t>PepsiCo, Inc. (2025). Annual Report on Form 10-K for fiscal year ended December 27, 2025. United States Securities and Exchange Commission. https://investors.pepsico.com/docs/pepsico-5v9wci20/media/Files/investors/q4-2025-form-10k.pdf</w:t>
      </w:r>
    </w:p>
    <w:p w14:paraId="3FF9A376" w14:textId="77777777" w:rsidR="0053119D" w:rsidRDefault="00EA1E4B">
      <w:r>
        <w:br w:type="page"/>
      </w:r>
    </w:p>
    <w:p w14:paraId="3FF9A377" w14:textId="77777777" w:rsidR="0053119D" w:rsidRDefault="00EA1E4B">
      <w:pPr>
        <w:pBdr>
          <w:bottom w:val="single" w:sz="6" w:space="0" w:color="000000"/>
        </w:pBdr>
        <w:spacing w:before="400" w:after="160"/>
      </w:pPr>
      <w:r>
        <w:rPr>
          <w:b/>
          <w:bCs/>
          <w:sz w:val="32"/>
          <w:szCs w:val="32"/>
        </w:rPr>
        <w:lastRenderedPageBreak/>
        <w:t>A4 — Competitive Landscape</w:t>
      </w:r>
    </w:p>
    <w:p w14:paraId="3FF9A378" w14:textId="77777777" w:rsidR="0053119D" w:rsidRDefault="00EA1E4B">
      <w:pPr>
        <w:spacing w:before="100" w:after="160"/>
        <w:ind w:left="360"/>
      </w:pPr>
      <w:r>
        <w:rPr>
          <w:i/>
          <w:iCs/>
          <w:sz w:val="24"/>
          <w:szCs w:val="24"/>
        </w:rPr>
        <w:t>Primary question: Who are PepsiCo's main competitors and what does the competitive landscape mean for how we interpret their financial performance?</w:t>
      </w:r>
    </w:p>
    <w:p w14:paraId="3FF9A379" w14:textId="77777777" w:rsidR="0053119D" w:rsidRDefault="00EA1E4B">
      <w:pPr>
        <w:spacing w:before="100" w:after="100"/>
      </w:pPr>
      <w:r>
        <w:rPr>
          <w:sz w:val="24"/>
          <w:szCs w:val="24"/>
        </w:rPr>
        <w:t>PepsiCo competes across two broad categories — beverages and convenient foods — and the competitive dynamics differ meaningfully between them.</w:t>
      </w:r>
    </w:p>
    <w:p w14:paraId="3FF9A37A" w14:textId="77777777" w:rsidR="0053119D" w:rsidRDefault="00EA1E4B">
      <w:pPr>
        <w:spacing w:before="100" w:after="100"/>
      </w:pPr>
      <w:r>
        <w:rPr>
          <w:sz w:val="24"/>
          <w:szCs w:val="24"/>
        </w:rPr>
        <w:t xml:space="preserve">In beverages, the primary global competitor is The Coca-Cola Company. The two companies compete directly across carbonated soft drinks, sports drinks, energy drinks, and water. The US liquid refreshment beverage market share, as reported in PepsiCo's own annual filings and attributed to </w:t>
      </w:r>
      <w:r w:rsidRPr="00B0032E">
        <w:rPr>
          <w:sz w:val="24"/>
          <w:szCs w:val="24"/>
        </w:rPr>
        <w:t>Information</w:t>
      </w:r>
      <w:r>
        <w:rPr>
          <w:sz w:val="24"/>
          <w:szCs w:val="24"/>
        </w:rPr>
        <w:t xml:space="preserve"> Resources, Inc., shows a consistent trend across the years where data is disclosed:</w:t>
      </w:r>
    </w:p>
    <w:p w14:paraId="3FF9A37B" w14:textId="77777777" w:rsidR="0053119D" w:rsidRDefault="0053119D">
      <w:pPr>
        <w:spacing w:before="100" w:after="100"/>
      </w:pPr>
    </w:p>
    <w:tbl>
      <w:tblPr>
        <w:tblW w:w="6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080"/>
        <w:gridCol w:w="1080"/>
        <w:gridCol w:w="2880"/>
      </w:tblGrid>
      <w:tr w:rsidR="0053119D" w14:paraId="3FF9A380" w14:textId="77777777">
        <w:tblPrEx>
          <w:tblCellMar>
            <w:top w:w="0" w:type="dxa"/>
            <w:bottom w:w="0" w:type="dxa"/>
          </w:tblCellMar>
        </w:tblPrEx>
        <w:tc>
          <w:tcPr>
            <w:tcW w:w="1080" w:type="dxa"/>
            <w:shd w:val="clear" w:color="auto" w:fill="CCCCCC"/>
          </w:tcPr>
          <w:p w14:paraId="3FF9A37C" w14:textId="77777777" w:rsidR="0053119D" w:rsidRDefault="00EA1E4B">
            <w:r>
              <w:rPr>
                <w:b/>
                <w:bCs/>
                <w:sz w:val="22"/>
                <w:szCs w:val="22"/>
              </w:rPr>
              <w:t>Year</w:t>
            </w:r>
          </w:p>
        </w:tc>
        <w:tc>
          <w:tcPr>
            <w:tcW w:w="1080" w:type="dxa"/>
            <w:shd w:val="clear" w:color="auto" w:fill="CCCCCC"/>
          </w:tcPr>
          <w:p w14:paraId="3FF9A37D" w14:textId="77777777" w:rsidR="0053119D" w:rsidRDefault="00EA1E4B">
            <w:r>
              <w:rPr>
                <w:b/>
                <w:bCs/>
                <w:sz w:val="22"/>
                <w:szCs w:val="22"/>
              </w:rPr>
              <w:t>PepsiCo</w:t>
            </w:r>
          </w:p>
        </w:tc>
        <w:tc>
          <w:tcPr>
            <w:tcW w:w="1080" w:type="dxa"/>
            <w:shd w:val="clear" w:color="auto" w:fill="CCCCCC"/>
          </w:tcPr>
          <w:p w14:paraId="3FF9A37E" w14:textId="77777777" w:rsidR="0053119D" w:rsidRDefault="00EA1E4B">
            <w:r>
              <w:rPr>
                <w:b/>
                <w:bCs/>
                <w:sz w:val="22"/>
                <w:szCs w:val="22"/>
              </w:rPr>
              <w:t>Coca-Cola</w:t>
            </w:r>
          </w:p>
        </w:tc>
        <w:tc>
          <w:tcPr>
            <w:tcW w:w="2880" w:type="dxa"/>
            <w:shd w:val="clear" w:color="auto" w:fill="CCCCCC"/>
          </w:tcPr>
          <w:p w14:paraId="3FF9A37F" w14:textId="77777777" w:rsidR="0053119D" w:rsidRDefault="00EA1E4B">
            <w:r>
              <w:rPr>
                <w:b/>
                <w:bCs/>
                <w:sz w:val="22"/>
                <w:szCs w:val="22"/>
              </w:rPr>
              <w:t>Gap</w:t>
            </w:r>
          </w:p>
        </w:tc>
      </w:tr>
      <w:tr w:rsidR="0053119D" w14:paraId="3FF9A385" w14:textId="77777777">
        <w:tblPrEx>
          <w:tblCellMar>
            <w:top w:w="0" w:type="dxa"/>
            <w:bottom w:w="0" w:type="dxa"/>
          </w:tblCellMar>
        </w:tblPrEx>
        <w:tc>
          <w:tcPr>
            <w:tcW w:w="1080" w:type="dxa"/>
          </w:tcPr>
          <w:p w14:paraId="3FF9A381" w14:textId="77777777" w:rsidR="0053119D" w:rsidRDefault="00EA1E4B">
            <w:r>
              <w:rPr>
                <w:sz w:val="22"/>
                <w:szCs w:val="22"/>
              </w:rPr>
              <w:t>2022</w:t>
            </w:r>
          </w:p>
        </w:tc>
        <w:tc>
          <w:tcPr>
            <w:tcW w:w="1080" w:type="dxa"/>
          </w:tcPr>
          <w:p w14:paraId="3FF9A382" w14:textId="77777777" w:rsidR="0053119D" w:rsidRDefault="00EA1E4B">
            <w:r>
              <w:rPr>
                <w:sz w:val="22"/>
                <w:szCs w:val="22"/>
              </w:rPr>
              <w:t>20%</w:t>
            </w:r>
          </w:p>
        </w:tc>
        <w:tc>
          <w:tcPr>
            <w:tcW w:w="1080" w:type="dxa"/>
          </w:tcPr>
          <w:p w14:paraId="3FF9A383" w14:textId="77777777" w:rsidR="0053119D" w:rsidRDefault="00EA1E4B">
            <w:r>
              <w:rPr>
                <w:sz w:val="22"/>
                <w:szCs w:val="22"/>
              </w:rPr>
              <w:t>21%</w:t>
            </w:r>
          </w:p>
        </w:tc>
        <w:tc>
          <w:tcPr>
            <w:tcW w:w="2880" w:type="dxa"/>
          </w:tcPr>
          <w:p w14:paraId="3FF9A384" w14:textId="77777777" w:rsidR="0053119D" w:rsidRDefault="00EA1E4B">
            <w:r>
              <w:rPr>
                <w:sz w:val="22"/>
                <w:szCs w:val="22"/>
              </w:rPr>
              <w:t>Coca-Cola ahead by 1pp</w:t>
            </w:r>
          </w:p>
        </w:tc>
      </w:tr>
      <w:tr w:rsidR="0053119D" w14:paraId="3FF9A38A" w14:textId="77777777">
        <w:tblPrEx>
          <w:tblCellMar>
            <w:top w:w="0" w:type="dxa"/>
            <w:bottom w:w="0" w:type="dxa"/>
          </w:tblCellMar>
        </w:tblPrEx>
        <w:tc>
          <w:tcPr>
            <w:tcW w:w="1080" w:type="dxa"/>
          </w:tcPr>
          <w:p w14:paraId="3FF9A386" w14:textId="77777777" w:rsidR="0053119D" w:rsidRDefault="00EA1E4B">
            <w:r>
              <w:rPr>
                <w:sz w:val="22"/>
                <w:szCs w:val="22"/>
              </w:rPr>
              <w:t>2023</w:t>
            </w:r>
          </w:p>
        </w:tc>
        <w:tc>
          <w:tcPr>
            <w:tcW w:w="1080" w:type="dxa"/>
          </w:tcPr>
          <w:p w14:paraId="3FF9A387" w14:textId="77777777" w:rsidR="0053119D" w:rsidRDefault="00EA1E4B">
            <w:r>
              <w:rPr>
                <w:sz w:val="22"/>
                <w:szCs w:val="22"/>
              </w:rPr>
              <w:t>19%</w:t>
            </w:r>
          </w:p>
        </w:tc>
        <w:tc>
          <w:tcPr>
            <w:tcW w:w="1080" w:type="dxa"/>
          </w:tcPr>
          <w:p w14:paraId="3FF9A388" w14:textId="77777777" w:rsidR="0053119D" w:rsidRDefault="00EA1E4B">
            <w:r>
              <w:rPr>
                <w:sz w:val="22"/>
                <w:szCs w:val="22"/>
              </w:rPr>
              <w:t>20%</w:t>
            </w:r>
          </w:p>
        </w:tc>
        <w:tc>
          <w:tcPr>
            <w:tcW w:w="2880" w:type="dxa"/>
          </w:tcPr>
          <w:p w14:paraId="3FF9A389" w14:textId="77777777" w:rsidR="0053119D" w:rsidRDefault="00EA1E4B">
            <w:r>
              <w:rPr>
                <w:sz w:val="22"/>
                <w:szCs w:val="22"/>
              </w:rPr>
              <w:t>Coca-Cola ahead by 1pp</w:t>
            </w:r>
          </w:p>
        </w:tc>
      </w:tr>
      <w:tr w:rsidR="0053119D" w14:paraId="3FF9A38F" w14:textId="77777777">
        <w:tblPrEx>
          <w:tblCellMar>
            <w:top w:w="0" w:type="dxa"/>
            <w:bottom w:w="0" w:type="dxa"/>
          </w:tblCellMar>
        </w:tblPrEx>
        <w:tc>
          <w:tcPr>
            <w:tcW w:w="1080" w:type="dxa"/>
          </w:tcPr>
          <w:p w14:paraId="3FF9A38B" w14:textId="77777777" w:rsidR="0053119D" w:rsidRDefault="00EA1E4B">
            <w:r>
              <w:rPr>
                <w:sz w:val="22"/>
                <w:szCs w:val="22"/>
              </w:rPr>
              <w:t>2024</w:t>
            </w:r>
          </w:p>
        </w:tc>
        <w:tc>
          <w:tcPr>
            <w:tcW w:w="1080" w:type="dxa"/>
          </w:tcPr>
          <w:p w14:paraId="3FF9A38C" w14:textId="77777777" w:rsidR="0053119D" w:rsidRDefault="00EA1E4B">
            <w:r>
              <w:rPr>
                <w:sz w:val="22"/>
                <w:szCs w:val="22"/>
              </w:rPr>
              <w:t>18%</w:t>
            </w:r>
          </w:p>
        </w:tc>
        <w:tc>
          <w:tcPr>
            <w:tcW w:w="1080" w:type="dxa"/>
          </w:tcPr>
          <w:p w14:paraId="3FF9A38D" w14:textId="77777777" w:rsidR="0053119D" w:rsidRDefault="00EA1E4B">
            <w:r>
              <w:rPr>
                <w:sz w:val="22"/>
                <w:szCs w:val="22"/>
              </w:rPr>
              <w:t>21%</w:t>
            </w:r>
          </w:p>
        </w:tc>
        <w:tc>
          <w:tcPr>
            <w:tcW w:w="2880" w:type="dxa"/>
          </w:tcPr>
          <w:p w14:paraId="3FF9A38E" w14:textId="77777777" w:rsidR="0053119D" w:rsidRDefault="00EA1E4B">
            <w:r>
              <w:rPr>
                <w:sz w:val="22"/>
                <w:szCs w:val="22"/>
              </w:rPr>
              <w:t>Coca-Cola ahead by 3pp</w:t>
            </w:r>
          </w:p>
        </w:tc>
      </w:tr>
      <w:tr w:rsidR="0053119D" w14:paraId="3FF9A394" w14:textId="77777777">
        <w:tblPrEx>
          <w:tblCellMar>
            <w:top w:w="0" w:type="dxa"/>
            <w:bottom w:w="0" w:type="dxa"/>
          </w:tblCellMar>
        </w:tblPrEx>
        <w:tc>
          <w:tcPr>
            <w:tcW w:w="1080" w:type="dxa"/>
          </w:tcPr>
          <w:p w14:paraId="3FF9A390" w14:textId="77777777" w:rsidR="0053119D" w:rsidRDefault="00EA1E4B">
            <w:r>
              <w:rPr>
                <w:sz w:val="22"/>
                <w:szCs w:val="22"/>
              </w:rPr>
              <w:t>2025</w:t>
            </w:r>
          </w:p>
        </w:tc>
        <w:tc>
          <w:tcPr>
            <w:tcW w:w="1080" w:type="dxa"/>
          </w:tcPr>
          <w:p w14:paraId="3FF9A391" w14:textId="77777777" w:rsidR="0053119D" w:rsidRDefault="00EA1E4B">
            <w:r>
              <w:rPr>
                <w:sz w:val="22"/>
                <w:szCs w:val="22"/>
              </w:rPr>
              <w:t>16%</w:t>
            </w:r>
          </w:p>
        </w:tc>
        <w:tc>
          <w:tcPr>
            <w:tcW w:w="1080" w:type="dxa"/>
          </w:tcPr>
          <w:p w14:paraId="3FF9A392" w14:textId="77777777" w:rsidR="0053119D" w:rsidRDefault="00EA1E4B">
            <w:r>
              <w:rPr>
                <w:sz w:val="22"/>
                <w:szCs w:val="22"/>
              </w:rPr>
              <w:t>20%</w:t>
            </w:r>
          </w:p>
        </w:tc>
        <w:tc>
          <w:tcPr>
            <w:tcW w:w="2880" w:type="dxa"/>
          </w:tcPr>
          <w:p w14:paraId="3FF9A393" w14:textId="77777777" w:rsidR="0053119D" w:rsidRDefault="00EA1E4B">
            <w:r>
              <w:rPr>
                <w:sz w:val="22"/>
                <w:szCs w:val="22"/>
              </w:rPr>
              <w:t>Coca-Cola ahead by 4pp</w:t>
            </w:r>
          </w:p>
        </w:tc>
      </w:tr>
    </w:tbl>
    <w:p w14:paraId="3FF9A395" w14:textId="77777777" w:rsidR="0053119D" w:rsidRDefault="0053119D">
      <w:pPr>
        <w:spacing w:before="100" w:after="100"/>
      </w:pPr>
    </w:p>
    <w:p w14:paraId="3FF9A396" w14:textId="77777777" w:rsidR="0053119D" w:rsidRDefault="00EA1E4B">
      <w:pPr>
        <w:spacing w:before="100" w:after="100"/>
      </w:pPr>
      <w:r>
        <w:rPr>
          <w:sz w:val="24"/>
          <w:szCs w:val="24"/>
        </w:rPr>
        <w:t>Note: Market share figures for 2019, 2020, and 2021 are not consistently disclosed in the filings reviewed for this analysis. The figures above represent the years where comparable data is directly available from PepsiCo's annual reports, attributed to Information Resources, Inc.</w:t>
      </w:r>
    </w:p>
    <w:p w14:paraId="3FF9A397" w14:textId="77777777" w:rsidR="0053119D" w:rsidRDefault="00EA1E4B">
      <w:pPr>
        <w:spacing w:before="100" w:after="100"/>
      </w:pPr>
      <w:r>
        <w:rPr>
          <w:sz w:val="24"/>
          <w:szCs w:val="24"/>
        </w:rPr>
        <w:t>The trend from 2022 to 2025 is consistent and worsening — PepsiCo's US beverage market share has declined every year while Coca-Cola's has remained more stable.</w:t>
      </w:r>
    </w:p>
    <w:p w14:paraId="3FF9A398" w14:textId="77777777" w:rsidR="0053119D" w:rsidRDefault="00EA1E4B">
      <w:pPr>
        <w:spacing w:before="100" w:after="100"/>
      </w:pPr>
      <w:r>
        <w:rPr>
          <w:sz w:val="24"/>
          <w:szCs w:val="24"/>
        </w:rPr>
        <w:t xml:space="preserve">In convenient foods and snacks, competition is more fragmented. PepsiCo's PFNA business competes with Mondelez International, </w:t>
      </w:r>
      <w:proofErr w:type="spellStart"/>
      <w:r>
        <w:rPr>
          <w:sz w:val="24"/>
          <w:szCs w:val="24"/>
        </w:rPr>
        <w:t>Kellanova</w:t>
      </w:r>
      <w:proofErr w:type="spellEnd"/>
      <w:r>
        <w:rPr>
          <w:sz w:val="24"/>
          <w:szCs w:val="24"/>
        </w:rPr>
        <w:t xml:space="preserve"> (the former Kellogg's snacks division), and a growing number of smaller health-focused and private label brands. Internationally, Nestlé competes across both foods and beverages in many of PepsiCo's key markets. Local and regional competitors vary significantly by geography.</w:t>
      </w:r>
    </w:p>
    <w:p w14:paraId="3FF9A399" w14:textId="77777777" w:rsidR="0053119D" w:rsidRDefault="00EA1E4B">
      <w:pPr>
        <w:spacing w:before="100" w:after="100"/>
      </w:pPr>
      <w:r>
        <w:rPr>
          <w:sz w:val="24"/>
          <w:szCs w:val="24"/>
        </w:rPr>
        <w:t>Two structural competitive dynamics are worth noting. First, the growing consumer shift toward healthier and less processed products creates pressure on traditional snack and carbonated beverage volumes. PepsiCo's own risk factor disclosures in each annual filing acknowledge this shift explicitly. Second, private label and economy brands have gained share in price-sensitive markets, particularly during the post-COVID inflation period.</w:t>
      </w:r>
    </w:p>
    <w:p w14:paraId="3FF9A39A" w14:textId="77777777" w:rsidR="0053119D" w:rsidRDefault="0053119D">
      <w:pPr>
        <w:spacing w:before="100" w:after="100"/>
      </w:pPr>
    </w:p>
    <w:p w14:paraId="3FF9A39B" w14:textId="77777777" w:rsidR="0053119D" w:rsidRDefault="00EA1E4B">
      <w:pPr>
        <w:spacing w:before="280" w:after="120"/>
      </w:pPr>
      <w:r>
        <w:rPr>
          <w:b/>
          <w:bCs/>
          <w:sz w:val="28"/>
          <w:szCs w:val="28"/>
        </w:rPr>
        <w:t>Key Takeaways — A4</w:t>
      </w:r>
    </w:p>
    <w:p w14:paraId="3FF9A39C" w14:textId="77777777" w:rsidR="0053119D" w:rsidRDefault="00EA1E4B">
      <w:pPr>
        <w:spacing w:before="100" w:after="100"/>
      </w:pPr>
      <w:r>
        <w:rPr>
          <w:sz w:val="24"/>
          <w:szCs w:val="24"/>
        </w:rPr>
        <w:t>PepsiCo operates in highly competitive markets in both beverages and foods, with Coca-Cola as the primary benchmark in beverages and a more fragmented competitive landscape in snacks. One notable observation from the filings is the consistent decline in PepsiCo's US beverage market share — from 20% in 2022 to 16% in 2025 — while Coca-Cola held relatively stable at 20-21% over the same period. Whether this reflects pricing decisions, product mix, distribution effectiveness, or structural brand preference shi</w:t>
      </w:r>
      <w:r>
        <w:rPr>
          <w:sz w:val="24"/>
          <w:szCs w:val="24"/>
        </w:rPr>
        <w:t>fts is a question the financial analysis alone cannot fully answer. The revenue and margin trends in Section B will provide important context.</w:t>
      </w:r>
    </w:p>
    <w:p w14:paraId="3FF9A39D" w14:textId="77777777" w:rsidR="0053119D" w:rsidRDefault="0053119D">
      <w:pPr>
        <w:spacing w:before="100" w:after="100"/>
      </w:pPr>
    </w:p>
    <w:p w14:paraId="3FF9A39E" w14:textId="77777777" w:rsidR="0053119D" w:rsidRDefault="00EA1E4B">
      <w:pPr>
        <w:spacing w:before="100" w:after="100"/>
      </w:pPr>
      <w:r>
        <w:rPr>
          <w:sz w:val="24"/>
          <w:szCs w:val="24"/>
        </w:rPr>
        <w:t>Sources:</w:t>
      </w:r>
    </w:p>
    <w:p w14:paraId="3FF9A39F" w14:textId="77777777" w:rsidR="0053119D" w:rsidRDefault="00EA1E4B">
      <w:pPr>
        <w:spacing w:before="40" w:after="60"/>
        <w:ind w:left="360"/>
      </w:pPr>
      <w:r>
        <w:rPr>
          <w:i/>
          <w:iCs/>
          <w:color w:val="444444"/>
        </w:rPr>
        <w:t>PepsiCo, Inc. Annual Reports on Form 10-K, fiscal years 2022-2025. United States Securities and Exchange Commission. Market share data attributed to Information Resources, Inc. in each filing.</w:t>
      </w:r>
    </w:p>
    <w:p w14:paraId="3FF9A3A0" w14:textId="77777777" w:rsidR="0053119D" w:rsidRDefault="00EA1E4B">
      <w:r>
        <w:br w:type="page"/>
      </w:r>
    </w:p>
    <w:p w14:paraId="3FF9A3A1" w14:textId="77777777" w:rsidR="0053119D" w:rsidRDefault="00EA1E4B">
      <w:pPr>
        <w:pBdr>
          <w:bottom w:val="single" w:sz="6" w:space="0" w:color="000000"/>
        </w:pBdr>
        <w:spacing w:before="400" w:after="160"/>
      </w:pPr>
      <w:r>
        <w:rPr>
          <w:b/>
          <w:bCs/>
          <w:sz w:val="32"/>
          <w:szCs w:val="32"/>
        </w:rPr>
        <w:lastRenderedPageBreak/>
        <w:t>A5 — Geographic Exposure and Key Markets</w:t>
      </w:r>
    </w:p>
    <w:p w14:paraId="3FF9A3A2" w14:textId="77777777" w:rsidR="0053119D" w:rsidRDefault="00EA1E4B">
      <w:pPr>
        <w:spacing w:before="100" w:after="160"/>
        <w:ind w:left="360"/>
      </w:pPr>
      <w:r>
        <w:rPr>
          <w:i/>
          <w:iCs/>
          <w:sz w:val="24"/>
          <w:szCs w:val="24"/>
        </w:rPr>
        <w:t>Primary question: Where does PepsiCo generate its revenue and what does the geographic spread mean for interpreting financial performance?</w:t>
      </w:r>
    </w:p>
    <w:p w14:paraId="3FF9A3A3" w14:textId="77777777" w:rsidR="0053119D" w:rsidRDefault="00EA1E4B">
      <w:pPr>
        <w:spacing w:before="100" w:after="100"/>
      </w:pPr>
      <w:r>
        <w:rPr>
          <w:sz w:val="24"/>
          <w:szCs w:val="24"/>
        </w:rPr>
        <w:t>PepsiCo operates in more than 200 countries and territories. The geographic split between North America and international operations is material to understanding the company's financial performance, because international operations introduce currency, regulatory, and macroeconomic exposures that do not affect North American results in the same way.</w:t>
      </w:r>
    </w:p>
    <w:p w14:paraId="3FF9A3A4" w14:textId="77777777" w:rsidR="0053119D" w:rsidRDefault="00EA1E4B">
      <w:pPr>
        <w:spacing w:before="100" w:after="100"/>
      </w:pPr>
      <w:r>
        <w:rPr>
          <w:sz w:val="24"/>
          <w:szCs w:val="24"/>
        </w:rPr>
        <w:t>In 2019 — the pre-COVID baseline year — PepsiCo's Annual Report states that international operations generated 42% of consolidated net revenue, with North America generating the remaining 58%. Key international markets identified in the 2019 filing include Mexico, Russia, Canada, the United Kingdom, China, and Brazil, which collectively represented approximately 22% of net revenue. Foreign exchange headwinds reduced net revenue growth by 2 percentage points in 2019 alone, reflecting declines in the euro, Tu</w:t>
      </w:r>
      <w:r>
        <w:rPr>
          <w:sz w:val="24"/>
          <w:szCs w:val="24"/>
        </w:rPr>
        <w:t>rkish lira, Brazilian real, Russian ruble, and Argentine peso against the US dollar — establishing currency exposure as a recurring theme across the analysis window.</w:t>
      </w:r>
    </w:p>
    <w:p w14:paraId="3FF9A3A5" w14:textId="77777777" w:rsidR="0053119D" w:rsidRDefault="00EA1E4B">
      <w:pPr>
        <w:spacing w:before="100" w:after="100"/>
      </w:pPr>
      <w:r>
        <w:rPr>
          <w:sz w:val="24"/>
          <w:szCs w:val="24"/>
        </w:rPr>
        <w:t xml:space="preserve">Using the 2025 segment data, the approximate geographic revenue split can be estimated as follows: PFNA and PBNA (North American operations) contributed approximately $55.7 billion of the $93.9 billion in total net revenue, representing roughly 59% of consolidated revenue. International segments — IB Franchise, EMEA, </w:t>
      </w:r>
      <w:proofErr w:type="spellStart"/>
      <w:r>
        <w:rPr>
          <w:sz w:val="24"/>
          <w:szCs w:val="24"/>
        </w:rPr>
        <w:t>LatAm</w:t>
      </w:r>
      <w:proofErr w:type="spellEnd"/>
      <w:r>
        <w:rPr>
          <w:sz w:val="24"/>
          <w:szCs w:val="24"/>
        </w:rPr>
        <w:t xml:space="preserve"> Foods, and Asia Pacific Foods — contributed the remaining 41%.</w:t>
      </w:r>
    </w:p>
    <w:p w14:paraId="3FF9A3A6" w14:textId="77777777" w:rsidR="0053119D" w:rsidRDefault="00EA1E4B">
      <w:pPr>
        <w:spacing w:before="100" w:after="100"/>
      </w:pPr>
      <w:r>
        <w:rPr>
          <w:sz w:val="24"/>
          <w:szCs w:val="24"/>
        </w:rPr>
        <w:t>Several geographic risks are disclosed consistently across the annual filings in the analysis window:</w:t>
      </w:r>
    </w:p>
    <w:p w14:paraId="3FF9A3A7" w14:textId="77777777" w:rsidR="0053119D" w:rsidRDefault="0053119D">
      <w:pPr>
        <w:spacing w:before="100" w:after="100"/>
      </w:pPr>
    </w:p>
    <w:p w14:paraId="3FF9A3A8" w14:textId="77777777" w:rsidR="0053119D" w:rsidRDefault="00EA1E4B">
      <w:pPr>
        <w:spacing w:before="100" w:after="100"/>
      </w:pPr>
      <w:r>
        <w:rPr>
          <w:b/>
          <w:bCs/>
          <w:sz w:val="24"/>
          <w:szCs w:val="24"/>
        </w:rPr>
        <w:t>Foreign currency translation</w:t>
      </w:r>
      <w:r>
        <w:rPr>
          <w:sz w:val="24"/>
          <w:szCs w:val="24"/>
        </w:rPr>
        <w:t xml:space="preserve"> affects every international segment. When local currencies weaken against the US dollar, the same volume of sales in local currency terms produces lower reported revenue in dollars. This effect is particularly visible in years with significant currency moves — 2020 (Argentine peso, Brazilian real), 2022 (Russian ruble, Ukrainian hryvnia), and 2023 (Egyptian pound).</w:t>
      </w:r>
    </w:p>
    <w:p w14:paraId="3FF9A3A9" w14:textId="77777777" w:rsidR="0053119D" w:rsidRDefault="0053119D">
      <w:pPr>
        <w:spacing w:before="100" w:after="100"/>
      </w:pPr>
    </w:p>
    <w:p w14:paraId="3FF9A3AA" w14:textId="77777777" w:rsidR="0053119D" w:rsidRDefault="00EA1E4B">
      <w:pPr>
        <w:spacing w:before="100" w:after="100"/>
      </w:pPr>
      <w:r>
        <w:rPr>
          <w:b/>
          <w:bCs/>
          <w:sz w:val="24"/>
          <w:szCs w:val="24"/>
        </w:rPr>
        <w:t>Geopolitical risk</w:t>
      </w:r>
      <w:r>
        <w:rPr>
          <w:sz w:val="24"/>
          <w:szCs w:val="24"/>
        </w:rPr>
        <w:t xml:space="preserve"> became directly material in 2022 with Russia's invasion of Ukraine. PepsiCo added the Russia-Ukraine conflict as a standalone risk factor in its 2022 filing, citing volatile commodity markets, suspended Ukraine operations, and potential asset impairments. This risk factor was removed in the 2024 filing.</w:t>
      </w:r>
    </w:p>
    <w:p w14:paraId="3FF9A3AB" w14:textId="77777777" w:rsidR="0053119D" w:rsidRDefault="0053119D">
      <w:pPr>
        <w:spacing w:before="100" w:after="100"/>
      </w:pPr>
    </w:p>
    <w:p w14:paraId="3FF9A3AC" w14:textId="77777777" w:rsidR="0053119D" w:rsidRDefault="00EA1E4B">
      <w:pPr>
        <w:spacing w:before="100" w:after="100"/>
      </w:pPr>
      <w:r>
        <w:rPr>
          <w:b/>
          <w:bCs/>
          <w:sz w:val="24"/>
          <w:szCs w:val="24"/>
        </w:rPr>
        <w:t>Regulatory and tax variation</w:t>
      </w:r>
      <w:r>
        <w:rPr>
          <w:sz w:val="24"/>
          <w:szCs w:val="24"/>
        </w:rPr>
        <w:t xml:space="preserve"> across markets creates complexity in both cost management and financial reporting. Sugar taxes, food labeling requirements, and trade tariffs vary by country and have been cited in multiple annual filings as factors affecting net revenue and operating profit in specific markets.</w:t>
      </w:r>
    </w:p>
    <w:p w14:paraId="3FF9A3AD" w14:textId="77777777" w:rsidR="0053119D" w:rsidRDefault="0053119D">
      <w:pPr>
        <w:spacing w:before="100" w:after="100"/>
      </w:pPr>
    </w:p>
    <w:p w14:paraId="3FF9A3AE" w14:textId="77777777" w:rsidR="0053119D" w:rsidRDefault="00EA1E4B">
      <w:pPr>
        <w:spacing w:before="280" w:after="120"/>
      </w:pPr>
      <w:r>
        <w:rPr>
          <w:b/>
          <w:bCs/>
          <w:sz w:val="28"/>
          <w:szCs w:val="28"/>
        </w:rPr>
        <w:t>Key Takeaways — A5</w:t>
      </w:r>
    </w:p>
    <w:p w14:paraId="3FF9A3AF" w14:textId="77777777" w:rsidR="0053119D" w:rsidRDefault="00EA1E4B">
      <w:pPr>
        <w:spacing w:before="100" w:after="100"/>
      </w:pPr>
      <w:r>
        <w:rPr>
          <w:sz w:val="24"/>
          <w:szCs w:val="24"/>
        </w:rPr>
        <w:lastRenderedPageBreak/>
        <w:t xml:space="preserve">PepsiCo's geographic spread means that reported financial results reflect both operational performance and the effect of exchange rate movements, geopolitical events, and varying regulatory environments simultaneously. Approximately 40-42% of consolidated net revenue comes from international operations, making foreign currency translation a recurring and material factor in the revenue and margin analysis. Throughout Part I, local currency performance and reported performance will be distinguished where the </w:t>
      </w:r>
      <w:r>
        <w:rPr>
          <w:sz w:val="24"/>
          <w:szCs w:val="24"/>
        </w:rPr>
        <w:t>data allows, so that currency effects are not mistaken for underlying business trends.</w:t>
      </w:r>
    </w:p>
    <w:p w14:paraId="3FF9A3B0" w14:textId="77777777" w:rsidR="0053119D" w:rsidRDefault="0053119D">
      <w:pPr>
        <w:spacing w:before="100" w:after="100"/>
      </w:pPr>
    </w:p>
    <w:p w14:paraId="3FF9A3B1" w14:textId="77777777" w:rsidR="0053119D" w:rsidRDefault="00EA1E4B">
      <w:pPr>
        <w:spacing w:before="100" w:after="100"/>
      </w:pPr>
      <w:r>
        <w:rPr>
          <w:sz w:val="24"/>
          <w:szCs w:val="24"/>
        </w:rPr>
        <w:t>Sources:</w:t>
      </w:r>
    </w:p>
    <w:p w14:paraId="3FF9A3B2" w14:textId="77777777" w:rsidR="0053119D" w:rsidRDefault="00EA1E4B">
      <w:pPr>
        <w:spacing w:before="40" w:after="60"/>
        <w:ind w:left="360"/>
      </w:pPr>
      <w:r>
        <w:rPr>
          <w:i/>
          <w:iCs/>
          <w:color w:val="444444"/>
        </w:rPr>
        <w:t>PepsiCo, Inc. Annual Reports on Form 10-K, fiscal years 2019 and 2025. United States Securities and Exchange Commission. Geographic revenue disclosures appear in Item 1 (Business) and Item 7 (MD&amp;A) of each filing.</w:t>
      </w:r>
    </w:p>
    <w:p w14:paraId="3FF9A3B3" w14:textId="77777777" w:rsidR="0053119D" w:rsidRDefault="0053119D">
      <w:pPr>
        <w:spacing w:before="100" w:after="100"/>
      </w:pPr>
    </w:p>
    <w:p w14:paraId="3FF9A3B4" w14:textId="77777777" w:rsidR="0053119D" w:rsidRDefault="00EA1E4B">
      <w:pPr>
        <w:spacing w:before="400"/>
        <w:jc w:val="center"/>
      </w:pPr>
      <w:r>
        <w:rPr>
          <w:i/>
          <w:iCs/>
        </w:rPr>
        <w:t>End of Section A — Business Understanding</w:t>
      </w:r>
    </w:p>
    <w:sectPr w:rsidR="0053119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10884"/>
    <w:multiLevelType w:val="hybridMultilevel"/>
    <w:tmpl w:val="861EBAB8"/>
    <w:lvl w:ilvl="0" w:tplc="B97A2754">
      <w:start w:val="1"/>
      <w:numFmt w:val="bullet"/>
      <w:lvlText w:val="●"/>
      <w:lvlJc w:val="left"/>
      <w:pPr>
        <w:ind w:left="720" w:hanging="360"/>
      </w:pPr>
    </w:lvl>
    <w:lvl w:ilvl="1" w:tplc="24A8C28C">
      <w:start w:val="1"/>
      <w:numFmt w:val="bullet"/>
      <w:lvlText w:val="○"/>
      <w:lvlJc w:val="left"/>
      <w:pPr>
        <w:ind w:left="1440" w:hanging="360"/>
      </w:pPr>
    </w:lvl>
    <w:lvl w:ilvl="2" w:tplc="188AA50E">
      <w:start w:val="1"/>
      <w:numFmt w:val="bullet"/>
      <w:lvlText w:val="■"/>
      <w:lvlJc w:val="left"/>
      <w:pPr>
        <w:ind w:left="2160" w:hanging="360"/>
      </w:pPr>
    </w:lvl>
    <w:lvl w:ilvl="3" w:tplc="9E7811EA">
      <w:start w:val="1"/>
      <w:numFmt w:val="bullet"/>
      <w:lvlText w:val="●"/>
      <w:lvlJc w:val="left"/>
      <w:pPr>
        <w:ind w:left="2880" w:hanging="360"/>
      </w:pPr>
    </w:lvl>
    <w:lvl w:ilvl="4" w:tplc="BB38D96A">
      <w:start w:val="1"/>
      <w:numFmt w:val="bullet"/>
      <w:lvlText w:val="○"/>
      <w:lvlJc w:val="left"/>
      <w:pPr>
        <w:ind w:left="3600" w:hanging="360"/>
      </w:pPr>
    </w:lvl>
    <w:lvl w:ilvl="5" w:tplc="34EA7594">
      <w:start w:val="1"/>
      <w:numFmt w:val="bullet"/>
      <w:lvlText w:val="■"/>
      <w:lvlJc w:val="left"/>
      <w:pPr>
        <w:ind w:left="4320" w:hanging="360"/>
      </w:pPr>
    </w:lvl>
    <w:lvl w:ilvl="6" w:tplc="16FE5B3A">
      <w:start w:val="1"/>
      <w:numFmt w:val="bullet"/>
      <w:lvlText w:val="●"/>
      <w:lvlJc w:val="left"/>
      <w:pPr>
        <w:ind w:left="5040" w:hanging="360"/>
      </w:pPr>
    </w:lvl>
    <w:lvl w:ilvl="7" w:tplc="2EC6C278">
      <w:start w:val="1"/>
      <w:numFmt w:val="bullet"/>
      <w:lvlText w:val="●"/>
      <w:lvlJc w:val="left"/>
      <w:pPr>
        <w:ind w:left="5760" w:hanging="360"/>
      </w:pPr>
    </w:lvl>
    <w:lvl w:ilvl="8" w:tplc="0788444A">
      <w:start w:val="1"/>
      <w:numFmt w:val="bullet"/>
      <w:lvlText w:val="●"/>
      <w:lvlJc w:val="left"/>
      <w:pPr>
        <w:ind w:left="6480" w:hanging="360"/>
      </w:pPr>
    </w:lvl>
  </w:abstractNum>
  <w:num w:numId="1" w16cid:durableId="6544573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19D"/>
    <w:rsid w:val="00403375"/>
    <w:rsid w:val="0053119D"/>
    <w:rsid w:val="006B6509"/>
    <w:rsid w:val="00B0032E"/>
    <w:rsid w:val="00EA1E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A318"/>
  <w15:docId w15:val="{593A5F32-84C0-4B8B-B876-3D43AAB69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2733</Words>
  <Characters>15579</Characters>
  <Application>Microsoft Office Word</Application>
  <DocSecurity>0</DocSecurity>
  <Lines>129</Lines>
  <Paragraphs>36</Paragraphs>
  <ScaleCrop>false</ScaleCrop>
  <Company/>
  <LinksUpToDate>false</LinksUpToDate>
  <CharactersWithSpaces>18276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fatiha Okesola</cp:lastModifiedBy>
  <cp:revision>3</cp:revision>
  <dcterms:created xsi:type="dcterms:W3CDTF">2026-08-05T03:18:00Z</dcterms:created>
  <dcterms:modified xsi:type="dcterms:W3CDTF">2026-08-06T01:20:00Z</dcterms:modified>
</cp:coreProperties>
</file>