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sz w:val="32"/>
          <w:szCs w:val="32"/>
        </w:rPr>
        <w:t xml:space="preserve">THE PEPSICO FINANCIAL ANALYSIS SERIES</w:t>
      </w:r>
    </w:p>
    <w:p>
      <w:pPr>
        <w:spacing w:after="80" w:before="80"/>
        <w:jc w:val="center"/>
      </w:pPr>
      <w:r>
        <w:rPr>
          <w:b/>
          <w:bCs/>
          <w:sz w:val="24"/>
          <w:szCs w:val="24"/>
        </w:rPr>
        <w:t xml:space="preserve">Phase 0 — Company Familiarization</w:t>
      </w:r>
    </w:p>
    <w:p>
      <w:pPr>
        <w:spacing w:after="400" w:before="80"/>
        <w:jc w:val="center"/>
      </w:pPr>
      <w:r>
        <w:rPr>
          <w:i/>
          <w:iCs/>
          <w:sz w:val="20"/>
          <w:szCs w:val="20"/>
        </w:rPr>
        <w:t xml:space="preserve">Internal Reference Document</w:t>
      </w:r>
    </w:p>
    <w:p>
      <w:pPr>
        <w:pBdr>
          <w:bottom w:val="single" w:color="000000" w:sz="6"/>
        </w:pBdr>
        <w:spacing w:after="200" w:before="400"/>
      </w:pPr>
      <w:r>
        <w:rPr>
          <w:b/>
          <w:bCs/>
          <w:sz w:val="28"/>
          <w:szCs w:val="28"/>
        </w:rPr>
        <w:t xml:space="preserve">How to Read This Document</w:t>
      </w:r>
    </w:p>
    <w:p>
      <w:pPr>
        <w:spacing w:after="80" w:before="80"/>
      </w:pPr>
      <w:r>
        <w:rPr>
          <w:sz w:val="20"/>
          <w:szCs w:val="20"/>
        </w:rPr>
        <w:t xml:space="preserve">Phase 0 reports observable facts from PepsiCo's annual filings (10-K) from 2019 through 2025. It does not draw analytical conclusions, make performance judgments, or interpret management decisions. Those questions belong to Parts I, II, and III respectively. Where something is noted as worth watching, it is flagged as a question to carry forward — not an answer.</w:t>
      </w:r>
    </w:p>
    <w:p>
      <w:pPr>
        <w:spacing w:after="80" w:before="80"/>
      </w:pPr>
      <w:r>
        <w:t xml:space="preserve"/>
      </w:r>
    </w:p>
    <w:p>
      <w:pPr>
        <w:pBdr>
          <w:bottom w:val="single" w:color="000000" w:sz="6"/>
        </w:pBdr>
        <w:spacing w:after="200" w:before="400"/>
      </w:pPr>
      <w:r>
        <w:rPr>
          <w:b/>
          <w:bCs/>
          <w:sz w:val="28"/>
          <w:szCs w:val="28"/>
        </w:rPr>
        <w:t xml:space="preserve">Purpose</w:t>
      </w:r>
    </w:p>
    <w:p>
      <w:pPr>
        <w:spacing w:after="80" w:before="80"/>
      </w:pPr>
      <w:r>
        <w:rPr>
          <w:sz w:val="20"/>
          <w:szCs w:val="20"/>
        </w:rPr>
        <w:t xml:space="preserve">Before any financial analysis begins, this section builds the business context needed to make the numbers meaningful. Understanding what PepsiCo is, how it makes money, what has shaped its recent history, and what questions to carry into the analysis is the foundation every subsequent part builds on.</w:t>
      </w:r>
    </w:p>
    <w:p>
      <w:pPr>
        <w:spacing w:after="80" w:before="80"/>
      </w:pPr>
      <w:r>
        <w:t xml:space="preserve"/>
      </w:r>
    </w:p>
    <w:p>
      <w:pPr>
        <w:pBdr>
          <w:bottom w:val="single" w:color="000000" w:sz="6"/>
        </w:pBdr>
        <w:spacing w:after="200" w:before="400"/>
      </w:pPr>
      <w:r>
        <w:rPr>
          <w:b/>
          <w:bCs/>
          <w:sz w:val="28"/>
          <w:szCs w:val="28"/>
        </w:rPr>
        <w:t xml:space="preserve">What PepsiCo Is</w:t>
      </w:r>
    </w:p>
    <w:p>
      <w:pPr>
        <w:spacing w:after="80" w:before="80"/>
      </w:pPr>
      <w:r>
        <w:rPr>
          <w:sz w:val="20"/>
          <w:szCs w:val="20"/>
        </w:rPr>
        <w:t xml:space="preserve">PepsiCo is one of the world's largest food and beverage companies, operating in more than 200 countries and territories. Its core brands include Frito-Lay, Gatorade, Pepsi-Cola, Quaker, and Tropicana (divested 2022). Products reach consumers through direct-store-delivery (DSD), customer warehouse networks, distributor networks, and e-commerce channels.</w:t>
      </w:r>
    </w:p>
    <w:p>
      <w:pPr>
        <w:spacing w:after="80" w:before="80"/>
      </w:pPr>
      <w:r>
        <w:rPr>
          <w:sz w:val="20"/>
          <w:szCs w:val="20"/>
        </w:rPr>
        <w:t xml:space="preserve">The business operates across two primary categories — beverages and convenient foods and snacks — with North America representing the majority of revenue and profitability. Walmart and its affiliates represent approximately 13-14% of consolidated net revenue consistently across the analysis window, disclosed each year as a significant customer concentration.</w:t>
      </w:r>
    </w:p>
    <w:p>
      <w:pPr>
        <w:spacing w:after="80" w:before="80"/>
      </w:pPr>
      <w:r>
        <w:rPr>
          <w:sz w:val="20"/>
          <w:szCs w:val="20"/>
        </w:rPr>
        <w:t xml:space="preserve">Sales follow a seasonal pattern — generally highest in Q3, lowest in Q1 — though seasonality has not had a material impact on consolidated annual results.</w:t>
      </w:r>
    </w:p>
    <w:p>
      <w:pPr>
        <w:spacing w:after="80" w:before="80"/>
      </w:pPr>
      <w:r>
        <w:t xml:space="preserve"/>
      </w:r>
    </w:p>
    <w:p>
      <w:pPr>
        <w:pBdr>
          <w:bottom w:val="single" w:color="000000" w:sz="6"/>
        </w:pBdr>
        <w:spacing w:after="200" w:before="400"/>
      </w:pPr>
      <w:r>
        <w:rPr>
          <w:b/>
          <w:bCs/>
          <w:sz w:val="28"/>
          <w:szCs w:val="28"/>
        </w:rPr>
        <w:t xml:space="preserve">Segment Structure and Evolution</w:t>
      </w:r>
    </w:p>
    <w:p>
      <w:pPr>
        <w:spacing w:after="120" w:before="320"/>
      </w:pPr>
      <w:r>
        <w:rPr>
          <w:b/>
          <w:bCs/>
          <w:sz w:val="24"/>
          <w:szCs w:val="24"/>
        </w:rPr>
        <w:t xml:space="preserve">2019–2024: Seven Reportable Segments</w:t>
      </w:r>
    </w:p>
    <w:p>
      <w:pPr>
        <w:spacing w:after="80" w:before="8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40"/>
            <w:shd w:fill="CCCCCC" w:val="clear"/>
          </w:tcPr>
          <w:p>
            <w:r>
              <w:rPr>
                <w:b/>
                <w:bCs/>
                <w:sz w:val="18"/>
                <w:szCs w:val="18"/>
              </w:rPr>
              <w:t xml:space="preserve">Segment</w:t>
            </w:r>
          </w:p>
        </w:tc>
        <w:tc>
          <w:tcPr>
            <w:tcW w:type="dxa" w:w="6660"/>
            <w:shd w:fill="CCCCCC" w:val="clear"/>
          </w:tcPr>
          <w:p>
            <w:r>
              <w:rPr>
                <w:b/>
                <w:bCs/>
                <w:sz w:val="18"/>
                <w:szCs w:val="18"/>
              </w:rPr>
              <w:t xml:space="preserve">Description</w:t>
            </w:r>
          </w:p>
        </w:tc>
      </w:tr>
      <w:tr>
        <w:tc>
          <w:tcPr>
            <w:tcW w:type="dxa" w:w="1440"/>
          </w:tcPr>
          <w:p>
            <w:r>
              <w:rPr>
                <w:sz w:val="18"/>
                <w:szCs w:val="18"/>
              </w:rPr>
              <w:t xml:space="preserve">FLNA</w:t>
            </w:r>
          </w:p>
        </w:tc>
        <w:tc>
          <w:tcPr>
            <w:tcW w:type="dxa" w:w="6660"/>
          </w:tcPr>
          <w:p>
            <w:r>
              <w:rPr>
                <w:sz w:val="18"/>
                <w:szCs w:val="18"/>
              </w:rPr>
              <w:t xml:space="preserve">Frito-Lay North America — branded convenient foods, US and Canada</w:t>
            </w:r>
          </w:p>
        </w:tc>
      </w:tr>
      <w:tr>
        <w:tc>
          <w:tcPr>
            <w:tcW w:type="dxa" w:w="1440"/>
          </w:tcPr>
          <w:p>
            <w:r>
              <w:rPr>
                <w:sz w:val="18"/>
                <w:szCs w:val="18"/>
              </w:rPr>
              <w:t xml:space="preserve">QFNA</w:t>
            </w:r>
          </w:p>
        </w:tc>
        <w:tc>
          <w:tcPr>
            <w:tcW w:type="dxa" w:w="6660"/>
          </w:tcPr>
          <w:p>
            <w:r>
              <w:rPr>
                <w:sz w:val="18"/>
                <w:szCs w:val="18"/>
              </w:rPr>
              <w:t xml:space="preserve">Quaker Foods North America — cereal, rice, pasta, US and Canada</w:t>
            </w:r>
          </w:p>
        </w:tc>
      </w:tr>
      <w:tr>
        <w:tc>
          <w:tcPr>
            <w:tcW w:type="dxa" w:w="1440"/>
          </w:tcPr>
          <w:p>
            <w:r>
              <w:rPr>
                <w:sz w:val="18"/>
                <w:szCs w:val="18"/>
              </w:rPr>
              <w:t xml:space="preserve">PBNA</w:t>
            </w:r>
          </w:p>
        </w:tc>
        <w:tc>
          <w:tcPr>
            <w:tcW w:type="dxa" w:w="6660"/>
          </w:tcPr>
          <w:p>
            <w:r>
              <w:rPr>
                <w:sz w:val="18"/>
                <w:szCs w:val="18"/>
              </w:rPr>
              <w:t xml:space="preserve">PepsiCo Beverages North America — beverages, US and Canada</w:t>
            </w:r>
          </w:p>
        </w:tc>
      </w:tr>
      <w:tr>
        <w:tc>
          <w:tcPr>
            <w:tcW w:type="dxa" w:w="1440"/>
          </w:tcPr>
          <w:p>
            <w:r>
              <w:rPr>
                <w:sz w:val="18"/>
                <w:szCs w:val="18"/>
              </w:rPr>
              <w:t xml:space="preserve">LatAm</w:t>
            </w:r>
          </w:p>
        </w:tc>
        <w:tc>
          <w:tcPr>
            <w:tcW w:type="dxa" w:w="6660"/>
          </w:tcPr>
          <w:p>
            <w:r>
              <w:rPr>
                <w:sz w:val="18"/>
                <w:szCs w:val="18"/>
              </w:rPr>
              <w:t xml:space="preserve">All beverages and convenient foods in Latin America</w:t>
            </w:r>
          </w:p>
        </w:tc>
      </w:tr>
      <w:tr>
        <w:tc>
          <w:tcPr>
            <w:tcW w:type="dxa" w:w="1440"/>
          </w:tcPr>
          <w:p>
            <w:r>
              <w:rPr>
                <w:sz w:val="18"/>
                <w:szCs w:val="18"/>
              </w:rPr>
              <w:t xml:space="preserve">Europe</w:t>
            </w:r>
          </w:p>
        </w:tc>
        <w:tc>
          <w:tcPr>
            <w:tcW w:type="dxa" w:w="6660"/>
          </w:tcPr>
          <w:p>
            <w:r>
              <w:rPr>
                <w:sz w:val="18"/>
                <w:szCs w:val="18"/>
              </w:rPr>
              <w:t xml:space="preserve">All beverages and convenient foods in Europe</w:t>
            </w:r>
          </w:p>
        </w:tc>
      </w:tr>
      <w:tr>
        <w:tc>
          <w:tcPr>
            <w:tcW w:type="dxa" w:w="1440"/>
          </w:tcPr>
          <w:p>
            <w:r>
              <w:rPr>
                <w:sz w:val="18"/>
                <w:szCs w:val="18"/>
              </w:rPr>
              <w:t xml:space="preserve">AMESA</w:t>
            </w:r>
          </w:p>
        </w:tc>
        <w:tc>
          <w:tcPr>
            <w:tcW w:type="dxa" w:w="6660"/>
          </w:tcPr>
          <w:p>
            <w:r>
              <w:rPr>
                <w:sz w:val="18"/>
                <w:szCs w:val="18"/>
              </w:rPr>
              <w:t xml:space="preserve">Africa, Middle East and South Asia — all beverages and foods</w:t>
            </w:r>
          </w:p>
        </w:tc>
      </w:tr>
      <w:tr>
        <w:tc>
          <w:tcPr>
            <w:tcW w:type="dxa" w:w="1440"/>
          </w:tcPr>
          <w:p>
            <w:r>
              <w:rPr>
                <w:sz w:val="18"/>
                <w:szCs w:val="18"/>
              </w:rPr>
              <w:t xml:space="preserve">APAC</w:t>
            </w:r>
          </w:p>
        </w:tc>
        <w:tc>
          <w:tcPr>
            <w:tcW w:type="dxa" w:w="6660"/>
          </w:tcPr>
          <w:p>
            <w:r>
              <w:rPr>
                <w:sz w:val="18"/>
                <w:szCs w:val="18"/>
              </w:rPr>
              <w:t xml:space="preserve">Asia Pacific, Australia, New Zealand and China — all beverages and foods</w:t>
            </w:r>
          </w:p>
        </w:tc>
      </w:tr>
    </w:tbl>
    <w:p>
      <w:pPr>
        <w:spacing w:after="80" w:before="80"/>
      </w:pPr>
      <w:r>
        <w:t xml:space="preserve"/>
      </w:r>
    </w:p>
    <w:p>
      <w:pPr>
        <w:spacing w:after="120" w:before="320"/>
      </w:pPr>
      <w:r>
        <w:rPr>
          <w:b/>
          <w:bCs/>
          <w:sz w:val="24"/>
          <w:szCs w:val="24"/>
        </w:rPr>
        <w:t xml:space="preserve">Effective Q1 2025: Reorganized to Six Reportable Segments</w:t>
      </w:r>
    </w:p>
    <w:p>
      <w:pPr>
        <w:spacing w:after="80" w:before="8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40"/>
            <w:shd w:fill="CCCCCC" w:val="clear"/>
          </w:tcPr>
          <w:p>
            <w:r>
              <w:rPr>
                <w:b/>
                <w:bCs/>
                <w:sz w:val="18"/>
                <w:szCs w:val="18"/>
              </w:rPr>
              <w:t xml:space="preserve">Segment</w:t>
            </w:r>
          </w:p>
        </w:tc>
        <w:tc>
          <w:tcPr>
            <w:tcW w:type="dxa" w:w="6660"/>
            <w:shd w:fill="CCCCCC" w:val="clear"/>
          </w:tcPr>
          <w:p>
            <w:r>
              <w:rPr>
                <w:b/>
                <w:bCs/>
                <w:sz w:val="18"/>
                <w:szCs w:val="18"/>
              </w:rPr>
              <w:t xml:space="preserve">Description</w:t>
            </w:r>
          </w:p>
        </w:tc>
      </w:tr>
      <w:tr>
        <w:tc>
          <w:tcPr>
            <w:tcW w:type="dxa" w:w="1440"/>
          </w:tcPr>
          <w:p>
            <w:r>
              <w:rPr>
                <w:sz w:val="18"/>
                <w:szCs w:val="18"/>
              </w:rPr>
              <w:t xml:space="preserve">PFNA</w:t>
            </w:r>
          </w:p>
        </w:tc>
        <w:tc>
          <w:tcPr>
            <w:tcW w:type="dxa" w:w="6660"/>
          </w:tcPr>
          <w:p>
            <w:r>
              <w:rPr>
                <w:sz w:val="18"/>
                <w:szCs w:val="18"/>
              </w:rPr>
              <w:t xml:space="preserve">PepsiCo Foods North America — merged FLNA and QFNA</w:t>
            </w:r>
          </w:p>
        </w:tc>
      </w:tr>
      <w:tr>
        <w:tc>
          <w:tcPr>
            <w:tcW w:type="dxa" w:w="1440"/>
          </w:tcPr>
          <w:p>
            <w:r>
              <w:rPr>
                <w:sz w:val="18"/>
                <w:szCs w:val="18"/>
              </w:rPr>
              <w:t xml:space="preserve">PBNA</w:t>
            </w:r>
          </w:p>
        </w:tc>
        <w:tc>
          <w:tcPr>
            <w:tcW w:type="dxa" w:w="6660"/>
          </w:tcPr>
          <w:p>
            <w:r>
              <w:rPr>
                <w:sz w:val="18"/>
                <w:szCs w:val="18"/>
              </w:rPr>
              <w:t xml:space="preserve">PepsiCo Beverages North America — unchanged</w:t>
            </w:r>
          </w:p>
        </w:tc>
      </w:tr>
      <w:tr>
        <w:tc>
          <w:tcPr>
            <w:tcW w:type="dxa" w:w="1440"/>
          </w:tcPr>
          <w:p>
            <w:r>
              <w:rPr>
                <w:sz w:val="18"/>
                <w:szCs w:val="18"/>
              </w:rPr>
              <w:t xml:space="preserve">IB Franchise</w:t>
            </w:r>
          </w:p>
        </w:tc>
        <w:tc>
          <w:tcPr>
            <w:tcW w:type="dxa" w:w="6660"/>
          </w:tcPr>
          <w:p>
            <w:r>
              <w:rPr>
                <w:sz w:val="18"/>
                <w:szCs w:val="18"/>
              </w:rPr>
              <w:t xml:space="preserve">International Beverages Franchise — international franchise beverages and SodaStream</w:t>
            </w:r>
          </w:p>
        </w:tc>
      </w:tr>
      <w:tr>
        <w:tc>
          <w:tcPr>
            <w:tcW w:type="dxa" w:w="1440"/>
          </w:tcPr>
          <w:p>
            <w:r>
              <w:rPr>
                <w:sz w:val="18"/>
                <w:szCs w:val="18"/>
              </w:rPr>
              <w:t xml:space="preserve">EMEA</w:t>
            </w:r>
          </w:p>
        </w:tc>
        <w:tc>
          <w:tcPr>
            <w:tcW w:type="dxa" w:w="6660"/>
          </w:tcPr>
          <w:p>
            <w:r>
              <w:rPr>
                <w:sz w:val="18"/>
                <w:szCs w:val="18"/>
              </w:rPr>
              <w:t xml:space="preserve">Europe, Middle East and Africa — convenient foods and company-owned bottlers</w:t>
            </w:r>
          </w:p>
        </w:tc>
      </w:tr>
      <w:tr>
        <w:tc>
          <w:tcPr>
            <w:tcW w:type="dxa" w:w="1440"/>
          </w:tcPr>
          <w:p>
            <w:r>
              <w:rPr>
                <w:sz w:val="18"/>
                <w:szCs w:val="18"/>
              </w:rPr>
              <w:t xml:space="preserve">LatAm Foods</w:t>
            </w:r>
          </w:p>
        </w:tc>
        <w:tc>
          <w:tcPr>
            <w:tcW w:type="dxa" w:w="6660"/>
          </w:tcPr>
          <w:p>
            <w:r>
              <w:rPr>
                <w:sz w:val="18"/>
                <w:szCs w:val="18"/>
              </w:rPr>
              <w:t xml:space="preserve">Latin America Foods only</w:t>
            </w:r>
          </w:p>
        </w:tc>
      </w:tr>
      <w:tr>
        <w:tc>
          <w:tcPr>
            <w:tcW w:type="dxa" w:w="1440"/>
          </w:tcPr>
          <w:p>
            <w:r>
              <w:rPr>
                <w:sz w:val="18"/>
                <w:szCs w:val="18"/>
              </w:rPr>
              <w:t xml:space="preserve">Asia Pacific Foods</w:t>
            </w:r>
          </w:p>
        </w:tc>
        <w:tc>
          <w:tcPr>
            <w:tcW w:type="dxa" w:w="6660"/>
          </w:tcPr>
          <w:p>
            <w:r>
              <w:rPr>
                <w:sz w:val="18"/>
                <w:szCs w:val="18"/>
              </w:rPr>
              <w:t xml:space="preserve">Foods in APAC including China, Australia, New Zealand and India</w:t>
            </w:r>
          </w:p>
        </w:tc>
      </w:tr>
    </w:tbl>
    <w:p>
      <w:pPr>
        <w:spacing w:after="80" w:before="80"/>
      </w:pPr>
      <w:r>
        <w:t xml:space="preserve"/>
      </w:r>
    </w:p>
    <w:p>
      <w:pPr>
        <w:spacing w:after="80" w:before="80"/>
      </w:pPr>
      <w:r>
        <w:rPr>
          <w:sz w:val="20"/>
          <w:szCs w:val="20"/>
        </w:rPr>
        <w:t xml:space="preserve">The 2024 filing states: "Our historical segment reporting will be recast beginning first quarter 2025 to reflect the new organizational structure." Recast 2023 and 2024 comparatives on the new six-segment basis are available in the 2025 filing and will be used for recent year comparisons where relevant. Trend analysis for 2019-2022 uses the original seven-segment structure.</w:t>
      </w:r>
    </w:p>
    <w:p>
      <w:r>
        <w:br w:type="page"/>
      </w:r>
    </w:p>
    <w:p>
      <w:pPr>
        <w:pBdr>
          <w:bottom w:val="single" w:color="000000" w:sz="6"/>
        </w:pBdr>
        <w:spacing w:after="200" w:before="400"/>
      </w:pPr>
      <w:r>
        <w:rPr>
          <w:b/>
          <w:bCs/>
          <w:sz w:val="28"/>
          <w:szCs w:val="28"/>
        </w:rPr>
        <w:t xml:space="preserve">Key Events 2019–2025</w:t>
      </w:r>
    </w:p>
    <w:p>
      <w:pPr>
        <w:spacing w:after="120" w:before="320"/>
      </w:pPr>
      <w:r>
        <w:rPr>
          <w:b/>
          <w:bCs/>
          <w:sz w:val="24"/>
          <w:szCs w:val="24"/>
        </w:rPr>
        <w:t xml:space="preserve">2019</w:t>
      </w:r>
    </w:p>
    <w:p>
      <w:pPr>
        <w:spacing w:after="80" w:before="80"/>
      </w:pPr>
      <w:r>
        <w:rPr>
          <w:sz w:val="20"/>
          <w:szCs w:val="20"/>
        </w:rPr>
        <w:t xml:space="preserve">PepsiCo entered 2019 organized into seven segments with international operations generating 42% of consolidated net revenue. Key international markets — Mexico, Russia, Canada, the United Kingdom, China and Brazil — collectively represented approximately 22% of net revenue.</w:t>
      </w:r>
    </w:p>
    <w:p>
      <w:pPr>
        <w:spacing w:after="80" w:before="80"/>
      </w:pPr>
      <w:r>
        <w:rPr>
          <w:sz w:val="20"/>
          <w:szCs w:val="20"/>
        </w:rPr>
        <w:t xml:space="preserve">Foreign exchange reduced net revenue growth by 2 percentage points in 2019, reflecting declines in the euro, Turkish lira, Brazilian real, Russian ruble and Argentine peso against the US dollar.</w:t>
      </w:r>
    </w:p>
    <w:p>
      <w:pPr>
        <w:spacing w:after="80" w:before="80"/>
      </w:pPr>
      <w:r>
        <w:rPr>
          <w:sz w:val="20"/>
          <w:szCs w:val="20"/>
        </w:rPr>
        <w:t xml:space="preserve">Two regulatory developments are worth noting for the accounting analysis. The US Tax Cuts and Jobs Act (TCJ Act) enacted in 2017 continued to generate residual tax adjustments, with a net tax benefit of $8 million recognized in 2019. The Swiss Tax Reform (TRAF), passed by referendum in May 2019 and effective January 2020, resulted in a net tax expense of $24 million in 2019 related to deferred tax adjustments. Both will appear in the tax note analysis in Section E5.</w:t>
      </w:r>
    </w:p>
    <w:p>
      <w:pPr>
        <w:spacing w:after="80" w:before="80"/>
      </w:pPr>
      <w:r>
        <w:rPr>
          <w:sz w:val="20"/>
          <w:szCs w:val="20"/>
        </w:rPr>
        <w:t xml:space="preserve">PepsiCo entered into an agreement to acquire Pioneer Foods (South Africa) in 2019, with the transaction expected to close in early 2020. Total servings increased 4% in 2019 compared to 2018, reflecting the SodaStream acquisition completed in 2018.</w:t>
      </w:r>
    </w:p>
    <w:p>
      <w:pPr>
        <w:spacing w:after="80" w:before="80"/>
      </w:pPr>
      <w:r>
        <w:t xml:space="preserve"/>
      </w:r>
    </w:p>
    <w:p>
      <w:pPr>
        <w:spacing w:after="120" w:before="320"/>
      </w:pPr>
      <w:r>
        <w:rPr>
          <w:b/>
          <w:bCs/>
          <w:sz w:val="24"/>
          <w:szCs w:val="24"/>
        </w:rPr>
        <w:t xml:space="preserve">2020</w:t>
      </w:r>
    </w:p>
    <w:p>
      <w:pPr>
        <w:spacing w:after="80" w:before="80"/>
      </w:pPr>
      <w:r>
        <w:rPr>
          <w:sz w:val="20"/>
          <w:szCs w:val="20"/>
        </w:rPr>
        <w:t xml:space="preserve">Three acquisitions closed in 2020:</w:t>
      </w:r>
    </w:p>
    <w:p>
      <w:pPr>
        <w:spacing w:after="60" w:before="60"/>
        <w:ind w:left="360"/>
      </w:pPr>
      <w:r>
        <w:rPr>
          <w:b/>
          <w:bCs/>
          <w:sz w:val="20"/>
          <w:szCs w:val="20"/>
        </w:rPr>
        <w:t xml:space="preserve">• Pioneer Foods — </w:t>
      </w:r>
      <w:r>
        <w:rPr>
          <w:sz w:val="20"/>
          <w:szCs w:val="20"/>
        </w:rPr>
        <w:t xml:space="preserve">South Africa — a food and beverage company with exports across the globe</w:t>
      </w:r>
    </w:p>
    <w:p>
      <w:pPr>
        <w:spacing w:after="60" w:before="60"/>
        <w:ind w:left="360"/>
      </w:pPr>
      <w:r>
        <w:rPr>
          <w:b/>
          <w:bCs/>
          <w:sz w:val="20"/>
          <w:szCs w:val="20"/>
        </w:rPr>
        <w:t xml:space="preserve">• Rockstar Energy Beverages — </w:t>
      </w:r>
      <w:r>
        <w:rPr>
          <w:sz w:val="20"/>
          <w:szCs w:val="20"/>
        </w:rPr>
        <w:t xml:space="preserve">an energy drink company with whom PepsiCo had a prior distribution agreement</w:t>
      </w:r>
    </w:p>
    <w:p>
      <w:pPr>
        <w:spacing w:after="60" w:before="60"/>
        <w:ind w:left="360"/>
      </w:pPr>
      <w:r>
        <w:rPr>
          <w:b/>
          <w:bCs/>
          <w:sz w:val="20"/>
          <w:szCs w:val="20"/>
        </w:rPr>
        <w:t xml:space="preserve">• Be &amp; Cheery (Hangzhou Haomusi Food Co.) — </w:t>
      </w:r>
      <w:r>
        <w:rPr>
          <w:sz w:val="20"/>
          <w:szCs w:val="20"/>
        </w:rPr>
        <w:t xml:space="preserve">described in the filing as one of the largest online snack companies in China</w:t>
      </w:r>
    </w:p>
    <w:p>
      <w:pPr>
        <w:spacing w:after="80" w:before="80"/>
      </w:pPr>
      <w:r>
        <w:t xml:space="preserve"/>
      </w:r>
    </w:p>
    <w:p>
      <w:pPr>
        <w:spacing w:after="80" w:before="80"/>
      </w:pPr>
      <w:r>
        <w:rPr>
          <w:sz w:val="20"/>
          <w:szCs w:val="20"/>
        </w:rPr>
        <w:t xml:space="preserve">The COVID-19 pandemic affected operations across all 200+ markets. The 2020 filing states that the pandemic "resulted in challenging operating environments" and that "the extent to which the COVID-19 pandemic will impact our future business operations and financial results remains uncertain." No consolidated financial summary of COVID's actual impact was provided in the 2020 filing itself.</w:t>
      </w:r>
    </w:p>
    <w:p>
      <w:pPr>
        <w:spacing w:after="80" w:before="80"/>
      </w:pPr>
      <w:r>
        <w:rPr>
          <w:sz w:val="20"/>
          <w:szCs w:val="20"/>
        </w:rPr>
        <w:t xml:space="preserve">Shifts in consumer behavior were noted — increased demand in the e-commerce channel and changes in purchasing patterns — though the financial effect by segment is not summarized in Item 1.</w:t>
      </w:r>
    </w:p>
    <w:p>
      <w:pPr>
        <w:spacing w:after="80" w:before="80"/>
      </w:pPr>
      <w:r>
        <w:rPr>
          <w:sz w:val="20"/>
          <w:szCs w:val="20"/>
        </w:rPr>
        <w:t xml:space="preserve">Financial risk was added as a standalone risk category in the 2020 filing for the first time. Employee count: 291,000 (up from 267,000 in 2019).</w:t>
      </w:r>
    </w:p>
    <w:p>
      <w:pPr>
        <w:spacing w:after="80" w:before="80"/>
      </w:pPr>
      <w:r>
        <w:t xml:space="preserve"/>
      </w:r>
    </w:p>
    <w:p>
      <w:pPr>
        <w:spacing w:after="120" w:before="320"/>
      </w:pPr>
      <w:r>
        <w:rPr>
          <w:b/>
          <w:bCs/>
          <w:sz w:val="24"/>
          <w:szCs w:val="24"/>
        </w:rPr>
        <w:t xml:space="preserve">2021</w:t>
      </w:r>
    </w:p>
    <w:p>
      <w:pPr>
        <w:spacing w:after="80" w:before="80"/>
      </w:pPr>
      <w:r>
        <w:rPr>
          <w:sz w:val="20"/>
          <w:szCs w:val="20"/>
        </w:rPr>
        <w:t xml:space="preserve">PepsiCo remained organized into seven segments.</w:t>
      </w:r>
    </w:p>
    <w:p>
      <w:pPr>
        <w:spacing w:after="80" w:before="80"/>
      </w:pPr>
      <w:r>
        <w:rPr>
          <w:sz w:val="20"/>
          <w:szCs w:val="20"/>
        </w:rPr>
        <w:t xml:space="preserve">The 2021 filing explicitly states: "During 2021, we experienced higher than anticipated commodity, packaging and other input costs and, in some instances, limited shortages due to global inflation, supply chain disruptions, labor shortages, increased demand and other regulatory and macroeconomic factors associated with the novel coronavirus (COVID-19) pandemic, which has continued into fiscal 2022."</w:t>
      </w:r>
    </w:p>
    <w:p>
      <w:pPr>
        <w:spacing w:after="80" w:before="80"/>
      </w:pPr>
      <w:r>
        <w:rPr>
          <w:sz w:val="20"/>
          <w:szCs w:val="20"/>
        </w:rPr>
        <w:t xml:space="preserve">The filing also announced the planned sale of Tropicana, Naked and select juice brands to PAI Partners, with the transaction closing in Q1 2022. Employee count: 309,000.</w:t>
      </w:r>
    </w:p>
    <w:p>
      <w:pPr>
        <w:spacing w:after="80" w:before="80"/>
      </w:pPr>
      <w:r>
        <w:t xml:space="preserve"/>
      </w:r>
    </w:p>
    <w:p>
      <w:pPr>
        <w:spacing w:after="120" w:before="320"/>
      </w:pPr>
      <w:r>
        <w:rPr>
          <w:b/>
          <w:bCs/>
          <w:sz w:val="24"/>
          <w:szCs w:val="24"/>
        </w:rPr>
        <w:t xml:space="preserve">2022</w:t>
      </w:r>
    </w:p>
    <w:p>
      <w:pPr>
        <w:spacing w:after="80" w:before="80"/>
      </w:pPr>
      <w:r>
        <w:rPr>
          <w:sz w:val="20"/>
          <w:szCs w:val="20"/>
        </w:rPr>
        <w:t xml:space="preserve">PepsiCo sold Tropicana, Naked and select juice brands to PAI Partners in Q1 2022, retaining a 39% noncontrolling interest in a newly formed joint venture operating across North America and Europe. In the US, PepsiCo acts as the exclusive distributor for the joint venture's portfolio of brands for small-format and foodservice customers with chilled direct-store-delivery.</w:t>
      </w:r>
    </w:p>
    <w:p>
      <w:pPr>
        <w:spacing w:after="80" w:before="80"/>
      </w:pPr>
      <w:r>
        <w:rPr>
          <w:sz w:val="20"/>
          <w:szCs w:val="20"/>
        </w:rPr>
        <w:t xml:space="preserve">PepsiCo began distributing Hard MTN Dew, an alcoholic beverage manufactured and owned by Boston Beer Company, under a licensing and distribution arrangement.</w:t>
      </w:r>
    </w:p>
    <w:p>
      <w:pPr>
        <w:spacing w:after="80" w:before="80"/>
      </w:pPr>
      <w:r>
        <w:rPr>
          <w:sz w:val="20"/>
          <w:szCs w:val="20"/>
        </w:rPr>
        <w:t xml:space="preserve">US liquid refreshment beverage market share reported: PepsiCo 20%, Coca-Cola 21%.</w:t>
      </w:r>
    </w:p>
    <w:p>
      <w:pPr>
        <w:spacing w:after="80" w:before="80"/>
      </w:pPr>
      <w:r>
        <w:rPr>
          <w:sz w:val="20"/>
          <w:szCs w:val="20"/>
        </w:rPr>
        <w:t xml:space="preserve">The Russia-Ukraine conflict was added as a new standalone risk factor, citing volatile commodity markets, supply chain disruption, ruble volatility, suspended Ukraine operations and potential asset impairments.</w:t>
      </w:r>
    </w:p>
    <w:p>
      <w:pPr>
        <w:spacing w:after="80" w:before="80"/>
      </w:pPr>
      <w:r>
        <w:t xml:space="preserve"/>
      </w:r>
    </w:p>
    <w:p>
      <w:pPr>
        <w:spacing w:after="120" w:before="320"/>
      </w:pPr>
      <w:r>
        <w:rPr>
          <w:b/>
          <w:bCs/>
          <w:sz w:val="24"/>
          <w:szCs w:val="24"/>
        </w:rPr>
        <w:t xml:space="preserve">2023</w:t>
      </w:r>
    </w:p>
    <w:p>
      <w:pPr>
        <w:spacing w:after="80" w:before="80"/>
      </w:pPr>
      <w:r>
        <w:rPr>
          <w:sz w:val="20"/>
          <w:szCs w:val="20"/>
        </w:rPr>
        <w:t xml:space="preserve">US liquid refreshment beverage market share: PepsiCo 19%, Coca-Cola 20%. The Ukraine conflict risk persisted in the disclosures. Employee count: 318,000.</w:t>
      </w:r>
    </w:p>
    <w:p>
      <w:pPr>
        <w:spacing w:after="80" w:before="80"/>
      </w:pPr>
      <w:r>
        <w:t xml:space="preserve"/>
      </w:r>
    </w:p>
    <w:p>
      <w:pPr>
        <w:spacing w:after="120" w:before="320"/>
      </w:pPr>
      <w:r>
        <w:rPr>
          <w:b/>
          <w:bCs/>
          <w:sz w:val="24"/>
          <w:szCs w:val="24"/>
        </w:rPr>
        <w:t xml:space="preserve">2024</w:t>
      </w:r>
    </w:p>
    <w:p>
      <w:pPr>
        <w:spacing w:after="80" w:before="80"/>
      </w:pPr>
      <w:r>
        <w:rPr>
          <w:sz w:val="20"/>
          <w:szCs w:val="20"/>
        </w:rPr>
        <w:t xml:space="preserve">In December 2024, PepsiCo acquired the Strauss Group's 50% ownership in Sabra Dipping Company, making Sabra a wholly-owned subsidiary. The filing describes Sabra as a company that "makes, markets, distributes and sells Sabra refrigerated dips and spreads."</w:t>
      </w:r>
    </w:p>
    <w:p>
      <w:pPr>
        <w:spacing w:after="80" w:before="80"/>
      </w:pPr>
      <w:r>
        <w:rPr>
          <w:sz w:val="20"/>
          <w:szCs w:val="20"/>
        </w:rPr>
        <w:t xml:space="preserve">The segment reorganization from seven to six reportable segments was announced, effective Q1 2025. US liquid refreshment beverage market share: PepsiCo 18%, Coca-Cola 21%. The Ukraine conflict was removed from the risk factor disclosures. Employee count: 319,000.</w:t>
      </w:r>
    </w:p>
    <w:p>
      <w:pPr>
        <w:spacing w:after="80" w:before="80"/>
      </w:pPr>
      <w:r>
        <w:t xml:space="preserve"/>
      </w:r>
    </w:p>
    <w:p>
      <w:pPr>
        <w:spacing w:after="120" w:before="320"/>
      </w:pPr>
      <w:r>
        <w:rPr>
          <w:b/>
          <w:bCs/>
          <w:sz w:val="24"/>
          <w:szCs w:val="24"/>
        </w:rPr>
        <w:t xml:space="preserve">2025</w:t>
      </w:r>
    </w:p>
    <w:p>
      <w:pPr>
        <w:spacing w:after="80" w:before="80"/>
      </w:pPr>
      <w:r>
        <w:rPr>
          <w:sz w:val="20"/>
          <w:szCs w:val="20"/>
        </w:rPr>
        <w:t xml:space="preserve">The six-segment structure took effect. Historical segment data for 2023 and 2024 was recast on the new basis. US liquid refreshment beverage market share: PepsiCo 16%, Coca-Cola 20%. Employee count: 306,000, down from 319,000 in 2024.</w:t>
      </w:r>
    </w:p>
    <w:p>
      <w:r>
        <w:br w:type="page"/>
      </w:r>
    </w:p>
    <w:p>
      <w:pPr>
        <w:pBdr>
          <w:bottom w:val="single" w:color="000000" w:sz="6"/>
        </w:pBdr>
        <w:spacing w:after="200" w:before="400"/>
      </w:pPr>
      <w:r>
        <w:rPr>
          <w:b/>
          <w:bCs/>
          <w:sz w:val="28"/>
          <w:szCs w:val="28"/>
        </w:rPr>
        <w:t xml:space="preserve">What the Filings Show — Year by Year Summary</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720"/>
            <w:shd w:fill="CCCCCC" w:val="clear"/>
          </w:tcPr>
          <w:p>
            <w:r>
              <w:rPr>
                <w:b/>
                <w:bCs/>
                <w:sz w:val="18"/>
                <w:szCs w:val="18"/>
              </w:rPr>
              <w:t xml:space="preserve">Year</w:t>
            </w:r>
          </w:p>
        </w:tc>
        <w:tc>
          <w:tcPr>
            <w:tcW w:type="dxa" w:w="900"/>
            <w:shd w:fill="CCCCCC" w:val="clear"/>
          </w:tcPr>
          <w:p>
            <w:r>
              <w:rPr>
                <w:b/>
                <w:bCs/>
                <w:sz w:val="18"/>
                <w:szCs w:val="18"/>
              </w:rPr>
              <w:t xml:space="preserve">Segments</w:t>
            </w:r>
          </w:p>
        </w:tc>
        <w:tc>
          <w:tcPr>
            <w:tcW w:type="dxa" w:w="1440"/>
            <w:shd w:fill="CCCCCC" w:val="clear"/>
          </w:tcPr>
          <w:p>
            <w:r>
              <w:rPr>
                <w:b/>
                <w:bCs/>
                <w:sz w:val="18"/>
                <w:szCs w:val="18"/>
              </w:rPr>
              <w:t xml:space="preserve">US Share (PEP/KO)</w:t>
            </w:r>
          </w:p>
        </w:tc>
        <w:tc>
          <w:tcPr>
            <w:tcW w:type="dxa" w:w="1080"/>
            <w:shd w:fill="CCCCCC" w:val="clear"/>
          </w:tcPr>
          <w:p>
            <w:r>
              <w:rPr>
                <w:b/>
                <w:bCs/>
                <w:sz w:val="18"/>
                <w:szCs w:val="18"/>
              </w:rPr>
              <w:t xml:space="preserve">Employees</w:t>
            </w:r>
          </w:p>
        </w:tc>
        <w:tc>
          <w:tcPr>
            <w:tcW w:type="dxa" w:w="4060"/>
            <w:shd w:fill="CCCCCC" w:val="clear"/>
          </w:tcPr>
          <w:p>
            <w:r>
              <w:rPr>
                <w:b/>
                <w:bCs/>
                <w:sz w:val="18"/>
                <w:szCs w:val="18"/>
              </w:rPr>
              <w:t xml:space="preserve">Notable Events</w:t>
            </w:r>
          </w:p>
        </w:tc>
      </w:tr>
      <w:tr>
        <w:tc>
          <w:tcPr>
            <w:tcW w:type="dxa" w:w="720"/>
          </w:tcPr>
          <w:p>
            <w:r>
              <w:rPr>
                <w:sz w:val="18"/>
                <w:szCs w:val="18"/>
              </w:rPr>
              <w:t xml:space="preserve">2019</w:t>
            </w:r>
          </w:p>
        </w:tc>
        <w:tc>
          <w:tcPr>
            <w:tcW w:type="dxa" w:w="900"/>
          </w:tcPr>
          <w:p>
            <w:r>
              <w:rPr>
                <w:sz w:val="18"/>
                <w:szCs w:val="18"/>
              </w:rPr>
              <w:t xml:space="preserve">7</w:t>
            </w:r>
          </w:p>
        </w:tc>
        <w:tc>
          <w:tcPr>
            <w:tcW w:type="dxa" w:w="1440"/>
          </w:tcPr>
          <w:p>
            <w:r>
              <w:rPr>
                <w:sz w:val="18"/>
                <w:szCs w:val="18"/>
              </w:rPr>
              <w:t xml:space="preserve">Not disclosed</w:t>
            </w:r>
          </w:p>
        </w:tc>
        <w:tc>
          <w:tcPr>
            <w:tcW w:type="dxa" w:w="1080"/>
          </w:tcPr>
          <w:p>
            <w:r>
              <w:rPr>
                <w:sz w:val="18"/>
                <w:szCs w:val="18"/>
              </w:rPr>
              <w:t xml:space="preserve">267,000</w:t>
            </w:r>
          </w:p>
        </w:tc>
        <w:tc>
          <w:tcPr>
            <w:tcW w:type="dxa" w:w="4060"/>
          </w:tcPr>
          <w:p>
            <w:r>
              <w:rPr>
                <w:sz w:val="18"/>
                <w:szCs w:val="18"/>
              </w:rPr>
              <w:t xml:space="preserve">Pioneer Foods agreement, TRAF, FX headwinds</w:t>
            </w:r>
          </w:p>
        </w:tc>
      </w:tr>
      <w:tr>
        <w:tc>
          <w:tcPr>
            <w:tcW w:type="dxa" w:w="720"/>
          </w:tcPr>
          <w:p>
            <w:r>
              <w:rPr>
                <w:sz w:val="18"/>
                <w:szCs w:val="18"/>
              </w:rPr>
              <w:t xml:space="preserve">2020</w:t>
            </w:r>
          </w:p>
        </w:tc>
        <w:tc>
          <w:tcPr>
            <w:tcW w:type="dxa" w:w="900"/>
          </w:tcPr>
          <w:p>
            <w:r>
              <w:rPr>
                <w:sz w:val="18"/>
                <w:szCs w:val="18"/>
              </w:rPr>
              <w:t xml:space="preserve">7</w:t>
            </w:r>
          </w:p>
        </w:tc>
        <w:tc>
          <w:tcPr>
            <w:tcW w:type="dxa" w:w="1440"/>
          </w:tcPr>
          <w:p>
            <w:r>
              <w:rPr>
                <w:sz w:val="18"/>
                <w:szCs w:val="18"/>
              </w:rPr>
              <w:t xml:space="preserve">Not disclosed</w:t>
            </w:r>
          </w:p>
        </w:tc>
        <w:tc>
          <w:tcPr>
            <w:tcW w:type="dxa" w:w="1080"/>
          </w:tcPr>
          <w:p>
            <w:r>
              <w:rPr>
                <w:sz w:val="18"/>
                <w:szCs w:val="18"/>
              </w:rPr>
              <w:t xml:space="preserve">291,000</w:t>
            </w:r>
          </w:p>
        </w:tc>
        <w:tc>
          <w:tcPr>
            <w:tcW w:type="dxa" w:w="4060"/>
          </w:tcPr>
          <w:p>
            <w:r>
              <w:rPr>
                <w:sz w:val="18"/>
                <w:szCs w:val="18"/>
              </w:rPr>
              <w:t xml:space="preserve">Rockstar, Pioneer, Be &amp; Cheery acquired; COVID</w:t>
            </w:r>
          </w:p>
        </w:tc>
      </w:tr>
      <w:tr>
        <w:tc>
          <w:tcPr>
            <w:tcW w:type="dxa" w:w="720"/>
          </w:tcPr>
          <w:p>
            <w:r>
              <w:rPr>
                <w:sz w:val="18"/>
                <w:szCs w:val="18"/>
              </w:rPr>
              <w:t xml:space="preserve">2021</w:t>
            </w:r>
          </w:p>
        </w:tc>
        <w:tc>
          <w:tcPr>
            <w:tcW w:type="dxa" w:w="900"/>
          </w:tcPr>
          <w:p>
            <w:r>
              <w:rPr>
                <w:sz w:val="18"/>
                <w:szCs w:val="18"/>
              </w:rPr>
              <w:t xml:space="preserve">7</w:t>
            </w:r>
          </w:p>
        </w:tc>
        <w:tc>
          <w:tcPr>
            <w:tcW w:type="dxa" w:w="1440"/>
          </w:tcPr>
          <w:p>
            <w:r>
              <w:rPr>
                <w:sz w:val="18"/>
                <w:szCs w:val="18"/>
              </w:rPr>
              <w:t xml:space="preserve">Not disclosed</w:t>
            </w:r>
          </w:p>
        </w:tc>
        <w:tc>
          <w:tcPr>
            <w:tcW w:type="dxa" w:w="1080"/>
          </w:tcPr>
          <w:p>
            <w:r>
              <w:rPr>
                <w:sz w:val="18"/>
                <w:szCs w:val="18"/>
              </w:rPr>
              <w:t xml:space="preserve">309,000</w:t>
            </w:r>
          </w:p>
        </w:tc>
        <w:tc>
          <w:tcPr>
            <w:tcW w:type="dxa" w:w="4060"/>
          </w:tcPr>
          <w:p>
            <w:r>
              <w:rPr>
                <w:sz w:val="18"/>
                <w:szCs w:val="18"/>
              </w:rPr>
              <w:t xml:space="preserve">Cost inflation noted; Tropicana sale announced</w:t>
            </w:r>
          </w:p>
        </w:tc>
      </w:tr>
      <w:tr>
        <w:tc>
          <w:tcPr>
            <w:tcW w:type="dxa" w:w="720"/>
          </w:tcPr>
          <w:p>
            <w:r>
              <w:rPr>
                <w:sz w:val="18"/>
                <w:szCs w:val="18"/>
              </w:rPr>
              <w:t xml:space="preserve">2022</w:t>
            </w:r>
          </w:p>
        </w:tc>
        <w:tc>
          <w:tcPr>
            <w:tcW w:type="dxa" w:w="900"/>
          </w:tcPr>
          <w:p>
            <w:r>
              <w:rPr>
                <w:sz w:val="18"/>
                <w:szCs w:val="18"/>
              </w:rPr>
              <w:t xml:space="preserve">7</w:t>
            </w:r>
          </w:p>
        </w:tc>
        <w:tc>
          <w:tcPr>
            <w:tcW w:type="dxa" w:w="1440"/>
          </w:tcPr>
          <w:p>
            <w:r>
              <w:rPr>
                <w:sz w:val="18"/>
                <w:szCs w:val="18"/>
              </w:rPr>
              <w:t xml:space="preserve">20% / 21%</w:t>
            </w:r>
          </w:p>
        </w:tc>
        <w:tc>
          <w:tcPr>
            <w:tcW w:type="dxa" w:w="1080"/>
          </w:tcPr>
          <w:p>
            <w:r>
              <w:rPr>
                <w:sz w:val="18"/>
                <w:szCs w:val="18"/>
              </w:rPr>
              <w:t xml:space="preserve">Not disclosed</w:t>
            </w:r>
          </w:p>
        </w:tc>
        <w:tc>
          <w:tcPr>
            <w:tcW w:type="dxa" w:w="4060"/>
          </w:tcPr>
          <w:p>
            <w:r>
              <w:rPr>
                <w:sz w:val="18"/>
                <w:szCs w:val="18"/>
              </w:rPr>
              <w:t xml:space="preserve">Tropicana divested; Hard MTN Dew; Ukraine risk</w:t>
            </w:r>
          </w:p>
        </w:tc>
      </w:tr>
      <w:tr>
        <w:tc>
          <w:tcPr>
            <w:tcW w:type="dxa" w:w="720"/>
          </w:tcPr>
          <w:p>
            <w:r>
              <w:rPr>
                <w:sz w:val="18"/>
                <w:szCs w:val="18"/>
              </w:rPr>
              <w:t xml:space="preserve">2023</w:t>
            </w:r>
          </w:p>
        </w:tc>
        <w:tc>
          <w:tcPr>
            <w:tcW w:type="dxa" w:w="900"/>
          </w:tcPr>
          <w:p>
            <w:r>
              <w:rPr>
                <w:sz w:val="18"/>
                <w:szCs w:val="18"/>
              </w:rPr>
              <w:t xml:space="preserve">7</w:t>
            </w:r>
          </w:p>
        </w:tc>
        <w:tc>
          <w:tcPr>
            <w:tcW w:type="dxa" w:w="1440"/>
          </w:tcPr>
          <w:p>
            <w:r>
              <w:rPr>
                <w:sz w:val="18"/>
                <w:szCs w:val="18"/>
              </w:rPr>
              <w:t xml:space="preserve">19% / 20%</w:t>
            </w:r>
          </w:p>
        </w:tc>
        <w:tc>
          <w:tcPr>
            <w:tcW w:type="dxa" w:w="1080"/>
          </w:tcPr>
          <w:p>
            <w:r>
              <w:rPr>
                <w:sz w:val="18"/>
                <w:szCs w:val="18"/>
              </w:rPr>
              <w:t xml:space="preserve">318,000</w:t>
            </w:r>
          </w:p>
        </w:tc>
        <w:tc>
          <w:tcPr>
            <w:tcW w:type="dxa" w:w="4060"/>
          </w:tcPr>
          <w:p>
            <w:r>
              <w:rPr>
                <w:sz w:val="18"/>
                <w:szCs w:val="18"/>
              </w:rPr>
              <w:t xml:space="preserve">Ukraine risk persists</w:t>
            </w:r>
          </w:p>
        </w:tc>
      </w:tr>
      <w:tr>
        <w:tc>
          <w:tcPr>
            <w:tcW w:type="dxa" w:w="720"/>
          </w:tcPr>
          <w:p>
            <w:r>
              <w:rPr>
                <w:sz w:val="18"/>
                <w:szCs w:val="18"/>
              </w:rPr>
              <w:t xml:space="preserve">2024</w:t>
            </w:r>
          </w:p>
        </w:tc>
        <w:tc>
          <w:tcPr>
            <w:tcW w:type="dxa" w:w="900"/>
          </w:tcPr>
          <w:p>
            <w:r>
              <w:rPr>
                <w:sz w:val="18"/>
                <w:szCs w:val="18"/>
              </w:rPr>
              <w:t xml:space="preserve">7</w:t>
            </w:r>
          </w:p>
        </w:tc>
        <w:tc>
          <w:tcPr>
            <w:tcW w:type="dxa" w:w="1440"/>
          </w:tcPr>
          <w:p>
            <w:r>
              <w:rPr>
                <w:sz w:val="18"/>
                <w:szCs w:val="18"/>
              </w:rPr>
              <w:t xml:space="preserve">18% / 21%</w:t>
            </w:r>
          </w:p>
        </w:tc>
        <w:tc>
          <w:tcPr>
            <w:tcW w:type="dxa" w:w="1080"/>
          </w:tcPr>
          <w:p>
            <w:r>
              <w:rPr>
                <w:sz w:val="18"/>
                <w:szCs w:val="18"/>
              </w:rPr>
              <w:t xml:space="preserve">319,000</w:t>
            </w:r>
          </w:p>
        </w:tc>
        <w:tc>
          <w:tcPr>
            <w:tcW w:type="dxa" w:w="4060"/>
          </w:tcPr>
          <w:p>
            <w:r>
              <w:rPr>
                <w:sz w:val="18"/>
                <w:szCs w:val="18"/>
              </w:rPr>
              <w:t xml:space="preserve">Sabra acquired; reorganization announced</w:t>
            </w:r>
          </w:p>
        </w:tc>
      </w:tr>
      <w:tr>
        <w:tc>
          <w:tcPr>
            <w:tcW w:type="dxa" w:w="720"/>
          </w:tcPr>
          <w:p>
            <w:r>
              <w:rPr>
                <w:sz w:val="18"/>
                <w:szCs w:val="18"/>
              </w:rPr>
              <w:t xml:space="preserve">2025</w:t>
            </w:r>
          </w:p>
        </w:tc>
        <w:tc>
          <w:tcPr>
            <w:tcW w:type="dxa" w:w="900"/>
          </w:tcPr>
          <w:p>
            <w:r>
              <w:rPr>
                <w:sz w:val="18"/>
                <w:szCs w:val="18"/>
              </w:rPr>
              <w:t xml:space="preserve">6</w:t>
            </w:r>
          </w:p>
        </w:tc>
        <w:tc>
          <w:tcPr>
            <w:tcW w:type="dxa" w:w="1440"/>
          </w:tcPr>
          <w:p>
            <w:r>
              <w:rPr>
                <w:sz w:val="18"/>
                <w:szCs w:val="18"/>
              </w:rPr>
              <w:t xml:space="preserve">16% / 20%</w:t>
            </w:r>
          </w:p>
        </w:tc>
        <w:tc>
          <w:tcPr>
            <w:tcW w:type="dxa" w:w="1080"/>
          </w:tcPr>
          <w:p>
            <w:r>
              <w:rPr>
                <w:sz w:val="18"/>
                <w:szCs w:val="18"/>
              </w:rPr>
              <w:t xml:space="preserve">306,000</w:t>
            </w:r>
          </w:p>
        </w:tc>
        <w:tc>
          <w:tcPr>
            <w:tcW w:type="dxa" w:w="4060"/>
          </w:tcPr>
          <w:p>
            <w:r>
              <w:rPr>
                <w:sz w:val="18"/>
                <w:szCs w:val="18"/>
              </w:rPr>
              <w:t xml:space="preserve">New segment structure; headcount decline</w:t>
            </w:r>
          </w:p>
        </w:tc>
      </w:tr>
    </w:tbl>
    <w:p>
      <w:pPr>
        <w:spacing w:after="80" w:before="80"/>
      </w:pPr>
      <w:r>
        <w:t xml:space="preserve"/>
      </w:r>
    </w:p>
    <w:p>
      <w:pPr>
        <w:pBdr>
          <w:bottom w:val="single" w:color="000000" w:sz="6"/>
        </w:pBdr>
        <w:spacing w:after="200" w:before="400"/>
      </w:pPr>
      <w:r>
        <w:rPr>
          <w:b/>
          <w:bCs/>
          <w:sz w:val="28"/>
          <w:szCs w:val="28"/>
        </w:rPr>
        <w:t xml:space="preserve">Questions Carried into the Analysis</w:t>
      </w:r>
    </w:p>
    <w:p>
      <w:pPr>
        <w:spacing w:after="80" w:before="80"/>
      </w:pPr>
      <w:r>
        <w:rPr>
          <w:sz w:val="20"/>
          <w:szCs w:val="20"/>
        </w:rPr>
        <w:t xml:space="preserve">The following questions emerged from reading the filings. They are not answered here — they are the analytical work of Parts I, II, and III.</w:t>
      </w:r>
    </w:p>
    <w:p>
      <w:pPr>
        <w:spacing w:after="80" w:before="80"/>
      </w:pPr>
      <w:r>
        <w:t xml:space="preserve"/>
      </w:r>
    </w:p>
    <w:p>
      <w:pPr>
        <w:spacing w:after="60" w:before="60"/>
        <w:ind w:left="360"/>
      </w:pPr>
      <w:r>
        <w:rPr>
          <w:sz w:val="20"/>
          <w:szCs w:val="20"/>
        </w:rPr>
        <w:t xml:space="preserve">• Which segments drove revenue and margin performance across 2019-2025, and which underperformed?</w:t>
      </w:r>
    </w:p>
    <w:p>
      <w:pPr>
        <w:spacing w:after="60" w:before="60"/>
        <w:ind w:left="360"/>
      </w:pPr>
      <w:r>
        <w:rPr>
          <w:sz w:val="20"/>
          <w:szCs w:val="20"/>
        </w:rPr>
        <w:t xml:space="preserve">• When did the financial impact of COVID appear most clearly in the numbers — in 2020, 2021, or later?</w:t>
      </w:r>
    </w:p>
    <w:p>
      <w:pPr>
        <w:spacing w:after="60" w:before="60"/>
        <w:ind w:left="360"/>
      </w:pPr>
      <w:r>
        <w:rPr>
          <w:sz w:val="20"/>
          <w:szCs w:val="20"/>
        </w:rPr>
        <w:t xml:space="preserve">• How did commodity cost inflation in 2021-2022 affect margins by segment, and how quickly did margins recover?</w:t>
      </w:r>
    </w:p>
    <w:p>
      <w:pPr>
        <w:spacing w:after="60" w:before="60"/>
        <w:ind w:left="360"/>
      </w:pPr>
      <w:r>
        <w:rPr>
          <w:sz w:val="20"/>
          <w:szCs w:val="20"/>
        </w:rPr>
        <w:t xml:space="preserve">• Did the Tropicana divestiture, including the retained 39% interest and distribution rights, create or destroy shareholder value?</w:t>
      </w:r>
    </w:p>
    <w:p>
      <w:pPr>
        <w:spacing w:after="60" w:before="60"/>
        <w:ind w:left="360"/>
      </w:pPr>
      <w:r>
        <w:rPr>
          <w:sz w:val="20"/>
          <w:szCs w:val="20"/>
        </w:rPr>
        <w:t xml:space="preserve">• Did the Rockstar and Be &amp; Cheery acquisitions generate acceptable returns relative to their acquisition prices?</w:t>
      </w:r>
    </w:p>
    <w:p>
      <w:pPr>
        <w:spacing w:after="60" w:before="60"/>
        <w:ind w:left="360"/>
      </w:pPr>
      <w:r>
        <w:rPr>
          <w:sz w:val="20"/>
          <w:szCs w:val="20"/>
        </w:rPr>
        <w:t xml:space="preserve">• What is driving the consistent decline in PepsiCo's US liquid refreshment beverage market share — and is it structural or recoverable?</w:t>
      </w:r>
    </w:p>
    <w:p>
      <w:pPr>
        <w:spacing w:after="60" w:before="60"/>
        <w:ind w:left="360"/>
      </w:pPr>
      <w:r>
        <w:rPr>
          <w:sz w:val="20"/>
          <w:szCs w:val="20"/>
        </w:rPr>
        <w:t xml:space="preserve">• Does the 2025 headcount decline reflect active cost restructuring, and if so, does it appear in the income statement as restructuring charges?</w:t>
      </w:r>
    </w:p>
    <w:p>
      <w:pPr>
        <w:spacing w:after="60" w:before="60"/>
        <w:ind w:left="360"/>
      </w:pPr>
      <w:r>
        <w:rPr>
          <w:sz w:val="20"/>
          <w:szCs w:val="20"/>
        </w:rPr>
        <w:t xml:space="preserve">• How did foreign currency translation affect reported versus local currency revenue growth across the international segments?</w:t>
      </w:r>
    </w:p>
    <w:p>
      <w:pPr>
        <w:spacing w:after="60" w:before="60"/>
        <w:ind w:left="360"/>
      </w:pPr>
      <w:r>
        <w:rPr>
          <w:sz w:val="20"/>
          <w:szCs w:val="20"/>
        </w:rPr>
        <w:t xml:space="preserve">• What do the pension assumptions, goodwill impairment tests, and tax positions look like, and are the judgments reasonable?</w:t>
      </w:r>
    </w:p>
    <w:p>
      <w:pPr>
        <w:spacing w:after="60" w:before="60"/>
        <w:ind w:left="360"/>
      </w:pPr>
      <w:r>
        <w:rPr>
          <w:sz w:val="20"/>
          <w:szCs w:val="20"/>
        </w:rPr>
        <w:t xml:space="preserve">• Did the segment reorganization in 2025 change how performance should be evaluated going forward?</w:t>
      </w:r>
    </w:p>
    <w:p>
      <w:pPr>
        <w:spacing w:after="80" w:before="80"/>
      </w:pPr>
      <w:r>
        <w:t xml:space="preserve"/>
      </w:r>
    </w:p>
    <w:p>
      <w:pPr>
        <w:spacing w:before="400"/>
        <w:jc w:val="center"/>
      </w:pPr>
      <w:r>
        <w:rPr>
          <w:i/>
          <w:iCs/>
          <w:sz w:val="18"/>
          <w:szCs w:val="18"/>
        </w:rPr>
        <w:t xml:space="preserve">End of Phase 0 — Company Familiarization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2026-07-22T04:36:58.247Z</dcterms:created>
  <dcterms:modified xsi:type="dcterms:W3CDTF">2026-07-22T04:36:58.260Z</dcterms:modified>
</cp:coreProperties>
</file>

<file path=docProps/custom.xml><?xml version="1.0" encoding="utf-8"?>
<Properties xmlns="http://schemas.openxmlformats.org/officeDocument/2006/custom-properties" xmlns:vt="http://schemas.openxmlformats.org/officeDocument/2006/docPropsVTypes"/>
</file>