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Source Code Pro Medium" w:cs="Source Code Pro Medium" w:eastAsia="Source Code Pro Medium" w:hAnsi="Source Code Pro Medium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sz w:val="40"/>
          <w:szCs w:val="4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40"/>
          <w:szCs w:val="40"/>
          <w:u w:val="single"/>
          <w:rtl w:val="0"/>
        </w:rPr>
        <w:t xml:space="preserve">FLOWCHART TO CALCULATE SIMPLE INTEREST,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40"/>
          <w:szCs w:val="40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1063625</wp:posOffset>
            </wp:positionH>
            <wp:positionV relativeFrom="page">
              <wp:posOffset>1971675</wp:posOffset>
            </wp:positionV>
            <wp:extent cx="5410200" cy="6115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1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40"/>
          <w:szCs w:val="40"/>
          <w:u w:val="single"/>
          <w:rtl w:val="0"/>
        </w:rPr>
        <w:t xml:space="preserve">COMPOUND INTEREST AND ANNUITY PLAN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/>
      <w:pict>
        <v:shape id="PowerPlusWaterMarkObject1" style="position:absolute;width:584.0379870439427pt;height:77.81396014666589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FATIHAH AKINOLA" style="font-family:&amp;quot;Merriweather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