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B8B8" w14:textId="77777777" w:rsidR="00A63964" w:rsidRDefault="00D1608E">
      <w:r>
        <w:t>Weather forecasts nowadays rely heavily numerical weather prediction (NWP)</w:t>
      </w:r>
      <w:r w:rsidR="00F82604">
        <w:t xml:space="preserve"> models </w:t>
      </w:r>
      <w:sdt>
        <w:sdtPr>
          <w:rPr>
            <w:color w:val="000000"/>
          </w:rPr>
          <w:tag w:val="MENDELEY_CITATION_v3_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"/>
          <w:id w:val="-2078671525"/>
          <w:placeholder>
            <w:docPart w:val="DefaultPlaceholder_-1854013440"/>
          </w:placeholder>
        </w:sdtPr>
        <w:sdtContent>
          <w:r w:rsidR="00A63964" w:rsidRPr="00A63964">
            <w:rPr>
              <w:color w:val="000000"/>
            </w:rPr>
            <w:t>(Bauer et al., 2015)</w:t>
          </w:r>
        </w:sdtContent>
      </w:sdt>
      <w:r>
        <w:t>, and commonly an ensemble of predictions is used to represent uncertainties</w:t>
      </w:r>
      <w:r w:rsidR="00A63964">
        <w:t xml:space="preserve"> </w:t>
      </w:r>
      <w:sdt>
        <w:sdtPr>
          <w:rPr>
            <w:color w:val="000000"/>
          </w:rPr>
          <w:tag w:val="MENDELEY_CITATION_v3_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"/>
          <w:id w:val="1073320352"/>
          <w:placeholder>
            <w:docPart w:val="DefaultPlaceholder_-1854013440"/>
          </w:placeholder>
        </w:sdtPr>
        <w:sdtContent>
          <w:r w:rsidR="00A63964" w:rsidRPr="00A63964">
            <w:rPr>
              <w:color w:val="000000"/>
            </w:rPr>
            <w:t>(Buizza, 2019)</w:t>
          </w:r>
        </w:sdtContent>
      </w:sdt>
      <w:r>
        <w:t xml:space="preserve">. NWP </w:t>
      </w:r>
      <w:r w:rsidR="00F82604">
        <w:t>models</w:t>
      </w:r>
      <w:r>
        <w:t xml:space="preserve"> do not output </w:t>
      </w:r>
      <w:r w:rsidR="00F82604">
        <w:t xml:space="preserve">forecasts </w:t>
      </w:r>
      <w:r>
        <w:t>at specific sites</w:t>
      </w:r>
      <w:r w:rsidR="00F82604">
        <w:t xml:space="preserve"> (</w:t>
      </w:r>
      <w:r>
        <w:t>that most customers require</w:t>
      </w:r>
      <w:r w:rsidR="00F82604">
        <w:t>)</w:t>
      </w:r>
      <w:r>
        <w:t xml:space="preserve"> but instead </w:t>
      </w:r>
      <w:r w:rsidR="00F82604">
        <w:t xml:space="preserve">output </w:t>
      </w:r>
      <w:r>
        <w:t>“average”</w:t>
      </w:r>
      <w:r w:rsidR="00F82604">
        <w:t xml:space="preserve"> values</w:t>
      </w:r>
      <w:r>
        <w:t xml:space="preserve"> for grid boxes.</w:t>
      </w:r>
      <w:r w:rsidR="00F82604">
        <w:t xml:space="preserve"> </w:t>
      </w:r>
      <w:r w:rsidR="00A63964">
        <w:t xml:space="preserve">If sub-grid variability (i.e., the variation seen amongst all point values observed within the same model gridbox) is low, then raw NWP forecasts are representative of point values. But if sub-grid variability is high raw NWP forecasts inevitably fail. </w:t>
      </w:r>
      <w:r w:rsidR="00A63964">
        <w:rPr>
          <w:shd w:val="clear" w:color="auto" w:fill="FFFFFF"/>
        </w:rPr>
        <w:t>The scale mismatch between in situ observations and</w:t>
      </w:r>
      <w:r w:rsidR="00A63964">
        <w:rPr>
          <w:rFonts w:ascii="Arial" w:hAnsi="Arial" w:cs="Arial"/>
        </w:rPr>
        <w:t xml:space="preserve"> </w:t>
      </w:r>
      <w:r w:rsidR="00A63964">
        <w:rPr>
          <w:shd w:val="clear" w:color="auto" w:fill="FFFFFF"/>
        </w:rPr>
        <w:t>gridded NWP forecasts</w:t>
      </w:r>
      <w:r w:rsidR="00A63964">
        <w:rPr>
          <w:rFonts w:ascii="Arial" w:hAnsi="Arial" w:cs="Arial"/>
        </w:rPr>
        <w:t xml:space="preserve"> </w:t>
      </w:r>
      <w:r w:rsidR="00A63964">
        <w:rPr>
          <w:shd w:val="clear" w:color="auto" w:fill="FFFFFF"/>
        </w:rPr>
        <w:t xml:space="preserve">is called representativeness error </w:t>
      </w:r>
      <w:sdt>
        <w:sdtPr>
          <w:rPr>
            <w:color w:val="000000"/>
            <w:shd w:val="clear" w:color="auto" w:fill="FFFFFF"/>
          </w:rPr>
          <w:tag w:val="MENDELEY_CITATION_v3_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"/>
          <w:id w:val="-6834890"/>
          <w:placeholder>
            <w:docPart w:val="DefaultPlaceholder_-1854013440"/>
          </w:placeholder>
        </w:sdtPr>
        <w:sdtContent>
          <w:r w:rsidR="00A63964" w:rsidRPr="00A63964">
            <w:rPr>
              <w:color w:val="000000"/>
              <w:shd w:val="clear" w:color="auto" w:fill="FFFFFF"/>
            </w:rPr>
            <w:t>(Janjić et al., 2018)</w:t>
          </w:r>
        </w:sdtContent>
      </w:sdt>
      <w:r w:rsidR="00A63964">
        <w:rPr>
          <w:shd w:val="clear" w:color="auto" w:fill="FFFFFF"/>
        </w:rPr>
        <w:t>.</w:t>
      </w:r>
    </w:p>
    <w:p w14:paraId="6A464D13" w14:textId="2E4F16C9" w:rsidR="00A63964" w:rsidRDefault="00A63964">
      <w:r>
        <w:t xml:space="preserve">The two most common strategies to address sub-grid variability problems are using km-scale NWP models (e.g., </w:t>
      </w:r>
      <w:r>
        <w:rPr>
          <w:rFonts w:ascii="Cambria Math" w:hAnsi="Cambria Math" w:cs="Cambria Math"/>
        </w:rPr>
        <w:t>∼</w:t>
      </w:r>
      <w:r>
        <w:t>2 km), or using calibrated post-processing (PP) techniques to statistically convert from gridbox to point forecasts4–6. For predicting rainfall, the parameter central to this article, highresolution models, whilst showing much more realistic-looking spatial patterns, and exhibiting improvements in forecast skill7,8, have limited geographical coverage. This is because of computational constraints, which imply that one such model might only cover ~0.2% of the world. For global coverage PP techniques are a better prospect, and they have historically performed well in improving forecasts of dry weather6,9, but as previous authors themselves acknowledge, many challenges and issues remain</w:t>
      </w:r>
      <w:r w:rsidR="00403F03">
        <w:t>.</w:t>
      </w:r>
    </w:p>
    <w:p w14:paraId="71FD997A" w14:textId="041EB54D" w:rsidR="005B64F9" w:rsidRDefault="005B64F9" w:rsidP="005B64F9">
      <w:r>
        <w:t xml:space="preserve">Ours is a non-local </w:t>
      </w:r>
      <w:proofErr w:type="spellStart"/>
      <w:r>
        <w:t>gridbox</w:t>
      </w:r>
      <w:proofErr w:type="spellEnd"/>
      <w:r>
        <w:t>-analogue</w:t>
      </w:r>
      <w:r w:rsidR="005918FD">
        <w:t xml:space="preserve"> </w:t>
      </w:r>
      <w:r>
        <w:t>approach, formulated via the principles of conditional verification10,</w:t>
      </w:r>
      <w:r w:rsidR="005918FD">
        <w:t xml:space="preserve"> </w:t>
      </w:r>
      <w:r>
        <w:t>with some structural similarities to quantile regression forests11,12.</w:t>
      </w:r>
    </w:p>
    <w:p w14:paraId="28F5D32F" w14:textId="77777777" w:rsidR="005B64F9" w:rsidRDefault="005B64F9" w:rsidP="005B64F9">
      <w:r>
        <w:t>We call the method “</w:t>
      </w:r>
      <w:proofErr w:type="spellStart"/>
      <w:r>
        <w:t>ecPoint</w:t>
      </w:r>
      <w:proofErr w:type="spellEnd"/>
      <w:r>
        <w:t>”</w:t>
      </w:r>
      <w:proofErr w:type="gramStart"/>
      <w:r>
        <w:t>—“</w:t>
      </w:r>
      <w:proofErr w:type="spellStart"/>
      <w:proofErr w:type="gramEnd"/>
      <w:r>
        <w:t>ec</w:t>
      </w:r>
      <w:proofErr w:type="spellEnd"/>
      <w:r>
        <w:t>” for ECMWF, i.e. the European</w:t>
      </w:r>
    </w:p>
    <w:p w14:paraId="79B38145" w14:textId="77777777" w:rsidR="005B64F9" w:rsidRDefault="005B64F9" w:rsidP="005B64F9">
      <w:r>
        <w:t>Centre for Medium-Range Weather Forecasts, and “Point” for point</w:t>
      </w:r>
    </w:p>
    <w:p w14:paraId="2607B0C3" w14:textId="7673340A" w:rsidR="00A63964" w:rsidRDefault="005B64F9">
      <w:r>
        <w:t>forecasts.</w:t>
      </w:r>
    </w:p>
    <w:p w14:paraId="11E5A09A" w14:textId="77777777" w:rsidR="003B13A2" w:rsidRDefault="003B13A2">
      <w:r>
        <w:t>Sub-grid variability in rainfall is itself very variable (Fig. 1) and</w:t>
      </w:r>
    </w:p>
    <w:p w14:paraId="314EF103" w14:textId="77777777" w:rsidR="003B13A2" w:rsidRDefault="003B13A2"/>
    <w:p w14:paraId="3C80DB5A" w14:textId="5C458956" w:rsidR="003B13A2" w:rsidRDefault="003B13A2">
      <w:r>
        <w:t xml:space="preserve">Relates closely to the weather situation. There are clear-cut </w:t>
      </w:r>
      <w:proofErr w:type="spellStart"/>
      <w:r>
        <w:t>phy</w:t>
      </w:r>
      <w:r>
        <w:t>sical</w:t>
      </w:r>
      <w:proofErr w:type="spellEnd"/>
      <w:r>
        <w:t xml:space="preserve"> reasons for this. Dynamics-driven (large-scale) rainfall, often</w:t>
      </w:r>
    </w:p>
    <w:p w14:paraId="366BEEAD" w14:textId="77777777" w:rsidR="003B13A2" w:rsidRDefault="003B13A2"/>
    <w:p w14:paraId="65B03AA9" w14:textId="466E8334" w:rsidR="003B13A2" w:rsidRDefault="003B13A2">
      <w:r>
        <w:t>Related to atmospheric fronts, arises from steady ascent of moist</w:t>
      </w:r>
    </w:p>
    <w:p w14:paraId="34C7611A" w14:textId="77777777" w:rsidR="003B13A2" w:rsidRDefault="003B13A2"/>
    <w:p w14:paraId="5FE4F803" w14:textId="241A33FC" w:rsidR="003B13A2" w:rsidRDefault="003B13A2">
      <w:r>
        <w:t>Air across regions typically larger than GM scales (Fig. 1a). As</w:t>
      </w:r>
    </w:p>
    <w:p w14:paraId="6E0B758F" w14:textId="77777777" w:rsidR="003B13A2" w:rsidRDefault="003B13A2"/>
    <w:p w14:paraId="48A9F36C" w14:textId="3A429B74" w:rsidR="003B13A2" w:rsidRDefault="003B13A2">
      <w:r>
        <w:t>Rainfall rates mirror ascent rates, rainfall rate sub-grid variability</w:t>
      </w:r>
    </w:p>
    <w:p w14:paraId="3AEC5578" w14:textId="77777777" w:rsidR="003B13A2" w:rsidRDefault="003B13A2"/>
    <w:p w14:paraId="1797B144" w14:textId="7E4C37A6" w:rsidR="003B13A2" w:rsidRDefault="003B13A2">
      <w:r>
        <w:t>Tends to be small. Conversely instability-driven rainfall (i.e.</w:t>
      </w:r>
    </w:p>
    <w:p w14:paraId="31783AEC" w14:textId="77777777" w:rsidR="003B13A2" w:rsidRDefault="003B13A2"/>
    <w:p w14:paraId="6C793291" w14:textId="0FD10DC0" w:rsidR="003B13A2" w:rsidRDefault="003B13A2">
      <w:r>
        <w:t>Showers/convection) arises from localised pockets of rapid ascent,</w:t>
      </w:r>
    </w:p>
    <w:p w14:paraId="0095E5C8" w14:textId="77777777" w:rsidR="003B13A2" w:rsidRDefault="003B13A2"/>
    <w:p w14:paraId="119CDBF0" w14:textId="17E0F556" w:rsidR="003B13A2" w:rsidRDefault="003B13A2">
      <w:r>
        <w:lastRenderedPageBreak/>
        <w:t>Which are typically hundreds of metres to kilometres across. So</w:t>
      </w:r>
    </w:p>
    <w:p w14:paraId="49AE3518" w14:textId="77777777" w:rsidR="003B13A2" w:rsidRDefault="003B13A2"/>
    <w:p w14:paraId="3B37B3D2" w14:textId="625B3B6F" w:rsidR="003B13A2" w:rsidRDefault="003B13A2">
      <w:r>
        <w:t>During convection rainfall rate sub-grid variability, on GM scales,</w:t>
      </w:r>
    </w:p>
    <w:p w14:paraId="62FA5634" w14:textId="77777777" w:rsidR="003B13A2" w:rsidRDefault="003B13A2"/>
    <w:p w14:paraId="38C9FDB4" w14:textId="6735BE31" w:rsidR="003B13A2" w:rsidRDefault="003B13A2">
      <w:r>
        <w:t>Can be very large indeed13</w:t>
      </w:r>
      <w:r w:rsidR="00D37760">
        <w:t>.</w:t>
      </w:r>
    </w:p>
    <w:p w14:paraId="408821EA" w14:textId="77777777" w:rsidR="00652AF0" w:rsidRDefault="00652AF0">
      <w:r>
        <w:t xml:space="preserve">The embodiment of </w:t>
      </w:r>
      <w:proofErr w:type="spellStart"/>
      <w:r>
        <w:t>ecPoint</w:t>
      </w:r>
      <w:proofErr w:type="spellEnd"/>
      <w:r>
        <w:t xml:space="preserve"> is that features of the NWP </w:t>
      </w:r>
      <w:proofErr w:type="spellStart"/>
      <w:r>
        <w:t>gridbox</w:t>
      </w:r>
      <w:proofErr w:type="spellEnd"/>
    </w:p>
    <w:p w14:paraId="4189E5C9" w14:textId="77777777" w:rsidR="00652AF0" w:rsidRDefault="00652AF0"/>
    <w:p w14:paraId="62413519" w14:textId="601E44B5" w:rsidR="00652AF0" w:rsidRDefault="00652AF0">
      <w:r>
        <w:t>Forecast output (and other global datasets) can tell us what degree of</w:t>
      </w:r>
    </w:p>
    <w:p w14:paraId="7A9EDB31" w14:textId="77777777" w:rsidR="00652AF0" w:rsidRDefault="00652AF0"/>
    <w:p w14:paraId="3B4BE235" w14:textId="7750C6F4" w:rsidR="00652AF0" w:rsidRDefault="00652AF0">
      <w:r>
        <w:t>Sub-grid variability to expect. For example, NWP output commonly</w:t>
      </w:r>
    </w:p>
    <w:p w14:paraId="6931EB62" w14:textId="77777777" w:rsidR="00652AF0" w:rsidRDefault="00652AF0"/>
    <w:p w14:paraId="3B201087" w14:textId="5E4562F6" w:rsidR="00652AF0" w:rsidRDefault="00652AF0">
      <w:r>
        <w:t>Subdivides rainfall into dynamics-driven and convective, and then for</w:t>
      </w:r>
    </w:p>
    <w:p w14:paraId="5826E388" w14:textId="77777777" w:rsidR="00652AF0" w:rsidRDefault="00652AF0"/>
    <w:p w14:paraId="66F3C619" w14:textId="3B16596C" w:rsidR="00652AF0" w:rsidRDefault="00652AF0">
      <w:r>
        <w:t>Convective cases shower movement speed can be approximated by</w:t>
      </w:r>
    </w:p>
    <w:p w14:paraId="3103AA4A" w14:textId="77777777" w:rsidR="00652AF0" w:rsidRDefault="00652AF0"/>
    <w:p w14:paraId="74A8A05D" w14:textId="77777777" w:rsidR="00652AF0" w:rsidRDefault="00652AF0">
      <w:r>
        <w:t xml:space="preserve">(e.g.) the 700 </w:t>
      </w:r>
      <w:proofErr w:type="spellStart"/>
      <w:r>
        <w:t>hPa</w:t>
      </w:r>
      <w:proofErr w:type="spellEnd"/>
      <w:r>
        <w:t xml:space="preserve"> wind speed. </w:t>
      </w:r>
      <w:proofErr w:type="gramStart"/>
      <w:r>
        <w:t>So</w:t>
      </w:r>
      <w:proofErr w:type="gramEnd"/>
      <w:r>
        <w:t xml:space="preserve"> by using the convective rainfall</w:t>
      </w:r>
    </w:p>
    <w:p w14:paraId="041CF491" w14:textId="77777777" w:rsidR="00652AF0" w:rsidRDefault="00652AF0"/>
    <w:p w14:paraId="65DF1DFD" w14:textId="10E7BCEB" w:rsidR="00652AF0" w:rsidRDefault="00652AF0">
      <w:r>
        <w:t xml:space="preserve">Fraction and the 700 </w:t>
      </w:r>
      <w:proofErr w:type="spellStart"/>
      <w:r>
        <w:t>hPa</w:t>
      </w:r>
      <w:proofErr w:type="spellEnd"/>
      <w:r>
        <w:t xml:space="preserve"> wind speed (two “governing variables”) we</w:t>
      </w:r>
    </w:p>
    <w:p w14:paraId="3B8E5F68" w14:textId="77777777" w:rsidR="00652AF0" w:rsidRDefault="00652AF0"/>
    <w:p w14:paraId="5FEEF338" w14:textId="3BDB88CB" w:rsidR="00652AF0" w:rsidRDefault="00652AF0">
      <w:r>
        <w:t>Can distinguish each of the three “</w:t>
      </w:r>
      <w:proofErr w:type="spellStart"/>
      <w:r>
        <w:t>gridbox</w:t>
      </w:r>
      <w:proofErr w:type="spellEnd"/>
      <w:r>
        <w:t>-weather-types” on Fig. 1,</w:t>
      </w:r>
    </w:p>
    <w:p w14:paraId="6CF58E66" w14:textId="77777777" w:rsidR="00652AF0" w:rsidRDefault="00652AF0"/>
    <w:p w14:paraId="2364BDD7" w14:textId="6F07BA5F" w:rsidR="00652AF0" w:rsidRDefault="00652AF0">
      <w:r>
        <w:t xml:space="preserve">To anticipate a priori the expected sub-grid variability, and </w:t>
      </w:r>
      <w:proofErr w:type="spellStart"/>
      <w:r>
        <w:t>accord</w:t>
      </w:r>
      <w:r>
        <w:t>ingly</w:t>
      </w:r>
      <w:proofErr w:type="spellEnd"/>
      <w:r>
        <w:t xml:space="preserve"> convert each forecast for each </w:t>
      </w:r>
      <w:proofErr w:type="spellStart"/>
      <w:r>
        <w:t>gridbox</w:t>
      </w:r>
      <w:proofErr w:type="spellEnd"/>
      <w:r>
        <w:t xml:space="preserve"> into a probabilistic point</w:t>
      </w:r>
    </w:p>
    <w:p w14:paraId="6AD3B266" w14:textId="77777777" w:rsidR="00652AF0" w:rsidRDefault="00652AF0"/>
    <w:p w14:paraId="566FF654" w14:textId="24136E5A" w:rsidR="00652AF0" w:rsidRDefault="00652AF0">
      <w:r>
        <w:t xml:space="preserve">Rainfall prediction (going from red to blue on Fig. 1 PDFs). To </w:t>
      </w:r>
      <w:proofErr w:type="gramStart"/>
      <w:r>
        <w:t>our</w:t>
      </w:r>
      <w:proofErr w:type="gramEnd"/>
    </w:p>
    <w:p w14:paraId="2049D759" w14:textId="77777777" w:rsidR="00652AF0" w:rsidRDefault="00652AF0"/>
    <w:p w14:paraId="4BD73B36" w14:textId="192D5E1C" w:rsidR="00652AF0" w:rsidRDefault="00652AF0">
      <w:r>
        <w:t xml:space="preserve">Knowledge this general approach, based on first principles of </w:t>
      </w:r>
      <w:proofErr w:type="spellStart"/>
      <w:r>
        <w:t>pre</w:t>
      </w:r>
      <w:r>
        <w:t>cipitation</w:t>
      </w:r>
      <w:proofErr w:type="spellEnd"/>
      <w:r>
        <w:t xml:space="preserve"> generation, has not been used before except in a limited</w:t>
      </w:r>
    </w:p>
    <w:p w14:paraId="1B076435" w14:textId="77777777" w:rsidR="00652AF0" w:rsidRDefault="00652AF0"/>
    <w:p w14:paraId="059BF3B7" w14:textId="585CC4B0" w:rsidR="00652AF0" w:rsidRDefault="00652AF0">
      <w:r>
        <w:t>Way for nowcasting14 (Table 1, row 11). Another powerful feature of</w:t>
      </w:r>
    </w:p>
    <w:p w14:paraId="4AE15845" w14:textId="77777777" w:rsidR="00652AF0" w:rsidRDefault="00652AF0"/>
    <w:p w14:paraId="42043006" w14:textId="68EDC8F9" w:rsidR="00652AF0" w:rsidRDefault="00652AF0">
      <w:r>
        <w:t xml:space="preserve">Our approach is that each </w:t>
      </w:r>
      <w:proofErr w:type="spellStart"/>
      <w:r>
        <w:t>gridbox</w:t>
      </w:r>
      <w:proofErr w:type="spellEnd"/>
      <w:r>
        <w:t>-weather-type is also associated, via</w:t>
      </w:r>
    </w:p>
    <w:p w14:paraId="35B331AB" w14:textId="77777777" w:rsidR="00652AF0" w:rsidRDefault="00652AF0"/>
    <w:p w14:paraId="36853EA5" w14:textId="1A87CA00" w:rsidR="00652AF0" w:rsidRDefault="00652AF0">
      <w:r>
        <w:t xml:space="preserve">Calibration, with a </w:t>
      </w:r>
      <w:proofErr w:type="spellStart"/>
      <w:r>
        <w:t>gridscale</w:t>
      </w:r>
      <w:proofErr w:type="spellEnd"/>
      <w:r>
        <w:t xml:space="preserve"> bias-correction factor.</w:t>
      </w:r>
    </w:p>
    <w:p w14:paraId="30C10B65" w14:textId="77777777" w:rsidR="00652AF0" w:rsidRDefault="00652AF0"/>
    <w:p w14:paraId="78DEF828" w14:textId="77777777" w:rsidR="00652AF0" w:rsidRDefault="00652AF0">
      <w:r>
        <w:t>The logic outlined above could be successfully applied to a</w:t>
      </w:r>
    </w:p>
    <w:p w14:paraId="1CE307E6" w14:textId="77777777" w:rsidR="00652AF0" w:rsidRDefault="00652AF0"/>
    <w:p w14:paraId="4CB2D5A6" w14:textId="2040CAA0" w:rsidR="00652AF0" w:rsidRDefault="00652AF0">
      <w:r>
        <w:t>Single deterministic forecast but in NWP ensembles furnish the</w:t>
      </w:r>
    </w:p>
    <w:p w14:paraId="03BB2C02" w14:textId="77777777" w:rsidR="00652AF0" w:rsidRDefault="00652AF0"/>
    <w:p w14:paraId="3E93EF04" w14:textId="4BD122D1" w:rsidR="00652AF0" w:rsidRDefault="00652AF0">
      <w:r>
        <w:t>Most useful predictions2,15. So instead we apply separately to each</w:t>
      </w:r>
    </w:p>
    <w:p w14:paraId="4C453F53" w14:textId="77777777" w:rsidR="00652AF0" w:rsidRDefault="00652AF0"/>
    <w:p w14:paraId="179B28F3" w14:textId="55A02DF5" w:rsidR="00652AF0" w:rsidRDefault="00652AF0">
      <w:r>
        <w:t xml:space="preserve">Ensemble member, creating an ensemble of probabilistic </w:t>
      </w:r>
      <w:proofErr w:type="spellStart"/>
      <w:r>
        <w:t>realisa</w:t>
      </w:r>
      <w:r>
        <w:t>tions</w:t>
      </w:r>
      <w:proofErr w:type="spellEnd"/>
      <w:r>
        <w:t xml:space="preserve"> (or “ensemble of ensembles”) that we merge to give the final</w:t>
      </w:r>
    </w:p>
    <w:p w14:paraId="367EA4EE" w14:textId="77777777" w:rsidR="00652AF0" w:rsidRDefault="00652AF0"/>
    <w:p w14:paraId="338A1035" w14:textId="691A37A7" w:rsidR="00652AF0" w:rsidRDefault="00652AF0">
      <w:r>
        <w:t xml:space="preserve">Probabilistic point forecast. Whilst Fig. 1 shows just three </w:t>
      </w:r>
      <w:proofErr w:type="spellStart"/>
      <w:r>
        <w:t>grid</w:t>
      </w:r>
      <w:r>
        <w:t>box-weather-types</w:t>
      </w:r>
      <w:proofErr w:type="spellEnd"/>
      <w:r>
        <w:t xml:space="preserve">, ECMWF’s current </w:t>
      </w:r>
      <w:proofErr w:type="spellStart"/>
      <w:r>
        <w:t>ecPoint</w:t>
      </w:r>
      <w:proofErr w:type="spellEnd"/>
      <w:r>
        <w:t>-Rainfall system</w:t>
      </w:r>
    </w:p>
    <w:p w14:paraId="529CA19C" w14:textId="77777777" w:rsidR="00652AF0" w:rsidRDefault="00652AF0"/>
    <w:p w14:paraId="5DF0CE23" w14:textId="032CFB0E" w:rsidR="00652AF0" w:rsidRDefault="00652AF0">
      <w:r>
        <w:t>Uses 214 such types, defined in decision tree form.</w:t>
      </w:r>
    </w:p>
    <w:p w14:paraId="2BEDA1D1" w14:textId="77777777" w:rsidR="005B64F9" w:rsidRDefault="005B64F9"/>
    <w:p w14:paraId="10150109" w14:textId="77777777" w:rsidR="00D1608E" w:rsidRDefault="00D1608E">
      <w:r>
        <w:t xml:space="preserve"> </w:t>
      </w:r>
    </w:p>
    <w:sectPr w:rsidR="00D16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8E"/>
    <w:rsid w:val="00040E5A"/>
    <w:rsid w:val="00045611"/>
    <w:rsid w:val="003B13A2"/>
    <w:rsid w:val="00403F03"/>
    <w:rsid w:val="005918FD"/>
    <w:rsid w:val="005B64F9"/>
    <w:rsid w:val="00652AF0"/>
    <w:rsid w:val="00A63964"/>
    <w:rsid w:val="00D1608E"/>
    <w:rsid w:val="00D37760"/>
    <w:rsid w:val="00F82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825"/>
  <w15:docId w15:val="{55D2E923-30E6-4B9E-91AD-474E8C58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3734">
      <w:bodyDiv w:val="1"/>
      <w:marLeft w:val="0"/>
      <w:marRight w:val="0"/>
      <w:marTop w:val="0"/>
      <w:marBottom w:val="0"/>
      <w:divBdr>
        <w:top w:val="none" w:sz="0" w:space="0" w:color="auto"/>
        <w:left w:val="none" w:sz="0" w:space="0" w:color="auto"/>
        <w:bottom w:val="none" w:sz="0" w:space="0" w:color="auto"/>
        <w:right w:val="none" w:sz="0" w:space="0" w:color="auto"/>
      </w:divBdr>
    </w:div>
    <w:div w:id="484778633">
      <w:bodyDiv w:val="1"/>
      <w:marLeft w:val="0"/>
      <w:marRight w:val="0"/>
      <w:marTop w:val="0"/>
      <w:marBottom w:val="0"/>
      <w:divBdr>
        <w:top w:val="none" w:sz="0" w:space="0" w:color="auto"/>
        <w:left w:val="none" w:sz="0" w:space="0" w:color="auto"/>
        <w:bottom w:val="none" w:sz="0" w:space="0" w:color="auto"/>
        <w:right w:val="none" w:sz="0" w:space="0" w:color="auto"/>
      </w:divBdr>
    </w:div>
    <w:div w:id="487013542">
      <w:bodyDiv w:val="1"/>
      <w:marLeft w:val="0"/>
      <w:marRight w:val="0"/>
      <w:marTop w:val="0"/>
      <w:marBottom w:val="0"/>
      <w:divBdr>
        <w:top w:val="none" w:sz="0" w:space="0" w:color="auto"/>
        <w:left w:val="none" w:sz="0" w:space="0" w:color="auto"/>
        <w:bottom w:val="none" w:sz="0" w:space="0" w:color="auto"/>
        <w:right w:val="none" w:sz="0" w:space="0" w:color="auto"/>
      </w:divBdr>
    </w:div>
    <w:div w:id="566376406">
      <w:bodyDiv w:val="1"/>
      <w:marLeft w:val="0"/>
      <w:marRight w:val="0"/>
      <w:marTop w:val="0"/>
      <w:marBottom w:val="0"/>
      <w:divBdr>
        <w:top w:val="none" w:sz="0" w:space="0" w:color="auto"/>
        <w:left w:val="none" w:sz="0" w:space="0" w:color="auto"/>
        <w:bottom w:val="none" w:sz="0" w:space="0" w:color="auto"/>
        <w:right w:val="none" w:sz="0" w:space="0" w:color="auto"/>
      </w:divBdr>
    </w:div>
    <w:div w:id="795948332">
      <w:bodyDiv w:val="1"/>
      <w:marLeft w:val="0"/>
      <w:marRight w:val="0"/>
      <w:marTop w:val="0"/>
      <w:marBottom w:val="0"/>
      <w:divBdr>
        <w:top w:val="none" w:sz="0" w:space="0" w:color="auto"/>
        <w:left w:val="none" w:sz="0" w:space="0" w:color="auto"/>
        <w:bottom w:val="none" w:sz="0" w:space="0" w:color="auto"/>
        <w:right w:val="none" w:sz="0" w:space="0" w:color="auto"/>
      </w:divBdr>
    </w:div>
    <w:div w:id="1307777857">
      <w:bodyDiv w:val="1"/>
      <w:marLeft w:val="0"/>
      <w:marRight w:val="0"/>
      <w:marTop w:val="0"/>
      <w:marBottom w:val="0"/>
      <w:divBdr>
        <w:top w:val="none" w:sz="0" w:space="0" w:color="auto"/>
        <w:left w:val="none" w:sz="0" w:space="0" w:color="auto"/>
        <w:bottom w:val="none" w:sz="0" w:space="0" w:color="auto"/>
        <w:right w:val="none" w:sz="0" w:space="0" w:color="auto"/>
      </w:divBdr>
    </w:div>
    <w:div w:id="1641378466">
      <w:bodyDiv w:val="1"/>
      <w:marLeft w:val="0"/>
      <w:marRight w:val="0"/>
      <w:marTop w:val="0"/>
      <w:marBottom w:val="0"/>
      <w:divBdr>
        <w:top w:val="none" w:sz="0" w:space="0" w:color="auto"/>
        <w:left w:val="none" w:sz="0" w:space="0" w:color="auto"/>
        <w:bottom w:val="none" w:sz="0" w:space="0" w:color="auto"/>
        <w:right w:val="none" w:sz="0" w:space="0" w:color="auto"/>
      </w:divBdr>
    </w:div>
    <w:div w:id="1847593427">
      <w:bodyDiv w:val="1"/>
      <w:marLeft w:val="0"/>
      <w:marRight w:val="0"/>
      <w:marTop w:val="0"/>
      <w:marBottom w:val="0"/>
      <w:divBdr>
        <w:top w:val="none" w:sz="0" w:space="0" w:color="auto"/>
        <w:left w:val="none" w:sz="0" w:space="0" w:color="auto"/>
        <w:bottom w:val="none" w:sz="0" w:space="0" w:color="auto"/>
        <w:right w:val="none" w:sz="0" w:space="0" w:color="auto"/>
      </w:divBdr>
    </w:div>
    <w:div w:id="1899245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glossaryDocument" Target="glossary/document.xml" /><Relationship Id="rId5" Type="http://schemas.openxmlformats.org/officeDocument/2006/relationships/fontTable" Target="fontTable.xml" /><Relationship Id="rId4" Type="http://schemas.openxmlformats.org/officeDocument/2006/relationships/webSettings" Target="webSettings.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0D35040-B773-449F-8123-374B9C0127F8}"/>
      </w:docPartPr>
      <w:docPartBody>
        <w:p w:rsidR="001D4C19" w:rsidRDefault="001D4C19">
          <w:r w:rsidRPr="00C65E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19"/>
    <w:rsid w:val="001D4C19"/>
    <w:rsid w:val="00D61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C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23B7B9-70DA-4F93-8326-C5063782DC57}">
  <we:reference id="wa104382081" version="1.55.1.0" store="en-GB" storeType="OMEX"/>
  <we:alternateReferences>
    <we:reference id="wa104382081" version="1.55.1.0" store="en-GB" storeType="OMEX"/>
  </we:alternateReferences>
  <we:properties>
    <we:property name="MENDELEY_CITATIONS" value="[{&quot;citationID&quot;:&quot;MENDELEY_CITATION_37bf994d-3479-4e58-84ba-38e915447dd5&quot;,&quot;properties&quot;:{&quot;noteIndex&quot;:0},&quot;isEdited&quot;:false,&quot;manualOverride&quot;:{&quot;isManuallyOverridden&quot;:false,&quot;citeprocText&quot;:&quot;(Bauer et al., 2015)&quot;,&quot;manualOverrideText&quot;:&quot;&quot;},&quot;citationTag&quot;:&quot;MENDELEY_CITATION_v3_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&quot;,&quot;citationItems&quot;:[{&quot;id&quot;:&quot;da4f967b-bb42-36d7-993b-77e094b590db&quot;,&quot;itemData&quot;:{&quot;type&quot;:&quot;article-journal&quot;,&quot;id&quot;:&quot;da4f967b-bb42-36d7-993b-77e094b590db&quot;,&quot;title&quot;:&quot;The quiet revolution of numerical weather prediction&quot;,&quot;author&quot;:[{&quot;family&quot;:&quot;Bauer&quot;,&quot;given&quot;:&quot;Peter&quot;,&quot;parse-names&quot;:false,&quot;dropping-particle&quot;:&quot;&quot;,&quot;non-dropping-particle&quot;:&quot;&quot;},{&quot;family&quot;:&quot;Thorpe&quot;,&quot;given&quot;:&quot;Alan&quot;,&quot;parse-names&quot;:false,&quot;dropping-particle&quot;:&quot;&quot;,&quot;non-dropping-particle&quot;:&quot;&quot;},{&quot;family&quot;:&quot;Brunet&quot;,&quot;given&quot;:&quot;Gilbert&quot;,&quot;parse-names&quot;:false,&quot;dropping-particle&quot;:&quot;&quot;,&quot;non-dropping-particle&quot;:&quot;&quot;}],&quot;container-title&quot;:&quot;Nature&quot;,&quot;container-title-short&quot;:&quot;Nature&quot;,&quot;DOI&quot;:&quot;10.1038/nature14956&quot;,&quot;issued&quot;:{&quot;date-parts&quot;:[[2015]]},&quot;page&quot;:&quot;47-55&quot;,&quot;issue&quot;:&quot;7567&quot;,&quot;volume&quot;:&quot;525&quot;},&quot;isTemporary&quot;:false}]},{&quot;citationID&quot;:&quot;MENDELEY_CITATION_b4f354c6-4e4f-4594-9119-06bb477694a5&quot;,&quot;properties&quot;:{&quot;noteIndex&quot;:0},&quot;isEdited&quot;:false,&quot;manualOverride&quot;:{&quot;isManuallyOverridden&quot;:false,&quot;citeprocText&quot;:&quot;(Buizza, 2019)&quot;,&quot;manualOverrideText&quot;:&quot;&quot;},&quot;citationTag&quot;:&quot;MENDELEY_CITATION_v3_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&quot;,&quot;citationItems&quot;:[{&quot;id&quot;:&quot;84329a4c-b7dd-30c7-ba72-509b58ed8833&quot;,&quot;itemData&quot;:{&quot;type&quot;:&quot;article-journal&quot;,&quot;id&quot;:&quot;84329a4c-b7dd-30c7-ba72-509b58ed8833&quot;,&quot;title&quot;:&quot;Introduction to the special issue on “25 years of ensemble forecasting”&quot;,&quot;author&quot;:[{&quot;family&quot;:&quot;Buizza&quot;,&quot;given&quot;:&quot;Roberto&quot;,&quot;parse-names&quot;:false,&quot;dropping-particle&quot;:&quot;&quot;,&quot;non-dropping-particle&quot;:&quot;&quot;}],&quot;container-title&quot;:&quot;Quarterly Journal of the Royal Meteorological Society&quot;,&quot;DOI&quot;:&quot;10.1002/qj.3370&quot;,&quot;ISSN&quot;:&quot;1477870X&quot;,&quot;issued&quot;:{&quot;date-parts&quot;:[[2019]]},&quot;page&quot;:&quot;1-11&quot;,&quot;issue&quot;:&quot;S1&quot;,&quot;volume&quot;:&quot;145&quot;,&quot;container-title-short&quot;:&quot;&quot;},&quot;isTemporary&quot;:false}]},{&quot;citationID&quot;:&quot;MENDELEY_CITATION_3da82346-395d-4134-b801-672dbaf40ccb&quot;,&quot;properties&quot;:{&quot;noteIndex&quot;:0},&quot;isEdited&quot;:false,&quot;manualOverride&quot;:{&quot;isManuallyOverridden&quot;:false,&quot;citeprocText&quot;:&quot;(Janjić et al., 2018)&quot;,&quot;manualOverrideText&quot;:&quot;&quot;},&quot;citationTag&quot;:&quot;MENDELEY_CITATION_v3_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&quot;,&quot;citationItems&quot;:[{&quot;id&quot;:&quot;3455cacb-8d64-3d4c-895c-f1456ebb7b2e&quot;,&quot;itemData&quot;:{&quot;type&quot;:&quot;article-journal&quot;,&quot;id&quot;:&quot;3455cacb-8d64-3d4c-895c-f1456ebb7b2e&quot;,&quot;title&quot;:&quot;On the representation error in data assimilation&quot;,&quot;author&quot;:[{&quot;family&quot;:&quot;Janjić&quot;,&quot;given&quot;:&quot;T.&quot;,&quot;parse-names&quot;:false,&quot;dropping-particle&quot;:&quot;&quot;,&quot;non-dropping-particle&quot;:&quot;&quot;},{&quot;family&quot;:&quot;Bormann&quot;,&quot;given&quot;:&quot;N.&quot;,&quot;parse-names&quot;:false,&quot;dropping-particle&quot;:&quot;&quot;,&quot;non-dropping-particle&quot;:&quot;&quot;},{&quot;family&quot;:&quot;Bocquet&quot;,&quot;given&quot;:&quot;M.&quot;,&quot;parse-names&quot;:false,&quot;dropping-particle&quot;:&quot;&quot;,&quot;non-dropping-particle&quot;:&quot;&quot;},{&quot;family&quot;:&quot;Carton&quot;,&quot;given&quot;:&quot;J. A.&quot;,&quot;parse-names&quot;:false,&quot;dropping-particle&quot;:&quot;&quot;,&quot;non-dropping-particle&quot;:&quot;&quot;},{&quot;family&quot;:&quot;Cohn&quot;,&quot;given&quot;:&quot;S. E.&quot;,&quot;parse-names&quot;:false,&quot;dropping-particle&quot;:&quot;&quot;,&quot;non-dropping-particle&quot;:&quot;&quot;},{&quot;family&quot;:&quot;Dance&quot;,&quot;given&quot;:&quot;S. L.&quot;,&quot;parse-names&quot;:false,&quot;dropping-particle&quot;:&quot;&quot;,&quot;non-dropping-particle&quot;:&quot;&quot;},{&quot;family&quot;:&quot;Losa&quot;,&quot;given&quot;:&quot;S. N.&quot;,&quot;parse-names&quot;:false,&quot;dropping-particle&quot;:&quot;&quot;,&quot;non-dropping-particle&quot;:&quot;&quot;},{&quot;family&quot;:&quot;Nichols&quot;,&quot;given&quot;:&quot;N. K.&quot;,&quot;parse-names&quot;:false,&quot;dropping-particle&quot;:&quot;&quot;,&quot;non-dropping-particle&quot;:&quot;&quot;},{&quot;family&quot;:&quot;Potthast&quot;,&quot;given&quot;:&quot;R.&quot;,&quot;parse-names&quot;:false,&quot;dropping-particle&quot;:&quot;&quot;,&quot;non-dropping-particle&quot;:&quot;&quot;},{&quot;family&quot;:&quot;Waller&quot;,&quot;given&quot;:&quot;J. A.&quot;,&quot;parse-names&quot;:false,&quot;dropping-particle&quot;:&quot;&quot;,&quot;non-dropping-particle&quot;:&quot;&quot;},{&quot;family&quot;:&quot;Weston&quot;,&quot;given&quot;:&quot;P.&quot;,&quot;parse-names&quot;:false,&quot;dropping-particle&quot;:&quot;&quot;,&quot;non-dropping-particle&quot;:&quot;&quot;}],&quot;container-title&quot;:&quot;Quarterly Journal of the Royal Meteorological Society&quot;,&quot;accessed&quot;:{&quot;date-parts&quot;:[[2023,9,8]]},&quot;DOI&quot;:&quot;10.1002/QJ.3130&quot;,&quot;ISSN&quot;:&quot;1477-870X&quot;,&quot;URL&quot;:&quot;https://onlinelibrary.wiley.com/doi/full/10.1002/qj.3130&quot;,&quot;issued&quot;:{&quot;date-parts&quot;:[[2018,4,1]]},&quot;page&quot;:&quot;1257-1278&quot;,&quot;abstract&quot;:&quot;Representation, representativity, representativeness error, forward interpolation error, forward model error, observation-operator error, aggregation error and sampling error are all terms used to refer to components of observation error in the context of data assimilation. This article is an attempt to consolidate the terminology that has been used in the earth sciences literature and was suggested at a European Space Agency workshop held in Reading in April 2014. We review the state of the art and, through examples, motivate the terminology. In addition to a theoretical framework, examples from application areas of satellite data assimilation, ocean reanalysis and atmospheric chemistry data assimilation are provided. Diagnosing representation-error statistics as well as their use in state-of-the-art data assimilation systems is discussed within a consistent framework.&quot;,&quot;publisher&quot;:&quot;John Wiley &amp; Sons, Ltd&quot;,&quot;issue&quot;:&quot;713&quot;,&quot;volume&quot;:&quot;14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C4E1-DF38-400D-997F-31016A58C0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3535</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Pillosu</dc:creator>
  <cp:keywords/>
  <dc:description/>
  <cp:lastModifiedBy>Fatima Pillosu</cp:lastModifiedBy>
  <cp:revision>7</cp:revision>
  <dcterms:created xsi:type="dcterms:W3CDTF">2023-09-08T20:36:00Z</dcterms:created>
  <dcterms:modified xsi:type="dcterms:W3CDTF">2023-09-12T10:25:00Z</dcterms:modified>
</cp:coreProperties>
</file>