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information is still current and can be used to analyze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5A41F61D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</w:p>
    <w:p w14:paraId="14ADB1B0" w14:textId="13A9201F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</w:p>
    <w:p w14:paraId="709A026E" w14:textId="49C1320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  <w:r w:rsidR="00723723">
        <w:t xml:space="preserve"> </w:t>
      </w:r>
    </w:p>
    <w:p w14:paraId="2535A9EC" w14:textId="462D0FB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  <w:r w:rsidR="00723723">
        <w:t xml:space="preserve"> 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2665F719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>Customer characteristics and previous booking behavio</w:t>
      </w:r>
      <w:r w:rsidR="00723723">
        <w:t>u</w:t>
      </w:r>
      <w:r w:rsidRPr="000C06EE">
        <w:t>r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4AB1" w14:textId="7BC797FF" w:rsidR="005028DA" w:rsidRDefault="005028DA" w:rsidP="00A852C3">
      <w:pPr>
        <w:spacing w:line="240" w:lineRule="auto"/>
      </w:pPr>
      <w:r w:rsidRPr="005028DA">
        <w:rPr>
          <w:noProof/>
        </w:rPr>
        <w:drawing>
          <wp:inline distT="0" distB="0" distL="0" distR="0" wp14:anchorId="331F101E" wp14:editId="69EF97C8">
            <wp:extent cx="4361699" cy="3268133"/>
            <wp:effectExtent l="0" t="0" r="1270" b="8890"/>
            <wp:docPr id="189572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2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4290" cy="32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723032B0" w:rsidR="00A83ADE" w:rsidRDefault="00A83ADE" w:rsidP="00A852C3">
      <w:pPr>
        <w:spacing w:line="240" w:lineRule="auto"/>
      </w:pPr>
    </w:p>
    <w:p w14:paraId="46B3C00B" w14:textId="09EC853D" w:rsidR="00CA6AED" w:rsidRPr="00CA6AED" w:rsidRDefault="00CA6AED" w:rsidP="00CA6AED">
      <w:pPr>
        <w:spacing w:line="240" w:lineRule="auto"/>
        <w:rPr>
          <w:b/>
          <w:bCs/>
          <w:sz w:val="32"/>
          <w:szCs w:val="32"/>
        </w:rPr>
      </w:pPr>
      <w:r w:rsidRPr="00D95CBD">
        <w:rPr>
          <w:b/>
          <w:bCs/>
          <w:sz w:val="28"/>
          <w:szCs w:val="28"/>
        </w:rPr>
        <w:lastRenderedPageBreak/>
        <w:t xml:space="preserve"> Finding: </w:t>
      </w:r>
      <w:r w:rsidRPr="00CA6AED">
        <w:t>The overall booking cancellation rate across the entire portfolio is 37.13%, representing 44,152 cancel</w:t>
      </w:r>
      <w:r>
        <w:t>l</w:t>
      </w:r>
      <w:r w:rsidRPr="00CA6AED">
        <w:t>ed reservations out of 118,897 total bookings. The remaining 62.87% (74,745 reservations) were successfully fulfilled.</w:t>
      </w:r>
      <w:r w:rsidRPr="00CA6AED">
        <w:rPr>
          <w:b/>
          <w:bCs/>
        </w:rPr>
        <w:t xml:space="preserve"> </w:t>
      </w:r>
    </w:p>
    <w:p w14:paraId="78DB484D" w14:textId="7C5B9FB0" w:rsidR="00CA6AED" w:rsidRPr="00CA6AED" w:rsidRDefault="00CA6AED" w:rsidP="00CA6AED">
      <w:pPr>
        <w:spacing w:line="240" w:lineRule="auto"/>
        <w:rPr>
          <w:b/>
          <w:bCs/>
          <w:sz w:val="32"/>
          <w:szCs w:val="32"/>
        </w:rPr>
      </w:pPr>
      <w:r w:rsidRPr="00D95CBD">
        <w:rPr>
          <w:b/>
          <w:bCs/>
          <w:sz w:val="28"/>
          <w:szCs w:val="28"/>
        </w:rPr>
        <w:t xml:space="preserve">Business Interpretation: </w:t>
      </w:r>
      <w:r w:rsidRPr="00CA6AED">
        <w:t>A baseline churn rate exceeding one-third of total bookings creates significant operational friction, leading to room inventory spoilage and forecasting instability. Identifying specific cancellation drivers across segments is critical to stabilizing net revenue.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5D60AB2B" w:rsidR="006F1BC6" w:rsidRDefault="005028DA" w:rsidP="00A852C3">
      <w:pPr>
        <w:spacing w:line="240" w:lineRule="auto"/>
        <w:rPr>
          <w:b/>
          <w:bCs/>
          <w:sz w:val="40"/>
          <w:szCs w:val="40"/>
        </w:rPr>
      </w:pPr>
      <w:r w:rsidRPr="005028DA">
        <w:rPr>
          <w:b/>
          <w:bCs/>
          <w:noProof/>
          <w:sz w:val="40"/>
          <w:szCs w:val="40"/>
        </w:rPr>
        <w:drawing>
          <wp:inline distT="0" distB="0" distL="0" distR="0" wp14:anchorId="272ABFC1" wp14:editId="2E0B0A4F">
            <wp:extent cx="5582429" cy="3429479"/>
            <wp:effectExtent l="0" t="0" r="0" b="0"/>
            <wp:docPr id="61775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7509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hotel </w:t>
      </w:r>
      <w:r w:rsidRPr="006F1BC6">
        <w:t xml:space="preserve">,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 xml:space="preserve">hotel are more likely to be </w:t>
      </w:r>
      <w:r w:rsidRPr="006F1BC6">
        <w:lastRenderedPageBreak/>
        <w:t>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10A6BB4C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B82" w:rsidRPr="003C6B82">
        <w:rPr>
          <w:noProof/>
        </w:rPr>
        <w:t xml:space="preserve"> </w:t>
      </w:r>
      <w:r w:rsidR="003C6B82" w:rsidRPr="003C6B82">
        <w:rPr>
          <w:b/>
          <w:bCs/>
          <w:noProof/>
          <w:sz w:val="40"/>
          <w:szCs w:val="40"/>
        </w:rPr>
        <w:drawing>
          <wp:inline distT="0" distB="0" distL="0" distR="0" wp14:anchorId="27C69015" wp14:editId="323F07A7">
            <wp:extent cx="5731510" cy="3179445"/>
            <wp:effectExtent l="0" t="0" r="2540" b="1905"/>
            <wp:docPr id="163577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728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37156AAF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</w:t>
      </w:r>
      <w:r w:rsidRPr="002B7A0E">
        <w:lastRenderedPageBreak/>
        <w:t xml:space="preserve">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5415AA47" w:rsidR="00794439" w:rsidRPr="003C6B82" w:rsidRDefault="003C6B82" w:rsidP="003C6B82">
      <w:pPr>
        <w:tabs>
          <w:tab w:val="left" w:pos="1267"/>
        </w:tabs>
        <w:rPr>
          <w:b/>
          <w:bCs/>
          <w:sz w:val="40"/>
          <w:szCs w:val="40"/>
        </w:rPr>
      </w:pPr>
      <w:r w:rsidRPr="003C6B82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22F22CD3" wp14:editId="5A3B373E">
            <wp:extent cx="5731510" cy="3484880"/>
            <wp:effectExtent l="0" t="0" r="2540" b="1270"/>
            <wp:docPr id="86493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34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Non Refund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t>Deposit type appears to be an important factor associated with booking cancellations. The extremely high cancellation rate among Non Refund bookings suggests that this booking category requires further investigation.</w:t>
      </w:r>
    </w:p>
    <w:p w14:paraId="2A53F7BE" w14:textId="2F8BA0DC" w:rsidR="00E80023" w:rsidRDefault="00794439" w:rsidP="00794439">
      <w:r w:rsidRPr="00794439">
        <w:t xml:space="preserve">Hotels should examine the characteristics of Non Refund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1022C833" w14:textId="77777777" w:rsidR="000B5000" w:rsidRDefault="000B5000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Step 4.1 : </w:t>
      </w:r>
      <w:r w:rsidR="00E80023" w:rsidRPr="00E80023">
        <w:rPr>
          <w:b/>
          <w:bCs/>
          <w:sz w:val="36"/>
          <w:szCs w:val="36"/>
        </w:rPr>
        <w:t>Investigate the unusual high Non Refund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2: Look directly at the Non Refund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3: Compare Non Refund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noProof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noProof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t>The investigation confirmed that the unusually high 99.36% cancellation rate for Non Refund bookings is a robust pattern rather than a result of a small sample size. There were 14,572 Non Refund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>Further investigation showed that Non Refund cancellations were particularly concentrated in the Offline TA/TO and Groups market segments, which recorded 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lastRenderedPageBreak/>
        <w:t>Overall, the evidence indicates a strong association between Non Refund bookings and cancellations, particularly among group and travel-agent/tour-operator bookings. However, this analysis does not establish that the Non Refund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>This finding is therefore important for hotel management because Non Refund bookings represent a high-risk cancellation segment and warrant further investigation into booking policies, contract terms, and channel-specific practices.</w:t>
      </w:r>
    </w:p>
    <w:p w14:paraId="73B4D6AC" w14:textId="77777777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51454C6" w14:textId="550D20EC" w:rsidR="00B43B8A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Step 5: </w:t>
      </w:r>
      <w:r w:rsidRPr="009D4B5C">
        <w:rPr>
          <w:b/>
          <w:bCs/>
          <w:sz w:val="40"/>
          <w:szCs w:val="40"/>
        </w:rPr>
        <w:t>Booking Outcome by Distribution Channel</w:t>
      </w:r>
    </w:p>
    <w:p w14:paraId="07723132" w14:textId="2B68CD7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noProof/>
          <w:sz w:val="40"/>
          <w:szCs w:val="40"/>
        </w:rPr>
        <w:drawing>
          <wp:inline distT="0" distB="0" distL="0" distR="0" wp14:anchorId="6EA03F66" wp14:editId="14AD2A16">
            <wp:extent cx="5391902" cy="1733792"/>
            <wp:effectExtent l="0" t="0" r="0" b="0"/>
            <wp:docPr id="587139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399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C79B" w14:textId="7B9C759F" w:rsidR="009D4B5C" w:rsidRDefault="009D4B5C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9D4B5C">
        <w:rPr>
          <w:b/>
          <w:bCs/>
          <w:noProof/>
          <w:sz w:val="40"/>
          <w:szCs w:val="40"/>
        </w:rPr>
        <w:drawing>
          <wp:inline distT="0" distB="0" distL="0" distR="0" wp14:anchorId="0B30D2BA" wp14:editId="6CF3D1FA">
            <wp:extent cx="5731510" cy="3257550"/>
            <wp:effectExtent l="0" t="0" r="2540" b="0"/>
            <wp:docPr id="170475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5936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0DEE" w14:textId="2380529F" w:rsidR="009D4B5C" w:rsidRDefault="00957C5D" w:rsidP="00794439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1FE4664D" w14:textId="2166FA16" w:rsidR="00F148AD" w:rsidRDefault="009C3D3D" w:rsidP="000B5000">
      <w:pPr>
        <w:spacing w:line="240" w:lineRule="auto"/>
        <w:ind w:left="360"/>
      </w:pPr>
      <w:r w:rsidRPr="009C3D3D">
        <w:t xml:space="preserve">Distribution channel is strongly associated with booking cancellations. TA/TO bookings recorded the highest cancellation rate at 41.05%, substantially higher than Corporate (22.40%), GDS (19.17%), and Direct bookings (17.56%). TA/TO is particularly important </w:t>
      </w:r>
      <w:r w:rsidRPr="009C3D3D">
        <w:lastRenderedPageBreak/>
        <w:t>because it also represents the largest booking volume, with 97,729 bookings and 40,118 cancellations. This suggests that bookings received through travel agencies and tour operators represent a significant cancellation-risk segment and may warrant closer examination of channel-specific booking and cancellation practices.</w:t>
      </w:r>
    </w:p>
    <w:p w14:paraId="12B04873" w14:textId="77777777" w:rsidR="009C3D3D" w:rsidRDefault="009C3D3D" w:rsidP="00794439">
      <w:pPr>
        <w:spacing w:line="240" w:lineRule="auto"/>
        <w:ind w:left="360"/>
      </w:pPr>
    </w:p>
    <w:p w14:paraId="718AB891" w14:textId="0EC968DC" w:rsidR="009C3D3D" w:rsidRDefault="009C3D3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9C3D3D">
        <w:rPr>
          <w:b/>
          <w:bCs/>
          <w:sz w:val="32"/>
          <w:szCs w:val="32"/>
        </w:rPr>
        <w:t>Step 6: Overall Cancellation Rate by Market Segment.</w:t>
      </w:r>
    </w:p>
    <w:p w14:paraId="52680C3F" w14:textId="72A35CE4" w:rsidR="00F148A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F148AD">
        <w:rPr>
          <w:b/>
          <w:bCs/>
          <w:sz w:val="32"/>
          <w:szCs w:val="32"/>
        </w:rPr>
        <w:drawing>
          <wp:inline distT="0" distB="0" distL="0" distR="0" wp14:anchorId="002F9AC8" wp14:editId="3D519930">
            <wp:extent cx="4972744" cy="2286319"/>
            <wp:effectExtent l="0" t="0" r="0" b="0"/>
            <wp:docPr id="206831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16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F912B" w14:textId="2E8C62B2" w:rsidR="00F148A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  <w:r w:rsidRPr="00F148AD">
        <w:rPr>
          <w:b/>
          <w:bCs/>
          <w:sz w:val="32"/>
          <w:szCs w:val="32"/>
        </w:rPr>
        <w:drawing>
          <wp:inline distT="0" distB="0" distL="0" distR="0" wp14:anchorId="5AB3114B" wp14:editId="50A6BA6C">
            <wp:extent cx="5731510" cy="3261360"/>
            <wp:effectExtent l="0" t="0" r="2540" b="0"/>
            <wp:docPr id="133187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724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35A6A" w14:textId="63140E53" w:rsidR="00F148AD" w:rsidRDefault="00F148AD" w:rsidP="00F148AD">
      <w:pPr>
        <w:spacing w:line="240" w:lineRule="auto"/>
        <w:ind w:left="360"/>
        <w:rPr>
          <w:b/>
          <w:bCs/>
          <w:sz w:val="32"/>
          <w:szCs w:val="32"/>
        </w:rPr>
      </w:pPr>
      <w:r w:rsidRPr="00957C5D">
        <w:rPr>
          <w:b/>
          <w:bCs/>
          <w:sz w:val="32"/>
          <w:szCs w:val="32"/>
        </w:rPr>
        <w:t>Finding</w:t>
      </w:r>
    </w:p>
    <w:p w14:paraId="032FB1FD" w14:textId="25F4D6E7" w:rsidR="004404F5" w:rsidRPr="004404F5" w:rsidRDefault="004404F5" w:rsidP="004404F5">
      <w:pPr>
        <w:spacing w:line="240" w:lineRule="auto"/>
        <w:ind w:left="360"/>
      </w:pPr>
      <w:r w:rsidRPr="004404F5">
        <w:rPr>
          <w:b/>
          <w:bCs/>
        </w:rPr>
        <w:t>Finding:</w:t>
      </w:r>
      <w:r w:rsidRPr="004404F5">
        <w:t xml:space="preserve"> Cancellation rates vary dramatically across market segments. </w:t>
      </w:r>
      <w:r w:rsidRPr="004404F5">
        <w:rPr>
          <w:b/>
          <w:bCs/>
        </w:rPr>
        <w:t>Groups</w:t>
      </w:r>
      <w:r w:rsidRPr="004404F5">
        <w:t xml:space="preserve"> exhibit the highest cancellation risk at </w:t>
      </w:r>
      <w:r w:rsidRPr="004404F5">
        <w:rPr>
          <w:b/>
          <w:bCs/>
        </w:rPr>
        <w:t>61.08%</w:t>
      </w:r>
      <w:r w:rsidRPr="004404F5">
        <w:t xml:space="preserve"> (12,097 cancel</w:t>
      </w:r>
      <w:r>
        <w:t>l</w:t>
      </w:r>
      <w:r w:rsidRPr="004404F5">
        <w:t xml:space="preserve">ed out of 19,806 bookings). While </w:t>
      </w:r>
      <w:r w:rsidRPr="004404F5">
        <w:rPr>
          <w:b/>
          <w:bCs/>
        </w:rPr>
        <w:t>Online TA</w:t>
      </w:r>
      <w:r w:rsidRPr="004404F5">
        <w:t xml:space="preserve"> represents the single largest booking channel by total volume (56,402 bookings), it maintains a moderately high cancellation rate of </w:t>
      </w:r>
      <w:r w:rsidRPr="004404F5">
        <w:rPr>
          <w:b/>
          <w:bCs/>
        </w:rPr>
        <w:t>36.77%</w:t>
      </w:r>
      <w:r w:rsidRPr="004404F5">
        <w:t xml:space="preserve">. In contrast, </w:t>
      </w:r>
      <w:r w:rsidRPr="004404F5">
        <w:rPr>
          <w:b/>
          <w:bCs/>
        </w:rPr>
        <w:t>Direct</w:t>
      </w:r>
      <w:r w:rsidRPr="004404F5">
        <w:t xml:space="preserve"> (15.42%) and </w:t>
      </w:r>
      <w:r w:rsidRPr="004404F5">
        <w:rPr>
          <w:b/>
          <w:bCs/>
        </w:rPr>
        <w:t>Corporate</w:t>
      </w:r>
      <w:r w:rsidRPr="004404F5">
        <w:t xml:space="preserve"> (19.14%) segments demonstrate strong booking follow-through. </w:t>
      </w:r>
    </w:p>
    <w:p w14:paraId="57CBDA80" w14:textId="00A066D5" w:rsidR="004404F5" w:rsidRPr="004404F5" w:rsidRDefault="004404F5" w:rsidP="004404F5">
      <w:pPr>
        <w:spacing w:line="240" w:lineRule="auto"/>
        <w:ind w:left="360"/>
      </w:pPr>
      <w:r w:rsidRPr="004404F5">
        <w:rPr>
          <w:b/>
          <w:bCs/>
        </w:rPr>
        <w:lastRenderedPageBreak/>
        <w:t>Business Interpretation:</w:t>
      </w:r>
      <w:r w:rsidRPr="004404F5">
        <w:t xml:space="preserve"> While Online TA drives high transactional volume, the Groups segment poses the most severe operational threat. A 61% cancellation rate on bulk allocations risks sudden, unfillable room vacancies unless strict contract cut-off windows and non-refundable attrition terms are enforced. </w:t>
      </w:r>
    </w:p>
    <w:p w14:paraId="5CE58BC5" w14:textId="77777777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t>Step 7: Cancellation Rate by Customer Type</w:t>
      </w:r>
    </w:p>
    <w:p w14:paraId="75BB8798" w14:textId="55085B2F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drawing>
          <wp:inline distT="0" distB="0" distL="0" distR="0" wp14:anchorId="3C9F023A" wp14:editId="3B2530FB">
            <wp:extent cx="4887007" cy="1438476"/>
            <wp:effectExtent l="0" t="0" r="0" b="9525"/>
            <wp:docPr id="172190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00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A5E7" w14:textId="3AA52098" w:rsidR="00F148AD" w:rsidRDefault="00AE301B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AE301B">
        <w:rPr>
          <w:b/>
          <w:bCs/>
          <w:sz w:val="40"/>
          <w:szCs w:val="40"/>
        </w:rPr>
        <w:drawing>
          <wp:inline distT="0" distB="0" distL="0" distR="0" wp14:anchorId="6BE04926" wp14:editId="16632028">
            <wp:extent cx="5553850" cy="3324689"/>
            <wp:effectExtent l="0" t="0" r="8890" b="9525"/>
            <wp:docPr id="342067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67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CC9BD" w14:textId="77777777" w:rsidR="00F148AD" w:rsidRDefault="00F148AD" w:rsidP="00F148AD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1F22DCDF" w14:textId="432FBE04" w:rsidR="00DE6540" w:rsidRPr="00DE6540" w:rsidRDefault="00DE6540" w:rsidP="00DE6540">
      <w:pPr>
        <w:spacing w:line="240" w:lineRule="auto"/>
        <w:ind w:left="360"/>
        <w:rPr>
          <w:sz w:val="28"/>
          <w:szCs w:val="28"/>
        </w:rPr>
      </w:pPr>
      <w:r w:rsidRPr="00DE6540">
        <w:rPr>
          <w:b/>
          <w:bCs/>
          <w:sz w:val="28"/>
          <w:szCs w:val="28"/>
        </w:rPr>
        <w:t>Finding:</w:t>
      </w:r>
      <w:r w:rsidRPr="00DE6540">
        <w:rPr>
          <w:sz w:val="28"/>
          <w:szCs w:val="28"/>
        </w:rPr>
        <w:t xml:space="preserve"> Cancellation behavio</w:t>
      </w:r>
      <w:r>
        <w:rPr>
          <w:sz w:val="28"/>
          <w:szCs w:val="28"/>
        </w:rPr>
        <w:t>u</w:t>
      </w:r>
      <w:r w:rsidRPr="00DE6540">
        <w:rPr>
          <w:sz w:val="28"/>
          <w:szCs w:val="28"/>
        </w:rPr>
        <w:t xml:space="preserve">r differs sharply by customer profile. Individual </w:t>
      </w:r>
      <w:r w:rsidRPr="00DE6540">
        <w:rPr>
          <w:b/>
          <w:bCs/>
          <w:sz w:val="28"/>
          <w:szCs w:val="28"/>
        </w:rPr>
        <w:t>Transient</w:t>
      </w:r>
      <w:r w:rsidRPr="00DE6540">
        <w:rPr>
          <w:sz w:val="28"/>
          <w:szCs w:val="28"/>
        </w:rPr>
        <w:t xml:space="preserve"> customers account for the vast majority of volume (89,173 bookings) and generate the highest cancellation rate at </w:t>
      </w:r>
      <w:r w:rsidRPr="00DE6540">
        <w:rPr>
          <w:b/>
          <w:bCs/>
          <w:sz w:val="28"/>
          <w:szCs w:val="28"/>
        </w:rPr>
        <w:t>40.89%</w:t>
      </w:r>
      <w:r w:rsidRPr="00DE6540">
        <w:rPr>
          <w:sz w:val="28"/>
          <w:szCs w:val="28"/>
        </w:rPr>
        <w:t xml:space="preserve">. In contrast, </w:t>
      </w:r>
      <w:r w:rsidRPr="00DE6540">
        <w:rPr>
          <w:b/>
          <w:bCs/>
          <w:sz w:val="28"/>
          <w:szCs w:val="28"/>
        </w:rPr>
        <w:t>Contract</w:t>
      </w:r>
      <w:r w:rsidRPr="00DE6540">
        <w:rPr>
          <w:sz w:val="28"/>
          <w:szCs w:val="28"/>
        </w:rPr>
        <w:t xml:space="preserve"> bookings cancel at </w:t>
      </w:r>
      <w:r w:rsidRPr="00DE6540">
        <w:rPr>
          <w:b/>
          <w:bCs/>
          <w:sz w:val="28"/>
          <w:szCs w:val="28"/>
        </w:rPr>
        <w:t>30.96%</w:t>
      </w:r>
      <w:r w:rsidRPr="00DE6540">
        <w:rPr>
          <w:sz w:val="28"/>
          <w:szCs w:val="28"/>
        </w:rPr>
        <w:t xml:space="preserve">, </w:t>
      </w:r>
      <w:r w:rsidRPr="00DE6540">
        <w:rPr>
          <w:b/>
          <w:bCs/>
          <w:sz w:val="28"/>
          <w:szCs w:val="28"/>
        </w:rPr>
        <w:t>Transient-Party</w:t>
      </w:r>
      <w:r w:rsidRPr="00DE6540">
        <w:rPr>
          <w:sz w:val="28"/>
          <w:szCs w:val="28"/>
        </w:rPr>
        <w:t xml:space="preserve"> at </w:t>
      </w:r>
      <w:r w:rsidRPr="00DE6540">
        <w:rPr>
          <w:b/>
          <w:bCs/>
          <w:sz w:val="28"/>
          <w:szCs w:val="28"/>
        </w:rPr>
        <w:t>25.41%</w:t>
      </w:r>
      <w:r w:rsidRPr="00DE6540">
        <w:rPr>
          <w:sz w:val="28"/>
          <w:szCs w:val="28"/>
        </w:rPr>
        <w:t xml:space="preserve">, and confirmed </w:t>
      </w:r>
      <w:r w:rsidRPr="00DE6540">
        <w:rPr>
          <w:b/>
          <w:bCs/>
          <w:sz w:val="28"/>
          <w:szCs w:val="28"/>
        </w:rPr>
        <w:t>Group</w:t>
      </w:r>
      <w:r w:rsidRPr="00DE6540">
        <w:rPr>
          <w:sz w:val="28"/>
          <w:szCs w:val="28"/>
        </w:rPr>
        <w:t xml:space="preserve"> customer profiles maintain the lowest churn at </w:t>
      </w:r>
      <w:r w:rsidRPr="00DE6540">
        <w:rPr>
          <w:b/>
          <w:bCs/>
          <w:sz w:val="28"/>
          <w:szCs w:val="28"/>
        </w:rPr>
        <w:t>10.18%</w:t>
      </w:r>
      <w:r w:rsidRPr="00DE6540">
        <w:rPr>
          <w:sz w:val="28"/>
          <w:szCs w:val="28"/>
        </w:rPr>
        <w:t xml:space="preserve">. </w:t>
      </w:r>
    </w:p>
    <w:p w14:paraId="17800C4A" w14:textId="075EA477" w:rsidR="00DE6540" w:rsidRPr="00DE6540" w:rsidRDefault="00DE6540" w:rsidP="00DE6540">
      <w:pPr>
        <w:spacing w:line="240" w:lineRule="auto"/>
        <w:ind w:left="360"/>
        <w:rPr>
          <w:sz w:val="28"/>
          <w:szCs w:val="28"/>
        </w:rPr>
      </w:pPr>
      <w:r w:rsidRPr="00DE6540">
        <w:rPr>
          <w:b/>
          <w:bCs/>
          <w:sz w:val="28"/>
          <w:szCs w:val="28"/>
        </w:rPr>
        <w:t>Business Interpretation:</w:t>
      </w:r>
      <w:r w:rsidRPr="00DE6540">
        <w:rPr>
          <w:sz w:val="28"/>
          <w:szCs w:val="28"/>
        </w:rPr>
        <w:t xml:space="preserve"> The hotel's customer base is heavily dominated by transient individuals who treat reservations as speculative, zero-cost placeholders while comparing accommodations. Pre-arrival check-in </w:t>
      </w:r>
      <w:r w:rsidRPr="00DE6540">
        <w:rPr>
          <w:sz w:val="28"/>
          <w:szCs w:val="28"/>
        </w:rPr>
        <w:lastRenderedPageBreak/>
        <w:t xml:space="preserve">incentives, automated confirmations, and targeted add-on perks are necessary to lock in transient commitment prior to the stay date. </w:t>
      </w:r>
    </w:p>
    <w:p w14:paraId="60ECD383" w14:textId="77777777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t>Step 8: Cancellation Rate by ADR / Price Level</w:t>
      </w:r>
    </w:p>
    <w:p w14:paraId="4EEB8910" w14:textId="17EF3C6C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drawing>
          <wp:inline distT="0" distB="0" distL="0" distR="0" wp14:anchorId="4FEDBA53" wp14:editId="6E11D9BE">
            <wp:extent cx="2829320" cy="933580"/>
            <wp:effectExtent l="0" t="0" r="9525" b="0"/>
            <wp:docPr id="98482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212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66496" w14:textId="541D9970" w:rsidR="00F148AD" w:rsidRDefault="00F148AD" w:rsidP="00F148AD">
      <w:pPr>
        <w:spacing w:line="240" w:lineRule="auto"/>
        <w:ind w:left="360"/>
        <w:rPr>
          <w:b/>
          <w:bCs/>
          <w:sz w:val="40"/>
          <w:szCs w:val="40"/>
        </w:rPr>
      </w:pPr>
      <w:r w:rsidRPr="00F148AD">
        <w:rPr>
          <w:b/>
          <w:bCs/>
          <w:sz w:val="40"/>
          <w:szCs w:val="40"/>
        </w:rPr>
        <w:drawing>
          <wp:inline distT="0" distB="0" distL="0" distR="0" wp14:anchorId="0E9431D6" wp14:editId="6648918B">
            <wp:extent cx="5611008" cy="3315163"/>
            <wp:effectExtent l="0" t="0" r="0" b="0"/>
            <wp:docPr id="22730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066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4AC0" w14:textId="77777777" w:rsidR="00F148AD" w:rsidRDefault="00F148AD" w:rsidP="00F148AD">
      <w:pPr>
        <w:spacing w:line="240" w:lineRule="auto"/>
        <w:ind w:left="360"/>
      </w:pPr>
      <w:r w:rsidRPr="00957C5D">
        <w:rPr>
          <w:b/>
          <w:bCs/>
          <w:sz w:val="32"/>
          <w:szCs w:val="32"/>
        </w:rPr>
        <w:t>Finding</w:t>
      </w:r>
    </w:p>
    <w:p w14:paraId="590D5FA9" w14:textId="570A91F2" w:rsidR="0048327B" w:rsidRPr="0048327B" w:rsidRDefault="0048327B" w:rsidP="0048327B">
      <w:pPr>
        <w:spacing w:line="240" w:lineRule="auto"/>
        <w:ind w:left="360"/>
        <w:rPr>
          <w:sz w:val="28"/>
          <w:szCs w:val="28"/>
        </w:rPr>
      </w:pPr>
      <w:r w:rsidRPr="0048327B">
        <w:rPr>
          <w:b/>
          <w:bCs/>
          <w:sz w:val="28"/>
          <w:szCs w:val="28"/>
        </w:rPr>
        <w:t>Finding:</w:t>
      </w:r>
      <w:r w:rsidRPr="0048327B">
        <w:rPr>
          <w:sz w:val="28"/>
          <w:szCs w:val="28"/>
        </w:rPr>
        <w:t xml:space="preserve"> Room pricing creates a distinct threshold effect on guest cancellations. The </w:t>
      </w:r>
      <w:r w:rsidRPr="0048327B">
        <w:rPr>
          <w:b/>
          <w:bCs/>
          <w:sz w:val="28"/>
          <w:szCs w:val="28"/>
        </w:rPr>
        <w:t>Low</w:t>
      </w:r>
      <w:r w:rsidRPr="0048327B">
        <w:rPr>
          <w:sz w:val="28"/>
          <w:szCs w:val="28"/>
        </w:rPr>
        <w:t xml:space="preserve"> ADR tier exhibits the lowest churn at </w:t>
      </w:r>
      <w:r w:rsidRPr="0048327B">
        <w:rPr>
          <w:b/>
          <w:bCs/>
          <w:sz w:val="28"/>
          <w:szCs w:val="28"/>
        </w:rPr>
        <w:t>21.29%</w:t>
      </w:r>
      <w:r w:rsidRPr="0048327B">
        <w:rPr>
          <w:sz w:val="28"/>
          <w:szCs w:val="28"/>
        </w:rPr>
        <w:t xml:space="preserve">. Once rates enter higher pricing bands, cancellations surge by approximately 17 percentage points and plateau across tiers: </w:t>
      </w:r>
      <w:r w:rsidRPr="0048327B">
        <w:rPr>
          <w:b/>
          <w:bCs/>
          <w:sz w:val="28"/>
          <w:szCs w:val="28"/>
        </w:rPr>
        <w:t>Medium</w:t>
      </w:r>
      <w:r w:rsidRPr="0048327B">
        <w:rPr>
          <w:sz w:val="28"/>
          <w:szCs w:val="28"/>
        </w:rPr>
        <w:t xml:space="preserve"> at </w:t>
      </w:r>
      <w:r w:rsidRPr="0048327B">
        <w:rPr>
          <w:b/>
          <w:bCs/>
          <w:sz w:val="28"/>
          <w:szCs w:val="28"/>
        </w:rPr>
        <w:t>38.89%</w:t>
      </w:r>
      <w:r w:rsidRPr="0048327B">
        <w:rPr>
          <w:sz w:val="28"/>
          <w:szCs w:val="28"/>
        </w:rPr>
        <w:t xml:space="preserve">, </w:t>
      </w:r>
      <w:r w:rsidRPr="0048327B">
        <w:rPr>
          <w:b/>
          <w:bCs/>
          <w:sz w:val="28"/>
          <w:szCs w:val="28"/>
        </w:rPr>
        <w:t>High</w:t>
      </w:r>
      <w:r w:rsidRPr="0048327B">
        <w:rPr>
          <w:sz w:val="28"/>
          <w:szCs w:val="28"/>
        </w:rPr>
        <w:t xml:space="preserve"> at </w:t>
      </w:r>
      <w:r w:rsidRPr="0048327B">
        <w:rPr>
          <w:b/>
          <w:bCs/>
          <w:sz w:val="28"/>
          <w:szCs w:val="28"/>
        </w:rPr>
        <w:t>38.97%</w:t>
      </w:r>
      <w:r w:rsidRPr="0048327B">
        <w:rPr>
          <w:sz w:val="28"/>
          <w:szCs w:val="28"/>
        </w:rPr>
        <w:t xml:space="preserve">, and </w:t>
      </w:r>
      <w:r w:rsidRPr="0048327B">
        <w:rPr>
          <w:b/>
          <w:bCs/>
          <w:sz w:val="28"/>
          <w:szCs w:val="28"/>
        </w:rPr>
        <w:t>Very High</w:t>
      </w:r>
      <w:r w:rsidRPr="0048327B">
        <w:rPr>
          <w:sz w:val="28"/>
          <w:szCs w:val="28"/>
        </w:rPr>
        <w:t xml:space="preserve"> at </w:t>
      </w:r>
      <w:r w:rsidRPr="0048327B">
        <w:rPr>
          <w:b/>
          <w:bCs/>
          <w:sz w:val="28"/>
          <w:szCs w:val="28"/>
        </w:rPr>
        <w:t>38.13%</w:t>
      </w:r>
      <w:r w:rsidRPr="0048327B">
        <w:rPr>
          <w:sz w:val="28"/>
          <w:szCs w:val="28"/>
        </w:rPr>
        <w:t xml:space="preserve">. </w:t>
      </w:r>
    </w:p>
    <w:p w14:paraId="711BBED8" w14:textId="02A9D4ED" w:rsidR="0048327B" w:rsidRPr="0048327B" w:rsidRDefault="0048327B" w:rsidP="0048327B">
      <w:pPr>
        <w:spacing w:line="240" w:lineRule="auto"/>
        <w:ind w:left="360"/>
        <w:rPr>
          <w:sz w:val="28"/>
          <w:szCs w:val="28"/>
        </w:rPr>
      </w:pPr>
      <w:r w:rsidRPr="0048327B">
        <w:rPr>
          <w:b/>
          <w:bCs/>
          <w:sz w:val="28"/>
          <w:szCs w:val="28"/>
        </w:rPr>
        <w:t>Business Interpretation:</w:t>
      </w:r>
      <w:r w:rsidRPr="0048327B">
        <w:rPr>
          <w:sz w:val="28"/>
          <w:szCs w:val="28"/>
        </w:rPr>
        <w:t xml:space="preserve"> Cancellations do not peak solely at the highest rates; rather, guests become equally price-sensitive across all mid-to-high price tiers. Customers booking non-budget rooms frequently monitor the market for rate drops or alternative promotions, highlighting the need for tiered non-refundable rate discounts on standard and premium rooms. </w:t>
      </w:r>
    </w:p>
    <w:p w14:paraId="732393FB" w14:textId="77777777" w:rsidR="00F148AD" w:rsidRDefault="00F148AD" w:rsidP="00794439">
      <w:pPr>
        <w:spacing w:line="240" w:lineRule="auto"/>
        <w:ind w:left="360"/>
        <w:rPr>
          <w:b/>
          <w:bCs/>
          <w:sz w:val="32"/>
          <w:szCs w:val="32"/>
        </w:rPr>
      </w:pPr>
    </w:p>
    <w:p w14:paraId="66E701DE" w14:textId="77777777" w:rsidR="00612433" w:rsidRPr="009C3D3D" w:rsidRDefault="00612433" w:rsidP="00794439">
      <w:pPr>
        <w:spacing w:line="240" w:lineRule="auto"/>
        <w:ind w:left="360"/>
        <w:rPr>
          <w:b/>
          <w:bCs/>
          <w:sz w:val="32"/>
          <w:szCs w:val="32"/>
        </w:rPr>
      </w:pPr>
    </w:p>
    <w:sectPr w:rsidR="00612433" w:rsidRPr="009C3D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478D2"/>
    <w:multiLevelType w:val="multilevel"/>
    <w:tmpl w:val="B1AA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0D000F"/>
    <w:multiLevelType w:val="multilevel"/>
    <w:tmpl w:val="ECC8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C65AF5"/>
    <w:multiLevelType w:val="multilevel"/>
    <w:tmpl w:val="5E0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4A49F5"/>
    <w:multiLevelType w:val="multilevel"/>
    <w:tmpl w:val="267C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E2544F"/>
    <w:multiLevelType w:val="multilevel"/>
    <w:tmpl w:val="4168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2"/>
  </w:num>
  <w:num w:numId="2" w16cid:durableId="1098058591">
    <w:abstractNumId w:val="10"/>
  </w:num>
  <w:num w:numId="3" w16cid:durableId="722021622">
    <w:abstractNumId w:val="0"/>
  </w:num>
  <w:num w:numId="4" w16cid:durableId="1688292101">
    <w:abstractNumId w:val="8"/>
  </w:num>
  <w:num w:numId="5" w16cid:durableId="2021858438">
    <w:abstractNumId w:val="11"/>
  </w:num>
  <w:num w:numId="6" w16cid:durableId="2096897972">
    <w:abstractNumId w:val="12"/>
  </w:num>
  <w:num w:numId="7" w16cid:durableId="2005205518">
    <w:abstractNumId w:val="13"/>
  </w:num>
  <w:num w:numId="8" w16cid:durableId="772019117">
    <w:abstractNumId w:val="9"/>
  </w:num>
  <w:num w:numId="9" w16cid:durableId="1108424608">
    <w:abstractNumId w:val="3"/>
  </w:num>
  <w:num w:numId="10" w16cid:durableId="537815493">
    <w:abstractNumId w:val="6"/>
  </w:num>
  <w:num w:numId="11" w16cid:durableId="634605120">
    <w:abstractNumId w:val="7"/>
  </w:num>
  <w:num w:numId="12" w16cid:durableId="687175244">
    <w:abstractNumId w:val="4"/>
  </w:num>
  <w:num w:numId="13" w16cid:durableId="1978488919">
    <w:abstractNumId w:val="1"/>
  </w:num>
  <w:num w:numId="14" w16cid:durableId="3307203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B5000"/>
    <w:rsid w:val="000C06EE"/>
    <w:rsid w:val="002203E4"/>
    <w:rsid w:val="00236B6C"/>
    <w:rsid w:val="00246C3C"/>
    <w:rsid w:val="002B7A0E"/>
    <w:rsid w:val="002F2664"/>
    <w:rsid w:val="003473BC"/>
    <w:rsid w:val="00360616"/>
    <w:rsid w:val="003C6B82"/>
    <w:rsid w:val="003D46BA"/>
    <w:rsid w:val="0042613D"/>
    <w:rsid w:val="004404F5"/>
    <w:rsid w:val="0048327B"/>
    <w:rsid w:val="004855FF"/>
    <w:rsid w:val="005028DA"/>
    <w:rsid w:val="005F69ED"/>
    <w:rsid w:val="00612433"/>
    <w:rsid w:val="0068134D"/>
    <w:rsid w:val="006D4829"/>
    <w:rsid w:val="006F1BC6"/>
    <w:rsid w:val="00723723"/>
    <w:rsid w:val="00794439"/>
    <w:rsid w:val="00950E0B"/>
    <w:rsid w:val="00957C5D"/>
    <w:rsid w:val="009A587D"/>
    <w:rsid w:val="009C3D3D"/>
    <w:rsid w:val="009D4B5C"/>
    <w:rsid w:val="00A47A53"/>
    <w:rsid w:val="00A83ADE"/>
    <w:rsid w:val="00A83BB1"/>
    <w:rsid w:val="00A852C3"/>
    <w:rsid w:val="00AE301B"/>
    <w:rsid w:val="00B31702"/>
    <w:rsid w:val="00B43B8A"/>
    <w:rsid w:val="00B95AD6"/>
    <w:rsid w:val="00BF1C71"/>
    <w:rsid w:val="00C10B2D"/>
    <w:rsid w:val="00CA6AED"/>
    <w:rsid w:val="00D95CBD"/>
    <w:rsid w:val="00DE6540"/>
    <w:rsid w:val="00E80023"/>
    <w:rsid w:val="00EF18DB"/>
    <w:rsid w:val="00F1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789</TotalTime>
  <Pages>12</Pages>
  <Words>1650</Words>
  <Characters>9407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19</cp:revision>
  <dcterms:created xsi:type="dcterms:W3CDTF">2026-08-24T15:03:00Z</dcterms:created>
  <dcterms:modified xsi:type="dcterms:W3CDTF">2026-09-08T17:44:00Z</dcterms:modified>
</cp:coreProperties>
</file>