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information is still current and can be used to analyze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rPr>
          <w:noProof/>
        </w:rPr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noProof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lastRenderedPageBreak/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hotel </w:t>
      </w:r>
      <w:r w:rsidRPr="006F1BC6">
        <w:t xml:space="preserve">,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noProof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lastRenderedPageBreak/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noProof/>
          <w:sz w:val="40"/>
          <w:szCs w:val="40"/>
        </w:rPr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Non Refund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lastRenderedPageBreak/>
        <w:t>Deposit type appears to be an important factor associated with booking cancellations. The extremely high cancellation rate among Non Refund bookings suggests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Non Refund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t xml:space="preserve">Investigate the </w:t>
      </w:r>
      <w:r w:rsidRPr="00794439">
        <w:rPr>
          <w:b/>
          <w:bCs/>
        </w:rPr>
        <w:t>Non Refund</w:t>
      </w:r>
      <w:r w:rsidRPr="00794439">
        <w:t xml:space="preserve"> booking category to understand why its cancellation rate is exceptionally high. Analyze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4.1 : </w:t>
      </w:r>
      <w:r w:rsidR="00E80023" w:rsidRPr="00E80023">
        <w:rPr>
          <w:b/>
          <w:bCs/>
          <w:sz w:val="36"/>
          <w:szCs w:val="36"/>
        </w:rPr>
        <w:t>Investigate the unusual high Non Refund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2: Look directly at the Non Refund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3: Compare Non Refund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>The investigation confirmed that the unusually high 99.36% cancellation rate for Non Refund bookings is a robust pattern rather than a result of a small sample size. There were 14,572 Non Refund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>Further investigation showed that Non Refund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>Overall, the evidence indicates a strong association between Non Refund bookings and cancellations, particularly among group and travel-agent/tour-operator bookings. However, this analysis does not establish that the Non Refund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>This finding is therefore important for hotel management because Non Refund bookings represent a high-risk cancellation segment and warrant further investigation into booking policies, contract terms, and channel-specific practices.</w:t>
      </w:r>
    </w:p>
    <w:p w14:paraId="75675052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760A2B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23BEB1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A7D04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BF793E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2101464F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30607765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15FC08B9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4655077D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AFA72A6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73B4D6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51454C6" w14:textId="550D20EC" w:rsidR="00B43B8A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Step 5: </w:t>
      </w:r>
      <w:r w:rsidRPr="009D4B5C">
        <w:rPr>
          <w:b/>
          <w:bCs/>
          <w:sz w:val="40"/>
          <w:szCs w:val="40"/>
        </w:rPr>
        <w:t>Booking Outcome by Distribution Channel</w:t>
      </w:r>
    </w:p>
    <w:p w14:paraId="07723132" w14:textId="2B68CD7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6EA03F66" wp14:editId="14AD2A16">
            <wp:extent cx="5391902" cy="1733792"/>
            <wp:effectExtent l="0" t="0" r="0" b="0"/>
            <wp:docPr id="58713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9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C79B" w14:textId="7B9C759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0B30D2BA" wp14:editId="6CF3D1FA">
            <wp:extent cx="5731510" cy="3257550"/>
            <wp:effectExtent l="0" t="0" r="2540" b="0"/>
            <wp:docPr id="170475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9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0DEE" w14:textId="2380529F" w:rsidR="009D4B5C" w:rsidRDefault="00957C5D" w:rsidP="00794439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309D5DB5" w14:textId="31279ADF" w:rsidR="009C3D3D" w:rsidRDefault="009C3D3D" w:rsidP="00794439">
      <w:pPr>
        <w:spacing w:line="240" w:lineRule="auto"/>
        <w:ind w:left="360"/>
      </w:pPr>
      <w:r w:rsidRPr="009C3D3D">
        <w:t>Distribution channel is strongly associated with booking cancellations. TA/TO bookings recorded the highest cancellation rate at 41.05%, substantially higher than Corporate (22.40%), GDS (19.17%), and Direct bookings (17.56%). TA/TO is particularly important because it also represents the largest booking volume, with 97,729 bookings and 40,118 cancellations. This suggests that bookings received through travel agencies and tour operators represent a significant cancellation-risk segment and may warrant closer examination of channel-specific booking and cancellation practices.</w:t>
      </w:r>
    </w:p>
    <w:p w14:paraId="42FD2D86" w14:textId="77777777" w:rsidR="00F148AD" w:rsidRDefault="00F148AD" w:rsidP="00794439">
      <w:pPr>
        <w:spacing w:line="240" w:lineRule="auto"/>
        <w:ind w:left="360"/>
      </w:pPr>
    </w:p>
    <w:p w14:paraId="6EC012BF" w14:textId="77777777" w:rsidR="00F148AD" w:rsidRDefault="00F148AD" w:rsidP="00794439">
      <w:pPr>
        <w:spacing w:line="240" w:lineRule="auto"/>
        <w:ind w:left="360"/>
      </w:pPr>
    </w:p>
    <w:p w14:paraId="53B2BD1B" w14:textId="77777777" w:rsidR="00F148AD" w:rsidRDefault="00F148AD" w:rsidP="00794439">
      <w:pPr>
        <w:spacing w:line="240" w:lineRule="auto"/>
        <w:ind w:left="360"/>
      </w:pPr>
    </w:p>
    <w:p w14:paraId="240092A4" w14:textId="77777777" w:rsidR="00F148AD" w:rsidRDefault="00F148AD" w:rsidP="00794439">
      <w:pPr>
        <w:spacing w:line="240" w:lineRule="auto"/>
        <w:ind w:left="360"/>
      </w:pPr>
    </w:p>
    <w:p w14:paraId="1FE4664D" w14:textId="77777777" w:rsidR="00F148AD" w:rsidRDefault="00F148AD" w:rsidP="00794439">
      <w:pPr>
        <w:spacing w:line="240" w:lineRule="auto"/>
        <w:ind w:left="360"/>
      </w:pPr>
    </w:p>
    <w:p w14:paraId="12B04873" w14:textId="77777777" w:rsidR="009C3D3D" w:rsidRDefault="009C3D3D" w:rsidP="00794439">
      <w:pPr>
        <w:spacing w:line="240" w:lineRule="auto"/>
        <w:ind w:left="360"/>
      </w:pPr>
    </w:p>
    <w:p w14:paraId="718AB891" w14:textId="0EC968DC" w:rsidR="009C3D3D" w:rsidRDefault="009C3D3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9C3D3D">
        <w:rPr>
          <w:b/>
          <w:bCs/>
          <w:sz w:val="32"/>
          <w:szCs w:val="32"/>
        </w:rPr>
        <w:t>Step 6: Overall Cancellation Rate by Market Segment.</w:t>
      </w:r>
    </w:p>
    <w:p w14:paraId="52680C3F" w14:textId="72A35CE4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002F9AC8" wp14:editId="3D519930">
            <wp:extent cx="4972744" cy="2286319"/>
            <wp:effectExtent l="0" t="0" r="0" b="0"/>
            <wp:docPr id="206831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912B" w14:textId="2E8C62B2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5AB3114B" wp14:editId="50A6BA6C">
            <wp:extent cx="5731510" cy="3261360"/>
            <wp:effectExtent l="0" t="0" r="2540" b="0"/>
            <wp:docPr id="133187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724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5A6A" w14:textId="63140E53" w:rsidR="00F148AD" w:rsidRDefault="00F148AD" w:rsidP="00F148AD">
      <w:pPr>
        <w:spacing w:line="240" w:lineRule="auto"/>
        <w:ind w:left="360"/>
        <w:rPr>
          <w:b/>
          <w:bCs/>
          <w:sz w:val="32"/>
          <w:szCs w:val="32"/>
        </w:rPr>
      </w:pPr>
      <w:r w:rsidRPr="00957C5D">
        <w:rPr>
          <w:b/>
          <w:bCs/>
          <w:sz w:val="32"/>
          <w:szCs w:val="32"/>
        </w:rPr>
        <w:t>Finding</w:t>
      </w:r>
    </w:p>
    <w:p w14:paraId="289576F7" w14:textId="64762132" w:rsidR="00950E0B" w:rsidRDefault="00F148AD" w:rsidP="00F148AD">
      <w:pPr>
        <w:spacing w:line="240" w:lineRule="auto"/>
        <w:ind w:left="360"/>
      </w:pPr>
      <w:r>
        <w:t>Market Segment</w:t>
      </w:r>
      <w:r w:rsidRPr="009C3D3D">
        <w:t xml:space="preserve"> is strongly associated with booking cancellations. </w:t>
      </w:r>
      <w:r>
        <w:t>Groups</w:t>
      </w:r>
      <w:r w:rsidRPr="009C3D3D">
        <w:t xml:space="preserve"> bookings recorded the highest cancellation rate at </w:t>
      </w:r>
      <w:r>
        <w:t>60</w:t>
      </w:r>
      <w:r w:rsidRPr="009C3D3D">
        <w:t>.0</w:t>
      </w:r>
      <w:r>
        <w:t>8</w:t>
      </w:r>
      <w:r w:rsidRPr="009C3D3D">
        <w:t xml:space="preserve">%, substantially higher than </w:t>
      </w:r>
      <w:r w:rsidR="00950E0B">
        <w:t xml:space="preserve">Online TA (36.77%), Offline TA/TO (34.26%),Aviation market Segment (21.94%), </w:t>
      </w:r>
      <w:r w:rsidR="00950E0B" w:rsidRPr="009C3D3D">
        <w:t>Corporate (</w:t>
      </w:r>
      <w:r w:rsidR="00950E0B">
        <w:t>19</w:t>
      </w:r>
      <w:r w:rsidR="00950E0B" w:rsidRPr="009C3D3D">
        <w:t>.</w:t>
      </w:r>
      <w:r w:rsidR="00950E0B">
        <w:t>1</w:t>
      </w:r>
      <w:r w:rsidR="00950E0B" w:rsidRPr="009C3D3D">
        <w:t>4%),</w:t>
      </w:r>
      <w:r w:rsidR="00950E0B">
        <w:t xml:space="preserve"> </w:t>
      </w:r>
      <w:r w:rsidR="00950E0B" w:rsidRPr="009C3D3D">
        <w:t>Direct bookings (1</w:t>
      </w:r>
      <w:r w:rsidR="00950E0B">
        <w:t>5</w:t>
      </w:r>
      <w:r w:rsidR="00950E0B" w:rsidRPr="009C3D3D">
        <w:t>.</w:t>
      </w:r>
      <w:r w:rsidR="00950E0B">
        <w:t>42</w:t>
      </w:r>
      <w:r w:rsidR="00950E0B" w:rsidRPr="009C3D3D">
        <w:t>%)</w:t>
      </w:r>
      <w:r w:rsidR="00950E0B">
        <w:t xml:space="preserve"> and Complementary (12.26)</w:t>
      </w:r>
      <w:r w:rsidR="00950E0B" w:rsidRPr="009C3D3D">
        <w:t>.</w:t>
      </w:r>
    </w:p>
    <w:p w14:paraId="4F981F21" w14:textId="5ED76096" w:rsidR="00F148AD" w:rsidRDefault="00950E0B" w:rsidP="00F148AD">
      <w:pPr>
        <w:spacing w:line="240" w:lineRule="auto"/>
        <w:ind w:left="360"/>
      </w:pPr>
      <w:r>
        <w:t>Groups</w:t>
      </w:r>
      <w:r w:rsidR="00F148AD" w:rsidRPr="009C3D3D">
        <w:t xml:space="preserve"> is particularly important because it also represents the largest booking volume, with </w:t>
      </w:r>
      <w:r>
        <w:t>19</w:t>
      </w:r>
      <w:r w:rsidR="00F148AD" w:rsidRPr="009C3D3D">
        <w:t>,</w:t>
      </w:r>
      <w:r>
        <w:t>806</w:t>
      </w:r>
      <w:r w:rsidR="00F148AD" w:rsidRPr="009C3D3D">
        <w:t xml:space="preserve"> bookings and </w:t>
      </w:r>
      <w:r>
        <w:t>12</w:t>
      </w:r>
      <w:r w:rsidR="00F148AD" w:rsidRPr="009C3D3D">
        <w:t>,</w:t>
      </w:r>
      <w:r>
        <w:t>097</w:t>
      </w:r>
      <w:r w:rsidR="00F148AD" w:rsidRPr="009C3D3D">
        <w:t xml:space="preserve"> cancellations. This suggests that bookings through </w:t>
      </w:r>
      <w:r>
        <w:t>Groups</w:t>
      </w:r>
      <w:r w:rsidR="00F148AD" w:rsidRPr="009C3D3D">
        <w:t xml:space="preserve"> a significant cancellation-risk segment and may warrant closer examination of channel-specific booking and cancellation practices.</w:t>
      </w:r>
    </w:p>
    <w:p w14:paraId="46268A65" w14:textId="77777777" w:rsidR="00F148AD" w:rsidRPr="00F148AD" w:rsidRDefault="00F148AD" w:rsidP="00F148AD">
      <w:pPr>
        <w:spacing w:line="240" w:lineRule="auto"/>
        <w:ind w:left="360"/>
      </w:pPr>
    </w:p>
    <w:p w14:paraId="09F89C21" w14:textId="6EF77020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lastRenderedPageBreak/>
        <w:t xml:space="preserve">Groups: The Groups segment displays the highest cancellation rates </w:t>
      </w:r>
      <w:r>
        <w:rPr>
          <w:sz w:val="28"/>
          <w:szCs w:val="28"/>
        </w:rPr>
        <w:t xml:space="preserve">60.08% </w:t>
      </w:r>
      <w:r w:rsidRPr="00F148AD">
        <w:rPr>
          <w:sz w:val="28"/>
          <w:szCs w:val="28"/>
        </w:rPr>
        <w:t xml:space="preserve"> followed closely by Online TA.</w:t>
      </w:r>
    </w:p>
    <w:p w14:paraId="218A5D9B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Corporate &amp; Direct: Corporate bookings and Direct walk-ins/calls maintain the lowest churn rates, hovering below 20%.</w:t>
      </w:r>
    </w:p>
    <w:p w14:paraId="5435BEF3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Operational Risk: High group cancellations pose severe inventory risks because blocks of rooms released late cannot be easily recouped through transient channels.</w:t>
      </w:r>
    </w:p>
    <w:p w14:paraId="2CEB6099" w14:textId="77777777" w:rsidR="00F148AD" w:rsidRPr="00F148AD" w:rsidRDefault="00F148AD" w:rsidP="00F148AD">
      <w:pPr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Tighten contract deposit schedules and advance attrition deadlines for group contracts. For Online TA transient guests, introduce tiered cancellation penalties closer to the arrival date.</w:t>
      </w:r>
    </w:p>
    <w:p w14:paraId="5CE58BC5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7: Cancellation Rate by Customer Type</w:t>
      </w:r>
    </w:p>
    <w:p w14:paraId="75BB8798" w14:textId="55085B2F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3C9F023A" wp14:editId="3B2530FB">
            <wp:extent cx="4887007" cy="1438476"/>
            <wp:effectExtent l="0" t="0" r="0" b="9525"/>
            <wp:docPr id="17219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00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A5E7" w14:textId="2BBECF79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lastRenderedPageBreak/>
        <w:drawing>
          <wp:inline distT="0" distB="0" distL="0" distR="0" wp14:anchorId="522A0E34" wp14:editId="7DAB7EA3">
            <wp:extent cx="5731510" cy="4694555"/>
            <wp:effectExtent l="0" t="0" r="2540" b="0"/>
            <wp:docPr id="57353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53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C9BD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6D2FFBA0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Transient Dominance: Transient customers represent the largest volume and carry the highest cancellation rate among customer profiles (approx. 40%+).</w:t>
      </w:r>
    </w:p>
    <w:p w14:paraId="64D51B04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Transient-Party &amp; Contract: Transient-Party (associated with groups or conventions) and Contract segments show moderate-to-high sensitivity depending on group drop-outs.</w:t>
      </w:r>
    </w:p>
    <w:p w14:paraId="5E7A45E3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Group Customer Type: Pure Group customers show comparatively lower individual drop-off once confirmed under formal arrangements.</w:t>
      </w:r>
    </w:p>
    <w:p w14:paraId="13D802B7" w14:textId="77777777" w:rsidR="00F148AD" w:rsidRPr="00F148AD" w:rsidRDefault="00F148AD" w:rsidP="00F148AD">
      <w:pPr>
        <w:numPr>
          <w:ilvl w:val="0"/>
          <w:numId w:val="12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Transient guests treat hotel reservations as placeholders while shopping around. Automated pre-arrival confirmation emails, mobile check-in nudges, or small pre-paid perks (e.g., parking or breakfast vouchers) can secure commitment early.</w:t>
      </w:r>
    </w:p>
    <w:p w14:paraId="60ECD383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8: Cancellation Rate by ADR / Price Level</w:t>
      </w:r>
    </w:p>
    <w:p w14:paraId="4EEB8910" w14:textId="17EF3C6C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lastRenderedPageBreak/>
        <w:drawing>
          <wp:inline distT="0" distB="0" distL="0" distR="0" wp14:anchorId="4FEDBA53" wp14:editId="6E11D9BE">
            <wp:extent cx="2829320" cy="933580"/>
            <wp:effectExtent l="0" t="0" r="9525" b="0"/>
            <wp:docPr id="98482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21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6496" w14:textId="541D9970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0E9431D6" wp14:editId="6648918B">
            <wp:extent cx="5611008" cy="3315163"/>
            <wp:effectExtent l="0" t="0" r="0" b="0"/>
            <wp:docPr id="22730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066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4AC0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787B28CB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Direct Price Correlation: Cancellation rates trend upward as the Average Daily Rate (ADR) increases, peaking in the highest rate buckets/quantiles.</w:t>
      </w:r>
    </w:p>
    <w:p w14:paraId="27D8FCA4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Psychological Threshold: Budget and lower-tier rates show strong follow-through, while premium-priced reservations see guests actively monitoring for last-minute promotions or alternative accommodations.</w:t>
      </w:r>
    </w:p>
    <w:p w14:paraId="4A60F406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Revenue Exposure: High-ADR cancellations disproportionately erode RevPAR (Revenue Per Available Room).</w:t>
      </w:r>
    </w:p>
    <w:p w14:paraId="047E58DC" w14:textId="77777777" w:rsidR="00F148AD" w:rsidRPr="00F148AD" w:rsidRDefault="00F148AD" w:rsidP="00F148AD">
      <w:pPr>
        <w:numPr>
          <w:ilvl w:val="0"/>
          <w:numId w:val="13"/>
        </w:numPr>
        <w:spacing w:line="240" w:lineRule="auto"/>
        <w:rPr>
          <w:sz w:val="28"/>
          <w:szCs w:val="28"/>
        </w:rPr>
      </w:pPr>
      <w:r w:rsidRPr="00F148AD">
        <w:rPr>
          <w:sz w:val="28"/>
          <w:szCs w:val="28"/>
        </w:rPr>
        <w:t>Business Takeaway: Pair high-ADR bookings with structured deposit terms (e.g., 20% non-refundable deposit upon booking) rather than fully flexible cancellation windows to deter price-drop shopping.</w:t>
      </w:r>
    </w:p>
    <w:p w14:paraId="732393FB" w14:textId="77777777" w:rsidR="00F148AD" w:rsidRPr="009C3D3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</w:p>
    <w:sectPr w:rsidR="00F148AD" w:rsidRPr="009C3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478D2"/>
    <w:multiLevelType w:val="multilevel"/>
    <w:tmpl w:val="B1AA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0D000F"/>
    <w:multiLevelType w:val="multilevel"/>
    <w:tmpl w:val="ECC8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4A49F5"/>
    <w:multiLevelType w:val="multilevel"/>
    <w:tmpl w:val="267C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E2544F"/>
    <w:multiLevelType w:val="multilevel"/>
    <w:tmpl w:val="416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2"/>
  </w:num>
  <w:num w:numId="2" w16cid:durableId="1098058591">
    <w:abstractNumId w:val="9"/>
  </w:num>
  <w:num w:numId="3" w16cid:durableId="722021622">
    <w:abstractNumId w:val="0"/>
  </w:num>
  <w:num w:numId="4" w16cid:durableId="1688292101">
    <w:abstractNumId w:val="7"/>
  </w:num>
  <w:num w:numId="5" w16cid:durableId="2021858438">
    <w:abstractNumId w:val="10"/>
  </w:num>
  <w:num w:numId="6" w16cid:durableId="2096897972">
    <w:abstractNumId w:val="11"/>
  </w:num>
  <w:num w:numId="7" w16cid:durableId="2005205518">
    <w:abstractNumId w:val="12"/>
  </w:num>
  <w:num w:numId="8" w16cid:durableId="772019117">
    <w:abstractNumId w:val="8"/>
  </w:num>
  <w:num w:numId="9" w16cid:durableId="1108424608">
    <w:abstractNumId w:val="3"/>
  </w:num>
  <w:num w:numId="10" w16cid:durableId="537815493">
    <w:abstractNumId w:val="5"/>
  </w:num>
  <w:num w:numId="11" w16cid:durableId="634605120">
    <w:abstractNumId w:val="6"/>
  </w:num>
  <w:num w:numId="12" w16cid:durableId="687175244">
    <w:abstractNumId w:val="4"/>
  </w:num>
  <w:num w:numId="13" w16cid:durableId="19784889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3473BC"/>
    <w:rsid w:val="00360616"/>
    <w:rsid w:val="003C6B82"/>
    <w:rsid w:val="003D46BA"/>
    <w:rsid w:val="0042613D"/>
    <w:rsid w:val="004855FF"/>
    <w:rsid w:val="005028DA"/>
    <w:rsid w:val="005F69ED"/>
    <w:rsid w:val="0068134D"/>
    <w:rsid w:val="006D4829"/>
    <w:rsid w:val="006F1BC6"/>
    <w:rsid w:val="00723723"/>
    <w:rsid w:val="00794439"/>
    <w:rsid w:val="00950E0B"/>
    <w:rsid w:val="00957C5D"/>
    <w:rsid w:val="009A587D"/>
    <w:rsid w:val="009C3D3D"/>
    <w:rsid w:val="009D4B5C"/>
    <w:rsid w:val="00A47A53"/>
    <w:rsid w:val="00A83ADE"/>
    <w:rsid w:val="00A83BB1"/>
    <w:rsid w:val="00A852C3"/>
    <w:rsid w:val="00B31702"/>
    <w:rsid w:val="00B43B8A"/>
    <w:rsid w:val="00B95AD6"/>
    <w:rsid w:val="00C10B2D"/>
    <w:rsid w:val="00E80023"/>
    <w:rsid w:val="00EF18DB"/>
    <w:rsid w:val="00F1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14</Pages>
  <Words>1828</Words>
  <Characters>10421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11</cp:revision>
  <dcterms:created xsi:type="dcterms:W3CDTF">2026-08-24T15:03:00Z</dcterms:created>
  <dcterms:modified xsi:type="dcterms:W3CDTF">2026-09-08T16:46:00Z</dcterms:modified>
</cp:coreProperties>
</file>