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03366"/>
          <w:sz w:val="44"/>
        </w:rPr>
        <w:t>RAPPORT DE STAGE ET D'AVANCEMENT TECHNIQUE</w:t>
      </w:r>
    </w:p>
    <w:p>
      <w:pPr>
        <w:spacing w:after="360"/>
        <w:jc w:val="center"/>
      </w:pPr>
      <w:r>
        <w:rPr>
          <w:rFonts w:ascii="Calibri" w:hAnsi="Calibri"/>
          <w:i/>
          <w:color w:val="0066CC"/>
          <w:sz w:val="22"/>
        </w:rPr>
        <w:t>Projet : Agent IA RH — Système Intelligent d'Automatisation du Recrutement (RecrutIA)</w:t>
        <w:br/>
        <w:t>Entreprise d'Accueil : ARTIWEB (Fès, Maroc — Partenaire Google)</w:t>
      </w:r>
    </w:p>
    <w:p>
      <w:pPr>
        <w:spacing w:before="280" w:after="120"/>
      </w:pPr>
      <w:r>
        <w:rPr>
          <w:rFonts w:ascii="Calibri" w:hAnsi="Calibri"/>
          <w:b/>
          <w:color w:val="003366"/>
          <w:sz w:val="30"/>
        </w:rPr>
        <w:t>I. PRÉSENTATION DE L'ENTREPRISE D'ACCUEIL : ARTIWEB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1"/>
        </w:rPr>
        <w:t>Entreprise :</w:t>
      </w:r>
      <w:r>
        <w:rPr>
          <w:rFonts w:ascii="Calibri" w:hAnsi="Calibri"/>
          <w:color w:val="333333"/>
          <w:sz w:val="21"/>
        </w:rPr>
        <w:t xml:space="preserve"> ARTIWEB (ARTI web) | Site Web : https://artiweb.ma/ | Partenaire Google certifié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1"/>
        </w:rPr>
        <w:t>Localisation :</w:t>
      </w:r>
      <w:r>
        <w:rPr>
          <w:rFonts w:ascii="Calibri" w:hAnsi="Calibri"/>
          <w:color w:val="333333"/>
          <w:sz w:val="21"/>
        </w:rPr>
        <w:t xml:space="preserve"> Fès, Maroc | Contact : contact@artiweb.ma | (+212) 664-017447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1"/>
        </w:rPr>
        <w:t>Expertises :</w:t>
      </w:r>
      <w:r>
        <w:rPr>
          <w:rFonts w:ascii="Calibri" w:hAnsi="Calibri"/>
          <w:color w:val="333333"/>
          <w:sz w:val="21"/>
        </w:rPr>
        <w:t xml:space="preserve"> Marketing Digital, Développement Web/Mobile, SEO/SEM, Social Ads et Marketplace.</w:t>
      </w:r>
    </w:p>
    <w:p>
      <w:pPr>
        <w:spacing w:before="280" w:after="120"/>
      </w:pPr>
      <w:r>
        <w:rPr>
          <w:rFonts w:ascii="Calibri" w:hAnsi="Calibri"/>
          <w:b/>
          <w:color w:val="003366"/>
          <w:sz w:val="30"/>
        </w:rPr>
        <w:t>II. FICHE SYNTHÉTIQUE DU PROJET RECRUTIA</w:t>
      </w:r>
    </w:p>
    <w:p>
      <w:pPr>
        <w:spacing w:after="100" w:line="276" w:lineRule="auto"/>
      </w:pPr>
      <w:r>
        <w:rPr>
          <w:rFonts w:ascii="Calibri" w:hAnsi="Calibri"/>
          <w:color w:val="333333"/>
          <w:sz w:val="21"/>
        </w:rPr>
        <w:t>RecrutIA automatise le tri des candidatures RH via une architecture à 3 couches 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1"/>
        </w:rPr>
        <w:t>Couche 1 (Ingestion) :</w:t>
      </w:r>
      <w:r>
        <w:rPr>
          <w:rFonts w:ascii="Calibri" w:hAnsi="Calibri"/>
          <w:color w:val="333333"/>
          <w:sz w:val="21"/>
        </w:rPr>
        <w:t xml:space="preserve"> Extraction cascade (PDF/DOCX/OCR) et parsing NLP (21/21 tests validés).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1"/>
        </w:rPr>
        <w:t>Couche 2 (IA Agentique) :</w:t>
      </w:r>
      <w:r>
        <w:rPr>
          <w:rFonts w:ascii="Calibri" w:hAnsi="Calibri"/>
          <w:color w:val="333333"/>
          <w:sz w:val="21"/>
        </w:rPr>
        <w:t xml:space="preserve"> Scoring sémantique vectoriel et justification LLM anti-hallucination (7/7 tests validés).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1"/>
        </w:rPr>
        <w:t>Couche 3 (Backend REST) :</w:t>
      </w:r>
      <w:r>
        <w:rPr>
          <w:rFonts w:ascii="Calibri" w:hAnsi="Calibri"/>
          <w:color w:val="333333"/>
          <w:sz w:val="21"/>
        </w:rPr>
        <w:t xml:space="preserve"> API REST FastAPI, base de données PostgreSQL/SQLite et AuditLog (7/7 tests validés).</w:t>
      </w:r>
    </w:p>
    <w:p>
      <w:pPr>
        <w:spacing w:before="280" w:after="120"/>
      </w:pPr>
      <w:r>
        <w:rPr>
          <w:rFonts w:ascii="Calibri" w:hAnsi="Calibri"/>
          <w:b/>
          <w:color w:val="003366"/>
          <w:sz w:val="30"/>
        </w:rPr>
        <w:t>III. DÉTAILS DES TÂCHES RÉALISÉES ET VALIDÉES</w:t>
      </w:r>
    </w:p>
    <w:p>
      <w:pPr>
        <w:spacing w:before="200" w:after="80"/>
      </w:pPr>
      <w:r>
        <w:rPr>
          <w:rFonts w:ascii="Calibri" w:hAnsi="Calibri"/>
          <w:b/>
          <w:color w:val="0066CC"/>
          <w:sz w:val="24"/>
        </w:rPr>
        <w:t>3.1 Tâche 1 — Couche d'Ingestion (ingestion/)</w:t>
      </w:r>
    </w:p>
    <w:p>
      <w:pPr>
        <w:spacing w:after="100" w:line="276" w:lineRule="auto"/>
      </w:pPr>
      <w:r>
        <w:rPr>
          <w:rFonts w:ascii="Calibri" w:hAnsi="Calibri"/>
          <w:color w:val="333333"/>
          <w:sz w:val="21"/>
        </w:rPr>
        <w:t>Extraction cascade pdfplumber -&gt; PyMuPDF -&gt; OCR Tesseract à 300 DPI. Nettoyage Unicode NFC et détection NLP des compétences, durées d'expérience et diplômes.</w:t>
      </w:r>
    </w:p>
    <w:p>
      <w:pPr>
        <w:spacing w:before="200" w:after="80"/>
      </w:pPr>
      <w:r>
        <w:rPr>
          <w:rFonts w:ascii="Calibri" w:hAnsi="Calibri"/>
          <w:b/>
          <w:color w:val="0066CC"/>
          <w:sz w:val="24"/>
        </w:rPr>
        <w:t>3.2 Tâche 2 — Couche IA Agentique (ia_agentic/)</w:t>
      </w:r>
    </w:p>
    <w:p>
      <w:pPr>
        <w:spacing w:after="100" w:line="276" w:lineRule="auto"/>
      </w:pPr>
      <w:r>
        <w:rPr>
          <w:rFonts w:ascii="Calibri" w:hAnsi="Calibri"/>
          <w:color w:val="333333"/>
          <w:sz w:val="21"/>
        </w:rPr>
        <w:t>Filtrage dur automatique sur les critères obligatoires, vectorisation sentence-transformers (all-MiniLM-L6-v2) et justification LLM déterministe anti-hallucination.</w:t>
      </w:r>
    </w:p>
    <w:p>
      <w:pPr>
        <w:spacing w:before="200" w:after="80"/>
      </w:pPr>
      <w:r>
        <w:rPr>
          <w:rFonts w:ascii="Calibri" w:hAnsi="Calibri"/>
          <w:b/>
          <w:color w:val="0066CC"/>
          <w:sz w:val="24"/>
        </w:rPr>
        <w:t>3.3 Tâche 3 — Backend API REST &amp; Base de Données (backend/)</w:t>
      </w:r>
    </w:p>
    <w:p>
      <w:pPr>
        <w:spacing w:after="100" w:line="276" w:lineRule="auto"/>
      </w:pPr>
      <w:r>
        <w:rPr>
          <w:rFonts w:ascii="Calibri" w:hAnsi="Calibri"/>
          <w:color w:val="333333"/>
          <w:sz w:val="21"/>
        </w:rPr>
        <w:t>Serveur FastAPI autonome exposant l'interface Swagger UI sur http://127.0.0.1:8000/docs avec stockage des offres, candidats, candidatures et traçabilité d'audit.</w:t>
      </w:r>
    </w:p>
    <w:p>
      <w:pPr>
        <w:spacing w:before="280" w:after="120"/>
      </w:pPr>
      <w:r>
        <w:rPr>
          <w:rFonts w:ascii="Calibri" w:hAnsi="Calibri"/>
          <w:b/>
          <w:color w:val="003366"/>
          <w:sz w:val="30"/>
        </w:rPr>
        <w:t>IV. BILAN DES TESTS AUTOMATISÉS (35/35 TESTS PASSED)</w:t>
      </w:r>
    </w:p>
    <w:p>
      <w:pPr>
        <w:spacing w:before="80" w:after="120"/>
        <w:ind w:left="288"/>
      </w:pPr>
      <w:r>
        <w:rPr>
          <w:rFonts w:ascii="Consolas" w:hAnsi="Consolas"/>
          <w:color w:val="1E1E1E"/>
          <w:sz w:val="18"/>
        </w:rPr>
        <w:t>============================= test session starts =============================</w:t>
        <w:br/>
        <w:t>collected 35 items</w:t>
        <w:br/>
        <w:br/>
        <w:t>tests/test_ingestion.py :: 21 PASSED  (Tâche 1 - Ingestion &amp; Parsing)</w:t>
        <w:br/>
        <w:t>tests/test_ia_agentic.py ::  7 PASSED  (Tâche 2 - Scoring IA &amp; Justification)</w:t>
        <w:br/>
        <w:t>tests/test_backend.py   ::  7 PASSED  (Tâche 3 - API REST FastAPI &amp; DB)</w:t>
        <w:br/>
        <w:br/>
        <w:t>======================= 35 passed in 3.69s (100% Succès) ======================</w:t>
      </w:r>
    </w:p>
    <w:p>
      <w:pPr>
        <w:spacing w:before="280" w:after="120"/>
      </w:pPr>
      <w:r>
        <w:rPr>
          <w:rFonts w:ascii="Calibri" w:hAnsi="Calibri"/>
          <w:b/>
          <w:color w:val="003366"/>
          <w:sz w:val="30"/>
        </w:rPr>
        <w:t>V. CONCLUSION ET PERSPECTIVES</w:t>
      </w:r>
    </w:p>
    <w:p>
      <w:pPr>
        <w:spacing w:after="100" w:line="276" w:lineRule="auto"/>
      </w:pPr>
      <w:r>
        <w:rPr>
          <w:rFonts w:ascii="Calibri" w:hAnsi="Calibri"/>
          <w:color w:val="333333"/>
          <w:sz w:val="21"/>
        </w:rPr>
        <w:t>Les Tâches 1, 2 et 3 sont entièrement achevées et validées. Le système est prêt pour le développement du Dashboard RH (Tâche 4).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