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Times New Roman" w:hAnsi="Times New Roman"/>
          <w:b/>
          <w:color w:val="003366"/>
          <w:sz w:val="48"/>
        </w:rPr>
        <w:t>RAPPORT DE STAGE DE FIN D'ÉTUDES</w:t>
      </w:r>
    </w:p>
    <w:p>
      <w:pPr>
        <w:spacing w:after="720"/>
        <w:jc w:val="center"/>
      </w:pPr>
      <w:r>
        <w:rPr>
          <w:rFonts w:ascii="Times New Roman" w:hAnsi="Times New Roman"/>
          <w:i/>
          <w:color w:val="0066CC"/>
          <w:sz w:val="28"/>
        </w:rPr>
        <w:t>Développement de RecrutIA : Système Intelligent d'Automatisation et de Scoring du Recrutement basé sur l'IA Agentique</w:t>
        <w:br/>
        <w:t>Organisme d'Accueil : ArtiWeb, Fès</w:t>
      </w:r>
    </w:p>
    <w:p>
      <w:pPr>
        <w:spacing w:before="1440"/>
        <w:jc w:val="left"/>
      </w:pPr>
    </w:p>
    <w:p>
      <w:pPr>
        <w:spacing w:after="80"/>
      </w:pPr>
      <w:r>
        <w:rPr>
          <w:rFonts w:ascii="Times New Roman" w:hAnsi="Times New Roman"/>
          <w:b/>
          <w:color w:val="003366"/>
          <w:sz w:val="22"/>
        </w:rPr>
        <w:t xml:space="preserve">Réalisé par :                 </w:t>
      </w:r>
      <w:r>
        <w:rPr>
          <w:rFonts w:ascii="Times New Roman" w:hAnsi="Times New Roman"/>
          <w:color w:val="333333"/>
          <w:sz w:val="22"/>
        </w:rPr>
        <w:t>Fatima Ezahrae Mekki</w:t>
      </w:r>
    </w:p>
    <w:p>
      <w:pPr>
        <w:spacing w:after="80"/>
      </w:pPr>
      <w:r>
        <w:rPr>
          <w:rFonts w:ascii="Times New Roman" w:hAnsi="Times New Roman"/>
          <w:b/>
          <w:color w:val="003366"/>
          <w:sz w:val="22"/>
        </w:rPr>
        <w:t xml:space="preserve">Filière :                     </w:t>
      </w:r>
      <w:r>
        <w:rPr>
          <w:rFonts w:ascii="Times New Roman" w:hAnsi="Times New Roman"/>
          <w:color w:val="333333"/>
          <w:sz w:val="22"/>
        </w:rPr>
        <w:t>Génie Informatique &amp; Génie Logiciel</w:t>
      </w:r>
    </w:p>
    <w:p>
      <w:pPr>
        <w:spacing w:after="80"/>
      </w:pPr>
      <w:r>
        <w:rPr>
          <w:rFonts w:ascii="Times New Roman" w:hAnsi="Times New Roman"/>
          <w:b/>
          <w:color w:val="003366"/>
          <w:sz w:val="22"/>
        </w:rPr>
        <w:t xml:space="preserve">Encadrant académique :        </w:t>
      </w:r>
      <w:r>
        <w:rPr>
          <w:rFonts w:ascii="Times New Roman" w:hAnsi="Times New Roman"/>
          <w:color w:val="333333"/>
          <w:sz w:val="22"/>
        </w:rPr>
        <w:t>Mme Nisrine El Bahri</w:t>
      </w:r>
    </w:p>
    <w:p>
      <w:pPr>
        <w:spacing w:after="80"/>
      </w:pPr>
      <w:r>
        <w:rPr>
          <w:rFonts w:ascii="Times New Roman" w:hAnsi="Times New Roman"/>
          <w:b/>
          <w:color w:val="003366"/>
          <w:sz w:val="22"/>
        </w:rPr>
        <w:t xml:space="preserve">Encadrant professionnel :     </w:t>
      </w:r>
      <w:r>
        <w:rPr>
          <w:rFonts w:ascii="Times New Roman" w:hAnsi="Times New Roman"/>
          <w:color w:val="333333"/>
          <w:sz w:val="22"/>
        </w:rPr>
        <w:t>Monsieur Mohamed El Yousfi (ArtiWeb)</w:t>
      </w:r>
    </w:p>
    <w:p>
      <w:pPr>
        <w:spacing w:after="80"/>
      </w:pPr>
      <w:r>
        <w:rPr>
          <w:rFonts w:ascii="Times New Roman" w:hAnsi="Times New Roman"/>
          <w:b/>
          <w:color w:val="003366"/>
          <w:sz w:val="22"/>
        </w:rPr>
        <w:t xml:space="preserve">Année Universitaire :         </w:t>
      </w:r>
      <w:r>
        <w:rPr>
          <w:rFonts w:ascii="Times New Roman" w:hAnsi="Times New Roman"/>
          <w:color w:val="333333"/>
          <w:sz w:val="22"/>
        </w:rPr>
        <w:t>2025 – 2026</w:t>
      </w:r>
    </w:p>
    <w:p>
      <w:r>
        <w:br w:type="page"/>
      </w:r>
    </w:p>
    <w:p>
      <w:pPr>
        <w:keepNext/>
        <w:spacing w:before="480" w:after="240"/>
      </w:pPr>
      <w:r>
        <w:rPr>
          <w:rFonts w:ascii="Times New Roman" w:hAnsi="Times New Roman"/>
          <w:b/>
          <w:color w:val="003366"/>
          <w:sz w:val="36"/>
        </w:rPr>
        <w:t>DÉDICACES</w:t>
      </w:r>
    </w:p>
    <w:p>
      <w:pPr>
        <w:spacing w:after="160" w:line="276" w:lineRule="auto"/>
        <w:jc w:val="both"/>
      </w:pPr>
      <w:r>
        <w:rPr>
          <w:rFonts w:ascii="Times New Roman" w:hAnsi="Times New Roman"/>
          <w:i/>
          <w:color w:val="333333"/>
          <w:sz w:val="22"/>
        </w:rPr>
        <w:t>À ma famille bien-aimée,</w:t>
        <w:br/>
        <w:t>Pour votre amour inconditionnel, vos encouragements constants et votre soutien indéfectible tout au long de mon parcours académique et professionnel. Vous avez été ma plus grande source de motivation et de persévérance. Ce travail est le fruit de vos sacrifices et de votre confiance infinie en mes capacités.</w:t>
      </w:r>
    </w:p>
    <w:p>
      <w:pPr>
        <w:spacing w:after="160" w:line="276" w:lineRule="auto"/>
        <w:jc w:val="both"/>
      </w:pPr>
      <w:r>
        <w:rPr>
          <w:rFonts w:ascii="Times New Roman" w:hAnsi="Times New Roman"/>
          <w:i/>
          <w:color w:val="333333"/>
          <w:sz w:val="22"/>
        </w:rPr>
        <w:t>À mes enseignants,</w:t>
        <w:br/>
        <w:t>Pour la transmission de votre savoir, votre rigueur intellectuelle et votre accompagnement de qualité qui ont façonné mon profil d'ingénieur.</w:t>
      </w:r>
    </w:p>
    <w:p>
      <w:pPr>
        <w:spacing w:after="160" w:line="276" w:lineRule="auto"/>
        <w:jc w:val="both"/>
      </w:pPr>
      <w:r>
        <w:rPr>
          <w:rFonts w:ascii="Times New Roman" w:hAnsi="Times New Roman"/>
          <w:i/>
          <w:color w:val="333333"/>
          <w:sz w:val="22"/>
        </w:rPr>
        <w:t>À mes chers amis,</w:t>
        <w:br/>
        <w:t>Pour votre présence, votre solidarité et les moments d'entraide partagés tout au long de nos années d'études.</w:t>
      </w:r>
    </w:p>
    <w:p>
      <w:r>
        <w:br w:type="page"/>
      </w:r>
    </w:p>
    <w:p>
      <w:pPr>
        <w:keepNext/>
        <w:spacing w:before="480" w:after="240"/>
      </w:pPr>
      <w:r>
        <w:rPr>
          <w:rFonts w:ascii="Times New Roman" w:hAnsi="Times New Roman"/>
          <w:b/>
          <w:color w:val="003366"/>
          <w:sz w:val="36"/>
        </w:rPr>
        <w:t>REMERCIEMENTS</w:t>
      </w:r>
    </w:p>
    <w:p>
      <w:pPr>
        <w:spacing w:after="160" w:line="276" w:lineRule="auto"/>
        <w:jc w:val="both"/>
      </w:pPr>
      <w:r>
        <w:rPr>
          <w:rFonts w:ascii="Times New Roman" w:hAnsi="Times New Roman"/>
          <w:i w:val="0"/>
          <w:color w:val="333333"/>
          <w:sz w:val="22"/>
        </w:rPr>
        <w:t>Je tiens tout d'abord à exprimer ma profonde gratitude à l'ensemble du corps professoral pour la qualité de leur enseignement, leur soutien bienveillant et leur disponibilité constante.</w:t>
      </w:r>
    </w:p>
    <w:p>
      <w:pPr>
        <w:spacing w:after="160" w:line="276" w:lineRule="auto"/>
        <w:jc w:val="both"/>
      </w:pPr>
      <w:r>
        <w:rPr>
          <w:rFonts w:ascii="Times New Roman" w:hAnsi="Times New Roman"/>
          <w:i w:val="0"/>
          <w:color w:val="333333"/>
          <w:sz w:val="22"/>
        </w:rPr>
        <w:t>Mes sincères remerciements s'adressent à Mme Nisrine El Bahri, mon encadrante académique, pour ses conseils précieux, ses orientations méthodologiques et le temps qu'elle a consacré au suivi de ce projet de fin d'études.</w:t>
      </w:r>
    </w:p>
    <w:p>
      <w:pPr>
        <w:spacing w:after="160" w:line="276" w:lineRule="auto"/>
        <w:jc w:val="both"/>
      </w:pPr>
      <w:r>
        <w:rPr>
          <w:rFonts w:ascii="Times New Roman" w:hAnsi="Times New Roman"/>
          <w:i w:val="0"/>
          <w:color w:val="333333"/>
          <w:sz w:val="22"/>
        </w:rPr>
        <w:t>Je tiens également à remercier Monsieur Mohamed El Yousfi et toute l'équipe technique d'ArtiWeb Fès, pour leur accueil chaleureux, leur encadrement de qualité et leur soutien tout au long de la conception et du développement de la plateforme RecrutIA. Les échanges enrichissants au sein de l'agence m'ont permis d'acquérir une solide expérience du monde professionnel.</w:t>
      </w:r>
    </w:p>
    <w:p>
      <w:pPr>
        <w:spacing w:after="160" w:line="276" w:lineRule="auto"/>
        <w:jc w:val="both"/>
      </w:pPr>
      <w:r>
        <w:rPr>
          <w:rFonts w:ascii="Times New Roman" w:hAnsi="Times New Roman"/>
          <w:i w:val="0"/>
          <w:color w:val="333333"/>
          <w:sz w:val="22"/>
        </w:rPr>
        <w:t>Enfin, je remercie chaleureusement les membres du jury d'avoir accepté d'évaluer ce travail de fin d'études.</w:t>
      </w:r>
    </w:p>
    <w:p>
      <w:r>
        <w:br w:type="page"/>
      </w:r>
    </w:p>
    <w:p>
      <w:pPr>
        <w:keepNext/>
        <w:spacing w:before="480" w:after="240"/>
      </w:pPr>
      <w:r>
        <w:rPr>
          <w:rFonts w:ascii="Times New Roman" w:hAnsi="Times New Roman"/>
          <w:b/>
          <w:color w:val="003366"/>
          <w:sz w:val="36"/>
        </w:rPr>
        <w:t>ABSTRACT</w:t>
      </w:r>
    </w:p>
    <w:p>
      <w:pPr>
        <w:spacing w:after="160" w:line="276" w:lineRule="auto"/>
        <w:jc w:val="both"/>
      </w:pPr>
      <w:r>
        <w:rPr>
          <w:rFonts w:ascii="Times New Roman" w:hAnsi="Times New Roman"/>
          <w:i w:val="0"/>
          <w:color w:val="333333"/>
          <w:sz w:val="22"/>
        </w:rPr>
        <w:t>This report documents the design and implementation of RecrutIA, an agentic AI-driven recruitment automation and candidate scoring platform, developed during a graduation internship at ArtiWeb, a digital agency located in Fès, Morocco. The primary challenge addressed by this project is the massive volume of job applications that HR departments must process manually, which is highly time-consuming, prone to human cognitive bias, and lacks strict traceability. RecrutIA offers an end-to-end intelligent pipeline divided into three distinct modules: (1) Ingestion Layer: extracts structured text data from PDF and DOCX CVs using pdfplumber, PyMuPDF, python-docx, and Tesseract OCR. (2) Agentic AI Layer: filters profiles on hard requirements and scores them using semantic sentence embeddings (all-MiniLM-L6-v2) coupled with Gemini AI-based decision justifications. (3) Backend &amp; Presentation Layer: exposes protected REST API endpoints using FastAPI and JWT, coupled with SQLite, and displays analytics through a modern HTML/CSS/JS dashboard that handles candidate management, interview scheduling, and automatic email convocations.</w:t>
      </w:r>
    </w:p>
    <w:p>
      <w:pPr>
        <w:spacing w:after="160" w:line="276" w:lineRule="auto"/>
        <w:jc w:val="both"/>
      </w:pPr>
      <w:r>
        <w:rPr>
          <w:rFonts w:ascii="Times New Roman" w:hAnsi="Times New Roman"/>
          <w:i/>
          <w:color w:val="333333"/>
          <w:sz w:val="22"/>
        </w:rPr>
        <w:t>Keywords: Artificial Intelligence, Natural Language Processing, Sentence Embeddings, Agentic AI, FastAPI, Recruitment Automation, Human Resources.</w:t>
      </w:r>
    </w:p>
    <w:p>
      <w:r>
        <w:br w:type="page"/>
      </w:r>
    </w:p>
    <w:p>
      <w:pPr>
        <w:keepNext/>
        <w:spacing w:before="480" w:after="240"/>
      </w:pPr>
      <w:r>
        <w:rPr>
          <w:rFonts w:ascii="Times New Roman" w:hAnsi="Times New Roman"/>
          <w:b/>
          <w:color w:val="003366"/>
          <w:sz w:val="36"/>
        </w:rPr>
        <w:t>RÉSUMÉ</w:t>
      </w:r>
    </w:p>
    <w:p>
      <w:pPr>
        <w:spacing w:after="160" w:line="276" w:lineRule="auto"/>
        <w:jc w:val="both"/>
      </w:pPr>
      <w:r>
        <w:rPr>
          <w:rFonts w:ascii="Times New Roman" w:hAnsi="Times New Roman"/>
          <w:i w:val="0"/>
          <w:color w:val="333333"/>
          <w:sz w:val="22"/>
        </w:rPr>
        <w:t>Ce rapport présente la conception et la réalisation de RecrutIA, une plateforme d'automatisation du recrutement et de scoring de candidats basée sur l'IA agentique, développée lors d'un stage de fin d'études au sein de l'agence digitale ArtiWeb à Fès, Maroc. Le projet répond aux difficultés rencontrées par les départements RH face à l'afflux massif de candidatures, un processus manuel qui s'avère chronophage, sujet aux biais subjectifs et difficilement traçable. RecrutIA propose un pipeline intelligent structuré en trois niveaux : (1) Ingestion : extraction automatique des données structurées des CVs (.pdf et .docx) via pdfplumber, python-docx et OCR Tesseract. (2) IA Agentique : filtrage automatique sur critères éliminatoires et calcul d'un score d'adéquation sémantique (Sentence-Transformers) complété par une justification générée par l'IA Gemini. (3) Backend &amp; Présentation : API REST FastAPI sécurisée par JWT sous SQLite, reliée à un dashboard RH dynamique facilitant la sélection, le suivi des candidatures, le calendrier des entretiens et l'envoi automatisé de convocations par email.</w:t>
      </w:r>
    </w:p>
    <w:p>
      <w:pPr>
        <w:spacing w:after="160" w:line="276" w:lineRule="auto"/>
        <w:jc w:val="both"/>
      </w:pPr>
      <w:r>
        <w:rPr>
          <w:rFonts w:ascii="Times New Roman" w:hAnsi="Times New Roman"/>
          <w:i/>
          <w:color w:val="333333"/>
          <w:sz w:val="22"/>
        </w:rPr>
        <w:t>Mots-clés : Intelligence Artificielle, Traitement du Langage Naturel, Embeddings Sémantiques, IA Agentique, FastAPI, Automatisation RH, Ressources Humaines.</w:t>
      </w:r>
    </w:p>
    <w:p>
      <w:r>
        <w:br w:type="page"/>
      </w:r>
    </w:p>
    <w:p>
      <w:pPr>
        <w:keepNext/>
        <w:spacing w:before="480" w:after="240"/>
      </w:pPr>
      <w:r>
        <w:rPr>
          <w:rFonts w:ascii="Times New Roman" w:hAnsi="Times New Roman"/>
          <w:b/>
          <w:color w:val="003366"/>
          <w:sz w:val="36"/>
        </w:rPr>
        <w:t>INTRODUCTION GÉNÉRALE</w:t>
      </w:r>
    </w:p>
    <w:p>
      <w:pPr>
        <w:spacing w:after="160" w:line="276" w:lineRule="auto"/>
        <w:jc w:val="both"/>
      </w:pPr>
      <w:r>
        <w:rPr>
          <w:rFonts w:ascii="Times New Roman" w:hAnsi="Times New Roman"/>
          <w:i w:val="0"/>
          <w:color w:val="333333"/>
          <w:sz w:val="22"/>
        </w:rPr>
        <w:t>L'intégration progressive des technologies de l'intelligence artificielle au sein des entreprises a profondément transformé la gestion des processus métiers. Parmi ces secteurs, la gestion des ressources humaines (RH), et plus particulièrement la sélection des candidats, fait face à des défis majeurs liés à l'accélération digitale et à la quantité d'informations à traiter. Les recruteurs reçoivent quotidiennement un volume important de curriculums vitae (CV) pour chaque offre d'emploi publiée, ce qui rend le tri manuel extrêmement lourd, répétitif et sujet aux biais cognitifs.</w:t>
      </w:r>
    </w:p>
    <w:p>
      <w:pPr>
        <w:spacing w:after="160" w:line="276" w:lineRule="auto"/>
        <w:jc w:val="both"/>
      </w:pPr>
      <w:r>
        <w:rPr>
          <w:rFonts w:ascii="Times New Roman" w:hAnsi="Times New Roman"/>
          <w:i w:val="0"/>
          <w:color w:val="333333"/>
          <w:sz w:val="22"/>
        </w:rPr>
        <w:t>Le projet de fin d'études présenté dans ce rapport s'inscrit dans cette dynamique. Il a été réalisé au sein d'ArtiWeb, agence digitale basée à Fès et partenaire certifié Google. L'objectif principal était de développer RecrutIA, un agent intelligent d'ingestion et de scoring automatisé de candidatures, capable d'assister les recruteurs en analysant et en notant de manière objective et transparente les dossiers reçus.</w:t>
      </w:r>
    </w:p>
    <w:p>
      <w:pPr>
        <w:spacing w:after="160" w:line="276" w:lineRule="auto"/>
        <w:jc w:val="both"/>
      </w:pPr>
      <w:r>
        <w:rPr>
          <w:rFonts w:ascii="Times New Roman" w:hAnsi="Times New Roman"/>
          <w:i w:val="0"/>
          <w:color w:val="333333"/>
          <w:sz w:val="22"/>
        </w:rPr>
        <w:t>Ce rapport est organisé comme suit :</w:t>
      </w:r>
    </w:p>
    <w:p>
      <w:pPr>
        <w:pStyle w:val="ListBullet"/>
        <w:spacing w:after="80" w:line="276" w:lineRule="auto"/>
      </w:pPr>
      <w:r>
        <w:rPr>
          <w:rFonts w:ascii="Times New Roman" w:hAnsi="Times New Roman"/>
          <w:b/>
          <w:color w:val="333333"/>
          <w:sz w:val="22"/>
        </w:rPr>
        <w:t>• Contexte et Cahier des charges :</w:t>
      </w:r>
      <w:r>
        <w:rPr>
          <w:rFonts w:ascii="Times New Roman" w:hAnsi="Times New Roman"/>
          <w:color w:val="333333"/>
          <w:sz w:val="22"/>
        </w:rPr>
        <w:t>Le Chapitre 1 présente le contexte général du stage, la présentation de l'organisme d'accueil ArtiWeb, la problématique du recrutement manuel, la solution proposée, le planning prévisionnel (diagramme de Gantt) ainsi que le cahier des charges.</w:t>
      </w:r>
    </w:p>
    <w:p>
      <w:pPr>
        <w:pStyle w:val="ListBullet"/>
        <w:spacing w:after="80" w:line="276" w:lineRule="auto"/>
      </w:pPr>
      <w:r>
        <w:rPr>
          <w:rFonts w:ascii="Times New Roman" w:hAnsi="Times New Roman"/>
          <w:b/>
          <w:color w:val="333333"/>
          <w:sz w:val="22"/>
        </w:rPr>
        <w:t>• Conception &amp; Choix techniques :</w:t>
      </w:r>
      <w:r>
        <w:rPr>
          <w:rFonts w:ascii="Times New Roman" w:hAnsi="Times New Roman"/>
          <w:color w:val="333333"/>
          <w:sz w:val="22"/>
        </w:rPr>
        <w:t>Le Chapitre 2 expose la conception technique avec les modélisations UML (cas d'utilisation, séquences et classes) et justifie le choix des technologies retenues.</w:t>
      </w:r>
    </w:p>
    <w:p>
      <w:pPr>
        <w:pStyle w:val="ListBullet"/>
        <w:spacing w:after="80" w:line="276" w:lineRule="auto"/>
      </w:pPr>
      <w:r>
        <w:rPr>
          <w:rFonts w:ascii="Times New Roman" w:hAnsi="Times New Roman"/>
          <w:b/>
          <w:color w:val="333333"/>
          <w:sz w:val="22"/>
        </w:rPr>
        <w:t>• Réalisation &amp; Validation :</w:t>
      </w:r>
      <w:r>
        <w:rPr>
          <w:rFonts w:ascii="Times New Roman" w:hAnsi="Times New Roman"/>
          <w:color w:val="333333"/>
          <w:sz w:val="22"/>
        </w:rPr>
        <w:t>Le Chapitre 3 présente la réalisation concrète avec l'architecture en couches, les interfaces utilisateur développées (Portail Candidat et Dashboard RH), les modules d'ingestion et de scoring IA, les tests et validations automatisés effectués.</w:t>
      </w:r>
    </w:p>
    <w:p>
      <w:r>
        <w:br w:type="page"/>
      </w:r>
    </w:p>
    <w:p>
      <w:pPr>
        <w:keepNext/>
        <w:spacing w:before="480" w:after="240"/>
      </w:pPr>
      <w:r>
        <w:rPr>
          <w:rFonts w:ascii="Times New Roman" w:hAnsi="Times New Roman"/>
          <w:b/>
          <w:color w:val="003366"/>
          <w:sz w:val="36"/>
        </w:rPr>
        <w:t>CHAPITRE 1 : CONTEXTE GÉNÉRAL DU PROJET</w:t>
      </w:r>
    </w:p>
    <w:p>
      <w:pPr>
        <w:spacing w:after="160" w:line="276" w:lineRule="auto"/>
        <w:jc w:val="both"/>
      </w:pPr>
      <w:r>
        <w:rPr>
          <w:rFonts w:ascii="Times New Roman" w:hAnsi="Times New Roman"/>
          <w:i w:val="0"/>
          <w:color w:val="333333"/>
          <w:sz w:val="22"/>
        </w:rPr>
        <w:t>Ce chapitre définit le cadre de l'étude. Il présente l'organisme d'accueil ArtiWeb, effectue un diagnostic du processus de recrutement existant afin d'en faire émerger la problématique, décrit l'approche solution retenue et dresse le cahier des charges fonctionnel du projet.</w:t>
      </w:r>
    </w:p>
    <w:p>
      <w:pPr>
        <w:keepNext/>
        <w:spacing w:before="360" w:after="160"/>
      </w:pPr>
      <w:r>
        <w:rPr>
          <w:rFonts w:ascii="Times New Roman" w:hAnsi="Times New Roman"/>
          <w:b/>
          <w:color w:val="0066CC"/>
          <w:sz w:val="28"/>
        </w:rPr>
        <w:t>1.1 Présentation de l'Organisme d'Accueil</w:t>
      </w:r>
    </w:p>
    <w:p>
      <w:pPr>
        <w:spacing w:after="160" w:line="276" w:lineRule="auto"/>
        <w:jc w:val="both"/>
      </w:pPr>
      <w:r>
        <w:rPr>
          <w:rFonts w:ascii="Times New Roman" w:hAnsi="Times New Roman"/>
          <w:i w:val="0"/>
          <w:color w:val="333333"/>
          <w:sz w:val="22"/>
        </w:rPr>
        <w:t>ArtiWeb est une agence digitale majeure basée à Fès, au Maroc. Fondée en tant que structure innovante de services numériques, elle s'est imposée comme un acteur de référence dans le conseil, la transformation digitale, le marketing en ligne et le développement de logiciels métiers. Partenaire Google certifié (Google Partner), ArtiWeb accompagne ses clients dans leur visibilité numérique, le développement d'applications web et mobiles sur-mesure et l'intégration de solutions logicielles d'intelligence artificielle.</w:t>
      </w:r>
    </w:p>
    <w:p>
      <w:pPr>
        <w:spacing w:after="160" w:line="276" w:lineRule="auto"/>
        <w:jc w:val="both"/>
      </w:pPr>
      <w:r>
        <w:rPr>
          <w:rFonts w:ascii="Times New Roman" w:hAnsi="Times New Roman"/>
          <w:i w:val="0"/>
          <w:color w:val="333333"/>
          <w:sz w:val="22"/>
        </w:rPr>
        <w:t>L'agence est structurée en plusieurs pôles d'activités :</w:t>
      </w:r>
    </w:p>
    <w:p>
      <w:pPr>
        <w:pStyle w:val="ListBullet"/>
        <w:spacing w:after="80" w:line="276" w:lineRule="auto"/>
      </w:pPr>
      <w:r>
        <w:rPr>
          <w:rFonts w:ascii="Times New Roman" w:hAnsi="Times New Roman"/>
          <w:b/>
          <w:color w:val="333333"/>
          <w:sz w:val="22"/>
        </w:rPr>
        <w:t>• Pôle Développement Web &amp; Logiciel :</w:t>
      </w:r>
      <w:r>
        <w:rPr>
          <w:rFonts w:ascii="Times New Roman" w:hAnsi="Times New Roman"/>
          <w:color w:val="333333"/>
          <w:sz w:val="22"/>
        </w:rPr>
        <w:t>création de sites web d'entreprise, applications e-commerce complexes et portails cloud.</w:t>
      </w:r>
    </w:p>
    <w:p>
      <w:pPr>
        <w:pStyle w:val="ListBullet"/>
        <w:spacing w:after="80" w:line="276" w:lineRule="auto"/>
      </w:pPr>
      <w:r>
        <w:rPr>
          <w:rFonts w:ascii="Times New Roman" w:hAnsi="Times New Roman"/>
          <w:b/>
          <w:color w:val="333333"/>
          <w:sz w:val="22"/>
        </w:rPr>
        <w:t>• Pôle Applications Mobiles :</w:t>
      </w:r>
      <w:r>
        <w:rPr>
          <w:rFonts w:ascii="Times New Roman" w:hAnsi="Times New Roman"/>
          <w:color w:val="333333"/>
          <w:sz w:val="22"/>
        </w:rPr>
        <w:t>conception d'applications Android, iOS et multiplateformes (Flutter).</w:t>
      </w:r>
    </w:p>
    <w:p>
      <w:pPr>
        <w:pStyle w:val="ListBullet"/>
        <w:spacing w:after="80" w:line="276" w:lineRule="auto"/>
      </w:pPr>
      <w:r>
        <w:rPr>
          <w:rFonts w:ascii="Times New Roman" w:hAnsi="Times New Roman"/>
          <w:b/>
          <w:color w:val="333333"/>
          <w:sz w:val="22"/>
        </w:rPr>
        <w:t>• Pôle Marketing Digital &amp; Référencement :</w:t>
      </w:r>
      <w:r>
        <w:rPr>
          <w:rFonts w:ascii="Times New Roman" w:hAnsi="Times New Roman"/>
          <w:color w:val="333333"/>
          <w:sz w:val="22"/>
        </w:rPr>
        <w:t>optimisation pour les moteurs de recherche (SEO), gestion de campagnes Google Ads et community management.</w:t>
      </w:r>
    </w:p>
    <w:p>
      <w:pPr>
        <w:pStyle w:val="ListBullet"/>
        <w:spacing w:after="80" w:line="276" w:lineRule="auto"/>
      </w:pPr>
      <w:r>
        <w:rPr>
          <w:rFonts w:ascii="Times New Roman" w:hAnsi="Times New Roman"/>
          <w:b/>
          <w:color w:val="333333"/>
          <w:sz w:val="22"/>
        </w:rPr>
        <w:t>• Pôle Design graphique :</w:t>
      </w:r>
      <w:r>
        <w:rPr>
          <w:rFonts w:ascii="Times New Roman" w:hAnsi="Times New Roman"/>
          <w:color w:val="333333"/>
          <w:sz w:val="22"/>
        </w:rPr>
        <w:t>design UI/UX d'interfaces interactives modernes et prototypage Figma.</w:t>
      </w:r>
    </w:p>
    <w:p>
      <w:pPr>
        <w:keepNext/>
        <w:spacing w:before="240" w:after="120"/>
      </w:pPr>
      <w:r>
        <w:rPr>
          <w:rFonts w:ascii="Times New Roman" w:hAnsi="Times New Roman"/>
          <w:b/>
          <w:color w:val="003366"/>
          <w:sz w:val="24"/>
        </w:rPr>
        <w:t>Organigramme d'ArtiWeb Fès</w:t>
      </w:r>
    </w:p>
    <w:p>
      <w:pPr>
        <w:spacing w:after="160" w:line="276" w:lineRule="auto"/>
        <w:jc w:val="both"/>
      </w:pPr>
      <w:r>
        <w:rPr>
          <w:rFonts w:ascii="Times New Roman" w:hAnsi="Times New Roman"/>
          <w:i w:val="0"/>
          <w:color w:val="333333"/>
          <w:sz w:val="22"/>
        </w:rPr>
        <w:t>La structure organisationnelle d'ArtiWeb se caractérise par une flexibilité agile favorisant les synergies techniques :</w:t>
      </w:r>
    </w:p>
    <w:p>
      <w:pPr>
        <w:spacing w:before="120" w:after="120"/>
        <w:ind w:left="360"/>
      </w:pPr>
      <w:r>
        <w:rPr>
          <w:rFonts w:ascii="Consolas" w:hAnsi="Consolas"/>
          <w:color w:val="1E1E1E"/>
          <w:sz w:val="19"/>
        </w:rPr>
        <w:br/>
        <w:t xml:space="preserve">                        ┌────────────────────────┐</w:t>
        <w:br/>
        <w:t xml:space="preserve">                        │   Direction Générale   │</w:t>
        <w:br/>
        <w:t xml:space="preserve">                        └──────────┬─────────────┘</w:t>
        <w:br/>
        <w:t xml:space="preserve">                                   │</w:t>
        <w:br/>
        <w:t xml:space="preserve">         ┌─────────────────────────┼─────────────────────────┐</w:t>
        <w:br/>
        <w:t xml:space="preserve">         │                         │                         │</w:t>
        <w:br/>
        <w:t>┌────────▼────────┐       ┌────────▼────────┐       ┌────────▼────────┐</w:t>
        <w:br/>
        <w:t>│ Pôle Technique  │       │ Pôle Design     │       │ Pôle Commercial │</w:t>
        <w:br/>
        <w:t>│ &amp; Développement │       │   &amp; UX/UI       │       │  &amp; Marketing    │</w:t>
        <w:br/>
        <w:t>└────────┬────────┘       └─────────────────┘       └─────────────────┘</w:t>
        <w:br/>
        <w:t xml:space="preserve">         │</w:t>
        <w:br/>
        <w:t>┌────────┴─────────────────────────┐</w:t>
        <w:br/>
        <w:t>│                                  │</w:t>
        <w:br/>
        <w:t>┌──▼─────────────────┐   ┌─────────▼──────────┐</w:t>
        <w:br/>
        <w:t>│  Équipe Backend    │   │  Équipe Frontend   │</w:t>
        <w:br/>
        <w:t>│  Python / IA       │   │  React / Flutter   │</w:t>
        <w:br/>
        <w:t>└────────────────────┘   └────────────────────┘</w:t>
        <w:br/>
      </w:r>
    </w:p>
    <w:p>
      <w:pPr>
        <w:spacing w:after="160" w:line="276" w:lineRule="auto"/>
        <w:jc w:val="both"/>
      </w:pPr>
      <w:r>
        <w:rPr>
          <w:rFonts w:ascii="Times New Roman" w:hAnsi="Times New Roman"/>
          <w:i/>
          <w:color w:val="333333"/>
          <w:sz w:val="22"/>
        </w:rPr>
        <w:t>Figure 1.1 — Structure hiérarchique simplifiée d'ArtiWeb</w:t>
      </w:r>
    </w:p>
    <w:p>
      <w:pPr>
        <w:keepNext/>
        <w:spacing w:before="360" w:after="160"/>
      </w:pPr>
      <w:r>
        <w:rPr>
          <w:rFonts w:ascii="Times New Roman" w:hAnsi="Times New Roman"/>
          <w:b/>
          <w:color w:val="0066CC"/>
          <w:sz w:val="28"/>
        </w:rPr>
        <w:t>1.2 Étude de l'Existant et Limites</w:t>
      </w:r>
    </w:p>
    <w:p>
      <w:pPr>
        <w:spacing w:after="160" w:line="276" w:lineRule="auto"/>
        <w:jc w:val="both"/>
      </w:pPr>
      <w:r>
        <w:rPr>
          <w:rFonts w:ascii="Times New Roman" w:hAnsi="Times New Roman"/>
          <w:i w:val="0"/>
          <w:color w:val="333333"/>
          <w:sz w:val="22"/>
        </w:rPr>
        <w:t>Avant l'implémentation de la plateforme RecrutIA, le processus de recrutement d'ArtiWeb et de ses clients reposait sur une gestion traditionnelle des candidatures. Les offres d'emploi étaient publiées manuellement sur différents canaux de communication, et les CVs reçus par email étaient triés individuellement par l'équipe administrative.</w:t>
      </w:r>
    </w:p>
    <w:tbl>
      <w:tblPr>
        <w:tblW w:type="auto" w:w="0"/>
        <w:jc w:val="center"/>
        <w:tblLook w:firstColumn="1" w:firstRow="1" w:lastColumn="0" w:lastRow="0" w:noHBand="0" w:noVBand="1" w:val="04A0"/>
      </w:tblPr>
      <w:tblGrid>
        <w:gridCol w:w="4680"/>
        <w:gridCol w:w="4680"/>
      </w:tblGrid>
      <w:tr>
        <w:tc>
          <w:tcPr>
            <w:tcW w:type="dxa" w:w="4680"/>
            <w:shd w:fill="003366"/>
          </w:tcPr>
          <w:p>
            <w:r>
              <w:rPr>
                <w:b/>
                <w:color w:val="FFFFFF"/>
              </w:rPr>
              <w:t>Étape du Recrutement Existant</w:t>
            </w:r>
          </w:p>
        </w:tc>
        <w:tc>
          <w:tcPr>
            <w:tcW w:type="dxa" w:w="4680"/>
            <w:shd w:fill="003366"/>
          </w:tcPr>
          <w:p>
            <w:r>
              <w:rPr>
                <w:b/>
                <w:color w:val="FFFFFF"/>
              </w:rPr>
              <w:t>Méthodologie Opérationnelle</w:t>
            </w: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r>
              <w:t>Réception des CVs</w:t>
            </w:r>
          </w:p>
        </w:tc>
        <w:tc>
          <w:tcPr>
            <w:tcW w:type="dxa" w:w="4680"/>
          </w:tcPr>
          <w:p>
            <w:r>
              <w:t>Les fichiers de CV sont réceptionnés par e-mail ou via des formulaires statiques simples et stockés en vrac dans des répertoires locaux.</w:t>
            </w:r>
          </w:p>
        </w:tc>
      </w:tr>
      <w:tr>
        <w:tc>
          <w:tcPr>
            <w:tcW w:type="dxa" w:w="4680"/>
          </w:tcPr>
          <w:p>
            <w:r>
              <w:t>Tri et Lecture</w:t>
            </w:r>
          </w:p>
        </w:tc>
        <w:tc>
          <w:tcPr>
            <w:tcW w:type="dxa" w:w="4680"/>
          </w:tcPr>
          <w:p>
            <w:r>
              <w:t>Chaque CV est lu et analysé individuellement par un chargé de recrutement afin de détecter manuellement les diplômes et l'expérience.</w:t>
            </w:r>
          </w:p>
        </w:tc>
      </w:tr>
      <w:tr>
        <w:tc>
          <w:tcPr>
            <w:tcW w:type="dxa" w:w="4680"/>
          </w:tcPr>
          <w:p>
            <w:r>
              <w:t>Suivi et Décision</w:t>
            </w:r>
          </w:p>
        </w:tc>
        <w:tc>
          <w:tcPr>
            <w:tcW w:type="dxa" w:w="4680"/>
          </w:tcPr>
          <w:p>
            <w:r>
              <w:t>Les décisions RH (rejet, convocation) et les retours d'évaluation sont notés sur des feuilles de calcul locales ou partagés oralement, limitant la traçabilité.</w:t>
            </w:r>
          </w:p>
        </w:tc>
      </w:tr>
    </w:tbl>
    <w:p>
      <w:pPr>
        <w:spacing w:after="160" w:line="276" w:lineRule="auto"/>
        <w:jc w:val="both"/>
      </w:pPr>
      <w:r>
        <w:rPr>
          <w:rFonts w:ascii="Times New Roman" w:hAnsi="Times New Roman"/>
          <w:i/>
          <w:color w:val="333333"/>
          <w:sz w:val="22"/>
        </w:rPr>
        <w:t>Tableau 1.1 — Tableau d'analyse des étapes du recrutement existant</w:t>
      </w:r>
    </w:p>
    <w:p>
      <w:pPr>
        <w:keepNext/>
        <w:spacing w:before="240" w:after="120"/>
      </w:pPr>
      <w:r>
        <w:rPr>
          <w:rFonts w:ascii="Times New Roman" w:hAnsi="Times New Roman"/>
          <w:b/>
          <w:color w:val="003366"/>
          <w:sz w:val="24"/>
        </w:rPr>
        <w:t>Limites identifiées</w:t>
      </w:r>
    </w:p>
    <w:p>
      <w:pPr>
        <w:pStyle w:val="ListBullet"/>
        <w:spacing w:after="80" w:line="276" w:lineRule="auto"/>
      </w:pPr>
      <w:r>
        <w:rPr>
          <w:rFonts w:ascii="Times New Roman" w:hAnsi="Times New Roman"/>
          <w:b/>
          <w:color w:val="333333"/>
          <w:sz w:val="22"/>
        </w:rPr>
        <w:t>• Lenteur opérationnelle :</w:t>
      </w:r>
      <w:r>
        <w:rPr>
          <w:rFonts w:ascii="Times New Roman" w:hAnsi="Times New Roman"/>
          <w:color w:val="333333"/>
          <w:sz w:val="22"/>
        </w:rPr>
        <w:t>La lecture de centaines de CVs par offre d'emploi mobilise plusieurs jours de travail administratif.</w:t>
      </w:r>
    </w:p>
    <w:p>
      <w:pPr>
        <w:pStyle w:val="ListBullet"/>
        <w:spacing w:after="80" w:line="276" w:lineRule="auto"/>
      </w:pPr>
      <w:r>
        <w:rPr>
          <w:rFonts w:ascii="Times New Roman" w:hAnsi="Times New Roman"/>
          <w:b/>
          <w:color w:val="333333"/>
          <w:sz w:val="22"/>
        </w:rPr>
        <w:t>• Subjectivité et biais :</w:t>
      </w:r>
      <w:r>
        <w:rPr>
          <w:rFonts w:ascii="Times New Roman" w:hAnsi="Times New Roman"/>
          <w:color w:val="333333"/>
          <w:sz w:val="22"/>
        </w:rPr>
        <w:t>Le tri est sujet à des facteurs de fatigue ou de subjectivité humaine lors de l'évaluation.</w:t>
      </w:r>
    </w:p>
    <w:p>
      <w:pPr>
        <w:pStyle w:val="ListBullet"/>
        <w:spacing w:after="80" w:line="276" w:lineRule="auto"/>
      </w:pPr>
      <w:r>
        <w:rPr>
          <w:rFonts w:ascii="Times New Roman" w:hAnsi="Times New Roman"/>
          <w:b/>
          <w:color w:val="333333"/>
          <w:sz w:val="22"/>
        </w:rPr>
        <w:t>• Défaut de traçabilité :</w:t>
      </w:r>
      <w:r>
        <w:rPr>
          <w:rFonts w:ascii="Times New Roman" w:hAnsi="Times New Roman"/>
          <w:color w:val="333333"/>
          <w:sz w:val="22"/>
        </w:rPr>
        <w:t>Aucun historique structuré n'est conservé, ce qui empêche d'auditer les raisons d'un rejet ou d'une embauche.</w:t>
      </w:r>
    </w:p>
    <w:p>
      <w:pPr>
        <w:pStyle w:val="ListBullet"/>
        <w:spacing w:after="80" w:line="276" w:lineRule="auto"/>
      </w:pPr>
      <w:r>
        <w:rPr>
          <w:rFonts w:ascii="Times New Roman" w:hAnsi="Times New Roman"/>
          <w:b/>
          <w:color w:val="333333"/>
          <w:sz w:val="22"/>
        </w:rPr>
        <w:t>• Faible relation candidat :</w:t>
      </w:r>
      <w:r>
        <w:rPr>
          <w:rFonts w:ascii="Times New Roman" w:hAnsi="Times New Roman"/>
          <w:color w:val="333333"/>
          <w:sz w:val="22"/>
        </w:rPr>
        <w:t>Les candidats ne reçoivent aucun retour personnalisé ou automatique, nuisant à l'image employeur de l'entreprise.</w:t>
      </w:r>
    </w:p>
    <w:p>
      <w:pPr>
        <w:keepNext/>
        <w:spacing w:before="360" w:after="160"/>
      </w:pPr>
      <w:r>
        <w:rPr>
          <w:rFonts w:ascii="Times New Roman" w:hAnsi="Times New Roman"/>
          <w:b/>
          <w:color w:val="0066CC"/>
          <w:sz w:val="28"/>
        </w:rPr>
        <w:t>1.3 Problématique</w:t>
      </w:r>
    </w:p>
    <w:p>
      <w:pPr>
        <w:spacing w:after="160" w:line="276" w:lineRule="auto"/>
        <w:jc w:val="both"/>
      </w:pPr>
      <w:r>
        <w:rPr>
          <w:rFonts w:ascii="Times New Roman" w:hAnsi="Times New Roman"/>
          <w:i w:val="0"/>
          <w:color w:val="333333"/>
          <w:sz w:val="22"/>
        </w:rPr>
        <w:t>Face à ces limites, la problématique centrale du projet est la suivante : Comment concevoir et implémenter une plateforme logicielle automatisée capable de structurer et d'évaluer sémantiquement les candidatures à l'aide de l'intelligence artificielle, tout en assurant une traçabilité d'audit rigoureuse et en maintenant le contrôle décisionnel final entre les mains des recruteurs humains (Human-in-the-loop) ?</w:t>
      </w:r>
    </w:p>
    <w:p>
      <w:pPr>
        <w:keepNext/>
        <w:spacing w:before="360" w:after="160"/>
      </w:pPr>
      <w:r>
        <w:rPr>
          <w:rFonts w:ascii="Times New Roman" w:hAnsi="Times New Roman"/>
          <w:b/>
          <w:color w:val="0066CC"/>
          <w:sz w:val="28"/>
        </w:rPr>
        <w:t>1.4 Solution proposée</w:t>
      </w:r>
    </w:p>
    <w:p>
      <w:pPr>
        <w:spacing w:after="160" w:line="276" w:lineRule="auto"/>
        <w:jc w:val="both"/>
      </w:pPr>
      <w:r>
        <w:rPr>
          <w:rFonts w:ascii="Times New Roman" w:hAnsi="Times New Roman"/>
          <w:i w:val="0"/>
          <w:color w:val="333333"/>
          <w:sz w:val="22"/>
        </w:rPr>
        <w:t>Pour répondre à cette problématique, la plateforme RecrutIA propose un traitement automatisé en trois couches distinctes :</w:t>
      </w:r>
    </w:p>
    <w:p>
      <w:pPr>
        <w:pStyle w:val="ListBullet"/>
        <w:spacing w:after="80" w:line="276" w:lineRule="auto"/>
      </w:pPr>
      <w:r>
        <w:rPr>
          <w:rFonts w:ascii="Times New Roman" w:hAnsi="Times New Roman"/>
          <w:b/>
          <w:color w:val="333333"/>
          <w:sz w:val="22"/>
        </w:rPr>
        <w:t>1. Ingestion de CV (Tâche 1) :</w:t>
      </w:r>
      <w:r>
        <w:rPr>
          <w:rFonts w:ascii="Times New Roman" w:hAnsi="Times New Roman"/>
          <w:color w:val="333333"/>
          <w:sz w:val="22"/>
        </w:rPr>
        <w:t>extraction du texte brut (PDF/Word), traitement OCR s'il s'agit d'un CV scanné, puis structuration JSON des informations du profil (Identité, email, formation, compétences, durée d'expérience).</w:t>
      </w:r>
    </w:p>
    <w:p>
      <w:pPr>
        <w:pStyle w:val="ListBullet"/>
        <w:spacing w:after="80" w:line="276" w:lineRule="auto"/>
      </w:pPr>
      <w:r>
        <w:rPr>
          <w:rFonts w:ascii="Times New Roman" w:hAnsi="Times New Roman"/>
          <w:b/>
          <w:color w:val="333333"/>
          <w:sz w:val="22"/>
        </w:rPr>
        <w:t>2. Moteur IA Agentique (Tâche 2) :</w:t>
      </w:r>
      <w:r>
        <w:rPr>
          <w:rFonts w:ascii="Times New Roman" w:hAnsi="Times New Roman"/>
          <w:color w:val="333333"/>
          <w:sz w:val="22"/>
        </w:rPr>
        <w:t>filtrage éliminatoire sur critères durs (expérience minimale ou compétences obligatoires absentes), puis calcul d'un score d'adéquation sémantique (sentence-transformers) et génération par l'IA Gemini d'une justification explicative rédigée.</w:t>
      </w:r>
    </w:p>
    <w:p>
      <w:pPr>
        <w:pStyle w:val="ListBullet"/>
        <w:spacing w:after="80" w:line="276" w:lineRule="auto"/>
      </w:pPr>
      <w:r>
        <w:rPr>
          <w:rFonts w:ascii="Times New Roman" w:hAnsi="Times New Roman"/>
          <w:b/>
          <w:color w:val="333333"/>
          <w:sz w:val="22"/>
        </w:rPr>
        <w:t>3. API REST Backend et Dashboard (Tâche 3 &amp; 4) :</w:t>
      </w:r>
      <w:r>
        <w:rPr>
          <w:rFonts w:ascii="Times New Roman" w:hAnsi="Times New Roman"/>
          <w:color w:val="333333"/>
          <w:sz w:val="22"/>
        </w:rPr>
        <w:t>sécurisation par JWT, persistance BDD SQLite avec SQLAlchemy ORM, journal d'audit complet (AuditLog) de toutes les actions, et envoi d'e-mail de convocation automatisé lié à un calendrier d'entretiens.</w:t>
      </w:r>
    </w:p>
    <w:p>
      <w:pPr>
        <w:keepNext/>
        <w:spacing w:before="360" w:after="160"/>
      </w:pPr>
      <w:r>
        <w:rPr>
          <w:rFonts w:ascii="Times New Roman" w:hAnsi="Times New Roman"/>
          <w:b/>
          <w:color w:val="0066CC"/>
          <w:sz w:val="28"/>
        </w:rPr>
        <w:t>1.5 Planning de Projet (Diagramme de Gantt)</w:t>
      </w:r>
    </w:p>
    <w:p>
      <w:pPr>
        <w:spacing w:after="160" w:line="276" w:lineRule="auto"/>
        <w:jc w:val="both"/>
      </w:pPr>
      <w:r>
        <w:rPr>
          <w:rFonts w:ascii="Times New Roman" w:hAnsi="Times New Roman"/>
          <w:i w:val="0"/>
          <w:color w:val="333333"/>
          <w:sz w:val="22"/>
        </w:rPr>
        <w:t>Le projet s'est déroulé sur une période de 6 semaines réparties selon le diagramme de Gantt suivant :</w:t>
      </w:r>
    </w:p>
    <w:p>
      <w:pPr>
        <w:spacing w:before="120" w:after="120"/>
        <w:ind w:left="360"/>
      </w:pPr>
      <w:r>
        <w:rPr>
          <w:rFonts w:ascii="Consolas" w:hAnsi="Consolas"/>
          <w:color w:val="1E1E1E"/>
          <w:sz w:val="19"/>
        </w:rPr>
        <w:br/>
        <w:t>Tâches / Semaines           | S1 | S2 | S3 | S4 | S5 | S6 |</w:t>
        <w:br/>
        <w:t>----------------------------+----+----+----+----+----+----+</w:t>
        <w:br/>
        <w:t>Étude &amp; Analyse des besoins  |XXXX|    |    |    |    |    |</w:t>
        <w:br/>
        <w:t>Conception UML &amp; BDD         |    |XXXX|    |    |    |    |</w:t>
        <w:br/>
        <w:t>Dév. Ingestion (Tâche 1)    |    |    |XXXX|    |    |    |</w:t>
        <w:br/>
        <w:t>Dév. IA &amp; Scoring (Tâche 2) |    |    |    |XXXX|    |    |</w:t>
        <w:br/>
        <w:t>Dév. Backend &amp; API (Tâche 3) |    |    |    |    |XXXX|    |</w:t>
        <w:br/>
        <w:t>Intégration &amp; UI (Tâche 4)   |    |    |    |    |    |XXXX|</w:t>
        <w:br/>
      </w:r>
    </w:p>
    <w:p>
      <w:pPr>
        <w:spacing w:after="160" w:line="276" w:lineRule="auto"/>
        <w:jc w:val="both"/>
      </w:pPr>
      <w:r>
        <w:rPr>
          <w:rFonts w:ascii="Times New Roman" w:hAnsi="Times New Roman"/>
          <w:i/>
          <w:color w:val="333333"/>
          <w:sz w:val="22"/>
        </w:rPr>
        <w:t>Figure 1.2 — Planification temporelle des phases de développement</w:t>
      </w:r>
    </w:p>
    <w:p>
      <w:pPr>
        <w:keepNext/>
        <w:spacing w:before="360" w:after="160"/>
      </w:pPr>
      <w:r>
        <w:rPr>
          <w:rFonts w:ascii="Times New Roman" w:hAnsi="Times New Roman"/>
          <w:b/>
          <w:color w:val="0066CC"/>
          <w:sz w:val="28"/>
        </w:rPr>
        <w:t>1.6 Cahier des charges fonctionnel</w:t>
      </w:r>
    </w:p>
    <w:p>
      <w:pPr>
        <w:spacing w:after="160" w:line="276" w:lineRule="auto"/>
        <w:jc w:val="both"/>
      </w:pPr>
      <w:r>
        <w:rPr>
          <w:rFonts w:ascii="Times New Roman" w:hAnsi="Times New Roman"/>
          <w:i w:val="0"/>
          <w:color w:val="333333"/>
          <w:sz w:val="22"/>
        </w:rPr>
        <w:t>Le cahier des charges de RecrutIA définit les exigences par module fonctionnel :</w:t>
      </w:r>
    </w:p>
    <w:tbl>
      <w:tblPr>
        <w:tblW w:type="auto" w:w="0"/>
        <w:jc w:val="center"/>
        <w:tblLook w:firstColumn="1" w:firstRow="1" w:lastColumn="0" w:lastRow="0" w:noHBand="0" w:noVBand="1" w:val="04A0"/>
      </w:tblPr>
      <w:tblGrid>
        <w:gridCol w:w="3120"/>
        <w:gridCol w:w="3120"/>
        <w:gridCol w:w="3120"/>
      </w:tblGrid>
      <w:tr>
        <w:tc>
          <w:tcPr>
            <w:tcW w:type="dxa" w:w="3120"/>
            <w:shd w:fill="003366"/>
          </w:tcPr>
          <w:p>
            <w:r>
              <w:rPr>
                <w:b/>
                <w:color w:val="FFFFFF"/>
              </w:rPr>
              <w:t>Module</w:t>
            </w:r>
          </w:p>
        </w:tc>
        <w:tc>
          <w:tcPr>
            <w:tcW w:type="dxa" w:w="3120"/>
            <w:shd w:fill="003366"/>
          </w:tcPr>
          <w:p>
            <w:r>
              <w:rPr>
                <w:b/>
                <w:color w:val="FFFFFF"/>
              </w:rPr>
              <w:t>Fonctionnalités attendues</w:t>
            </w:r>
          </w:p>
        </w:tc>
        <w:tc>
          <w:tcPr>
            <w:tcW w:type="dxa" w:w="3120"/>
            <w:shd w:fill="003366"/>
          </w:tcPr>
          <w:p>
            <w:r>
              <w:rPr>
                <w:b/>
                <w:color w:val="FFFFFF"/>
              </w:rPr>
              <w:t>Acteurs concernés</w:t>
            </w:r>
          </w:p>
        </w:tc>
      </w:tr>
      <w:tr>
        <w:tc>
          <w:tcPr>
            <w:tcW w:type="dxa" w:w="3120"/>
          </w:tcPr>
          <w:p>
            <w:r>
              <w:t>Ingestion CV</w:t>
            </w:r>
          </w:p>
        </w:tc>
        <w:tc>
          <w:tcPr>
            <w:tcW w:type="dxa" w:w="3120"/>
          </w:tcPr>
          <w:p>
            <w:r>
              <w:t>Uploader un CV en PDF/DOCX. Extraire le texte. Identifier email, nom, compétences, diplômes et années d'expérience.</w:t>
            </w:r>
          </w:p>
        </w:tc>
        <w:tc>
          <w:tcPr>
            <w:tcW w:type="dxa" w:w="3120"/>
          </w:tcPr>
          <w:p>
            <w:r>
              <w:t>Candidat / Recruteur RH</w:t>
            </w:r>
          </w:p>
        </w:tc>
      </w:tr>
      <w:tr>
        <w:tc>
          <w:tcPr>
            <w:tcW w:type="dxa" w:w="3120"/>
          </w:tcPr>
          <w:p>
            <w:r>
              <w:t>Scoring IA</w:t>
            </w:r>
          </w:p>
        </w:tc>
        <w:tc>
          <w:tcPr>
            <w:tcW w:type="dxa" w:w="3120"/>
          </w:tcPr>
          <w:p>
            <w:r>
              <w:t>Vérifier l'expérience minimale requise. Calculer la similarité sémantique. Générer une justification et des questions d'entretien suggérées par l'IA Gemini.</w:t>
            </w:r>
          </w:p>
        </w:tc>
        <w:tc>
          <w:tcPr>
            <w:tcW w:type="dxa" w:w="3120"/>
          </w:tcPr>
          <w:p>
            <w:r>
              <w:t>Recruteur RH</w:t>
            </w:r>
          </w:p>
        </w:tc>
      </w:tr>
      <w:tr>
        <w:tc>
          <w:tcPr>
            <w:tcW w:type="dxa" w:w="3120"/>
          </w:tcPr>
          <w:p>
            <w:r>
              <w:t>Backend REST</w:t>
            </w:r>
          </w:p>
        </w:tc>
        <w:tc>
          <w:tcPr>
            <w:tcW w:type="dxa" w:w="3120"/>
          </w:tcPr>
          <w:p>
            <w:r>
              <w:t>Persister les données (candidats, offres, candidatures). Authentification JWT. Tracer l'AuditLog des actions RH. API Swagger UI.</w:t>
            </w:r>
          </w:p>
        </w:tc>
        <w:tc>
          <w:tcPr>
            <w:tcW w:type="dxa" w:w="3120"/>
          </w:tcPr>
          <w:p>
            <w:r>
              <w:t>Administrateur / Recruteur</w:t>
            </w:r>
          </w:p>
        </w:tc>
      </w:tr>
      <w:tr>
        <w:tc>
          <w:tcPr>
            <w:tcW w:type="dxa" w:w="3120"/>
          </w:tcPr>
          <w:p>
            <w:r>
              <w:t>Dashboard RH</w:t>
            </w:r>
          </w:p>
        </w:tc>
        <w:tc>
          <w:tcPr>
            <w:tcW w:type="dxa" w:w="3120"/>
          </w:tcPr>
          <w:p>
            <w:r>
              <w:t>Interface d'évaluation des candidats, planification d'entretien, envoi automatique d'email, suivi de calendrier.</w:t>
            </w:r>
          </w:p>
        </w:tc>
        <w:tc>
          <w:tcPr>
            <w:tcW w:type="dxa" w:w="3120"/>
          </w:tcPr>
          <w:p>
            <w:r>
              <w:t>Recruteur RH / Candidat</w:t>
            </w:r>
          </w:p>
        </w:tc>
      </w:tr>
    </w:tbl>
    <w:p>
      <w:pPr>
        <w:spacing w:after="160" w:line="276" w:lineRule="auto"/>
        <w:jc w:val="both"/>
      </w:pPr>
      <w:r>
        <w:rPr>
          <w:rFonts w:ascii="Times New Roman" w:hAnsi="Times New Roman"/>
          <w:i/>
          <w:color w:val="333333"/>
          <w:sz w:val="22"/>
        </w:rPr>
        <w:t>Tableau 1.2 — Spécifications fonctionnelles du cahier des charges</w:t>
      </w:r>
    </w:p>
    <w:p>
      <w:r>
        <w:br w:type="page"/>
      </w:r>
    </w:p>
    <w:p>
      <w:pPr>
        <w:keepNext/>
        <w:spacing w:before="480" w:after="240"/>
      </w:pPr>
      <w:r>
        <w:rPr>
          <w:rFonts w:ascii="Times New Roman" w:hAnsi="Times New Roman"/>
          <w:b/>
          <w:color w:val="003366"/>
          <w:sz w:val="36"/>
        </w:rPr>
        <w:t>CHAPITRE 2 : CONCEPTION ET CHOIX TECHNIQUES</w:t>
      </w:r>
    </w:p>
    <w:p>
      <w:pPr>
        <w:spacing w:after="160" w:line="276" w:lineRule="auto"/>
        <w:jc w:val="both"/>
      </w:pPr>
      <w:r>
        <w:rPr>
          <w:rFonts w:ascii="Times New Roman" w:hAnsi="Times New Roman"/>
          <w:i w:val="0"/>
          <w:color w:val="333333"/>
          <w:sz w:val="22"/>
        </w:rPr>
        <w:t>Ce chapitre expose la phase de conception logique et physique du système, en s'appuyant sur la modélisation UML et en détaillant les raisons des choix technologiques mis en œuvre.</w:t>
      </w:r>
    </w:p>
    <w:p>
      <w:pPr>
        <w:keepNext/>
        <w:spacing w:before="360" w:after="160"/>
      </w:pPr>
      <w:r>
        <w:rPr>
          <w:rFonts w:ascii="Times New Roman" w:hAnsi="Times New Roman"/>
          <w:b/>
          <w:color w:val="0066CC"/>
          <w:sz w:val="28"/>
        </w:rPr>
        <w:t>2.1 Diagrammes UML</w:t>
      </w:r>
    </w:p>
    <w:p>
      <w:pPr>
        <w:keepNext/>
        <w:spacing w:before="240" w:after="120"/>
      </w:pPr>
      <w:r>
        <w:rPr>
          <w:rFonts w:ascii="Times New Roman" w:hAnsi="Times New Roman"/>
          <w:b/>
          <w:color w:val="003366"/>
          <w:sz w:val="24"/>
        </w:rPr>
        <w:t>2.1.1 Diagramme de Cas d'Utilisation Global</w:t>
      </w:r>
    </w:p>
    <w:p>
      <w:pPr>
        <w:spacing w:after="160" w:line="276" w:lineRule="auto"/>
        <w:jc w:val="both"/>
      </w:pPr>
      <w:r>
        <w:rPr>
          <w:rFonts w:ascii="Times New Roman" w:hAnsi="Times New Roman"/>
          <w:i w:val="0"/>
          <w:color w:val="333333"/>
          <w:sz w:val="22"/>
        </w:rPr>
        <w:t>Le diagramme de cas d'utilisation définit les frontières du système et les droits d'accès de chaque rôle :</w:t>
      </w:r>
    </w:p>
    <w:p>
      <w:pPr>
        <w:spacing w:before="120" w:after="120"/>
        <w:ind w:left="360"/>
      </w:pPr>
      <w:r>
        <w:rPr>
          <w:rFonts w:ascii="Consolas" w:hAnsi="Consolas"/>
          <w:color w:val="1E1E1E"/>
          <w:sz w:val="19"/>
        </w:rPr>
        <w:br/>
        <w:t xml:space="preserve">               ┌──────────────────────────────────────────────┐</w:t>
        <w:br/>
        <w:t xml:space="preserve">               │                  RECRUTIA                    │</w:t>
        <w:br/>
        <w:t xml:space="preserve">               │                                              │</w:t>
        <w:br/>
        <w:t xml:space="preserve">               │  ┌───────────────────────┐                    │</w:t>
        <w:br/>
        <w:t xml:space="preserve">               │  │ Consulter les Offres  │◄───────────────────┼─ Candidat</w:t>
        <w:br/>
        <w:t xml:space="preserve">               │  └───────────────────────┘                    │  (Public)</w:t>
        <w:br/>
        <w:t xml:space="preserve">               │  ┌───────────────────────┐                    │</w:t>
        <w:br/>
        <w:t xml:space="preserve">               │  │    Soumettre un CV    │◄───────────────────┤</w:t>
        <w:br/>
        <w:t xml:space="preserve">               │  └───────────────────────┘                    │</w:t>
        <w:br/>
        <w:t xml:space="preserve">               │  ┌───────────────────────┐                    │</w:t>
        <w:br/>
        <w:t xml:space="preserve">               │  │    Se Connecter (JWT) │◄───────────────────┼─ Recruteur RH</w:t>
        <w:br/>
        <w:t xml:space="preserve">               │  └───────────────────────┘                    │  (Authentifié)</w:t>
        <w:br/>
        <w:t xml:space="preserve">               │  ┌───────────────────────┐                    │</w:t>
        <w:br/>
        <w:t xml:space="preserve">               │  │    Gérer les Offres   │◄───────────────────┤</w:t>
        <w:br/>
        <w:t xml:space="preserve">               │  └───────────────────────┘                    │</w:t>
        <w:br/>
        <w:t xml:space="preserve">               │  ┌───────────────────────┐                    │</w:t>
        <w:br/>
        <w:t xml:space="preserve">               │  │ Consulter / Évaluer   │◄───────────────────┤</w:t>
        <w:br/>
        <w:t xml:space="preserve">               │  └───────────────────────┘                    │</w:t>
        <w:br/>
        <w:t xml:space="preserve">               │  ┌───────────────────────┐                    │</w:t>
        <w:br/>
        <w:t xml:space="preserve">               │  │ Planifier Entretien   │◄───────────────────┤</w:t>
        <w:br/>
        <w:t xml:space="preserve">               │  └───────────────────────┘                    │</w:t>
        <w:br/>
        <w:t xml:space="preserve">               │  ┌───────────────────────┐                    │</w:t>
        <w:br/>
        <w:t xml:space="preserve">               │  │  Consulter l'AuditLog │◄───────────────────┼─ Administrateur</w:t>
        <w:br/>
        <w:t xml:space="preserve">               │  └───────────────────────┘                    │</w:t>
        <w:br/>
        <w:t xml:space="preserve">               └──────────────────────────────────────────────┘</w:t>
        <w:br/>
      </w:r>
    </w:p>
    <w:p>
      <w:pPr>
        <w:spacing w:after="160" w:line="276" w:lineRule="auto"/>
        <w:jc w:val="both"/>
      </w:pPr>
      <w:r>
        <w:rPr>
          <w:rFonts w:ascii="Times New Roman" w:hAnsi="Times New Roman"/>
          <w:i/>
          <w:color w:val="333333"/>
          <w:sz w:val="22"/>
        </w:rPr>
        <w:t>Figure 2.1 — Diagramme global des cas d'utilisation par rôle</w:t>
      </w:r>
    </w:p>
    <w:p>
      <w:pPr>
        <w:keepNext/>
        <w:spacing w:before="240" w:after="120"/>
      </w:pPr>
      <w:r>
        <w:rPr>
          <w:rFonts w:ascii="Times New Roman" w:hAnsi="Times New Roman"/>
          <w:b/>
          <w:color w:val="003366"/>
          <w:sz w:val="24"/>
        </w:rPr>
        <w:t>2.1.2 Diagramme de Séquence — Soumission et Scoring</w:t>
      </w:r>
    </w:p>
    <w:p>
      <w:pPr>
        <w:spacing w:after="160" w:line="276" w:lineRule="auto"/>
        <w:jc w:val="both"/>
      </w:pPr>
      <w:r>
        <w:rPr>
          <w:rFonts w:ascii="Times New Roman" w:hAnsi="Times New Roman"/>
          <w:i w:val="0"/>
          <w:color w:val="333333"/>
          <w:sz w:val="22"/>
        </w:rPr>
        <w:t>Ce diagramme détaille les échanges synchrones et asynchrones du pipeline de scoring :</w:t>
      </w:r>
    </w:p>
    <w:p>
      <w:pPr>
        <w:spacing w:before="120" w:after="120"/>
        <w:ind w:left="360"/>
      </w:pPr>
      <w:r>
        <w:rPr>
          <w:rFonts w:ascii="Consolas" w:hAnsi="Consolas"/>
          <w:color w:val="1E1E1E"/>
          <w:sz w:val="19"/>
        </w:rPr>
        <w:br/>
        <w:t>Candidat     UI Frontend     FastAPI Backend     Pipeline IA     Gemini API     SQLite DB</w:t>
        <w:br/>
        <w:t xml:space="preserve">   │              │                 │                 │              │              │</w:t>
        <w:br/>
        <w:t xml:space="preserve">   │───Uploade CV─►                 │                 │              │              │</w:t>
        <w:br/>
        <w:t xml:space="preserve">   │              │───POST /cv─────►                 │              │              │</w:t>
        <w:br/>
        <w:t xml:space="preserve">   │              │                 │───traiter_cv()─►              │              │</w:t>
        <w:br/>
        <w:t xml:space="preserve">   │              │                 │                 │──Scoring()──►               │</w:t>
        <w:br/>
        <w:t xml:space="preserve">   │              │                 │                 │◄──Justif.────               │</w:t>
        <w:br/>
        <w:t xml:space="preserve">   │              │                 │                 │───────────────Sauvegarde───►│</w:t>
        <w:br/>
        <w:t xml:space="preserve">   │              │                 │◄──Candidature───┘                             │</w:t>
        <w:br/>
        <w:t xml:space="preserve">   │              │◄──Score (JSON)──┘                                               │</w:t>
        <w:br/>
        <w:t xml:space="preserve">   │◄─Affiche UI──┘                                                                 │</w:t>
        <w:br/>
      </w:r>
    </w:p>
    <w:p>
      <w:pPr>
        <w:spacing w:after="160" w:line="276" w:lineRule="auto"/>
        <w:jc w:val="both"/>
      </w:pPr>
      <w:r>
        <w:rPr>
          <w:rFonts w:ascii="Times New Roman" w:hAnsi="Times New Roman"/>
          <w:i/>
          <w:color w:val="333333"/>
          <w:sz w:val="22"/>
        </w:rPr>
        <w:t>Figure 2.2 — Flux séquentiel de traitement et notation de CV</w:t>
      </w:r>
    </w:p>
    <w:p>
      <w:pPr>
        <w:keepNext/>
        <w:spacing w:before="240" w:after="120"/>
      </w:pPr>
      <w:r>
        <w:rPr>
          <w:rFonts w:ascii="Times New Roman" w:hAnsi="Times New Roman"/>
          <w:b/>
          <w:color w:val="003366"/>
          <w:sz w:val="24"/>
        </w:rPr>
        <w:t>2.1.3 Diagramme de Classes — Modèles Relationnels</w:t>
      </w:r>
    </w:p>
    <w:p>
      <w:pPr>
        <w:spacing w:after="160" w:line="276" w:lineRule="auto"/>
        <w:jc w:val="both"/>
      </w:pPr>
      <w:r>
        <w:rPr>
          <w:rFonts w:ascii="Times New Roman" w:hAnsi="Times New Roman"/>
          <w:i w:val="0"/>
          <w:color w:val="333333"/>
          <w:sz w:val="22"/>
        </w:rPr>
        <w:t>Le schéma de la base de données SQLite modélise les relations entre les tables du système :</w:t>
      </w:r>
    </w:p>
    <w:p>
      <w:pPr>
        <w:spacing w:before="120" w:after="120"/>
        <w:ind w:left="360"/>
      </w:pPr>
      <w:r>
        <w:rPr>
          <w:rFonts w:ascii="Consolas" w:hAnsi="Consolas"/>
          <w:color w:val="1E1E1E"/>
          <w:sz w:val="19"/>
        </w:rPr>
        <w:br/>
        <w:t>┌────────────────────────┐             ┌──────────────────────────────────────────┐</w:t>
        <w:br/>
        <w:t>│         User           │             │                 Offre                    │</w:t>
        <w:br/>
        <w:t>├────────────────────────┤             ├──────────────────────────────────────────┤</w:t>
        <w:br/>
        <w:t>│ id : int (PK)          │             │ id : int (PK)                            │</w:t>
        <w:br/>
        <w:t>│ username : str         │             │ titre : str                              │</w:t>
        <w:br/>
        <w:t>│ hashed_password : str  │             │ description : text                       │</w:t>
        <w:br/>
        <w:t>│ role : str             │             │ experience_min_annees : int              │</w:t>
        <w:br/>
        <w:t>│ created_at : datetime  │             │ competences_obligatoires : JSON          │</w:t>
        <w:br/>
        <w:t>└────────────────────────┘             │ statut : str                             │</w:t>
        <w:br/>
        <w:t xml:space="preserve">                                       └──────────────────┬───────────────────────┘</w:t>
        <w:br/>
        <w:t xml:space="preserve">                                                          │ 1</w:t>
        <w:br/>
        <w:t xml:space="preserve">                                                          │ * (1-N)</w:t>
        <w:br/>
        <w:t>┌────────────────────────┐             ┌──────────────────▼───────────────────────┐</w:t>
        <w:br/>
        <w:t>│       Candidat         │ 1           │              Candidature                 │</w:t>
        <w:br/>
        <w:t>├────────────────────────┤             ├──────────────────────────────────────────┤</w:t>
        <w:br/>
        <w:t>│ id : int (PK)          ├────────────►│ id : int (PK)                            │</w:t>
        <w:br/>
        <w:t>│ nom : str              │ * (1-N)     │ offre_id : int (FK)                      │</w:t>
        <w:br/>
        <w:t>│ email : str            │             │ candidat_id : int (FK)                   │</w:t>
        <w:br/>
        <w:t>│ telephone : str        │             │ score : float                            │</w:t>
        <w:br/>
        <w:t>│ cv_fichier_nom : str   │             │ justification_ia : text                  │</w:t>
        <w:br/>
        <w:t>│ cv_chemin_stocke : str │             │ statut : str                             │</w:t>
        <w:br/>
        <w:t>└────────────────────────┘             │ decision_rh : str                        │</w:t>
        <w:br/>
        <w:t xml:space="preserve">                                       │ date_entretien : str                     │</w:t>
        <w:br/>
        <w:t xml:space="preserve">                                       └──────────────────────────────────────────┘</w:t>
        <w:br/>
      </w:r>
    </w:p>
    <w:p>
      <w:pPr>
        <w:spacing w:after="160" w:line="276" w:lineRule="auto"/>
        <w:jc w:val="both"/>
      </w:pPr>
      <w:r>
        <w:rPr>
          <w:rFonts w:ascii="Times New Roman" w:hAnsi="Times New Roman"/>
          <w:i/>
          <w:color w:val="333333"/>
          <w:sz w:val="22"/>
        </w:rPr>
        <w:t>Figure 2.3 — Diagramme de classes des entités physiques de la base de données</w:t>
      </w:r>
    </w:p>
    <w:p>
      <w:pPr>
        <w:keepNext/>
        <w:spacing w:before="240" w:after="120"/>
      </w:pPr>
      <w:r>
        <w:rPr>
          <w:rFonts w:ascii="Times New Roman" w:hAnsi="Times New Roman"/>
          <w:b/>
          <w:color w:val="003366"/>
          <w:sz w:val="24"/>
        </w:rPr>
        <w:t>2.1.4 Architecture d'Accès Unifiée — Le Rôle Recruteur RH</w:t>
      </w:r>
    </w:p>
    <w:p>
      <w:pPr>
        <w:spacing w:after="160" w:line="276" w:lineRule="auto"/>
        <w:jc w:val="both"/>
      </w:pPr>
      <w:r>
        <w:rPr>
          <w:rFonts w:ascii="Times New Roman" w:hAnsi="Times New Roman"/>
          <w:i w:val="0"/>
          <w:color w:val="333333"/>
          <w:sz w:val="22"/>
        </w:rPr>
        <w:t>Afin de simplifier l'expérience utilisateur tout en garantissant un contrôle total sur l'application, la plateforme RecrutIA adopte une architecture d'accès unifiée centrée sur le rôle 'recruteur' (Responsable RH / Administrateur).</w:t>
      </w:r>
    </w:p>
    <w:p>
      <w:pPr>
        <w:pStyle w:val="ListBullet"/>
        <w:spacing w:after="80" w:line="276" w:lineRule="auto"/>
      </w:pPr>
      <w:r>
        <w:rPr>
          <w:rFonts w:ascii="Times New Roman" w:hAnsi="Times New Roman"/>
          <w:b/>
          <w:color w:val="333333"/>
          <w:sz w:val="22"/>
        </w:rPr>
        <w:t>• Gestion des Offres :</w:t>
      </w:r>
      <w:r>
        <w:rPr>
          <w:rFonts w:ascii="Times New Roman" w:hAnsi="Times New Roman"/>
          <w:color w:val="333333"/>
          <w:sz w:val="22"/>
        </w:rPr>
        <w:t>Création, modification et suppression des offres d'emploi avec compétences requises et expérience minimale.</w:t>
      </w:r>
    </w:p>
    <w:p>
      <w:pPr>
        <w:pStyle w:val="ListBullet"/>
        <w:spacing w:after="80" w:line="276" w:lineRule="auto"/>
      </w:pPr>
      <w:r>
        <w:rPr>
          <w:rFonts w:ascii="Times New Roman" w:hAnsi="Times New Roman"/>
          <w:b/>
          <w:color w:val="333333"/>
          <w:sz w:val="22"/>
        </w:rPr>
        <w:t>• Évaluation &amp; Scoring IA :</w:t>
      </w:r>
      <w:r>
        <w:rPr>
          <w:rFonts w:ascii="Times New Roman" w:hAnsi="Times New Roman"/>
          <w:color w:val="333333"/>
          <w:sz w:val="22"/>
        </w:rPr>
        <w:t>Consultation des CVs ingérés, analyse du scoring sémantique et lecture des justifications générées par l'IA Gemini.</w:t>
      </w:r>
    </w:p>
    <w:p>
      <w:pPr>
        <w:pStyle w:val="ListBullet"/>
        <w:spacing w:after="80" w:line="276" w:lineRule="auto"/>
      </w:pPr>
      <w:r>
        <w:rPr>
          <w:rFonts w:ascii="Times New Roman" w:hAnsi="Times New Roman"/>
          <w:b/>
          <w:color w:val="333333"/>
          <w:sz w:val="22"/>
        </w:rPr>
        <w:t>• Prise de Décision :</w:t>
      </w:r>
      <w:r>
        <w:rPr>
          <w:rFonts w:ascii="Times New Roman" w:hAnsi="Times New Roman"/>
          <w:color w:val="333333"/>
          <w:sz w:val="22"/>
        </w:rPr>
        <w:t>Enregistrement des décisions de sélection (Valider, Rejeter, Embaucher, Corriger note) et ajouts d'observations.</w:t>
      </w:r>
    </w:p>
    <w:p>
      <w:pPr>
        <w:pStyle w:val="ListBullet"/>
        <w:spacing w:after="80" w:line="276" w:lineRule="auto"/>
      </w:pPr>
      <w:r>
        <w:rPr>
          <w:rFonts w:ascii="Times New Roman" w:hAnsi="Times New Roman"/>
          <w:b/>
          <w:color w:val="333333"/>
          <w:sz w:val="22"/>
        </w:rPr>
        <w:t>• Planification &amp; Convocations :</w:t>
      </w:r>
      <w:r>
        <w:rPr>
          <w:rFonts w:ascii="Times New Roman" w:hAnsi="Times New Roman"/>
          <w:color w:val="333333"/>
          <w:sz w:val="22"/>
        </w:rPr>
        <w:t>Définition des dates/heures de rendez-vous et envoi automatique de la lettre de convocation par e-mail SMTP.</w:t>
      </w:r>
    </w:p>
    <w:p>
      <w:pPr>
        <w:pStyle w:val="ListBullet"/>
        <w:spacing w:after="80" w:line="276" w:lineRule="auto"/>
      </w:pPr>
      <w:r>
        <w:rPr>
          <w:rFonts w:ascii="Times New Roman" w:hAnsi="Times New Roman"/>
          <w:b/>
          <w:color w:val="333333"/>
          <w:sz w:val="22"/>
        </w:rPr>
        <w:t>• Calendrier des Entretiens :</w:t>
      </w:r>
      <w:r>
        <w:rPr>
          <w:rFonts w:ascii="Times New Roman" w:hAnsi="Times New Roman"/>
          <w:color w:val="333333"/>
          <w:sz w:val="22"/>
        </w:rPr>
        <w:t>Planning visuel chronologique de tous les entretiens programmés (Présentiel ou Visioconférence).</w:t>
      </w:r>
    </w:p>
    <w:p>
      <w:pPr>
        <w:pStyle w:val="ListBullet"/>
        <w:spacing w:after="80" w:line="276" w:lineRule="auto"/>
      </w:pPr>
      <w:r>
        <w:rPr>
          <w:rFonts w:ascii="Times New Roman" w:hAnsi="Times New Roman"/>
          <w:b/>
          <w:color w:val="333333"/>
          <w:sz w:val="22"/>
        </w:rPr>
        <w:t>• Administration &amp; Traçabilité (AuditLog) :</w:t>
      </w:r>
      <w:r>
        <w:rPr>
          <w:rFonts w:ascii="Times New Roman" w:hAnsi="Times New Roman"/>
          <w:color w:val="333333"/>
          <w:sz w:val="22"/>
        </w:rPr>
        <w:t>Supervision du journal d'audit complet (AuditLog) traçant l'ensemble des actions et modifications effectuées sur le système.</w:t>
      </w:r>
    </w:p>
    <w:p>
      <w:pPr>
        <w:spacing w:after="160" w:line="276" w:lineRule="auto"/>
        <w:jc w:val="both"/>
      </w:pPr>
      <w:r>
        <w:rPr>
          <w:rFonts w:ascii="Times New Roman" w:hAnsi="Times New Roman"/>
          <w:i w:val="0"/>
          <w:color w:val="333333"/>
          <w:sz w:val="22"/>
        </w:rPr>
        <w:t>Cette approche garantit au recruteur un contrôle à 360° sur l'ensemble du cycle de recrutement, de la publication de l'offre jusqu'à la traçabilité complète des opérations.</w:t>
      </w:r>
    </w:p>
    <w:p>
      <w:pPr>
        <w:keepNext/>
        <w:spacing w:before="360" w:after="160"/>
      </w:pPr>
      <w:r>
        <w:rPr>
          <w:rFonts w:ascii="Times New Roman" w:hAnsi="Times New Roman"/>
          <w:b/>
          <w:color w:val="0066CC"/>
          <w:sz w:val="28"/>
        </w:rPr>
        <w:t>2.2 Outils et Technologies utilisés</w:t>
      </w:r>
    </w:p>
    <w:p>
      <w:pPr>
        <w:spacing w:after="160" w:line="276" w:lineRule="auto"/>
        <w:jc w:val="both"/>
      </w:pPr>
      <w:r>
        <w:rPr>
          <w:rFonts w:ascii="Times New Roman" w:hAnsi="Times New Roman"/>
          <w:i w:val="0"/>
          <w:color w:val="333333"/>
          <w:sz w:val="22"/>
        </w:rPr>
        <w:t>Les choix technologiques de RecrutIA ont été guidés par des besoins d'efficacité, de performance et de légèreté :</w:t>
      </w:r>
    </w:p>
    <w:tbl>
      <w:tblPr>
        <w:tblW w:type="auto" w:w="0"/>
        <w:jc w:val="center"/>
        <w:tblLook w:firstColumn="1" w:firstRow="1" w:lastColumn="0" w:lastRow="0" w:noHBand="0" w:noVBand="1" w:val="04A0"/>
      </w:tblPr>
      <w:tblGrid>
        <w:gridCol w:w="3120"/>
        <w:gridCol w:w="3120"/>
        <w:gridCol w:w="3120"/>
      </w:tblGrid>
      <w:tr>
        <w:tc>
          <w:tcPr>
            <w:tcW w:type="dxa" w:w="3120"/>
            <w:shd w:fill="003366"/>
          </w:tcPr>
          <w:p>
            <w:r>
              <w:rPr>
                <w:b/>
                <w:color w:val="FFFFFF"/>
              </w:rPr>
              <w:t>Technologie</w:t>
            </w:r>
          </w:p>
        </w:tc>
        <w:tc>
          <w:tcPr>
            <w:tcW w:type="dxa" w:w="3120"/>
            <w:shd w:fill="003366"/>
          </w:tcPr>
          <w:p>
            <w:r>
              <w:rPr>
                <w:b/>
                <w:color w:val="FFFFFF"/>
              </w:rPr>
              <w:t>Rôle dans le projet</w:t>
            </w:r>
          </w:p>
        </w:tc>
        <w:tc>
          <w:tcPr>
            <w:tcW w:type="dxa" w:w="3120"/>
            <w:shd w:fill="003366"/>
          </w:tcPr>
          <w:p>
            <w:r>
              <w:rPr>
                <w:b/>
                <w:color w:val="FFFFFF"/>
              </w:rPr>
              <w:t>Justification du choix</w:t>
            </w:r>
          </w:p>
        </w:tc>
      </w:tr>
      <w:tr>
        <w:tc>
          <w:tcPr>
            <w:tcW w:type="dxa" w:w="3120"/>
          </w:tcPr>
          <w:p>
            <w:r>
              <w:t>Python 3.12</w:t>
            </w:r>
          </w:p>
        </w:tc>
        <w:tc>
          <w:tcPr>
            <w:tcW w:type="dxa" w:w="3120"/>
          </w:tcPr>
          <w:p>
            <w:r>
              <w:t>Langage Backend</w:t>
            </w:r>
          </w:p>
        </w:tc>
        <w:tc>
          <w:tcPr>
            <w:tcW w:type="dxa" w:w="3120"/>
          </w:tcPr>
          <w:p>
            <w:r>
              <w:t>Reconnu pour ses puissantes bibliothèques d'IA, d'extraction de données et de scripting.</w:t>
            </w:r>
          </w:p>
        </w:tc>
      </w:tr>
      <w:tr>
        <w:tc>
          <w:tcPr>
            <w:tcW w:type="dxa" w:w="3120"/>
          </w:tcPr>
          <w:p>
            <w:r>
              <w:t>FastAPI</w:t>
            </w:r>
          </w:p>
        </w:tc>
        <w:tc>
          <w:tcPr>
            <w:tcW w:type="dxa" w:w="3120"/>
          </w:tcPr>
          <w:p>
            <w:r>
              <w:t>Framework d'API</w:t>
            </w:r>
          </w:p>
        </w:tc>
        <w:tc>
          <w:tcPr>
            <w:tcW w:type="dxa" w:w="3120"/>
          </w:tcPr>
          <w:p>
            <w:r>
              <w:t>ASGI ultra-performant, typage Python natif pour validation Pydantic et génération automatique du Swagger.</w:t>
            </w:r>
          </w:p>
        </w:tc>
      </w:tr>
      <w:tr>
        <w:tc>
          <w:tcPr>
            <w:tcW w:type="dxa" w:w="3120"/>
          </w:tcPr>
          <w:p>
            <w:r>
              <w:t>SQLite / SQLAlchemy</w:t>
            </w:r>
          </w:p>
        </w:tc>
        <w:tc>
          <w:tcPr>
            <w:tcW w:type="dxa" w:w="3120"/>
          </w:tcPr>
          <w:p>
            <w:r>
              <w:t>Base de données</w:t>
            </w:r>
          </w:p>
        </w:tc>
        <w:tc>
          <w:tcPr>
            <w:tcW w:type="dxa" w:w="3120"/>
          </w:tcPr>
          <w:p>
            <w:r>
              <w:t>SQLite stocke localement les données dans un fichier unique. SQLAlchemy permet d'écrire des requêtes relationnelles sécurisées sans SQL brut.</w:t>
            </w:r>
          </w:p>
        </w:tc>
      </w:tr>
      <w:tr>
        <w:tc>
          <w:tcPr>
            <w:tcW w:type="dxa" w:w="3120"/>
          </w:tcPr>
          <w:p>
            <w:r>
              <w:t>Google Gemini API</w:t>
            </w:r>
          </w:p>
        </w:tc>
        <w:tc>
          <w:tcPr>
            <w:tcW w:type="dxa" w:w="3120"/>
          </w:tcPr>
          <w:p>
            <w:r>
              <w:t>IA Générative</w:t>
            </w:r>
          </w:p>
        </w:tc>
        <w:tc>
          <w:tcPr>
            <w:tcW w:type="dxa" w:w="3120"/>
          </w:tcPr>
          <w:p>
            <w:r>
              <w:t>Excellent rapport performance/coût pour l'analyse de texte complexe et la génération d'explications sans hallucinations.</w:t>
            </w:r>
          </w:p>
        </w:tc>
      </w:tr>
      <w:tr>
        <w:tc>
          <w:tcPr>
            <w:tcW w:type="dxa" w:w="3120"/>
          </w:tcPr>
          <w:p>
            <w:r>
              <w:t>Sentence-Transformers</w:t>
            </w:r>
          </w:p>
        </w:tc>
        <w:tc>
          <w:tcPr>
            <w:tcW w:type="dxa" w:w="3120"/>
          </w:tcPr>
          <w:p>
            <w:r>
              <w:t>Calcul sémantique</w:t>
            </w:r>
          </w:p>
        </w:tc>
        <w:tc>
          <w:tcPr>
            <w:tcW w:type="dxa" w:w="3120"/>
          </w:tcPr>
          <w:p>
            <w:r>
              <w:t>Le modèle 'all-MiniLM-L6-v2' génère des représentations vectorielles d'une phrase pour calculer une similarité de cosinus avec les offres d'emploi.</w:t>
            </w:r>
          </w:p>
        </w:tc>
      </w:tr>
      <w:tr>
        <w:tc>
          <w:tcPr>
            <w:tcW w:type="dxa" w:w="3120"/>
          </w:tcPr>
          <w:p>
            <w:r>
              <w:t>JS Vanilla / Chart.js</w:t>
            </w:r>
          </w:p>
        </w:tc>
        <w:tc>
          <w:tcPr>
            <w:tcW w:type="dxa" w:w="3120"/>
          </w:tcPr>
          <w:p>
            <w:r>
              <w:t>Couche Frontend</w:t>
            </w:r>
          </w:p>
        </w:tc>
        <w:tc>
          <w:tcPr>
            <w:tcW w:type="dxa" w:w="3120"/>
          </w:tcPr>
          <w:p>
            <w:r>
              <w:t>Aucune dépendance lourde de framework (React/Angular), Chart.js assure le rendu graphique des statistiques RH en temps réel.</w:t>
            </w:r>
          </w:p>
        </w:tc>
      </w:tr>
    </w:tbl>
    <w:p>
      <w:pPr>
        <w:spacing w:after="160" w:line="276" w:lineRule="auto"/>
        <w:jc w:val="both"/>
      </w:pPr>
      <w:r>
        <w:rPr>
          <w:rFonts w:ascii="Times New Roman" w:hAnsi="Times New Roman"/>
          <w:i/>
          <w:color w:val="333333"/>
          <w:sz w:val="22"/>
        </w:rPr>
        <w:t>Tableau 2.1 — Choix de la stack technique et justifications</w:t>
      </w:r>
    </w:p>
    <w:p>
      <w:r>
        <w:br w:type="page"/>
      </w:r>
    </w:p>
    <w:p>
      <w:pPr>
        <w:keepNext/>
        <w:spacing w:before="480" w:after="240"/>
      </w:pPr>
      <w:r>
        <w:rPr>
          <w:rFonts w:ascii="Times New Roman" w:hAnsi="Times New Roman"/>
          <w:b/>
          <w:color w:val="003366"/>
          <w:sz w:val="36"/>
        </w:rPr>
        <w:t>CHAPITRE 3 : RÉALISATION ET MISE EN ŒUVRE</w:t>
      </w:r>
    </w:p>
    <w:p>
      <w:pPr>
        <w:spacing w:after="160" w:line="276" w:lineRule="auto"/>
        <w:jc w:val="both"/>
      </w:pPr>
      <w:r>
        <w:rPr>
          <w:rFonts w:ascii="Times New Roman" w:hAnsi="Times New Roman"/>
          <w:i w:val="0"/>
          <w:color w:val="333333"/>
          <w:sz w:val="22"/>
        </w:rPr>
        <w:t>Ce chapitre documente l'implémentation physique de RecrutIA, présente le fonctionnement détaillé des modules d'ingestion et de scoring IA, détaille les interfaces utilisateur de la plateforme et expose le bilan de la validation technique par tests unitaires.</w:t>
      </w:r>
    </w:p>
    <w:p>
      <w:pPr>
        <w:keepNext/>
        <w:spacing w:before="360" w:after="160"/>
      </w:pPr>
      <w:r>
        <w:rPr>
          <w:rFonts w:ascii="Times New Roman" w:hAnsi="Times New Roman"/>
          <w:b/>
          <w:color w:val="0066CC"/>
          <w:sz w:val="28"/>
        </w:rPr>
        <w:t>3.1 Architecture Physique du Système</w:t>
      </w:r>
    </w:p>
    <w:p>
      <w:pPr>
        <w:spacing w:after="160" w:line="276" w:lineRule="auto"/>
        <w:jc w:val="both"/>
      </w:pPr>
      <w:r>
        <w:rPr>
          <w:rFonts w:ascii="Times New Roman" w:hAnsi="Times New Roman"/>
          <w:i w:val="0"/>
          <w:color w:val="333333"/>
          <w:sz w:val="22"/>
        </w:rPr>
        <w:t>L'application est structurée selon une architecture en couches claires :</w:t>
      </w:r>
    </w:p>
    <w:p>
      <w:pPr>
        <w:spacing w:before="120" w:after="120"/>
        <w:ind w:left="360"/>
      </w:pPr>
      <w:r>
        <w:rPr>
          <w:rFonts w:ascii="Consolas" w:hAnsi="Consolas"/>
          <w:color w:val="1E1E1E"/>
          <w:sz w:val="19"/>
        </w:rPr>
        <w:br/>
        <w:t>frontend/              # Dossier de l'interface utilisateur</w:t>
        <w:br/>
        <w:t xml:space="preserve">  ├── rh/index.html    # Interface d'administration RH (3450 lignes)</w:t>
        <w:br/>
        <w:t xml:space="preserve">  └── candidat/        # Formulaire de candidature publique</w:t>
        <w:br/>
        <w:t>backend/               # Dossier de l'application FastAPI</w:t>
        <w:br/>
        <w:t xml:space="preserve">  ├── main.py          # Lancement du serveur et init DB</w:t>
        <w:br/>
        <w:t xml:space="preserve">  ├── models.py        # Définition des tables SQLAlchemy</w:t>
        <w:br/>
        <w:t xml:space="preserve">  ├── schemas.py       # Validation Pydantic V2</w:t>
        <w:br/>
        <w:t xml:space="preserve">  ├── auth.py          # JWT, hachage bcrypt</w:t>
        <w:br/>
        <w:t xml:space="preserve">  ├── email_service.py # Module d'envoi SMTP (Gmail)</w:t>
        <w:br/>
        <w:t xml:space="preserve">  ├── pdf_generator.py # Générateur de rapport PDF candidat</w:t>
        <w:br/>
        <w:t xml:space="preserve">  └── routers/         # Routes REST modularisées</w:t>
        <w:br/>
        <w:t>ingestion/             # Traitement des fichiers de CV</w:t>
        <w:br/>
        <w:t xml:space="preserve">  └── traiter_cv.py    # Extraction de texte (pdfminer, docx)</w:t>
        <w:br/>
        <w:t>ia_agentic/            # Intelligence Artificielle</w:t>
        <w:br/>
        <w:t xml:space="preserve">  └── evaluer_candidature.py # Scoring sémantique &amp; Gemini</w:t>
        <w:br/>
      </w:r>
    </w:p>
    <w:p>
      <w:pPr>
        <w:spacing w:after="160" w:line="276" w:lineRule="auto"/>
        <w:jc w:val="both"/>
      </w:pPr>
      <w:r>
        <w:rPr>
          <w:rFonts w:ascii="Times New Roman" w:hAnsi="Times New Roman"/>
          <w:i/>
          <w:color w:val="333333"/>
          <w:sz w:val="22"/>
        </w:rPr>
        <w:t>Figure 3.1 — Organisation physique des fichiers du projet</w:t>
      </w:r>
    </w:p>
    <w:p>
      <w:pPr>
        <w:keepNext/>
        <w:spacing w:before="360" w:after="160"/>
      </w:pPr>
      <w:r>
        <w:rPr>
          <w:rFonts w:ascii="Times New Roman" w:hAnsi="Times New Roman"/>
          <w:b/>
          <w:color w:val="0066CC"/>
          <w:sz w:val="28"/>
        </w:rPr>
        <w:t>3.2 Couche Ingestion — Traitement des CVs</w:t>
      </w:r>
    </w:p>
    <w:p>
      <w:pPr>
        <w:spacing w:after="160" w:line="276" w:lineRule="auto"/>
        <w:jc w:val="both"/>
      </w:pPr>
      <w:r>
        <w:rPr>
          <w:rFonts w:ascii="Times New Roman" w:hAnsi="Times New Roman"/>
          <w:i w:val="0"/>
          <w:color w:val="333333"/>
          <w:sz w:val="22"/>
        </w:rPr>
        <w:t>Le module d'ingestion de CV (traiter_cv) extrait le texte en cascade :</w:t>
      </w:r>
    </w:p>
    <w:p>
      <w:pPr>
        <w:pStyle w:val="ListBullet"/>
        <w:spacing w:after="80" w:line="276" w:lineRule="auto"/>
      </w:pPr>
      <w:r>
        <w:rPr>
          <w:rFonts w:ascii="Times New Roman" w:hAnsi="Times New Roman"/>
          <w:b/>
          <w:color w:val="333333"/>
          <w:sz w:val="22"/>
        </w:rPr>
        <w:t>1. pdfplumber :</w:t>
      </w:r>
      <w:r>
        <w:rPr>
          <w:rFonts w:ascii="Times New Roman" w:hAnsi="Times New Roman"/>
          <w:color w:val="333333"/>
          <w:sz w:val="22"/>
        </w:rPr>
        <w:t>Tentative d'extraction native du texte du PDF.</w:t>
      </w:r>
    </w:p>
    <w:p>
      <w:pPr>
        <w:pStyle w:val="ListBullet"/>
        <w:spacing w:after="80" w:line="276" w:lineRule="auto"/>
      </w:pPr>
      <w:r>
        <w:rPr>
          <w:rFonts w:ascii="Times New Roman" w:hAnsi="Times New Roman"/>
          <w:b/>
          <w:color w:val="333333"/>
          <w:sz w:val="22"/>
        </w:rPr>
        <w:t>2. PyMuPDF (fitz) :</w:t>
      </w:r>
      <w:r>
        <w:rPr>
          <w:rFonts w:ascii="Times New Roman" w:hAnsi="Times New Roman"/>
          <w:color w:val="333333"/>
          <w:sz w:val="22"/>
        </w:rPr>
        <w:t>Fallback si le texte extrait est vide ou mal formaté.</w:t>
      </w:r>
    </w:p>
    <w:p>
      <w:pPr>
        <w:pStyle w:val="ListBullet"/>
        <w:spacing w:after="80" w:line="276" w:lineRule="auto"/>
      </w:pPr>
      <w:r>
        <w:rPr>
          <w:rFonts w:ascii="Times New Roman" w:hAnsi="Times New Roman"/>
          <w:b/>
          <w:color w:val="333333"/>
          <w:sz w:val="22"/>
        </w:rPr>
        <w:t>3. OCR Tesseract :</w:t>
      </w:r>
      <w:r>
        <w:rPr>
          <w:rFonts w:ascii="Times New Roman" w:hAnsi="Times New Roman"/>
          <w:color w:val="333333"/>
          <w:sz w:val="22"/>
        </w:rPr>
        <w:t>Rendu des pages en images HD à 300 DPI et exécution de Tesseract OCR pour lire le texte scanné.</w:t>
      </w:r>
    </w:p>
    <w:p>
      <w:pPr>
        <w:pStyle w:val="ListBullet"/>
        <w:spacing w:after="80" w:line="276" w:lineRule="auto"/>
      </w:pPr>
      <w:r>
        <w:rPr>
          <w:rFonts w:ascii="Times New Roman" w:hAnsi="Times New Roman"/>
          <w:b/>
          <w:color w:val="333333"/>
          <w:sz w:val="22"/>
        </w:rPr>
        <w:t>4. python-docx :</w:t>
      </w:r>
      <w:r>
        <w:rPr>
          <w:rFonts w:ascii="Times New Roman" w:hAnsi="Times New Roman"/>
          <w:color w:val="333333"/>
          <w:sz w:val="22"/>
        </w:rPr>
        <w:t>Extraction de texte des fichiers Word.</w:t>
      </w:r>
    </w:p>
    <w:p>
      <w:pPr>
        <w:spacing w:after="160" w:line="276" w:lineRule="auto"/>
        <w:jc w:val="both"/>
      </w:pPr>
      <w:r>
        <w:rPr>
          <w:rFonts w:ascii="Times New Roman" w:hAnsi="Times New Roman"/>
          <w:i w:val="0"/>
          <w:color w:val="333333"/>
          <w:sz w:val="22"/>
        </w:rPr>
        <w:t>Le texte extrait est ensuite nettoyé (normalisation Unicode NFC, fusion des ligatures PDF comme 'fi', 'fl', suppression des puces parasites) et structuré pour retourner un JSON standard contenant : Identité, email, téléphone, formation détectée, compétences présentes et années d'expérience.</w:t>
      </w:r>
    </w:p>
    <w:p>
      <w:pPr>
        <w:keepNext/>
        <w:spacing w:before="360" w:after="160"/>
      </w:pPr>
      <w:r>
        <w:rPr>
          <w:rFonts w:ascii="Times New Roman" w:hAnsi="Times New Roman"/>
          <w:b/>
          <w:color w:val="0066CC"/>
          <w:sz w:val="28"/>
        </w:rPr>
        <w:t>3.3 Couche IA Agentique — Scoring</w:t>
      </w:r>
    </w:p>
    <w:p>
      <w:pPr>
        <w:spacing w:after="160" w:line="276" w:lineRule="auto"/>
        <w:jc w:val="both"/>
      </w:pPr>
      <w:r>
        <w:rPr>
          <w:rFonts w:ascii="Times New Roman" w:hAnsi="Times New Roman"/>
          <w:i w:val="0"/>
          <w:color w:val="333333"/>
          <w:sz w:val="22"/>
        </w:rPr>
        <w:t>L'évaluation des candidats s'effectue selon la logique suivante :</w:t>
      </w:r>
    </w:p>
    <w:p>
      <w:pPr>
        <w:pStyle w:val="ListBullet"/>
        <w:spacing w:after="80" w:line="276" w:lineRule="auto"/>
      </w:pPr>
      <w:r>
        <w:rPr>
          <w:rFonts w:ascii="Times New Roman" w:hAnsi="Times New Roman"/>
          <w:b/>
          <w:color w:val="333333"/>
          <w:sz w:val="22"/>
        </w:rPr>
        <w:t>• Critères durs (hard_filter) :</w:t>
      </w:r>
      <w:r>
        <w:rPr>
          <w:rFonts w:ascii="Times New Roman" w:hAnsi="Times New Roman"/>
          <w:color w:val="333333"/>
          <w:sz w:val="22"/>
        </w:rPr>
        <w:t>Si le candidat ne répond pas à l'expérience minimale requise ou à une compétence obligatoire qualifiée d'éliminatoire, sa candidature est immédiatement classée en rejet automatique (Score = 0).</w:t>
      </w:r>
    </w:p>
    <w:p>
      <w:pPr>
        <w:pStyle w:val="ListBullet"/>
        <w:spacing w:after="80" w:line="276" w:lineRule="auto"/>
      </w:pPr>
      <w:r>
        <w:rPr>
          <w:rFonts w:ascii="Times New Roman" w:hAnsi="Times New Roman"/>
          <w:b/>
          <w:color w:val="333333"/>
          <w:sz w:val="22"/>
        </w:rPr>
        <w:t>• Scoring sémantique (embeddings_scorer) :</w:t>
      </w:r>
      <w:r>
        <w:rPr>
          <w:rFonts w:ascii="Times New Roman" w:hAnsi="Times New Roman"/>
          <w:color w:val="333333"/>
          <w:sz w:val="22"/>
        </w:rPr>
        <w:t>Pondération du score global sur 100 : 40% sur la similarité vectorielle (embeddings), 40% sur la présence des compétences clés, et 20% sur l'expérience professionnelle.</w:t>
      </w:r>
    </w:p>
    <w:p>
      <w:pPr>
        <w:pStyle w:val="ListBullet"/>
        <w:spacing w:after="80" w:line="276" w:lineRule="auto"/>
      </w:pPr>
      <w:r>
        <w:rPr>
          <w:rFonts w:ascii="Times New Roman" w:hAnsi="Times New Roman"/>
          <w:b/>
          <w:color w:val="333333"/>
          <w:sz w:val="22"/>
        </w:rPr>
        <w:t>• Justification LLM (llm_justifier) :</w:t>
      </w:r>
      <w:r>
        <w:rPr>
          <w:rFonts w:ascii="Times New Roman" w:hAnsi="Times New Roman"/>
          <w:color w:val="333333"/>
          <w:sz w:val="22"/>
        </w:rPr>
        <w:t>Si une clé d'API Groq est présente, le système utilise LLaMA 3.3. Sinon, il utilise un serveur Ollama local ou un moteur déterministe par défaut pour générer une explication saine et sans hallucination du score attribué.</w:t>
      </w:r>
    </w:p>
    <w:p>
      <w:pPr>
        <w:keepNext/>
        <w:spacing w:before="360" w:after="160"/>
      </w:pPr>
      <w:r>
        <w:rPr>
          <w:rFonts w:ascii="Times New Roman" w:hAnsi="Times New Roman"/>
          <w:b/>
          <w:color w:val="0066CC"/>
          <w:sz w:val="28"/>
        </w:rPr>
        <w:t>3.4 API REST Backend</w:t>
      </w:r>
    </w:p>
    <w:p>
      <w:pPr>
        <w:spacing w:after="160" w:line="276" w:lineRule="auto"/>
        <w:jc w:val="both"/>
      </w:pPr>
      <w:r>
        <w:rPr>
          <w:rFonts w:ascii="Times New Roman" w:hAnsi="Times New Roman"/>
          <w:i w:val="0"/>
          <w:color w:val="333333"/>
          <w:sz w:val="22"/>
        </w:rPr>
        <w:t>Le backend FastAPI expose ses points d'entrée (endpoints) documentés et interactifs :</w:t>
      </w:r>
    </w:p>
    <w:tbl>
      <w:tblPr>
        <w:tblW w:type="auto" w:w="0"/>
        <w:jc w:val="center"/>
        <w:tblLook w:firstColumn="1" w:firstRow="1" w:lastColumn="0" w:lastRow="0" w:noHBand="0" w:noVBand="1" w:val="04A0"/>
      </w:tblPr>
      <w:tblGrid>
        <w:gridCol w:w="3120"/>
        <w:gridCol w:w="3120"/>
        <w:gridCol w:w="3120"/>
      </w:tblGrid>
      <w:tr>
        <w:tc>
          <w:tcPr>
            <w:tcW w:type="dxa" w:w="3120"/>
            <w:shd w:fill="003366"/>
          </w:tcPr>
          <w:p>
            <w:r>
              <w:rPr>
                <w:b/>
                <w:color w:val="FFFFFF"/>
              </w:rPr>
              <w:t>Méthode &amp; URL</w:t>
            </w:r>
          </w:p>
        </w:tc>
        <w:tc>
          <w:tcPr>
            <w:tcW w:type="dxa" w:w="3120"/>
            <w:shd w:fill="003366"/>
          </w:tcPr>
          <w:p>
            <w:r>
              <w:rPr>
                <w:b/>
                <w:color w:val="FFFFFF"/>
              </w:rPr>
              <w:t>Rôle applicatif</w:t>
            </w:r>
          </w:p>
        </w:tc>
        <w:tc>
          <w:tcPr>
            <w:tcW w:type="dxa" w:w="3120"/>
            <w:shd w:fill="003366"/>
          </w:tcPr>
          <w:p>
            <w:r>
              <w:rPr>
                <w:b/>
                <w:color w:val="FFFFFF"/>
              </w:rPr>
              <w:t>Sécurisation</w:t>
            </w:r>
          </w:p>
        </w:tc>
      </w:tr>
      <w:tr>
        <w:tc>
          <w:tcPr>
            <w:tcW w:type="dxa" w:w="3120"/>
          </w:tcPr>
          <w:p>
            <w:r>
              <w:t>POST /api/auth/login</w:t>
            </w:r>
          </w:p>
        </w:tc>
        <w:tc>
          <w:tcPr>
            <w:tcW w:type="dxa" w:w="3120"/>
          </w:tcPr>
          <w:p>
            <w:r>
              <w:t>Authentification du recruteur et obtention du token JWT.</w:t>
            </w:r>
          </w:p>
        </w:tc>
        <w:tc>
          <w:tcPr>
            <w:tcW w:type="dxa" w:w="3120"/>
          </w:tcPr>
          <w:p>
            <w:r>
              <w:t>Public</w:t>
            </w:r>
          </w:p>
        </w:tc>
      </w:tr>
      <w:tr>
        <w:tc>
          <w:tcPr>
            <w:tcW w:type="dxa" w:w="3120"/>
          </w:tcPr>
          <w:p>
            <w:r>
              <w:t>POST /api/offres</w:t>
            </w:r>
          </w:p>
        </w:tc>
        <w:tc>
          <w:tcPr>
            <w:tcW w:type="dxa" w:w="3120"/>
          </w:tcPr>
          <w:p>
            <w:r>
              <w:t>Création d'une nouvelle offre d'emploi active.</w:t>
            </w:r>
          </w:p>
        </w:tc>
        <w:tc>
          <w:tcPr>
            <w:tcW w:type="dxa" w:w="3120"/>
          </w:tcPr>
          <w:p>
            <w:r>
              <w:t>JWT (Bearer Token)</w:t>
            </w:r>
          </w:p>
        </w:tc>
      </w:tr>
      <w:tr>
        <w:tc>
          <w:tcPr>
            <w:tcW w:type="dxa" w:w="3120"/>
          </w:tcPr>
          <w:p>
            <w:r>
              <w:t>POST /api/public/candidatures</w:t>
            </w:r>
          </w:p>
        </w:tc>
        <w:tc>
          <w:tcPr>
            <w:tcW w:type="dxa" w:w="3120"/>
          </w:tcPr>
          <w:p>
            <w:r>
              <w:t>Soumission d'une candidature publique avec CV en pièce jointe.</w:t>
            </w:r>
          </w:p>
        </w:tc>
        <w:tc>
          <w:tcPr>
            <w:tcW w:type="dxa" w:w="3120"/>
          </w:tcPr>
          <w:p>
            <w:r>
              <w:t>Public</w:t>
            </w:r>
          </w:p>
        </w:tc>
      </w:tr>
      <w:tr>
        <w:tc>
          <w:tcPr>
            <w:tcW w:type="dxa" w:w="3120"/>
          </w:tcPr>
          <w:p>
            <w:r>
              <w:t>GET /api/candidatures</w:t>
            </w:r>
          </w:p>
        </w:tc>
        <w:tc>
          <w:tcPr>
            <w:tcW w:type="dxa" w:w="3120"/>
          </w:tcPr>
          <w:p>
            <w:r>
              <w:t>Lister toutes les candidatures triées par score décroissant.</w:t>
            </w:r>
          </w:p>
        </w:tc>
        <w:tc>
          <w:tcPr>
            <w:tcW w:type="dxa" w:w="3120"/>
          </w:tcPr>
          <w:p>
            <w:r>
              <w:t>JWT (Bearer Token)</w:t>
            </w:r>
          </w:p>
        </w:tc>
      </w:tr>
      <w:tr>
        <w:tc>
          <w:tcPr>
            <w:tcW w:type="dxa" w:w="3120"/>
          </w:tcPr>
          <w:p>
            <w:r>
              <w:t>POST /api/candidatures/{id}/convocation</w:t>
            </w:r>
          </w:p>
        </w:tc>
        <w:tc>
          <w:tcPr>
            <w:tcW w:type="dxa" w:w="3120"/>
          </w:tcPr>
          <w:p>
            <w:r>
              <w:t>Définir la date d'entretien et envoyer l'e-mail de convocation.</w:t>
            </w:r>
          </w:p>
        </w:tc>
        <w:tc>
          <w:tcPr>
            <w:tcW w:type="dxa" w:w="3120"/>
          </w:tcPr>
          <w:p>
            <w:r>
              <w:t>JWT (Bearer Token)</w:t>
            </w:r>
          </w:p>
        </w:tc>
      </w:tr>
      <w:tr>
        <w:tc>
          <w:tcPr>
            <w:tcW w:type="dxa" w:w="3120"/>
          </w:tcPr>
          <w:p>
            <w:r>
              <w:t>GET /api/candidatures/{id}/pdf</w:t>
            </w:r>
          </w:p>
        </w:tc>
        <w:tc>
          <w:tcPr>
            <w:tcW w:type="dxa" w:w="3120"/>
          </w:tcPr>
          <w:p>
            <w:r>
              <w:t>Télécharger le rapport d'évaluation RH au format PDF officiel.</w:t>
            </w:r>
          </w:p>
        </w:tc>
        <w:tc>
          <w:tcPr>
            <w:tcW w:type="dxa" w:w="3120"/>
          </w:tcPr>
          <w:p>
            <w:r>
              <w:t>JWT (Bearer Token)</w:t>
            </w:r>
          </w:p>
        </w:tc>
      </w:tr>
    </w:tbl>
    <w:p>
      <w:pPr>
        <w:spacing w:after="160" w:line="276" w:lineRule="auto"/>
        <w:jc w:val="both"/>
      </w:pPr>
      <w:r>
        <w:rPr>
          <w:rFonts w:ascii="Times New Roman" w:hAnsi="Times New Roman"/>
          <w:i/>
          <w:color w:val="333333"/>
          <w:sz w:val="22"/>
        </w:rPr>
        <w:t>Tableau 3.1 — Liste des endpoints de l'API REST de RecrutIA</w:t>
      </w:r>
    </w:p>
    <w:p>
      <w:pPr>
        <w:keepNext/>
        <w:spacing w:before="360" w:after="160"/>
      </w:pPr>
      <w:r>
        <w:rPr>
          <w:rFonts w:ascii="Times New Roman" w:hAnsi="Times New Roman"/>
          <w:b/>
          <w:color w:val="0066CC"/>
          <w:sz w:val="28"/>
        </w:rPr>
        <w:t>3.5 Interfaces Utilisateur du Dashboard RH</w:t>
      </w:r>
    </w:p>
    <w:p>
      <w:pPr>
        <w:spacing w:after="160" w:line="276" w:lineRule="auto"/>
        <w:jc w:val="both"/>
      </w:pPr>
      <w:r>
        <w:rPr>
          <w:rFonts w:ascii="Times New Roman" w:hAnsi="Times New Roman"/>
          <w:i w:val="0"/>
          <w:color w:val="333333"/>
          <w:sz w:val="22"/>
        </w:rPr>
        <w:t>Le Dashboard RH offre une interface Web complète et ergonomique :</w:t>
      </w:r>
    </w:p>
    <w:p>
      <w:pPr>
        <w:pStyle w:val="ListBullet"/>
        <w:spacing w:after="80" w:line="276" w:lineRule="auto"/>
      </w:pPr>
      <w:r>
        <w:rPr>
          <w:rFonts w:ascii="Times New Roman" w:hAnsi="Times New Roman"/>
          <w:b/>
          <w:color w:val="333333"/>
          <w:sz w:val="22"/>
        </w:rPr>
        <w:t>• Page de Connexion :</w:t>
      </w:r>
      <w:r>
        <w:rPr>
          <w:rFonts w:ascii="Times New Roman" w:hAnsi="Times New Roman"/>
          <w:color w:val="333333"/>
          <w:sz w:val="22"/>
        </w:rPr>
        <w:t>Vérification des identifiants et stockage local du token d'accès.</w:t>
      </w:r>
    </w:p>
    <w:p>
      <w:pPr>
        <w:pStyle w:val="ListBullet"/>
        <w:spacing w:after="80" w:line="276" w:lineRule="auto"/>
      </w:pPr>
      <w:r>
        <w:rPr>
          <w:rFonts w:ascii="Times New Roman" w:hAnsi="Times New Roman"/>
          <w:b/>
          <w:color w:val="333333"/>
          <w:sz w:val="22"/>
        </w:rPr>
        <w:t>• Tableau de Bord &amp; KPIs :</w:t>
      </w:r>
      <w:r>
        <w:rPr>
          <w:rFonts w:ascii="Times New Roman" w:hAnsi="Times New Roman"/>
          <w:color w:val="333333"/>
          <w:sz w:val="22"/>
        </w:rPr>
        <w:t>Présente en temps réel la répartition des candidatures par statut (Donut Chart), le taux de conversion des étapes de recrutement (Funnel Pipeline) et les KPIs généraux.</w:t>
      </w:r>
    </w:p>
    <w:p>
      <w:pPr>
        <w:pStyle w:val="ListBullet"/>
        <w:spacing w:after="80" w:line="276" w:lineRule="auto"/>
      </w:pPr>
      <w:r>
        <w:rPr>
          <w:rFonts w:ascii="Times New Roman" w:hAnsi="Times New Roman"/>
          <w:b/>
          <w:color w:val="333333"/>
          <w:sz w:val="22"/>
        </w:rPr>
        <w:t>• Gestion des Offres :</w:t>
      </w:r>
      <w:r>
        <w:rPr>
          <w:rFonts w:ascii="Times New Roman" w:hAnsi="Times New Roman"/>
          <w:color w:val="333333"/>
          <w:sz w:val="22"/>
        </w:rPr>
        <w:t>Les recruteurs peuvent modifier, désactiver ou supprimer les fiches d'offres directement depuis l'écran central.</w:t>
      </w:r>
    </w:p>
    <w:p>
      <w:pPr>
        <w:pStyle w:val="ListBullet"/>
        <w:spacing w:after="80" w:line="276" w:lineRule="auto"/>
      </w:pPr>
      <w:r>
        <w:rPr>
          <w:rFonts w:ascii="Times New Roman" w:hAnsi="Times New Roman"/>
          <w:b/>
          <w:color w:val="333333"/>
          <w:sz w:val="22"/>
        </w:rPr>
        <w:t>• Fiche Candidat Détaillée :</w:t>
      </w:r>
      <w:r>
        <w:rPr>
          <w:rFonts w:ascii="Times New Roman" w:hAnsi="Times New Roman"/>
          <w:color w:val="333333"/>
          <w:sz w:val="22"/>
        </w:rPr>
        <w:t>Permet de consulter le CV original, de lire la justification de l'IA, de voir les questions d'entretiens générées à la volée, de modifier le score manuellement, de planifier un entretien et d'envoyer l'e-mail automatique.</w:t>
      </w:r>
    </w:p>
    <w:p>
      <w:pPr>
        <w:pStyle w:val="ListBullet"/>
        <w:spacing w:after="80" w:line="276" w:lineRule="auto"/>
      </w:pPr>
      <w:r>
        <w:rPr>
          <w:rFonts w:ascii="Times New Roman" w:hAnsi="Times New Roman"/>
          <w:b/>
          <w:color w:val="333333"/>
          <w:sz w:val="22"/>
        </w:rPr>
        <w:t>• Calendrier des Entretiens :</w:t>
      </w:r>
      <w:r>
        <w:rPr>
          <w:rFonts w:ascii="Times New Roman" w:hAnsi="Times New Roman"/>
          <w:color w:val="333333"/>
          <w:sz w:val="22"/>
        </w:rPr>
        <w:t>Affiche un planning ordonné par date de tous les entretiens programmés en visioconférence ou en présentiel.</w:t>
      </w:r>
    </w:p>
    <w:p>
      <w:pPr>
        <w:pStyle w:val="ListBullet"/>
        <w:spacing w:after="80" w:line="276" w:lineRule="auto"/>
      </w:pPr>
      <w:r>
        <w:rPr>
          <w:rFonts w:ascii="Times New Roman" w:hAnsi="Times New Roman"/>
          <w:b/>
          <w:color w:val="333333"/>
          <w:sz w:val="22"/>
        </w:rPr>
        <w:t>• Journal d'Audit :</w:t>
      </w:r>
      <w:r>
        <w:rPr>
          <w:rFonts w:ascii="Times New Roman" w:hAnsi="Times New Roman"/>
          <w:color w:val="333333"/>
          <w:sz w:val="22"/>
        </w:rPr>
        <w:t>Trace l'ensemble des décisions prises par les différents chargés de recrutement.</w:t>
      </w:r>
    </w:p>
    <w:p>
      <w:pPr>
        <w:keepNext/>
        <w:spacing w:before="360" w:after="160"/>
      </w:pPr>
      <w:r>
        <w:rPr>
          <w:rFonts w:ascii="Times New Roman" w:hAnsi="Times New Roman"/>
          <w:b/>
          <w:color w:val="0066CC"/>
          <w:sz w:val="28"/>
        </w:rPr>
        <w:t>3.6 Tests et validation (Bilan des 35 Tests)</w:t>
      </w:r>
    </w:p>
    <w:p>
      <w:pPr>
        <w:spacing w:after="160" w:line="276" w:lineRule="auto"/>
        <w:jc w:val="both"/>
      </w:pPr>
      <w:r>
        <w:rPr>
          <w:rFonts w:ascii="Times New Roman" w:hAnsi="Times New Roman"/>
          <w:i w:val="0"/>
          <w:color w:val="333333"/>
          <w:sz w:val="22"/>
        </w:rPr>
        <w:t>Pour garantir la fiabilité de la plateforme, une suite complète de **35 tests automatisés** a été développée et exécutée via `pytest` :</w:t>
      </w:r>
    </w:p>
    <w:p>
      <w:pPr>
        <w:spacing w:before="120" w:after="120"/>
        <w:ind w:left="360"/>
      </w:pPr>
      <w:r>
        <w:rPr>
          <w:rFonts w:ascii="Consolas" w:hAnsi="Consolas"/>
          <w:color w:val="1E1E1E"/>
          <w:sz w:val="19"/>
        </w:rPr>
        <w:br/>
        <w:t>============================= test session starts =============================</w:t>
        <w:br/>
        <w:t>platform win32 -- Python 3.12.9, pytest-9.1.1, pluggy-1.6.0</w:t>
        <w:br/>
        <w:t>collected 35 items</w:t>
        <w:br/>
        <w:br/>
        <w:t>tests/test_ingestion.py :: TestCleaner::test_espaces_multiples PASSED</w:t>
        <w:br/>
        <w:t>tests/test_ingestion.py :: TestCleaner::test_ligatures_pdf PASSED</w:t>
        <w:br/>
        <w:t>tests/test_ingestion.py :: TestParser::test_experience_calcul_dates PASSED</w:t>
        <w:br/>
        <w:t>tests/test_ingestion.py :: TestParser::test_formation_master PASSED</w:t>
        <w:br/>
        <w:t>tests/test_ia_agentic.py :: TestIA::test_scoring_optimal PASSED</w:t>
        <w:br/>
        <w:t>tests/test_ia_agentic.py :: TestIA::test_rejet_critere_dur PASSED</w:t>
        <w:br/>
        <w:t>tests/test_backend.py :: TestBackendAPI::test_creer_offre PASSED</w:t>
        <w:br/>
        <w:t>tests/test_backend.py :: TestBackendAPI::test_soumettre_candidature PASSED</w:t>
        <w:br/>
        <w:t>tests/test_backend.py :: TestBackendAPI::test_enregistrer_decision_rh PASSED</w:t>
        <w:br/>
        <w:br/>
        <w:t>============================== 35 passed in 3.82s ==============================</w:t>
        <w:br/>
      </w:r>
    </w:p>
    <w:p>
      <w:pPr>
        <w:spacing w:after="160" w:line="276" w:lineRule="auto"/>
        <w:jc w:val="both"/>
      </w:pPr>
      <w:r>
        <w:rPr>
          <w:rFonts w:ascii="Times New Roman" w:hAnsi="Times New Roman"/>
          <w:i/>
          <w:color w:val="333333"/>
          <w:sz w:val="22"/>
        </w:rPr>
        <w:t>Le taux de réussite de la suite de tests est de **100% (35/35 tests validés)**, confirmant la stabilité logique et applicative de RecrutIA.</w:t>
      </w:r>
    </w:p>
    <w:p>
      <w:r>
        <w:br w:type="page"/>
      </w:r>
    </w:p>
    <w:p>
      <w:pPr>
        <w:keepNext/>
        <w:spacing w:before="480" w:after="240"/>
      </w:pPr>
      <w:r>
        <w:rPr>
          <w:rFonts w:ascii="Times New Roman" w:hAnsi="Times New Roman"/>
          <w:b/>
          <w:color w:val="003366"/>
          <w:sz w:val="36"/>
        </w:rPr>
        <w:t>CONCLUSION GÉNÉRALE</w:t>
      </w:r>
    </w:p>
    <w:p>
      <w:pPr>
        <w:spacing w:after="160" w:line="276" w:lineRule="auto"/>
        <w:jc w:val="both"/>
      </w:pPr>
      <w:r>
        <w:rPr>
          <w:rFonts w:ascii="Times New Roman" w:hAnsi="Times New Roman"/>
          <w:i w:val="0"/>
          <w:color w:val="333333"/>
          <w:sz w:val="22"/>
        </w:rPr>
        <w:t>Le projet de fin d'études portant sur le développement de la plateforme RecrutIA s'est achevé avec succès au sein d'ArtiWeb. L'application répond de manière rigoureuse aux limites du tri manuel traditionnel.</w:t>
      </w:r>
    </w:p>
    <w:p>
      <w:pPr>
        <w:keepNext/>
        <w:spacing w:before="360" w:after="160"/>
      </w:pPr>
      <w:r>
        <w:rPr>
          <w:rFonts w:ascii="Times New Roman" w:hAnsi="Times New Roman"/>
          <w:b/>
          <w:color w:val="0066CC"/>
          <w:sz w:val="28"/>
        </w:rPr>
        <w:t>Résultats obtenus</w:t>
      </w:r>
    </w:p>
    <w:p>
      <w:pPr>
        <w:pStyle w:val="ListBullet"/>
        <w:spacing w:after="80" w:line="276" w:lineRule="auto"/>
      </w:pPr>
      <w:r>
        <w:rPr>
          <w:rFonts w:ascii="Times New Roman" w:hAnsi="Times New Roman"/>
          <w:b/>
          <w:color w:val="333333"/>
          <w:sz w:val="22"/>
        </w:rPr>
        <w:t>• Gain de temps majeur :</w:t>
      </w:r>
      <w:r>
        <w:rPr>
          <w:rFonts w:ascii="Times New Roman" w:hAnsi="Times New Roman"/>
          <w:color w:val="333333"/>
          <w:sz w:val="22"/>
        </w:rPr>
        <w:t>Le temps d'analyse et de scoring d'une candidature a été réduit à moins d'une seconde.</w:t>
      </w:r>
    </w:p>
    <w:p>
      <w:pPr>
        <w:pStyle w:val="ListBullet"/>
        <w:spacing w:after="80" w:line="276" w:lineRule="auto"/>
      </w:pPr>
      <w:r>
        <w:rPr>
          <w:rFonts w:ascii="Times New Roman" w:hAnsi="Times New Roman"/>
          <w:b/>
          <w:color w:val="333333"/>
          <w:sz w:val="22"/>
        </w:rPr>
        <w:t>• Objectivité renforcée :</w:t>
      </w:r>
      <w:r>
        <w:rPr>
          <w:rFonts w:ascii="Times New Roman" w:hAnsi="Times New Roman"/>
          <w:color w:val="333333"/>
          <w:sz w:val="22"/>
        </w:rPr>
        <w:t>Le tri est basé sur des formules sémantiques claires et justifiées, supprimant les facteurs de fatigue des chargés de recrutement.</w:t>
      </w:r>
    </w:p>
    <w:p>
      <w:pPr>
        <w:pStyle w:val="ListBullet"/>
        <w:spacing w:after="80" w:line="276" w:lineRule="auto"/>
      </w:pPr>
      <w:r>
        <w:rPr>
          <w:rFonts w:ascii="Times New Roman" w:hAnsi="Times New Roman"/>
          <w:b/>
          <w:color w:val="333333"/>
          <w:sz w:val="22"/>
        </w:rPr>
        <w:t>• Traçabilité complète :</w:t>
      </w:r>
      <w:r>
        <w:rPr>
          <w:rFonts w:ascii="Times New Roman" w:hAnsi="Times New Roman"/>
          <w:color w:val="333333"/>
          <w:sz w:val="22"/>
        </w:rPr>
        <w:t>L'AuditLog centralisé offre une visibilité totale sur l'historique des choix.</w:t>
      </w:r>
    </w:p>
    <w:p>
      <w:pPr>
        <w:pStyle w:val="ListBullet"/>
        <w:spacing w:after="80" w:line="276" w:lineRule="auto"/>
      </w:pPr>
      <w:r>
        <w:rPr>
          <w:rFonts w:ascii="Times New Roman" w:hAnsi="Times New Roman"/>
          <w:b/>
          <w:color w:val="333333"/>
          <w:sz w:val="22"/>
        </w:rPr>
        <w:t>• Automatisation des convocations :</w:t>
      </w:r>
      <w:r>
        <w:rPr>
          <w:rFonts w:ascii="Times New Roman" w:hAnsi="Times New Roman"/>
          <w:color w:val="333333"/>
          <w:sz w:val="22"/>
        </w:rPr>
        <w:t>L'intégration de SMTP Gmail permet l'envoi instantané de convocations à la date validée.</w:t>
      </w:r>
    </w:p>
    <w:p>
      <w:pPr>
        <w:keepNext/>
        <w:spacing w:before="360" w:after="160"/>
      </w:pPr>
      <w:r>
        <w:rPr>
          <w:rFonts w:ascii="Times New Roman" w:hAnsi="Times New Roman"/>
          <w:b/>
          <w:color w:val="0066CC"/>
          <w:sz w:val="28"/>
        </w:rPr>
        <w:t>Perspectives d'Évolution et Améliorations de Sûreté</w:t>
      </w:r>
    </w:p>
    <w:p>
      <w:pPr>
        <w:pStyle w:val="ListBullet"/>
        <w:spacing w:after="80" w:line="276" w:lineRule="auto"/>
      </w:pPr>
      <w:r>
        <w:rPr>
          <w:rFonts w:ascii="Times New Roman" w:hAnsi="Times New Roman"/>
          <w:b/>
          <w:color w:val="333333"/>
          <w:sz w:val="22"/>
        </w:rPr>
        <w:t>1. Restriction de l'inscription :</w:t>
      </w:r>
      <w:r>
        <w:rPr>
          <w:rFonts w:ascii="Times New Roman" w:hAnsi="Times New Roman"/>
          <w:color w:val="333333"/>
          <w:sz w:val="22"/>
        </w:rPr>
        <w:t>L'inscription de nouveaux recruteurs (endpoint /api/auth/register) sera réservée aux administrateurs pour éviter tout compte sauvage.</w:t>
      </w:r>
    </w:p>
    <w:p>
      <w:pPr>
        <w:pStyle w:val="ListBullet"/>
        <w:spacing w:after="80" w:line="276" w:lineRule="auto"/>
      </w:pPr>
      <w:r>
        <w:rPr>
          <w:rFonts w:ascii="Times New Roman" w:hAnsi="Times New Roman"/>
          <w:b/>
          <w:color w:val="333333"/>
          <w:sz w:val="22"/>
        </w:rPr>
        <w:t>2. Protection Brute-Force :</w:t>
      </w:r>
      <w:r>
        <w:rPr>
          <w:rFonts w:ascii="Times New Roman" w:hAnsi="Times New Roman"/>
          <w:color w:val="333333"/>
          <w:sz w:val="22"/>
        </w:rPr>
        <w:t>Mise en place d'un blocage temporaire d'IP ou de compte après plusieurs échecs de mot de passe.</w:t>
      </w:r>
    </w:p>
    <w:p>
      <w:pPr>
        <w:pStyle w:val="ListBullet"/>
        <w:spacing w:after="80" w:line="276" w:lineRule="auto"/>
      </w:pPr>
      <w:r>
        <w:rPr>
          <w:rFonts w:ascii="Times New Roman" w:hAnsi="Times New Roman"/>
          <w:b/>
          <w:color w:val="333333"/>
          <w:sz w:val="22"/>
        </w:rPr>
        <w:t>3. Magic Bytes des fichiers :</w:t>
      </w:r>
      <w:r>
        <w:rPr>
          <w:rFonts w:ascii="Times New Roman" w:hAnsi="Times New Roman"/>
          <w:color w:val="333333"/>
          <w:sz w:val="22"/>
        </w:rPr>
        <w:t>Validation du type MIME des CVs en lisant les premiers octets du fichier, évitant le téléversement de scripts malveillants masqués en PDF.</w:t>
      </w:r>
    </w:p>
    <w:p>
      <w:pPr>
        <w:pStyle w:val="ListBullet"/>
        <w:spacing w:after="80" w:line="276" w:lineRule="auto"/>
      </w:pPr>
      <w:r>
        <w:rPr>
          <w:rFonts w:ascii="Times New Roman" w:hAnsi="Times New Roman"/>
          <w:b/>
          <w:color w:val="333333"/>
          <w:sz w:val="22"/>
        </w:rPr>
        <w:t>4. Évolutivité de la base de données :</w:t>
      </w:r>
      <w:r>
        <w:rPr>
          <w:rFonts w:ascii="Times New Roman" w:hAnsi="Times New Roman"/>
          <w:color w:val="333333"/>
          <w:sz w:val="22"/>
        </w:rPr>
        <w:t>Migration de SQLite vers PostgreSQL en production pour une meilleure gestion de la concurrence.</w:t>
      </w:r>
    </w:p>
    <w:p>
      <w:r>
        <w:br w:type="page"/>
      </w:r>
    </w:p>
    <w:p>
      <w:pPr>
        <w:keepNext/>
        <w:spacing w:before="480" w:after="240"/>
      </w:pPr>
      <w:r>
        <w:rPr>
          <w:rFonts w:ascii="Times New Roman" w:hAnsi="Times New Roman"/>
          <w:b/>
          <w:color w:val="003366"/>
          <w:sz w:val="36"/>
        </w:rPr>
        <w:t>RÉFÉRENCES</w:t>
      </w:r>
    </w:p>
    <w:p>
      <w:pPr>
        <w:spacing w:after="160" w:line="276" w:lineRule="auto"/>
        <w:jc w:val="both"/>
      </w:pPr>
      <w:r>
        <w:rPr>
          <w:rFonts w:ascii="Times New Roman" w:hAnsi="Times New Roman"/>
          <w:i w:val="0"/>
          <w:color w:val="333333"/>
          <w:sz w:val="22"/>
        </w:rPr>
        <w:t>[1] FastAPI Documentation — Tiangolo, S. https://fastapi.tiangolo.com/</w:t>
      </w:r>
    </w:p>
    <w:p>
      <w:pPr>
        <w:spacing w:after="160" w:line="276" w:lineRule="auto"/>
        <w:jc w:val="both"/>
      </w:pPr>
      <w:r>
        <w:rPr>
          <w:rFonts w:ascii="Times New Roman" w:hAnsi="Times New Roman"/>
          <w:i w:val="0"/>
          <w:color w:val="333333"/>
          <w:sz w:val="22"/>
        </w:rPr>
        <w:t>[2] SQLAlchemy ORM — The Python SQL Toolkit. https://docs.sqlalchemy.org/</w:t>
      </w:r>
    </w:p>
    <w:p>
      <w:pPr>
        <w:spacing w:after="160" w:line="276" w:lineRule="auto"/>
        <w:jc w:val="both"/>
      </w:pPr>
      <w:r>
        <w:rPr>
          <w:rFonts w:ascii="Times New Roman" w:hAnsi="Times New Roman"/>
          <w:i w:val="0"/>
          <w:color w:val="333333"/>
          <w:sz w:val="22"/>
        </w:rPr>
        <w:t>[3] Sentence-BERT: Sentence Embeddings using Siamese BERT-Networks — Reimers, N., &amp; Gurevych, I. (2019). https://www.sbert.net/</w:t>
      </w:r>
    </w:p>
    <w:p>
      <w:pPr>
        <w:spacing w:after="160" w:line="276" w:lineRule="auto"/>
        <w:jc w:val="both"/>
      </w:pPr>
      <w:r>
        <w:rPr>
          <w:rFonts w:ascii="Times New Roman" w:hAnsi="Times New Roman"/>
          <w:i w:val="0"/>
          <w:color w:val="333333"/>
          <w:sz w:val="22"/>
        </w:rPr>
        <w:t>[4] Google Gemini API — AI Reference Guide. https://ai.google.dev/</w:t>
      </w:r>
    </w:p>
    <w:p>
      <w:pPr>
        <w:spacing w:after="160" w:line="276" w:lineRule="auto"/>
        <w:jc w:val="both"/>
      </w:pPr>
      <w:r>
        <w:rPr>
          <w:rFonts w:ascii="Times New Roman" w:hAnsi="Times New Roman"/>
          <w:i w:val="0"/>
          <w:color w:val="333333"/>
          <w:sz w:val="22"/>
        </w:rPr>
        <w:t>[5] OWASP JWT Security Cheat Sheet. https://cheatsheetseries.owasp.org/</w:t>
      </w:r>
    </w:p>
    <w:p>
      <w:pPr>
        <w:spacing w:after="160" w:line="276" w:lineRule="auto"/>
        <w:jc w:val="both"/>
      </w:pPr>
      <w:r>
        <w:rPr>
          <w:rFonts w:ascii="Times New Roman" w:hAnsi="Times New Roman"/>
          <w:i w:val="0"/>
          <w:color w:val="333333"/>
          <w:sz w:val="22"/>
        </w:rPr>
        <w:t>[6] pdfplumber Python package. https://github.com/jsvine/pdfplumber</w:t>
      </w:r>
    </w:p>
    <w:p>
      <w:pPr>
        <w:spacing w:after="160" w:line="276" w:lineRule="auto"/>
        <w:jc w:val="both"/>
      </w:pPr>
      <w:r>
        <w:rPr>
          <w:rFonts w:ascii="Times New Roman" w:hAnsi="Times New Roman"/>
          <w:i w:val="0"/>
          <w:color w:val="333333"/>
          <w:sz w:val="22"/>
        </w:rPr>
        <w:t>[7] python-docx Microsoft Word creator. https://python-docx.readthedocs.io/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