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24"/>
        </w:rPr>
        <w:t>Which reference organisms exercise which rapid panel targets?</w:t>
      </w:r>
      <w:r>
        <w:br/>
      </w:r>
      <w:r>
        <w:rPr>
          <w:b/>
          <w:sz w:val="24"/>
        </w:rPr>
        <w:t>An open crosswalk of the CDC &amp; FDA Antimicrobial Resistance Isolate Bank to FDA-cleared blood culture identification panels, with an external reference-method check of a U.S. benchmark</w:t>
      </w:r>
    </w:p>
    <w:p>
      <w:pPr>
        <w:jc w:val="center"/>
      </w:pPr>
      <w:r>
        <w:rPr>
          <w:sz w:val="20"/>
        </w:rPr>
        <w:t xml:space="preserve">Fatima Abdulwahab </w:t>
      </w:r>
      <w:r>
        <w:drawing>
          <wp:inline xmlns:a="http://schemas.openxmlformats.org/drawingml/2006/main" xmlns:pic="http://schemas.openxmlformats.org/drawingml/2006/picture">
            <wp:extent cx="101600" cy="101600"/>
            <wp:docPr id="1" name="Picture 1"/>
            <wp:cNvGraphicFramePr>
              <a:graphicFrameLocks noChangeAspect="1"/>
            </wp:cNvGraphicFramePr>
            <a:graphic>
              <a:graphicData uri="http://schemas.openxmlformats.org/drawingml/2006/picture">
                <pic:pic>
                  <pic:nvPicPr>
                    <pic:cNvPr id="0" name="orcid_icon.png"/>
                    <pic:cNvPicPr/>
                  </pic:nvPicPr>
                  <pic:blipFill>
                    <a:blip r:embed="rId9"/>
                    <a:stretch>
                      <a:fillRect/>
                    </a:stretch>
                  </pic:blipFill>
                  <pic:spPr>
                    <a:xfrm>
                      <a:off x="0" y="0"/>
                      <a:ext cx="101600" cy="101600"/>
                    </a:xfrm>
                    <a:prstGeom prst="rect"/>
                  </pic:spPr>
                </pic:pic>
              </a:graphicData>
            </a:graphic>
          </wp:inline>
        </w:drawing>
      </w:r>
      <w:r>
        <w:rPr>
          <w:vertAlign w:val="superscript"/>
        </w:rPr>
        <w:t xml:space="preserve"> 1,*</w:t>
      </w:r>
    </w:p>
    <w:p>
      <w:pPr>
        <w:spacing w:after="40"/>
        <w:jc w:val="center"/>
      </w:pPr>
      <w:r>
        <w:rPr>
          <w:sz w:val="18"/>
          <w:vertAlign w:val="superscript"/>
        </w:rPr>
        <w:t>1</w:t>
      </w:r>
      <w:r>
        <w:rPr>
          <w:i/>
          <w:sz w:val="18"/>
        </w:rPr>
        <w:t>Independent Researcher, Dallas, Texas, USA</w:t>
      </w:r>
    </w:p>
    <w:p>
      <w:pPr>
        <w:spacing w:after="200"/>
        <w:jc w:val="center"/>
      </w:pPr>
      <w:r>
        <w:rPr>
          <w:sz w:val="16"/>
        </w:rPr>
        <w:t>*</w:t>
      </w:r>
      <w:hyperlink r:id="rId10">
        <w:r>
          <w:rPr>
            <w:color w:val="0000B3"/>
          </w:rPr>
          <w:t xml:space="preserve">abdulwahabfatima43@gmail.com</w:t>
        </w:r>
      </w:hyperlink>
      <w:r>
        <w:rPr>
          <w:sz w:val="16"/>
        </w:rPr>
        <w:t xml:space="preserve"> · ORCID </w:t>
      </w:r>
      <w:hyperlink r:id="rId11">
        <w:r>
          <w:rPr>
            <w:color w:val="0000B3"/>
          </w:rPr>
          <w:t xml:space="preserve">0009-0008-2298-8386</w:t>
        </w:r>
      </w:hyperlink>
    </w:p>
    <w:p>
      <w:pPr>
        <w:spacing w:before="0" w:after="0"/>
        <w:ind w:left="1080" w:right="1080"/>
        <w:jc w:val="both"/>
      </w:pPr>
      <w:r>
        <w:rPr>
          <w:sz w:val="19"/>
        </w:rPr>
        <w:t xml:space="preserve">Before a laboratory reports results from a new test, U.S. federal rules require it to verify the test's performance, and characterized reference organisms are the usual material. The CDC &amp; FDA Antimicrobial Resistance (AR) Isolate Bank is the main free U.S. source of such organisms, but it is organized by panel rather than by test, so a laboratory introducing a rapid blood culture identification panel cannot easily see which isolates exercise which resistance target. We built an open, versioned crosswalk from the Bank's public pages. For all 1,087 isolates in 39 panels we recorded the CDC gene list, the BioSample accession (975 isolates) and CDC's reference broth microdilution results, mapped 578 distinct CDC gene names to targets through the NCBI AMRFinderPlus Reference Gene Hierarchy, and aligned them with the resistance targets of 7 FDA-cleared panels taken from 9 FDA decision summaries. Of 825 isolates in organisms these panels test, 529 (64.1%) carry at least one target; every reported target except OXA-143-like is represented, from CTX-M (168 isolates in 17 panels) to </w:t>
      </w:r>
      <w:r>
        <w:rPr>
          <w:i/>
          <w:sz w:val="19"/>
        </w:rPr>
        <w:t>mecC</w:t>
      </w:r>
      <w:r>
        <w:rPr>
          <w:sz w:val="19"/>
        </w:rPr>
        <w:t xml:space="preserve"> (2). Every panel's targets can be covered by two to five Bank isolates. We flag 169 isolates whose gene and growth results part ways, among them 14 that carry a target while testing not resistant (KPC with meropenem MICs of 0.25–2 mg/L, </w:t>
      </w:r>
      <w:r>
        <w:rPr>
          <w:i/>
          <w:sz w:val="19"/>
        </w:rPr>
        <w:t>mecA</w:t>
      </w:r>
      <w:r>
        <w:rPr>
          <w:sz w:val="19"/>
        </w:rPr>
        <w:t xml:space="preserve">-positive </w:t>
      </w:r>
      <w:r>
        <w:rPr>
          <w:i/>
          <w:sz w:val="19"/>
        </w:rPr>
        <w:t>S. aureus</w:t>
      </w:r>
      <w:r>
        <w:rPr>
          <w:sz w:val="19"/>
        </w:rPr>
        <w:t xml:space="preserve"> susceptible to oxacillin and cefoxitin, a </w:t>
      </w:r>
      <w:r>
        <w:rPr>
          <w:i/>
          <w:sz w:val="19"/>
        </w:rPr>
        <w:t>vanA</w:t>
      </w:r>
      <w:r>
        <w:rPr>
          <w:sz w:val="19"/>
        </w:rPr>
        <w:t xml:space="preserve"> operon lacking its regulators), and 38 carbapenem-resistant Enterobacterales and </w:t>
      </w:r>
      <w:r>
        <w:rPr>
          <w:i/>
          <w:sz w:val="19"/>
        </w:rPr>
        <w:t>Acinetobacter</w:t>
      </w:r>
      <w:r>
        <w:rPr>
          <w:sz w:val="19"/>
        </w:rPr>
        <w:t xml:space="preserve"> without any panel carbapenemase. We then used the Bank as an external yardstick for a published U.S. genotype–phenotype benchmark. NCBI AMRFinderPlus reproduced CDC's target calls (Cohen's </w:t>
      </w:r>
      <w:r>
        <w:rPr>
          <w:sz w:val="19"/>
        </w:rPr>
        <w:t>κ</w:t>
      </w:r>
      <w:r>
        <w:rPr>
          <w:sz w:val="19"/>
        </w:rPr>
        <w:t xml:space="preserve"> = 1.00 for eight targets, 0.93 for OXA-48-like, 0.98 for CTX-M), the benchmark's breakpoint rules reproduced CDC's interpretations for 99.8% of 2,851 results, and in 538 independent isolates the benchmark's gene-level estimates held wherever both could be estimated: a panel target predicted resistance to at least one carbapenem with PPV 96.6% and CTX-M predicted ceftriaxone resistance with PPV 100.0%. The crosswalk, code, provenance log and quality-control report are openly released.</w:t>
      </w:r>
    </w:p>
    <w:p>
      <w:pPr>
        <w:spacing w:before="80" w:after="240"/>
        <w:ind w:left="1080" w:right="1080"/>
        <w:sectPr>
          <w:footerReference w:type="default" r:id="rId61"/>
          <w:type w:val="continuous"/>
          <w:pgSz w:w="12240" w:h="15840"/>
          <w:pgMar w:top="1224" w:bottom="1296" w:left="1036" w:right="1036" w:header="720" w:footer="720" w:gutter="0"/>
          <w:cols w:num="1" w:space="374"/>
        </w:sectPr>
      </w:pPr>
      <w:r>
        <w:rPr>
          <w:b/>
          <w:sz w:val="19"/>
        </w:rPr>
        <w:t xml:space="preserve">Keywords: </w:t>
      </w:r>
      <w:r>
        <w:rPr>
          <w:sz w:val="19"/>
        </w:rPr>
        <w:t xml:space="preserve"> test verification, CLIA, reference isolates, AR Isolate Bank, rapid diagnostics, blood culture identification panel, carbapenemase, </w:t>
      </w:r>
      <w:r>
        <w:rPr>
          <w:i/>
          <w:sz w:val="19"/>
        </w:rPr>
        <w:t>mecA</w:t>
      </w:r>
      <w:r>
        <w:rPr>
          <w:sz w:val="19"/>
        </w:rPr>
        <w:t xml:space="preserve">, AMRFinderPlus </w:t>
      </w:r>
    </w:p>
    <w:p>
      <w:pPr>
        <w:keepNext/>
        <w:spacing w:before="200" w:after="100"/>
        <w:jc w:val="center"/>
        <w:outlineLvl w:val="0"/>
      </w:pPr>
      <w:r>
        <w:rPr>
          <w:b/>
          <w:sz w:val="18"/>
        </w:rPr>
        <w:t>I. INTRODUCTION</w:t>
      </w:r>
    </w:p>
    <w:p>
      <w:pPr>
        <w:spacing w:before="0" w:after="0"/>
        <w:ind w:firstLine="245"/>
        <w:jc w:val="both"/>
      </w:pPr>
      <w:r>
        <w:rPr>
          <w:sz w:val="20"/>
        </w:rPr>
        <w:t xml:space="preserve">Multiplex blood culture identification panels report the organism and a small set of resistance genes within hours of a positive blood culture [1, 2]. The genes were chosen because each is tied to a treatment decision: </w:t>
      </w:r>
      <w:r>
        <w:rPr>
          <w:i/>
          <w:sz w:val="20"/>
        </w:rPr>
        <w:t>mecA</w:t>
      </w:r>
      <w:r>
        <w:rPr>
          <w:sz w:val="20"/>
        </w:rPr>
        <w:t xml:space="preserve"> and its divergent homologue </w:t>
      </w:r>
      <w:r>
        <w:rPr>
          <w:i/>
          <w:sz w:val="20"/>
        </w:rPr>
        <w:t>mecC</w:t>
      </w:r>
      <w:r>
        <w:rPr>
          <w:sz w:val="20"/>
        </w:rPr>
        <w:t xml:space="preserve"> [3] for methicillin resistance in </w:t>
      </w:r>
      <w:r>
        <w:rPr>
          <w:i/>
          <w:sz w:val="20"/>
        </w:rPr>
        <w:t>S. aureus</w:t>
      </w:r>
      <w:r>
        <w:rPr>
          <w:sz w:val="20"/>
        </w:rPr>
        <w:t xml:space="preserve">; </w:t>
      </w:r>
      <w:r>
        <w:rPr>
          <w:i/>
          <w:sz w:val="20"/>
        </w:rPr>
        <w:t>vanA</w:t>
      </w:r>
      <w:r>
        <w:rPr>
          <w:sz w:val="20"/>
        </w:rPr>
        <w:t xml:space="preserve"> and </w:t>
      </w:r>
      <w:r>
        <w:rPr>
          <w:i/>
          <w:sz w:val="20"/>
        </w:rPr>
        <w:t>vanB</w:t>
      </w:r>
      <w:r>
        <w:rPr>
          <w:sz w:val="20"/>
        </w:rPr>
        <w:t xml:space="preserve"> for vancomycin resistance in enterococci [4]; the carbapenemases KPC, NDM, OXA-48-like, VIM and IMP; CTX-M, the dominant extended-spectrum </w:t>
      </w:r>
      <w:r>
        <w:rPr>
          <w:sz w:val="20"/>
        </w:rPr>
        <w:t>β</w:t>
      </w:r>
      <w:r>
        <w:rPr>
          <w:sz w:val="20"/>
        </w:rPr>
        <w:t xml:space="preserve">-lactamase (ESBL) family [5, 6]; and, on newer panels, </w:t>
      </w:r>
      <w:r>
        <w:rPr>
          <w:i/>
          <w:sz w:val="20"/>
        </w:rPr>
        <w:t>mcr</w:t>
      </w:r>
      <w:r>
        <w:rPr>
          <w:sz w:val="20"/>
        </w:rPr>
        <w:t xml:space="preserve">, SME and the OXA-23, -24/40 and -58 carbapenemases of </w:t>
      </w:r>
      <w:r>
        <w:rPr>
          <w:i/>
          <w:sz w:val="20"/>
        </w:rPr>
        <w:t>Acinetobacter</w:t>
      </w:r>
      <w:r>
        <w:rPr>
          <w:sz w:val="20"/>
        </w:rPr>
        <w:t>. Molecular rapid diagnostics on positive blood cultures have been associated with lower mortality and shorter time to effective therapy, particularly with antimicrobial stewardship [7, 8].</w:t>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jc w:val="center"/>
      </w:pPr>
      <w:r>
        <w:drawing>
          <wp:inline xmlns:a="http://schemas.openxmlformats.org/drawingml/2006/main" xmlns:pic="http://schemas.openxmlformats.org/drawingml/2006/picture">
            <wp:extent cx="5939210" cy="2695220"/>
            <wp:docPr id="2" name="Picture 2"/>
            <wp:cNvGraphicFramePr>
              <a:graphicFrameLocks noChangeAspect="1"/>
            </wp:cNvGraphicFramePr>
            <a:graphic>
              <a:graphicData uri="http://schemas.openxmlformats.org/drawingml/2006/picture">
                <pic:pic>
                  <pic:nvPicPr>
                    <pic:cNvPr id="0" name="fig1_design.png"/>
                    <pic:cNvPicPr/>
                  </pic:nvPicPr>
                  <pic:blipFill>
                    <a:blip r:embed="rId12"/>
                    <a:stretch>
                      <a:fillRect/>
                    </a:stretch>
                  </pic:blipFill>
                  <pic:spPr>
                    <a:xfrm>
                      <a:off x="0" y="0"/>
                      <a:ext cx="5939210" cy="2695220"/>
                    </a:xfrm>
                    <a:prstGeom prst="rect"/>
                  </pic:spPr>
                </pic:pic>
              </a:graphicData>
            </a:graphic>
          </wp:inline>
        </w:drawing>
      </w:r>
    </w:p>
    <w:p>
      <w:pPr>
        <w:spacing w:before="60" w:after="160"/>
        <w:jc w:val="center"/>
      </w:pPr>
      <w:r>
        <w:rPr>
          <w:sz w:val="18"/>
        </w:rPr>
        <w:t xml:space="preserve">FIG. 1: </w:t>
      </w:r>
      <w:r>
        <w:rPr>
          <w:sz w:val="18"/>
        </w:rPr>
        <w:t>Study design. Public CDC, FDA and NCBI sources feed two products: the crosswalk of Bank isolates to rapid panel targets, and an external check of the Project 1 benchmark. BMD, broth microdilution.</w:t>
      </w:r>
    </w:p>
    <w:p>
      <w:pPr>
        <w:spacing w:after="0" w:line="20" w:lineRule="exact"/>
        <w:rPr>
          <w:sz w:val="2"/>
        </w:rPr>
        <w:sectPr>
          <w:type w:val="continuous"/>
          <w:pgSz w:w="12240" w:h="15840"/>
          <w:pgMar w:top="1224" w:bottom="1296" w:left="1036" w:right="1036" w:header="720" w:footer="720" w:gutter="0"/>
          <w:cols w:num="1" w:space="374"/>
        </w:sectPr>
      </w:pPr>
      <w:r/>
    </w:p>
    <w:p>
      <w:pPr>
        <w:spacing w:before="0" w:after="0"/>
        <w:ind w:firstLine="245"/>
        <w:jc w:val="both"/>
      </w:pPr>
      <w:r>
        <w:rPr>
          <w:sz w:val="20"/>
        </w:rPr>
        <w:t>Before any of these results reaches a patient's chart, the laboratory must show the test works in its hands. Under the Clinical Laboratory Improvement Amendments, a laboratory that introduces an unmodified FDA-cleared test must, before reporting patient results, demonstrate performance comparable to the manufacturer's for accuracy, precision and reportable range [9]; CLSI has published guidance on verifying commercial microbial identification and susceptibility systems with characterized isolates [10]. For a resistance-gene target, accuracy can only be shown with organisms known to carry the target, organisms known not to, and, ideally, the difficult organisms in which the gene and the growth result disagree.</w:t>
      </w:r>
    </w:p>
    <w:p>
      <w:pPr>
        <w:spacing w:before="0" w:after="0"/>
        <w:ind w:firstLine="245"/>
        <w:jc w:val="both"/>
      </w:pPr>
      <w:r>
        <w:rPr>
          <w:sz w:val="20"/>
        </w:rPr>
        <w:t xml:space="preserve">The CDC &amp; FDA AR Isolate Bank was created in July 2015 to supply exactly such organisms [11]. Its isolates are characterized by reference broth microdilution and whole-genome sequencing and are offered free to approved institutions in curated panels [11, 12]. CDC reports that in its tenth year the Bank had grown from 3 to 34 panels and had shipped 500,000 isolates [13]. The Bank, however, is organized around resistance themes (carbapenemase diversity, borderline oxacillin susceptibility, new antibiotics) and around the drugs whose breakpoints the panels were built to test, not around diagnostic devices. A laboratory bringing up a BioFire BCID2 or a LIAISON PLEX panel has no list of which Bank isolates carry KPC, OXA-48-like or </w:t>
      </w:r>
      <w:r>
        <w:rPr>
          <w:i/>
          <w:sz w:val="20"/>
        </w:rPr>
        <w:t>mecC</w:t>
      </w:r>
      <w:r>
        <w:rPr>
          <w:sz w:val="20"/>
        </w:rPr>
        <w:t>, and no list of which ones will look discordant. It must open isolate pages one at a time.</w:t>
      </w:r>
    </w:p>
    <w:p>
      <w:pPr>
        <w:spacing w:before="0" w:after="0"/>
        <w:ind w:firstLine="245"/>
        <w:jc w:val="both"/>
      </w:pPr>
      <w:r>
        <w:rPr>
          <w:sz w:val="20"/>
        </w:rPr>
        <w:t>The same isolates also serve a second purpose. The author's U.S. Rapid Panel Resistance Marker Concordance Benchmark (“Project 1”) measured how often each panel target predicts the susceptibility result reported for U.S. clinical isolates in NCBI Pathogen Detection [14]. Its phenotypes come from many submitting laboratories and platforms. The Bank's results come from one reference laboratory using the reference method, which makes the Bank a natural external check of that benchmark.</w:t>
      </w:r>
    </w:p>
    <w:p>
      <w:pPr>
        <w:spacing w:before="0" w:after="0"/>
        <w:ind w:firstLine="245"/>
        <w:jc w:val="both"/>
      </w:pPr>
      <w:r>
        <w:rPr>
          <w:sz w:val="20"/>
        </w:rPr>
        <w:t xml:space="preserve">Here we describe the </w:t>
      </w:r>
      <w:r>
        <w:rPr>
          <w:i/>
          <w:sz w:val="20"/>
        </w:rPr>
        <w:t>CDC &amp; FDA AR Isolate Bank: Rapid Panel Target Crosswalk</w:t>
      </w:r>
      <w:r>
        <w:rPr>
          <w:sz w:val="20"/>
        </w:rPr>
        <w:t>, version 1.0.0 [15]. It (i) captures every Bank isolate's gene list, BioSample accession and reference results exactly as CDC posts them; (ii) maps CDC's gene names to rapid panel targets through NCBI's gene family tree; (iii) states, for each of 7 FDA-cleared panels, which Bank isolates should be positive for each reported target; (iv) flags hard cases with explicit rules; and (v) uses the Bank to test the Project 1 benchmark. Section II describes the methods, Sec. III the results, Sec. IV their use and limits, and Sec. V our conclusions.</w:t>
      </w:r>
    </w:p>
    <w:p>
      <w:pPr>
        <w:keepNext/>
        <w:spacing w:before="200" w:after="100"/>
        <w:jc w:val="center"/>
        <w:outlineLvl w:val="0"/>
      </w:pPr>
      <w:r>
        <w:rPr>
          <w:b/>
          <w:sz w:val="18"/>
        </w:rPr>
        <w:t>II. MATERIALS AND METHODS</w:t>
      </w:r>
    </w:p>
    <w:p>
      <w:pPr>
        <w:keepNext/>
        <w:spacing w:before="160" w:after="80"/>
        <w:jc w:val="center"/>
        <w:outlineLvl w:val="1"/>
      </w:pPr>
      <w:r>
        <w:rPr>
          <w:b/>
          <w:sz w:val="18"/>
        </w:rPr>
        <w:t>A. Data sources</w:t>
      </w:r>
    </w:p>
    <w:p>
      <w:pPr>
        <w:spacing w:before="0" w:after="0"/>
        <w:ind w:firstLine="245"/>
        <w:jc w:val="both"/>
      </w:pPr>
      <w:r>
        <w:rPr>
          <w:sz w:val="20"/>
        </w:rPr>
        <w:t>All inputs are public (Table I) and were downloaded on 24 October 2026. Every file was logged with its source URL, access date, size and SHA-256 fingerprint (1,188 provenance records).</w:t>
      </w:r>
    </w:p>
    <w:p>
      <w:pPr>
        <w:keepNext/>
        <w:spacing w:before="120" w:after="20"/>
        <w:jc w:val="left"/>
        <w:outlineLvl w:val="2"/>
      </w:pPr>
      <w:r>
        <w:rPr>
          <w:i/>
          <w:sz w:val="19"/>
        </w:rPr>
        <w:t>1. Isolate Bank pages.</w:t>
      </w:r>
    </w:p>
    <w:p>
      <w:pPr>
        <w:spacing w:before="0" w:after="0"/>
        <w:ind w:firstLine="245"/>
        <w:jc w:val="both"/>
      </w:pPr>
      <w:r>
        <w:rPr>
          <w:sz w:val="20"/>
        </w:rPr>
        <w:t xml:space="preserve">We downloaded the Bank's </w:t>
      </w:r>
      <w:r>
        <w:rPr>
          <w:i/>
          <w:sz w:val="20"/>
        </w:rPr>
        <w:t>All Isolate Panels</w:t>
      </w:r>
      <w:r>
        <w:rPr>
          <w:sz w:val="20"/>
        </w:rPr>
        <w:t xml:space="preserve"> page, every panel page it lists, the 5 custom panel pages linked from panel descriptions, and every isolate page reached from them (1,087 isolates). The downloader made one request at a time with a pause between requests and stored each page unchanged. From each isolate page we read the AR Bank number, species, study identifier, BioSample accession, specimen source, MLST type, the free-text note CDC sometimes places above the MIC table (for example a cefoxitin disk diffusion result), the MIC table (drug, MIC, CDC's S/I/R and footnotes), the interpretive standard CDC names for that page, the “Molecular Mechanisms of Resistance” table (category and gene) and CDC's note on how the genes were called. Panel membership was taken from the panel pages themselves.</w:t>
      </w:r>
    </w:p>
    <w:p>
      <w:pPr>
        <w:keepNext/>
        <w:spacing w:before="120" w:after="60"/>
        <w:jc w:val="center"/>
      </w:pPr>
      <w:r>
        <w:rPr>
          <w:sz w:val="18"/>
        </w:rPr>
        <w:t xml:space="preserve">TABLE I: </w:t>
      </w:r>
      <w:r>
        <w:rPr>
          <w:sz w:val="18"/>
        </w:rPr>
        <w:t>Data sources.</w:t>
      </w:r>
    </w:p>
    <w:tbl>
      <w:tblPr>
        <w:jc w:val="center"/>
        <w:tblLayout w:type="fixed"/>
        <w:tblLook w:firstColumn="1" w:firstRow="1" w:lastColumn="0" w:lastRow="0" w:noHBand="0" w:noVBand="1" w:val="04A0"/>
        <w:tblCellMar>
          <w:top w:w="10" w:type="dxa"/>
          <w:bottom w:w="10" w:type="dxa"/>
          <w:left w:w="50" w:type="dxa"/>
          <w:right w:w="50" w:type="dxa"/>
        </w:tblCellMar>
        <w:tblLayout w:type="fixed"/>
        <w:tblW w:w="4896" w:type="dxa"/>
      </w:tblPr>
      <w:tblGrid>
        <w:gridCol w:w="2005"/>
        <w:gridCol w:w="2890"/>
      </w:tblGrid>
      <w:tr>
        <w:trPr>
          <w:cantSplit/>
          <w:tblHeader/>
        </w:trPr>
        <w:tc>
          <w:tcPr>
            <w:tcW w:type="dxa" w:w="2006"/>
            <w:tcBorders>
              <w:top w:val="single" w:sz="12" w:space="0" w:color="000000"/>
              <w:bottom w:val="single" w:sz="6" w:space="0" w:color="000000"/>
            </w:tcBorders>
          </w:tcPr>
          <w:p>
            <w:pPr>
              <w:keepNext/>
              <w:jc w:val="left"/>
            </w:pPr>
            <w:r>
              <w:rPr>
                <w:sz w:val="13"/>
              </w:rPr>
              <w:t>Source</w:t>
            </w:r>
          </w:p>
        </w:tc>
        <w:tc>
          <w:tcPr>
            <w:tcW w:type="dxa" w:w="2890"/>
            <w:tcBorders>
              <w:top w:val="single" w:sz="12" w:space="0" w:color="000000"/>
              <w:bottom w:val="single" w:sz="6" w:space="0" w:color="000000"/>
            </w:tcBorders>
          </w:tcPr>
          <w:p>
            <w:pPr>
              <w:keepNext/>
              <w:jc w:val="left"/>
            </w:pPr>
            <w:r>
              <w:rPr>
                <w:sz w:val="13"/>
              </w:rPr>
              <w:t>Content used, version and terms</w:t>
            </w:r>
          </w:p>
        </w:tc>
      </w:tr>
      <w:tr>
        <w:trPr>
          <w:cantSplit/>
        </w:trPr>
        <w:tc>
          <w:tcPr>
            <w:tcW w:type="dxa" w:w="2006"/>
          </w:tcPr>
          <w:p>
            <w:pPr>
              <w:keepNext/>
              <w:jc w:val="left"/>
            </w:pPr>
            <w:r>
              <w:rPr>
                <w:sz w:val="13"/>
              </w:rPr>
              <w:t>CDC &amp; FDA AR Isolate Bank web site</w:t>
            </w:r>
          </w:p>
        </w:tc>
        <w:tc>
          <w:tcPr>
            <w:tcW w:type="dxa" w:w="2890"/>
          </w:tcPr>
          <w:p>
            <w:pPr>
              <w:keepNext/>
              <w:jc w:val="left"/>
            </w:pPr>
            <w:r>
              <w:rPr>
                <w:sz w:val="13"/>
              </w:rPr>
              <w:t>All panel pages and 1,087 isolate pages (AR Bank number, species, BioSample, CDC gene list and calling method, reference broth microdilution MICs and S/I/R, page notes); accessed 24 Oct 2026; U.S. government work</w:t>
            </w:r>
          </w:p>
        </w:tc>
      </w:tr>
      <w:tr>
        <w:trPr>
          <w:cantSplit/>
        </w:trPr>
        <w:tc>
          <w:tcPr>
            <w:tcW w:type="dxa" w:w="2006"/>
          </w:tcPr>
          <w:p>
            <w:pPr>
              <w:keepNext/>
              <w:jc w:val="left"/>
            </w:pPr>
            <w:r>
              <w:rPr>
                <w:sz w:val="13"/>
              </w:rPr>
              <w:t>FDA 510(k) decision summaries</w:t>
            </w:r>
          </w:p>
        </w:tc>
        <w:tc>
          <w:tcPr>
            <w:tcW w:type="dxa" w:w="2890"/>
          </w:tcPr>
          <w:p>
            <w:pPr>
              <w:keepNext/>
              <w:jc w:val="left"/>
            </w:pPr>
            <w:r>
              <w:rPr>
                <w:sz w:val="13"/>
              </w:rPr>
              <w:t>9 summaries for 7 cleared blood culture panels with resistance targets; U.S. government works</w:t>
            </w:r>
          </w:p>
        </w:tc>
      </w:tr>
      <w:tr>
        <w:trPr>
          <w:cantSplit/>
        </w:trPr>
        <w:tc>
          <w:tcPr>
            <w:tcW w:type="dxa" w:w="2006"/>
          </w:tcPr>
          <w:p>
            <w:pPr>
              <w:keepNext/>
              <w:jc w:val="left"/>
            </w:pPr>
            <w:r>
              <w:rPr>
                <w:sz w:val="13"/>
              </w:rPr>
              <w:t>NCBI Pathogen Detection</w:t>
            </w:r>
          </w:p>
        </w:tc>
        <w:tc>
          <w:tcPr>
            <w:tcW w:type="dxa" w:w="2890"/>
          </w:tcPr>
          <w:p>
            <w:pPr>
              <w:keepNext/>
              <w:jc w:val="left"/>
            </w:pPr>
            <w:r>
              <w:rPr>
                <w:sz w:val="13"/>
              </w:rPr>
              <w:t>AMRFinderPlus genotypes for Bank BioSamples (versions 4.2.5, 4.2.7), streamed from the latest analysis of each organism group; no restrictions on use</w:t>
            </w:r>
          </w:p>
        </w:tc>
      </w:tr>
      <w:tr>
        <w:trPr>
          <w:cantSplit/>
        </w:trPr>
        <w:tc>
          <w:tcPr>
            <w:tcW w:type="dxa" w:w="2006"/>
          </w:tcPr>
          <w:p>
            <w:pPr>
              <w:keepNext/>
              <w:jc w:val="left"/>
            </w:pPr>
            <w:r>
              <w:rPr>
                <w:sz w:val="13"/>
              </w:rPr>
              <w:t>AMRFinderPlus Reference Gene Hierarchy</w:t>
            </w:r>
          </w:p>
        </w:tc>
        <w:tc>
          <w:tcPr>
            <w:tcW w:type="dxa" w:w="2890"/>
          </w:tcPr>
          <w:p>
            <w:pPr>
              <w:keepNext/>
              <w:jc w:val="left"/>
            </w:pPr>
            <w:r>
              <w:rPr>
                <w:sz w:val="13"/>
              </w:rPr>
              <w:t>Database 2026-08-07.1; gene-to-family tree used to assign targets</w:t>
            </w:r>
          </w:p>
        </w:tc>
      </w:tr>
      <w:tr>
        <w:trPr>
          <w:cantSplit/>
        </w:trPr>
        <w:tc>
          <w:tcPr>
            <w:tcW w:type="dxa" w:w="2006"/>
            <w:tcBorders>
              <w:bottom w:val="single" w:sz="12" w:space="0" w:color="000000"/>
            </w:tcBorders>
          </w:tcPr>
          <w:p>
            <w:pPr>
              <w:jc w:val="left"/>
            </w:pPr>
            <w:r>
              <w:rPr>
                <w:sz w:val="13"/>
              </w:rPr>
              <w:t>Project 1 benchmark v1.0.0</w:t>
            </w:r>
          </w:p>
        </w:tc>
        <w:tc>
          <w:tcPr>
            <w:tcW w:type="dxa" w:w="2890"/>
            <w:tcBorders>
              <w:bottom w:val="single" w:sz="12" w:space="0" w:color="000000"/>
            </w:tcBorders>
          </w:tcPr>
          <w:p>
            <w:pPr>
              <w:jc w:val="left"/>
            </w:pPr>
            <w:r>
              <w:rPr>
                <w:sz w:val="13"/>
              </w:rPr>
              <w:t>Breakpoint table (CLSI M100-Ed35, checked against FDA STIC), gene-to-target crosswalk, concordance table and isolate list</w:t>
            </w:r>
          </w:p>
        </w:tc>
      </w:tr>
    </w:tbl>
    <w:p>
      <w:pPr>
        <w:spacing w:after="80"/>
      </w:pPr>
    </w:p>
    <w:p>
      <w:pPr>
        <w:keepNext/>
        <w:spacing w:before="120" w:after="20"/>
        <w:jc w:val="left"/>
        <w:outlineLvl w:val="2"/>
      </w:pPr>
      <w:r>
        <w:rPr>
          <w:i/>
          <w:sz w:val="19"/>
        </w:rPr>
        <w:t>2. Rapid panel targets.</w:t>
      </w:r>
    </w:p>
    <w:p>
      <w:pPr>
        <w:spacing w:before="0" w:after="0"/>
        <w:ind w:firstLine="245"/>
        <w:jc w:val="both"/>
      </w:pPr>
      <w:r>
        <w:rPr>
          <w:sz w:val="20"/>
        </w:rPr>
        <w:t xml:space="preserve">We took the resistance targets of each FDA-cleared blood culture panel from its 510(k) decision summary (Table II): BioFire BCID2 [16], ePlex BCID-GP and BCID-GN [17, 18], Verigene BC-GP and BC-GN [19, 20], and LIAISON PLEX Gram-Positive and Gram-Negative [21, 22]. Each reported target was translated into one or more target groups (for example, BCID2's “mecA/C” into </w:t>
      </w:r>
      <w:r>
        <w:rPr>
          <w:i/>
          <w:sz w:val="20"/>
        </w:rPr>
        <w:t>mecA</w:t>
      </w:r>
      <w:r>
        <w:rPr>
          <w:sz w:val="20"/>
        </w:rPr>
        <w:t xml:space="preserve"> and </w:t>
      </w:r>
      <w:r>
        <w:rPr>
          <w:i/>
          <w:sz w:val="20"/>
        </w:rPr>
        <w:t>mecC</w:t>
      </w:r>
      <w:r>
        <w:rPr>
          <w:sz w:val="20"/>
        </w:rPr>
        <w:t>; ePlex BCID-GN's “OXA (OXA-23 and OXA-48 groups only)” into OXA-23-like and OXA-48-like). The Verigene BC-GN summary lists “OXA” without naming groups; we used the OXA-23 and OXA-48 groups used in its analytical studies, and the author confirmed this reading.</w:t>
      </w:r>
    </w:p>
    <w:p>
      <w:pPr>
        <w:keepNext/>
        <w:spacing w:before="120" w:after="20"/>
        <w:jc w:val="left"/>
        <w:outlineLvl w:val="2"/>
      </w:pPr>
      <w:r>
        <w:rPr>
          <w:i/>
          <w:sz w:val="19"/>
        </w:rPr>
        <w:t>3. NCBI gene calls and gene hierarchy.</w:t>
      </w:r>
    </w:p>
    <w:p>
      <w:pPr>
        <w:spacing w:before="0" w:after="0"/>
        <w:ind w:firstLine="245"/>
        <w:jc w:val="both"/>
      </w:pPr>
      <w:r>
        <w:rPr>
          <w:sz w:val="20"/>
        </w:rPr>
        <w:t>For the external check we streamed the NCBI Pathogen Detection isolate tables (</w:t>
      </w:r>
      <w:r>
        <w:rPr>
          <w:rFonts w:ascii="Courier New" w:hAnsi="Courier New"/>
          <w:sz w:val="20"/>
        </w:rPr>
        <w:t>latest_snps/AMR/*.amr.metadata.tsv</w:t>
      </w:r>
      <w:r>
        <w:rPr>
          <w:sz w:val="20"/>
        </w:rPr>
        <w:t>) for every organism group matching a Bank genus and kept rows whose BioSample is a Bank BioSample [23]. These rows carry the AMRFinderPlus genotype NCBI computed for each genome (versions 4.2.5, 4.2.7) [24]. The AMRFinderPlus Reference Gene Hierarchy (database 2026-08-07.1) was used to place genes in families [24].</w:t>
      </w:r>
    </w:p>
    <w:p>
      <w:pPr>
        <w:keepNext/>
        <w:spacing w:before="120" w:after="60"/>
        <w:jc w:val="center"/>
      </w:pPr>
      <w:r>
        <w:rPr>
          <w:sz w:val="18"/>
        </w:rPr>
        <w:t xml:space="preserve">TABLE II: </w:t>
      </w:r>
      <w:r>
        <w:rPr>
          <w:sz w:val="18"/>
        </w:rPr>
        <w:t>Resistance targets of the FDA-cleared blood culture identification panels included.</w:t>
      </w:r>
    </w:p>
    <w:tbl>
      <w:tblPr>
        <w:jc w:val="center"/>
        <w:tblLayout w:type="fixed"/>
        <w:tblLook w:firstColumn="1" w:firstRow="1" w:lastColumn="0" w:lastRow="0" w:noHBand="0" w:noVBand="1" w:val="04A0"/>
        <w:tblCellMar>
          <w:top w:w="10" w:type="dxa"/>
          <w:bottom w:w="10" w:type="dxa"/>
          <w:left w:w="50" w:type="dxa"/>
          <w:right w:w="50" w:type="dxa"/>
        </w:tblCellMar>
        <w:tblLayout w:type="fixed"/>
        <w:tblW w:w="4896" w:type="dxa"/>
      </w:tblPr>
      <w:tblGrid>
        <w:gridCol w:w="1019"/>
        <w:gridCol w:w="1035"/>
        <w:gridCol w:w="2840"/>
      </w:tblGrid>
      <w:tr>
        <w:trPr>
          <w:cantSplit/>
          <w:tblHeader/>
        </w:trPr>
        <w:tc>
          <w:tcPr>
            <w:tcW w:type="dxa" w:w="1020"/>
            <w:tcBorders>
              <w:top w:val="single" w:sz="12" w:space="0" w:color="000000"/>
              <w:bottom w:val="single" w:sz="6" w:space="0" w:color="000000"/>
            </w:tcBorders>
          </w:tcPr>
          <w:p>
            <w:pPr>
              <w:keepNext/>
              <w:jc w:val="left"/>
            </w:pPr>
            <w:r>
              <w:rPr>
                <w:sz w:val="13"/>
              </w:rPr>
              <w:t>Panel</w:t>
            </w:r>
          </w:p>
        </w:tc>
        <w:tc>
          <w:tcPr>
            <w:tcW w:type="dxa" w:w="1036"/>
            <w:tcBorders>
              <w:top w:val="single" w:sz="12" w:space="0" w:color="000000"/>
              <w:bottom w:val="single" w:sz="6" w:space="0" w:color="000000"/>
            </w:tcBorders>
          </w:tcPr>
          <w:p>
            <w:pPr>
              <w:keepNext/>
              <w:jc w:val="left"/>
            </w:pPr>
            <w:r>
              <w:rPr>
                <w:sz w:val="13"/>
              </w:rPr>
              <w:t>FDA 510(k)</w:t>
            </w:r>
          </w:p>
        </w:tc>
        <w:tc>
          <w:tcPr>
            <w:tcW w:type="dxa" w:w="2840"/>
            <w:tcBorders>
              <w:top w:val="single" w:sz="12" w:space="0" w:color="000000"/>
              <w:bottom w:val="single" w:sz="6" w:space="0" w:color="000000"/>
            </w:tcBorders>
          </w:tcPr>
          <w:p>
            <w:pPr>
              <w:keepNext/>
              <w:jc w:val="left"/>
            </w:pPr>
            <w:r>
              <w:rPr>
                <w:sz w:val="13"/>
              </w:rPr>
              <w:t>Resistance targets reported</w:t>
            </w:r>
          </w:p>
        </w:tc>
      </w:tr>
      <w:tr>
        <w:trPr>
          <w:cantSplit/>
        </w:trPr>
        <w:tc>
          <w:tcPr>
            <w:tcW w:type="dxa" w:w="1020"/>
          </w:tcPr>
          <w:p>
            <w:pPr>
              <w:keepNext/>
              <w:jc w:val="left"/>
            </w:pPr>
            <w:r>
              <w:rPr>
                <w:sz w:val="13"/>
              </w:rPr>
              <w:t>BioFire BCID2</w:t>
            </w:r>
          </w:p>
        </w:tc>
        <w:tc>
          <w:tcPr>
            <w:tcW w:type="dxa" w:w="1036"/>
          </w:tcPr>
          <w:p>
            <w:pPr>
              <w:keepNext/>
              <w:jc w:val="left"/>
            </w:pPr>
            <w:r>
              <w:rPr>
                <w:sz w:val="13"/>
              </w:rPr>
              <w:t>K193519 ; K243759</w:t>
            </w:r>
          </w:p>
        </w:tc>
        <w:tc>
          <w:tcPr>
            <w:tcW w:type="dxa" w:w="2840"/>
          </w:tcPr>
          <w:p>
            <w:pPr>
              <w:keepNext/>
              <w:jc w:val="left"/>
            </w:pPr>
            <w:r>
              <w:rPr>
                <w:sz w:val="13"/>
              </w:rPr>
              <w:t>mecA/C, mecA/C and MREJ (MRSA), vanA/B, CTX-M, KPC, NDM, OXA-48-like, VIM, IMP, mcr-1</w:t>
            </w:r>
          </w:p>
        </w:tc>
      </w:tr>
      <w:tr>
        <w:trPr>
          <w:cantSplit/>
        </w:trPr>
        <w:tc>
          <w:tcPr>
            <w:tcW w:type="dxa" w:w="1020"/>
          </w:tcPr>
          <w:p>
            <w:pPr>
              <w:keepNext/>
              <w:jc w:val="left"/>
            </w:pPr>
            <w:r>
              <w:rPr>
                <w:sz w:val="13"/>
              </w:rPr>
              <w:t>ePlex BCID-GP</w:t>
            </w:r>
          </w:p>
        </w:tc>
        <w:tc>
          <w:tcPr>
            <w:tcW w:type="dxa" w:w="1036"/>
          </w:tcPr>
          <w:p>
            <w:pPr>
              <w:keepNext/>
              <w:jc w:val="left"/>
            </w:pPr>
            <w:r>
              <w:rPr>
                <w:sz w:val="13"/>
              </w:rPr>
              <w:t>K181663</w:t>
            </w:r>
          </w:p>
        </w:tc>
        <w:tc>
          <w:tcPr>
            <w:tcW w:type="dxa" w:w="2840"/>
          </w:tcPr>
          <w:p>
            <w:pPr>
              <w:keepNext/>
              <w:jc w:val="left"/>
            </w:pPr>
            <w:r>
              <w:rPr>
                <w:sz w:val="13"/>
              </w:rPr>
              <w:t>mecA, mecC, vanA, vanB</w:t>
            </w:r>
          </w:p>
        </w:tc>
      </w:tr>
      <w:tr>
        <w:trPr>
          <w:cantSplit/>
        </w:trPr>
        <w:tc>
          <w:tcPr>
            <w:tcW w:type="dxa" w:w="1020"/>
          </w:tcPr>
          <w:p>
            <w:pPr>
              <w:keepNext/>
              <w:jc w:val="left"/>
            </w:pPr>
            <w:r>
              <w:rPr>
                <w:sz w:val="13"/>
              </w:rPr>
              <w:t>ePlex BCID-GN</w:t>
            </w:r>
          </w:p>
        </w:tc>
        <w:tc>
          <w:tcPr>
            <w:tcW w:type="dxa" w:w="1036"/>
          </w:tcPr>
          <w:p>
            <w:pPr>
              <w:keepNext/>
              <w:jc w:val="left"/>
            </w:pPr>
            <w:r>
              <w:rPr>
                <w:sz w:val="13"/>
              </w:rPr>
              <w:t>K182619 ; K213236</w:t>
            </w:r>
          </w:p>
        </w:tc>
        <w:tc>
          <w:tcPr>
            <w:tcW w:type="dxa" w:w="2840"/>
          </w:tcPr>
          <w:p>
            <w:pPr>
              <w:keepNext/>
              <w:jc w:val="left"/>
            </w:pPr>
            <w:r>
              <w:rPr>
                <w:sz w:val="13"/>
              </w:rPr>
              <w:t>CTX-M, IMP, KPC, NDM, OXA, VIM</w:t>
            </w:r>
          </w:p>
        </w:tc>
      </w:tr>
      <w:tr>
        <w:trPr>
          <w:cantSplit/>
        </w:trPr>
        <w:tc>
          <w:tcPr>
            <w:tcW w:type="dxa" w:w="1020"/>
          </w:tcPr>
          <w:p>
            <w:pPr>
              <w:keepNext/>
              <w:jc w:val="left"/>
            </w:pPr>
            <w:r>
              <w:rPr>
                <w:sz w:val="13"/>
              </w:rPr>
              <w:t>Verigene BC-GP</w:t>
            </w:r>
          </w:p>
        </w:tc>
        <w:tc>
          <w:tcPr>
            <w:tcW w:type="dxa" w:w="1036"/>
          </w:tcPr>
          <w:p>
            <w:pPr>
              <w:keepNext/>
              <w:jc w:val="left"/>
            </w:pPr>
            <w:r>
              <w:rPr>
                <w:sz w:val="13"/>
              </w:rPr>
              <w:t>K122514</w:t>
            </w:r>
          </w:p>
        </w:tc>
        <w:tc>
          <w:tcPr>
            <w:tcW w:type="dxa" w:w="2840"/>
          </w:tcPr>
          <w:p>
            <w:pPr>
              <w:keepNext/>
              <w:jc w:val="left"/>
            </w:pPr>
            <w:r>
              <w:rPr>
                <w:sz w:val="13"/>
              </w:rPr>
              <w:t>mecA, vanA, vanB</w:t>
            </w:r>
          </w:p>
        </w:tc>
      </w:tr>
      <w:tr>
        <w:trPr>
          <w:cantSplit/>
        </w:trPr>
        <w:tc>
          <w:tcPr>
            <w:tcW w:type="dxa" w:w="1020"/>
          </w:tcPr>
          <w:p>
            <w:pPr>
              <w:keepNext/>
              <w:jc w:val="left"/>
            </w:pPr>
            <w:r>
              <w:rPr>
                <w:sz w:val="13"/>
              </w:rPr>
              <w:t>Verigene BC-GN</w:t>
            </w:r>
          </w:p>
        </w:tc>
        <w:tc>
          <w:tcPr>
            <w:tcW w:type="dxa" w:w="1036"/>
          </w:tcPr>
          <w:p>
            <w:pPr>
              <w:keepNext/>
              <w:jc w:val="left"/>
            </w:pPr>
            <w:r>
              <w:rPr>
                <w:sz w:val="13"/>
              </w:rPr>
              <w:t>K132843</w:t>
            </w:r>
          </w:p>
        </w:tc>
        <w:tc>
          <w:tcPr>
            <w:tcW w:type="dxa" w:w="2840"/>
          </w:tcPr>
          <w:p>
            <w:pPr>
              <w:keepNext/>
              <w:jc w:val="left"/>
            </w:pPr>
            <w:r>
              <w:rPr>
                <w:sz w:val="13"/>
              </w:rPr>
              <w:t>CTX-M, KPC, NDM, VIM, IMP, OXA</w:t>
            </w:r>
          </w:p>
        </w:tc>
      </w:tr>
      <w:tr>
        <w:trPr>
          <w:cantSplit/>
        </w:trPr>
        <w:tc>
          <w:tcPr>
            <w:tcW w:type="dxa" w:w="1020"/>
          </w:tcPr>
          <w:p>
            <w:pPr>
              <w:keepNext/>
              <w:jc w:val="left"/>
            </w:pPr>
            <w:r>
              <w:rPr>
                <w:sz w:val="13"/>
              </w:rPr>
              <w:t>LIAISON PLEX GP</w:t>
            </w:r>
          </w:p>
        </w:tc>
        <w:tc>
          <w:tcPr>
            <w:tcW w:type="dxa" w:w="1036"/>
          </w:tcPr>
          <w:p>
            <w:pPr>
              <w:keepNext/>
              <w:jc w:val="left"/>
            </w:pPr>
            <w:r>
              <w:rPr>
                <w:sz w:val="13"/>
              </w:rPr>
              <w:t>K243490</w:t>
            </w:r>
          </w:p>
        </w:tc>
        <w:tc>
          <w:tcPr>
            <w:tcW w:type="dxa" w:w="2840"/>
          </w:tcPr>
          <w:p>
            <w:pPr>
              <w:keepNext/>
              <w:jc w:val="left"/>
            </w:pPr>
            <w:r>
              <w:rPr>
                <w:sz w:val="13"/>
              </w:rPr>
              <w:t>mecA/mecC, vanA, vanB</w:t>
            </w:r>
          </w:p>
        </w:tc>
      </w:tr>
      <w:tr>
        <w:trPr>
          <w:cantSplit/>
        </w:trPr>
        <w:tc>
          <w:tcPr>
            <w:tcW w:type="dxa" w:w="1020"/>
            <w:tcBorders>
              <w:bottom w:val="single" w:sz="12" w:space="0" w:color="000000"/>
            </w:tcBorders>
          </w:tcPr>
          <w:p>
            <w:pPr>
              <w:jc w:val="left"/>
            </w:pPr>
            <w:r>
              <w:rPr>
                <w:sz w:val="13"/>
              </w:rPr>
              <w:t>LIAISON PLEX GN</w:t>
            </w:r>
          </w:p>
        </w:tc>
        <w:tc>
          <w:tcPr>
            <w:tcW w:type="dxa" w:w="1036"/>
            <w:tcBorders>
              <w:bottom w:val="single" w:sz="12" w:space="0" w:color="000000"/>
            </w:tcBorders>
          </w:tcPr>
          <w:p>
            <w:pPr>
              <w:jc w:val="left"/>
            </w:pPr>
            <w:r>
              <w:rPr>
                <w:sz w:val="13"/>
              </w:rPr>
              <w:t>K243013</w:t>
            </w:r>
          </w:p>
        </w:tc>
        <w:tc>
          <w:tcPr>
            <w:tcW w:type="dxa" w:w="2840"/>
            <w:tcBorders>
              <w:bottom w:val="single" w:sz="12" w:space="0" w:color="000000"/>
            </w:tcBorders>
          </w:tcPr>
          <w:p>
            <w:pPr>
              <w:jc w:val="left"/>
            </w:pPr>
            <w:r>
              <w:rPr>
                <w:sz w:val="13"/>
              </w:rPr>
              <w:t>CTX-M, IMP, KPC, MCR, NDM, OXA, SME, VIM</w:t>
            </w:r>
          </w:p>
        </w:tc>
      </w:tr>
    </w:tbl>
    <w:p>
      <w:pPr>
        <w:spacing w:after="80"/>
      </w:pPr>
    </w:p>
    <w:p>
      <w:pPr>
        <w:keepNext/>
        <w:spacing w:before="120" w:after="20"/>
        <w:jc w:val="left"/>
        <w:outlineLvl w:val="2"/>
      </w:pPr>
      <w:r>
        <w:rPr>
          <w:i/>
          <w:sz w:val="19"/>
        </w:rPr>
        <w:t>4. Project 1 artifacts.</w:t>
      </w:r>
    </w:p>
    <w:p>
      <w:pPr>
        <w:spacing w:before="0" w:after="0"/>
        <w:ind w:firstLine="245"/>
        <w:jc w:val="both"/>
      </w:pPr>
      <w:r>
        <w:rPr>
          <w:sz w:val="20"/>
        </w:rPr>
        <w:t>From the Project 1 release we used, unchanged, its breakpoint table (CLSI M100, 35th edition [25], checked against the FDA Susceptibility Test Interpretive Criteria [26]), its AMRFinderPlus-symbol-to-target crosswalk, its concordance table and its list of benchmark BioSamples [14].</w:t>
      </w:r>
    </w:p>
    <w:p>
      <w:pPr>
        <w:keepNext/>
        <w:spacing w:before="160" w:after="80"/>
        <w:jc w:val="center"/>
        <w:outlineLvl w:val="1"/>
      </w:pPr>
      <w:r>
        <w:rPr>
          <w:b/>
          <w:sz w:val="18"/>
        </w:rPr>
        <w:t>B. From CDC gene names to panel targets</w:t>
      </w:r>
    </w:p>
    <w:p>
      <w:pPr>
        <w:spacing w:before="0" w:after="0"/>
        <w:ind w:firstLine="245"/>
        <w:jc w:val="both"/>
      </w:pPr>
      <w:r>
        <w:rPr>
          <w:sz w:val="20"/>
        </w:rPr>
        <w:t xml:space="preserve">CDC writes allele names without the </w:t>
      </w:r>
      <w:r>
        <w:rPr>
          <w:i/>
          <w:sz w:val="20"/>
        </w:rPr>
        <w:t>bla</w:t>
      </w:r>
      <w:r>
        <w:rPr>
          <w:sz w:val="20"/>
        </w:rPr>
        <w:t xml:space="preserve"> prefix (“KPC-3”, “OXA-232”, “CTX-M-15”). Each of the 578 distinct names was matched to an NCBI symbol by trying, in order, the name itself, the name with </w:t>
      </w:r>
      <w:r>
        <w:rPr>
          <w:i/>
          <w:sz w:val="20"/>
        </w:rPr>
        <w:t>bla</w:t>
      </w:r>
      <w:r>
        <w:rPr>
          <w:sz w:val="20"/>
        </w:rPr>
        <w:t xml:space="preserve"> added, NCBI synonyms and a case-insensitive match. When a name carried a one-letter bracket note (“OXA-48(c)”), the note was ignored after real gene names such as </w:t>
      </w:r>
      <w:r>
        <w:rPr>
          <w:i/>
          <w:sz w:val="20"/>
        </w:rPr>
        <w:t>tet</w:t>
      </w:r>
      <w:r>
        <w:rPr>
          <w:sz w:val="20"/>
        </w:rPr>
        <w:t xml:space="preserve">(A) had been tried. The NCBI symbol was then walked up the Reference Gene Hierarchy until it reached a node that defines a target group: </w:t>
      </w:r>
      <w:r>
        <w:rPr>
          <w:i/>
          <w:sz w:val="20"/>
        </w:rPr>
        <w:t>bla</w:t>
      </w:r>
      <w:r>
        <w:rPr>
          <w:sz w:val="20"/>
        </w:rPr>
        <w:t xml:space="preserve">KPC, </w:t>
      </w:r>
      <w:r>
        <w:rPr>
          <w:i/>
          <w:sz w:val="20"/>
        </w:rPr>
        <w:t>bla</w:t>
      </w:r>
      <w:r>
        <w:rPr>
          <w:sz w:val="20"/>
        </w:rPr>
        <w:t xml:space="preserve">NDM, </w:t>
      </w:r>
      <w:r>
        <w:rPr>
          <w:i/>
          <w:sz w:val="20"/>
        </w:rPr>
        <w:t>bla</w:t>
      </w:r>
      <w:r>
        <w:rPr>
          <w:sz w:val="20"/>
        </w:rPr>
        <w:t xml:space="preserve">VIM, </w:t>
      </w:r>
      <w:r>
        <w:rPr>
          <w:i/>
          <w:sz w:val="20"/>
        </w:rPr>
        <w:t>bla</w:t>
      </w:r>
      <w:r>
        <w:rPr>
          <w:sz w:val="20"/>
        </w:rPr>
        <w:t xml:space="preserve">IMP, </w:t>
      </w:r>
      <w:r>
        <w:rPr>
          <w:i/>
          <w:sz w:val="20"/>
        </w:rPr>
        <w:t>bla</w:t>
      </w:r>
      <w:r>
        <w:rPr>
          <w:sz w:val="20"/>
        </w:rPr>
        <w:t xml:space="preserve">CTX-M, the </w:t>
      </w:r>
      <w:r>
        <w:rPr>
          <w:i/>
          <w:sz w:val="20"/>
        </w:rPr>
        <w:t>bla</w:t>
      </w:r>
      <w:r>
        <w:rPr>
          <w:sz w:val="20"/>
        </w:rPr>
        <w:t xml:space="preserve">OXA-48, -23, -24, -58 and -143 families, </w:t>
      </w:r>
      <w:r>
        <w:rPr>
          <w:i/>
          <w:sz w:val="20"/>
        </w:rPr>
        <w:t>bla</w:t>
      </w:r>
      <w:r>
        <w:rPr>
          <w:sz w:val="20"/>
        </w:rPr>
        <w:t xml:space="preserve">SME, </w:t>
      </w:r>
      <w:r>
        <w:rPr>
          <w:i/>
          <w:sz w:val="20"/>
        </w:rPr>
        <w:t>mcr-1</w:t>
      </w:r>
      <w:r>
        <w:rPr>
          <w:sz w:val="20"/>
        </w:rPr>
        <w:t xml:space="preserve">, </w:t>
      </w:r>
      <w:r>
        <w:rPr>
          <w:i/>
          <w:sz w:val="20"/>
        </w:rPr>
        <w:t>mcr-2</w:t>
      </w:r>
      <w:r>
        <w:rPr>
          <w:sz w:val="20"/>
        </w:rPr>
        <w:t xml:space="preserve">, </w:t>
      </w:r>
      <w:r>
        <w:rPr>
          <w:i/>
          <w:sz w:val="20"/>
        </w:rPr>
        <w:t>mcr-3</w:t>
      </w:r>
      <w:r>
        <w:rPr>
          <w:sz w:val="20"/>
        </w:rPr>
        <w:t xml:space="preserve">, </w:t>
      </w:r>
      <w:r>
        <w:rPr>
          <w:i/>
          <w:sz w:val="20"/>
        </w:rPr>
        <w:t>mecA</w:t>
      </w:r>
      <w:r>
        <w:rPr>
          <w:sz w:val="20"/>
        </w:rPr>
        <w:t xml:space="preserve">, </w:t>
      </w:r>
      <w:r>
        <w:rPr>
          <w:i/>
          <w:sz w:val="20"/>
        </w:rPr>
        <w:t>mecC</w:t>
      </w:r>
      <w:r>
        <w:rPr>
          <w:sz w:val="20"/>
        </w:rPr>
        <w:t xml:space="preserve">, </w:t>
      </w:r>
      <w:r>
        <w:rPr>
          <w:i/>
          <w:sz w:val="20"/>
        </w:rPr>
        <w:t>vanA</w:t>
      </w:r>
      <w:r>
        <w:rPr>
          <w:sz w:val="20"/>
        </w:rPr>
        <w:t xml:space="preserve"> and </w:t>
      </w:r>
      <w:r>
        <w:rPr>
          <w:i/>
          <w:sz w:val="20"/>
        </w:rPr>
        <w:t>vanB</w:t>
      </w:r>
      <w:r>
        <w:rPr>
          <w:sz w:val="20"/>
        </w:rPr>
        <w:t xml:space="preserve">. Three rulings were made by hand and recorded in the released gene map: “blaZ-mecC” (the </w:t>
      </w:r>
      <w:r>
        <w:rPr>
          <w:i/>
          <w:sz w:val="20"/>
        </w:rPr>
        <w:t>blaZ</w:t>
      </w:r>
      <w:r>
        <w:rPr>
          <w:sz w:val="20"/>
        </w:rPr>
        <w:t xml:space="preserve"> carried on the </w:t>
      </w:r>
      <w:r>
        <w:rPr>
          <w:i/>
          <w:sz w:val="20"/>
        </w:rPr>
        <w:t>mecC</w:t>
      </w:r>
      <w:r>
        <w:rPr>
          <w:sz w:val="20"/>
        </w:rPr>
        <w:t xml:space="preserve"> element), which CDC lists for the two isolates of its custom “</w:t>
      </w:r>
      <w:r>
        <w:rPr>
          <w:i/>
          <w:sz w:val="20"/>
        </w:rPr>
        <w:t>S. aureus</w:t>
      </w:r>
      <w:r>
        <w:rPr>
          <w:sz w:val="20"/>
        </w:rPr>
        <w:t xml:space="preserve"> mecC+” panel, was counted as </w:t>
      </w:r>
      <w:r>
        <w:rPr>
          <w:i/>
          <w:sz w:val="20"/>
        </w:rPr>
        <w:t>mecC</w:t>
      </w:r>
      <w:r>
        <w:rPr>
          <w:sz w:val="20"/>
        </w:rPr>
        <w:t xml:space="preserve">; “vanHAX (lacks VanRS)”, which CDC describes on the isolate page as a vancomycin-variable enterococcus, was counted as </w:t>
      </w:r>
      <w:r>
        <w:rPr>
          <w:i/>
          <w:sz w:val="20"/>
        </w:rPr>
        <w:t>vanA</w:t>
      </w:r>
      <w:r>
        <w:rPr>
          <w:sz w:val="20"/>
        </w:rPr>
        <w:t>; and the generic entry “MBL” was left unmapped because no enzyme is named.</w:t>
      </w:r>
    </w:p>
    <w:p>
      <w:pPr>
        <w:keepNext/>
        <w:spacing w:before="160" w:after="80"/>
        <w:jc w:val="center"/>
        <w:outlineLvl w:val="1"/>
      </w:pPr>
      <w:r>
        <w:rPr>
          <w:b/>
          <w:sz w:val="18"/>
        </w:rPr>
        <w:t>C. Expected positives</w:t>
      </w:r>
    </w:p>
    <w:p>
      <w:pPr>
        <w:spacing w:before="0" w:after="0"/>
        <w:ind w:firstLine="245"/>
        <w:jc w:val="both"/>
      </w:pPr>
      <w:r>
        <w:rPr>
          <w:sz w:val="20"/>
        </w:rPr>
        <w:t xml:space="preserve">An isolate was marked as an expected positive for a panel's reported target when it carried any target group the target covers and its organism is one for which the panel reports that target: </w:t>
      </w:r>
      <w:r>
        <w:rPr>
          <w:i/>
          <w:sz w:val="20"/>
        </w:rPr>
        <w:t>mecA</w:t>
      </w:r>
      <w:r>
        <w:rPr>
          <w:sz w:val="20"/>
        </w:rPr>
        <w:t>/</w:t>
      </w:r>
      <w:r>
        <w:rPr>
          <w:i/>
          <w:sz w:val="20"/>
        </w:rPr>
        <w:t>mecC</w:t>
      </w:r>
      <w:r>
        <w:rPr>
          <w:sz w:val="20"/>
        </w:rPr>
        <w:t xml:space="preserve"> in staphylococci, </w:t>
      </w:r>
      <w:r>
        <w:rPr>
          <w:i/>
          <w:sz w:val="20"/>
        </w:rPr>
        <w:t>vanA</w:t>
      </w:r>
      <w:r>
        <w:rPr>
          <w:sz w:val="20"/>
        </w:rPr>
        <w:t>/</w:t>
      </w:r>
      <w:r>
        <w:rPr>
          <w:i/>
          <w:sz w:val="20"/>
        </w:rPr>
        <w:t>vanB</w:t>
      </w:r>
      <w:r>
        <w:rPr>
          <w:sz w:val="20"/>
        </w:rPr>
        <w:t xml:space="preserve"> in enterococci, and Gram-negative targets in Enterobacterales, </w:t>
      </w:r>
      <w:r>
        <w:rPr>
          <w:i/>
          <w:sz w:val="20"/>
        </w:rPr>
        <w:t>Pseudomonas</w:t>
      </w:r>
      <w:r>
        <w:rPr>
          <w:sz w:val="20"/>
        </w:rPr>
        <w:t xml:space="preserve"> and </w:t>
      </w:r>
      <w:r>
        <w:rPr>
          <w:i/>
          <w:sz w:val="20"/>
        </w:rPr>
        <w:t>Acinetobacter</w:t>
      </w:r>
      <w:r>
        <w:rPr>
          <w:sz w:val="20"/>
        </w:rPr>
        <w:t xml:space="preserve">. BCID2's MRSA result additionally requires </w:t>
      </w:r>
      <w:r>
        <w:rPr>
          <w:i/>
          <w:sz w:val="20"/>
        </w:rPr>
        <w:t>S. aureus</w:t>
      </w:r>
      <w:r>
        <w:rPr>
          <w:sz w:val="20"/>
        </w:rPr>
        <w:t>; the SCC</w:t>
      </w:r>
      <w:r>
        <w:rPr>
          <w:i/>
          <w:sz w:val="20"/>
        </w:rPr>
        <w:t>mec</w:t>
      </w:r>
      <w:r>
        <w:rPr>
          <w:sz w:val="20"/>
        </w:rPr>
        <w:t xml:space="preserve"> right-extremity junction (MREJ) it detects cannot be read from a gene list, so every </w:t>
      </w:r>
      <w:r>
        <w:rPr>
          <w:i/>
          <w:sz w:val="20"/>
        </w:rPr>
        <w:t>mecA</w:t>
      </w:r>
      <w:r>
        <w:rPr>
          <w:sz w:val="20"/>
        </w:rPr>
        <w:t xml:space="preserve">- or </w:t>
      </w:r>
      <w:r>
        <w:rPr>
          <w:i/>
          <w:sz w:val="20"/>
        </w:rPr>
        <w:t>mecC</w:t>
      </w:r>
      <w:r>
        <w:rPr>
          <w:sz w:val="20"/>
        </w:rPr>
        <w:t xml:space="preserve">-positive </w:t>
      </w:r>
      <w:r>
        <w:rPr>
          <w:i/>
          <w:sz w:val="20"/>
        </w:rPr>
        <w:t>S. aureus</w:t>
      </w:r>
      <w:r>
        <w:rPr>
          <w:sz w:val="20"/>
        </w:rPr>
        <w:t xml:space="preserve"> was assumed to be an expected MRSA positive. Fungal, gonococcal, </w:t>
      </w:r>
      <w:r>
        <w:rPr>
          <w:i/>
          <w:sz w:val="20"/>
        </w:rPr>
        <w:t>Clostridioides difficile</w:t>
      </w:r>
      <w:r>
        <w:rPr>
          <w:sz w:val="20"/>
        </w:rPr>
        <w:t xml:space="preserve"> and enteric-pathogen panels were listed but not mapped, because these panels do not report resistance genes for those organisms.</w:t>
      </w:r>
    </w:p>
    <w:p>
      <w:pPr>
        <w:keepNext/>
        <w:spacing w:before="160" w:after="80"/>
        <w:jc w:val="center"/>
        <w:outlineLvl w:val="1"/>
      </w:pPr>
      <w:r>
        <w:rPr>
          <w:b/>
          <w:sz w:val="18"/>
        </w:rPr>
        <w:t>D. Hard cases</w:t>
      </w:r>
    </w:p>
    <w:p>
      <w:pPr>
        <w:spacing w:before="0" w:after="0"/>
        <w:ind w:firstLine="245"/>
        <w:jc w:val="both"/>
      </w:pPr>
      <w:r>
        <w:rPr>
          <w:sz w:val="20"/>
        </w:rPr>
        <w:t xml:space="preserve">Hard cases were defined on CDC's own posted interpretation, treating intermediate (I) and susceptible-dose-dependent as not resistant, as in Project 1. Imipenem was not used for </w:t>
      </w:r>
      <w:r>
        <w:rPr>
          <w:i/>
          <w:sz w:val="20"/>
        </w:rPr>
        <w:t>Proteus</w:t>
      </w:r>
      <w:r>
        <w:rPr>
          <w:sz w:val="20"/>
        </w:rPr>
        <w:t xml:space="preserve">, </w:t>
      </w:r>
      <w:r>
        <w:rPr>
          <w:i/>
          <w:sz w:val="20"/>
        </w:rPr>
        <w:t>Morganella</w:t>
      </w:r>
      <w:r>
        <w:rPr>
          <w:sz w:val="20"/>
        </w:rPr>
        <w:t xml:space="preserve"> and </w:t>
      </w:r>
      <w:r>
        <w:rPr>
          <w:i/>
          <w:sz w:val="20"/>
        </w:rPr>
        <w:t>Providencia</w:t>
      </w:r>
      <w:r>
        <w:rPr>
          <w:sz w:val="20"/>
        </w:rPr>
        <w:t xml:space="preserve">, whose imipenem MICs are intrinsically elevated [25]. The rules were: (1) a target gene is present and none of the matching drugs is resistant (carbapenems for carbapenemases; ceftriaxone, cefotaxime or ceftazidime for CTX-M; oxacillin, cefoxitin MIC or, where CDC posts one, cefoxitin disk for </w:t>
      </w:r>
      <w:r>
        <w:rPr>
          <w:i/>
          <w:sz w:val="20"/>
        </w:rPr>
        <w:t>mecA</w:t>
      </w:r>
      <w:r>
        <w:rPr>
          <w:sz w:val="20"/>
        </w:rPr>
        <w:t>/</w:t>
      </w:r>
      <w:r>
        <w:rPr>
          <w:i/>
          <w:sz w:val="20"/>
        </w:rPr>
        <w:t>mecC</w:t>
      </w:r>
      <w:r>
        <w:rPr>
          <w:sz w:val="20"/>
        </w:rPr>
        <w:t xml:space="preserve">; vancomycin for </w:t>
      </w:r>
      <w:r>
        <w:rPr>
          <w:i/>
          <w:sz w:val="20"/>
        </w:rPr>
        <w:t>vanA</w:t>
      </w:r>
      <w:r>
        <w:rPr>
          <w:sz w:val="20"/>
        </w:rPr>
        <w:t>/</w:t>
      </w:r>
      <w:r>
        <w:rPr>
          <w:i/>
          <w:sz w:val="20"/>
        </w:rPr>
        <w:t>vanB</w:t>
      </w:r>
      <w:r>
        <w:rPr>
          <w:sz w:val="20"/>
        </w:rPr>
        <w:t xml:space="preserve">; colistin for </w:t>
      </w:r>
      <w:r>
        <w:rPr>
          <w:i/>
          <w:sz w:val="20"/>
        </w:rPr>
        <w:t>mcr</w:t>
      </w:r>
      <w:r>
        <w:rPr>
          <w:sz w:val="20"/>
        </w:rPr>
        <w:t xml:space="preserve">); (2) an Enterobacterales or </w:t>
      </w:r>
      <w:r>
        <w:rPr>
          <w:i/>
          <w:sz w:val="20"/>
        </w:rPr>
        <w:t>Acinetobacter</w:t>
      </w:r>
      <w:r>
        <w:rPr>
          <w:sz w:val="20"/>
        </w:rPr>
        <w:t xml:space="preserve"> isolate is resistant to a carbapenem without any panel carbapenemase; (3) an Enterobacterales isolate is resistant to a third-generation cephalosporin without CTX-M or a carbapenemase; (4) a staphylococcus is resistant to oxacillin or cefoxitin without </w:t>
      </w:r>
      <w:r>
        <w:rPr>
          <w:i/>
          <w:sz w:val="20"/>
        </w:rPr>
        <w:t>mecA</w:t>
      </w:r>
      <w:r>
        <w:rPr>
          <w:sz w:val="20"/>
        </w:rPr>
        <w:t>/</w:t>
      </w:r>
      <w:r>
        <w:rPr>
          <w:i/>
          <w:sz w:val="20"/>
        </w:rPr>
        <w:t>mecC</w:t>
      </w:r>
      <w:r>
        <w:rPr>
          <w:sz w:val="20"/>
        </w:rPr>
        <w:t xml:space="preserve">; and (5) an enterococcus is resistant to vancomycin without </w:t>
      </w:r>
      <w:r>
        <w:rPr>
          <w:i/>
          <w:sz w:val="20"/>
        </w:rPr>
        <w:t>vanA</w:t>
      </w:r>
      <w:r>
        <w:rPr>
          <w:sz w:val="20"/>
        </w:rPr>
        <w:t>/</w:t>
      </w:r>
      <w:r>
        <w:rPr>
          <w:i/>
          <w:sz w:val="20"/>
        </w:rPr>
        <w:t>vanB</w:t>
      </w:r>
      <w:r>
        <w:rPr>
          <w:sz w:val="20"/>
        </w:rPr>
        <w:t xml:space="preserve">. Two patterns in which a negative panel result is the correct answer were kept as separate categories: carbapenem-resistant </w:t>
      </w:r>
      <w:r>
        <w:rPr>
          <w:i/>
          <w:sz w:val="20"/>
        </w:rPr>
        <w:t>P. aeruginosa</w:t>
      </w:r>
      <w:r>
        <w:rPr>
          <w:sz w:val="20"/>
        </w:rPr>
        <w:t xml:space="preserve"> without a carbapenemase, usually caused by loss of the OprD porin, efflux and chromosomal AmpC [27], and enterococci whose vancomycin resistance comes from intrinsic </w:t>
      </w:r>
      <w:r>
        <w:rPr>
          <w:i/>
          <w:sz w:val="20"/>
        </w:rPr>
        <w:t>vanC</w:t>
      </w:r>
      <w:r>
        <w:rPr>
          <w:sz w:val="20"/>
        </w:rPr>
        <w:t xml:space="preserve"> [28]. For rule 2 we classified the other mechanisms CDC lists, using NCBI's drug subclass for each gene: a carbapenemase not reported by any panel; an intrinsic OXA-51-like enzyme in </w:t>
      </w:r>
      <w:r>
        <w:rPr>
          <w:i/>
          <w:sz w:val="20"/>
        </w:rPr>
        <w:t>Acinetobacter</w:t>
      </w:r>
      <w:r>
        <w:rPr>
          <w:sz w:val="20"/>
        </w:rPr>
        <w:t>; a truncated porin with an ESBL or AmpC; an ESBL or AmpC alone; a truncated porin alone; or nothing listed.</w:t>
      </w:r>
    </w:p>
    <w:p>
      <w:pPr>
        <w:keepNext/>
        <w:spacing w:before="160" w:after="80"/>
        <w:jc w:val="center"/>
        <w:outlineLvl w:val="1"/>
      </w:pPr>
      <w:r>
        <w:rPr>
          <w:b/>
          <w:sz w:val="18"/>
        </w:rPr>
        <w:t>E. Illustrative verification sets</w:t>
      </w:r>
    </w:p>
    <w:p>
      <w:pPr>
        <w:spacing w:before="0" w:after="0"/>
        <w:ind w:firstLine="245"/>
        <w:jc w:val="both"/>
      </w:pPr>
      <w:r>
        <w:rPr>
          <w:sz w:val="20"/>
        </w:rPr>
        <w:t>To show how the crosswalk can be queried, we computed for each panel the smallest set of Bank isolates whose expected positives cover all of the panel's reported targets, by a deterministic greedy rule: repeatedly take the isolate that covers the most uncovered targets, preferring isolates that are not hard cases and then the lowest AR Bank number, using only isolates in panels on the Bank's main list. This is an example of a query, not a recommended verification protocol.</w:t>
      </w:r>
    </w:p>
    <w:p>
      <w:pPr>
        <w:keepNext/>
        <w:spacing w:before="160" w:after="80"/>
        <w:jc w:val="center"/>
        <w:outlineLvl w:val="1"/>
      </w:pPr>
      <w:r>
        <w:rPr>
          <w:b/>
          <w:sz w:val="18"/>
        </w:rPr>
        <w:t>F. External check of the Project 1 benchmark</w:t>
      </w:r>
    </w:p>
    <w:p>
      <w:pPr>
        <w:spacing w:before="0" w:after="0"/>
        <w:ind w:firstLine="245"/>
        <w:jc w:val="both"/>
      </w:pPr>
      <w:r>
        <w:rPr>
          <w:sz w:val="20"/>
        </w:rPr>
        <w:t>The check used Bank isolates in Project 1's organisms (</w:t>
      </w:r>
      <w:r>
        <w:rPr>
          <w:i/>
          <w:sz w:val="20"/>
        </w:rPr>
        <w:t>S. aureus</w:t>
      </w:r>
      <w:r>
        <w:rPr>
          <w:sz w:val="20"/>
        </w:rPr>
        <w:t xml:space="preserve">, </w:t>
      </w:r>
      <w:r>
        <w:rPr>
          <w:i/>
          <w:sz w:val="20"/>
        </w:rPr>
        <w:t>E. faecalis</w:t>
      </w:r>
      <w:r>
        <w:rPr>
          <w:sz w:val="20"/>
        </w:rPr>
        <w:t xml:space="preserve">, </w:t>
      </w:r>
      <w:r>
        <w:rPr>
          <w:i/>
          <w:sz w:val="20"/>
        </w:rPr>
        <w:t>E. faecium</w:t>
      </w:r>
      <w:r>
        <w:rPr>
          <w:sz w:val="20"/>
        </w:rPr>
        <w:t xml:space="preserve"> and Enterobacterales) that have a BioSample.</w:t>
      </w:r>
    </w:p>
    <w:p>
      <w:pPr>
        <w:keepNext/>
        <w:spacing w:before="120" w:after="20"/>
        <w:jc w:val="left"/>
        <w:outlineLvl w:val="2"/>
      </w:pPr>
      <w:r>
        <w:rPr>
          <w:i/>
          <w:sz w:val="19"/>
        </w:rPr>
        <w:t>1. Check A, gene calls.</w:t>
      </w:r>
    </w:p>
    <w:p>
      <w:pPr>
        <w:spacing w:before="0" w:after="0"/>
        <w:ind w:firstLine="245"/>
        <w:jc w:val="both"/>
      </w:pPr>
      <w:r>
        <w:rPr>
          <w:sz w:val="20"/>
        </w:rPr>
        <w:t xml:space="preserve">For Project 1's ten targets, we compared the targets in CDC's gene list with the targets in NCBI's AMRFinderPlus genotype for the same BioSample, mapped through the Project 1 crosswalk. Agreement is reported as counts and Cohen's </w:t>
      </w:r>
      <w:r>
        <w:rPr>
          <w:sz w:val="20"/>
        </w:rPr>
        <w:t>κ</w:t>
      </w:r>
      <w:r>
        <w:rPr>
          <w:sz w:val="20"/>
        </w:rPr>
        <w:t xml:space="preserve"> [29]. Because some of CDC's gene calls used a database that includes NCBI's, the comparison was repeated in the isolates CDC called with ResFinder or ARG-ANNOT alone [30, 31].</w:t>
      </w:r>
    </w:p>
    <w:p>
      <w:pPr>
        <w:keepNext/>
        <w:spacing w:before="120" w:after="20"/>
        <w:jc w:val="left"/>
        <w:outlineLvl w:val="2"/>
      </w:pPr>
      <w:r>
        <w:rPr>
          <w:i/>
          <w:sz w:val="19"/>
        </w:rPr>
        <w:t>2. Check B, gene versus reference result.</w:t>
      </w:r>
    </w:p>
    <w:p>
      <w:pPr>
        <w:spacing w:before="0" w:after="0"/>
        <w:ind w:firstLine="245"/>
        <w:jc w:val="both"/>
      </w:pPr>
      <w:r>
        <w:rPr>
          <w:sz w:val="20"/>
        </w:rPr>
        <w:t>CDC's MICs were reinterpreted with Project 1's breakpoint table and censoring rules, and every Project 1 analysis (target, drug and pooled organism group, with intermediate as not resistant) was recomputed with AMRFinderPlus target calls as the gene result. Isolates that are also in the Project 1 benchmark were excluded, so the Bank estimates come from isolates Project 1 never saw. Positive predictive value (PPV), negative predictive value, sensitivity and specificity are reported with Wilson 95% intervals [32] next to Project 1's estimates. Check B used MICs only, as in Project 1; CDC's cefoxitin disk results enter the hard-case rules but not this comparison.</w:t>
      </w:r>
    </w:p>
    <w:p>
      <w:pPr>
        <w:keepNext/>
        <w:spacing w:before="120" w:after="20"/>
        <w:jc w:val="left"/>
        <w:outlineLvl w:val="2"/>
      </w:pPr>
      <w:r>
        <w:rPr>
          <w:i/>
          <w:sz w:val="19"/>
        </w:rPr>
        <w:t>3. Check C, consistency of CDC's records.</w:t>
      </w:r>
    </w:p>
    <w:p>
      <w:pPr>
        <w:spacing w:before="0" w:after="0"/>
        <w:ind w:firstLine="245"/>
        <w:jc w:val="both"/>
      </w:pPr>
      <w:r>
        <w:rPr>
          <w:sz w:val="20"/>
        </w:rPr>
        <w:t>For Bank isolates also in the Project 1 benchmark, Project 1's category for each drug (from the antibiogram deposited in NCBI) was compared with the reinterpreted category from CDC's web page.</w:t>
      </w:r>
    </w:p>
    <w:p>
      <w:pPr>
        <w:keepNext/>
        <w:spacing w:before="160" w:after="80"/>
        <w:jc w:val="center"/>
        <w:outlineLvl w:val="1"/>
      </w:pPr>
      <w:r>
        <w:rPr>
          <w:b/>
          <w:sz w:val="18"/>
        </w:rPr>
        <w:t>G. Reproducibility and quality control</w:t>
      </w:r>
    </w:p>
    <w:p>
      <w:pPr>
        <w:spacing w:before="0" w:after="0"/>
        <w:ind w:firstLine="245"/>
        <w:jc w:val="both"/>
      </w:pPr>
      <w:r>
        <w:rPr>
          <w:sz w:val="20"/>
        </w:rPr>
        <w:t>The pipeline is a set of numbered Python scripts (pandas [33]; figures with matplotlib and seaborn [34, 35]). Every number in this manuscript is read from files the pipeline writes. A quality-control report lists row counts, unmatched gene names, every interpretation difference and named spot checks. Before release, the saved pages were re-parsed with an independently written reader, which matched all 20,546 MIC rows and 8,298 gene rows; all saved pages matched their recorded fingerprints; spot checks were compared with the live CDC pages; and a clean rebuild from the archived inputs reproduced every released table byte for byte.</w:t>
      </w:r>
    </w:p>
    <w:p>
      <w:pPr>
        <w:keepNext/>
        <w:spacing w:before="160" w:after="80"/>
        <w:jc w:val="center"/>
        <w:outlineLvl w:val="1"/>
      </w:pPr>
      <w:r>
        <w:rPr>
          <w:b/>
          <w:sz w:val="18"/>
        </w:rPr>
        <w:t>H. Ethics</w:t>
      </w:r>
    </w:p>
    <w:p>
      <w:pPr>
        <w:spacing w:before="0" w:after="0"/>
        <w:ind w:firstLine="245"/>
        <w:jc w:val="both"/>
      </w:pPr>
      <w:r>
        <w:rPr>
          <w:sz w:val="20"/>
        </w:rPr>
        <w:t>The study used only public, de-identified data on bacterial and fungal isolates. No human subjects were involved and no isolates were handled.</w:t>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jc w:val="center"/>
      </w:pPr>
      <w:r>
        <w:drawing>
          <wp:inline xmlns:a="http://schemas.openxmlformats.org/drawingml/2006/main" xmlns:pic="http://schemas.openxmlformats.org/drawingml/2006/picture">
            <wp:extent cx="6455664" cy="2704920"/>
            <wp:docPr id="3" name="Picture 3"/>
            <wp:cNvGraphicFramePr>
              <a:graphicFrameLocks noChangeAspect="1"/>
            </wp:cNvGraphicFramePr>
            <a:graphic>
              <a:graphicData uri="http://schemas.openxmlformats.org/drawingml/2006/picture">
                <pic:pic>
                  <pic:nvPicPr>
                    <pic:cNvPr id="0" name="fig2_collection.png"/>
                    <pic:cNvPicPr/>
                  </pic:nvPicPr>
                  <pic:blipFill>
                    <a:blip r:embed="rId13"/>
                    <a:stretch>
                      <a:fillRect/>
                    </a:stretch>
                  </pic:blipFill>
                  <pic:spPr>
                    <a:xfrm>
                      <a:off x="0" y="0"/>
                      <a:ext cx="6455664" cy="2704920"/>
                    </a:xfrm>
                    <a:prstGeom prst="rect"/>
                  </pic:spPr>
                </pic:pic>
              </a:graphicData>
            </a:graphic>
          </wp:inline>
        </w:drawing>
      </w:r>
    </w:p>
    <w:p>
      <w:pPr>
        <w:spacing w:before="60" w:after="160"/>
        <w:jc w:val="both"/>
      </w:pPr>
      <w:r>
        <w:rPr>
          <w:sz w:val="18"/>
        </w:rPr>
        <w:t xml:space="preserve">FIG. 2: </w:t>
      </w:r>
      <w:r>
        <w:rPr>
          <w:sz w:val="18"/>
        </w:rPr>
        <w:t>The Isolate Bank collection. (a) Isolates by organism group and whether they carry a rapid panel target. (b) Method CDC states it used to call resistance genes; ResGANNCBI is CDC's combined ResFinder, ARG-ANNOT and NCBI database. (c) Interpretive standard named on the isolate page.</w:t>
      </w:r>
    </w:p>
    <w:p>
      <w:pPr>
        <w:spacing w:after="0" w:line="20" w:lineRule="exact"/>
        <w:rPr>
          <w:sz w:val="2"/>
        </w:rPr>
        <w:sectPr>
          <w:type w:val="continuous"/>
          <w:pgSz w:w="12240" w:h="15840"/>
          <w:pgMar w:top="1224" w:bottom="1296" w:left="1036" w:right="1036" w:header="720" w:footer="720" w:gutter="0"/>
          <w:cols w:num="1" w:space="374"/>
        </w:sectPr>
      </w:pPr>
      <w:r/>
    </w:p>
    <w:p>
      <w:pPr>
        <w:keepNext/>
        <w:spacing w:before="200" w:after="100"/>
        <w:jc w:val="center"/>
        <w:outlineLvl w:val="0"/>
      </w:pPr>
      <w:r>
        <w:rPr>
          <w:b/>
          <w:sz w:val="18"/>
        </w:rPr>
        <w:t>III. RESULTS</w:t>
      </w:r>
    </w:p>
    <w:p>
      <w:pPr>
        <w:keepNext/>
        <w:spacing w:before="160" w:after="80"/>
        <w:jc w:val="center"/>
        <w:outlineLvl w:val="1"/>
      </w:pPr>
      <w:r>
        <w:rPr>
          <w:b/>
          <w:sz w:val="18"/>
        </w:rPr>
        <w:t>A. The collection</w:t>
      </w:r>
    </w:p>
    <w:p>
      <w:pPr>
        <w:spacing w:before="0" w:after="0"/>
        <w:ind w:firstLine="245"/>
        <w:jc w:val="both"/>
      </w:pPr>
      <w:r>
        <w:rPr>
          <w:sz w:val="20"/>
        </w:rPr>
        <w:t xml:space="preserve">The Bank listed 34 panels on its main page, and 5 more custom panels were linked from their descriptions, for 39 panels and 1,087 unique isolates (Table III, Fig. 1). Of these, 975 list a BioSample accession and 862 list resistance genes. In all, 825 isolates belong to organisms that the cleared panels report resistance genes for: 427 Enterobacterales, 140 </w:t>
      </w:r>
      <w:r>
        <w:rPr>
          <w:i/>
          <w:sz w:val="20"/>
        </w:rPr>
        <w:t>Pseudomonas</w:t>
      </w:r>
      <w:r>
        <w:rPr>
          <w:sz w:val="20"/>
        </w:rPr>
        <w:t xml:space="preserve">, 129 </w:t>
      </w:r>
      <w:r>
        <w:rPr>
          <w:i/>
          <w:sz w:val="20"/>
        </w:rPr>
        <w:t>S. aureus</w:t>
      </w:r>
      <w:r>
        <w:rPr>
          <w:sz w:val="20"/>
        </w:rPr>
        <w:t xml:space="preserve">, 68 </w:t>
      </w:r>
      <w:r>
        <w:rPr>
          <w:i/>
          <w:sz w:val="20"/>
        </w:rPr>
        <w:t>Acinetobacter</w:t>
      </w:r>
      <w:r>
        <w:rPr>
          <w:sz w:val="20"/>
        </w:rPr>
        <w:t xml:space="preserve">, 52 enterococci and 9 other staphylococci. The rest are fungi (126), </w:t>
      </w:r>
      <w:r>
        <w:rPr>
          <w:i/>
          <w:sz w:val="20"/>
        </w:rPr>
        <w:t>Neisseria</w:t>
      </w:r>
      <w:r>
        <w:rPr>
          <w:sz w:val="20"/>
        </w:rPr>
        <w:t xml:space="preserve"> (94) and other bacteria (42), mostly </w:t>
      </w:r>
      <w:r>
        <w:rPr>
          <w:i/>
          <w:sz w:val="20"/>
        </w:rPr>
        <w:t>C. difficile</w:t>
      </w:r>
      <w:r>
        <w:rPr>
          <w:sz w:val="20"/>
        </w:rPr>
        <w:t xml:space="preserve"> and </w:t>
      </w:r>
      <w:r>
        <w:rPr>
          <w:i/>
          <w:sz w:val="20"/>
        </w:rPr>
        <w:t>Campylobacter</w:t>
      </w:r>
      <w:r>
        <w:rPr>
          <w:sz w:val="20"/>
        </w:rPr>
        <w:t>.</w:t>
      </w:r>
    </w:p>
    <w:p>
      <w:pPr>
        <w:spacing w:before="0" w:after="0"/>
        <w:ind w:firstLine="245"/>
        <w:jc w:val="both"/>
      </w:pPr>
      <w:r>
        <w:rPr>
          <w:sz w:val="20"/>
        </w:rPr>
        <w:t>CDC's pages are not uniform (Fig. 2). Genes were called with ResFinder using its June 2016 database for 289 isolates, ARG-ANNOT and ResFinder in 2018 for 40, ResFinder 3.0 for 30, and a combined ResFinder, ARG-ANNOT and NCBI database accessed in 2021 or 2022 for 362; 141 gene lists name no method. Interpretations cite CLSI M100 2025 for 783 isolates, the 2026 edition for 86, 2024 for 60 and 2020 for 1; fungal and fastidious-organism pages cite their own standards, and 103 pages name none. In addition, 802 isolate–drug interpretations on 494 isolates are footnoted as based on FDA breakpoints. Of the 578 distinct gene names, 478 matched an NCBI symbol and 66 mapped to a panel target group; the 100 unmatched names are mostly point mutations, efflux genes, porins and fungal targets that no panel reports.</w:t>
      </w:r>
    </w:p>
    <w:p>
      <w:pPr>
        <w:keepNext/>
        <w:spacing w:before="120" w:after="60"/>
        <w:jc w:val="both"/>
      </w:pPr>
      <w:r>
        <w:rPr>
          <w:sz w:val="18"/>
        </w:rPr>
        <w:t xml:space="preserve">TABLE III: </w:t>
      </w:r>
      <w:r>
        <w:rPr>
          <w:sz w:val="18"/>
        </w:rPr>
        <w:t xml:space="preserve">Isolate Bank collection by organism group. </w:t>
      </w:r>
      <w:r>
        <w:rPr>
          <w:i/>
          <w:sz w:val="18"/>
        </w:rPr>
        <w:t>In scope</w:t>
      </w:r>
      <w:r>
        <w:rPr>
          <w:sz w:val="18"/>
        </w:rPr>
        <w:t xml:space="preserve">: organisms for which a cleared panel reports resistance genes. </w:t>
      </w:r>
      <w:r>
        <w:rPr>
          <w:i/>
          <w:sz w:val="18"/>
        </w:rPr>
        <w:t>Target</w:t>
      </w:r>
      <w:r>
        <w:rPr>
          <w:sz w:val="18"/>
        </w:rPr>
        <w:t xml:space="preserve">: isolates carrying at least one rapid panel target. </w:t>
      </w:r>
      <w:r>
        <w:rPr>
          <w:i/>
          <w:sz w:val="18"/>
        </w:rPr>
        <w:t>Hard case</w:t>
      </w:r>
      <w:r>
        <w:rPr>
          <w:sz w:val="18"/>
        </w:rPr>
        <w:t>: isolates in any hard-case category, including the two expected-negative categories.</w:t>
      </w:r>
    </w:p>
    <w:tbl>
      <w:tblPr>
        <w:jc w:val="center"/>
        <w:tblLayout w:type="fixed"/>
        <w:tblLook w:firstColumn="1" w:firstRow="1" w:lastColumn="0" w:lastRow="0" w:noHBand="0" w:noVBand="1" w:val="04A0"/>
        <w:tblCellMar>
          <w:top w:w="10" w:type="dxa"/>
          <w:bottom w:w="10" w:type="dxa"/>
          <w:left w:w="50" w:type="dxa"/>
          <w:right w:w="50" w:type="dxa"/>
        </w:tblCellMar>
        <w:tblLayout w:type="fixed"/>
        <w:tblW w:w="4896" w:type="dxa"/>
      </w:tblPr>
      <w:tblGrid>
        <w:gridCol w:w="1357"/>
        <w:gridCol w:w="737"/>
        <w:gridCol w:w="814"/>
        <w:gridCol w:w="449"/>
        <w:gridCol w:w="504"/>
        <w:gridCol w:w="581"/>
        <w:gridCol w:w="449"/>
      </w:tblGrid>
      <w:tr>
        <w:trPr>
          <w:cantSplit/>
          <w:tblHeader/>
        </w:trPr>
        <w:tc>
          <w:tcPr>
            <w:tcW w:type="dxa" w:w="1358"/>
            <w:tcBorders>
              <w:top w:val="single" w:sz="12" w:space="0" w:color="000000"/>
              <w:bottom w:val="single" w:sz="6" w:space="0" w:color="000000"/>
            </w:tcBorders>
          </w:tcPr>
          <w:p>
            <w:pPr>
              <w:keepNext/>
              <w:jc w:val="left"/>
            </w:pPr>
            <w:r>
              <w:rPr>
                <w:sz w:val="13"/>
              </w:rPr>
              <w:t>Organism group</w:t>
            </w:r>
          </w:p>
        </w:tc>
        <w:tc>
          <w:tcPr>
            <w:tcW w:type="dxa" w:w="737"/>
            <w:tcBorders>
              <w:top w:val="single" w:sz="12" w:space="0" w:color="000000"/>
              <w:bottom w:val="single" w:sz="6" w:space="0" w:color="000000"/>
            </w:tcBorders>
          </w:tcPr>
          <w:p>
            <w:pPr>
              <w:keepNext/>
              <w:jc w:val="right"/>
            </w:pPr>
            <w:r>
              <w:rPr>
                <w:sz w:val="13"/>
              </w:rPr>
              <w:t>Isolates</w:t>
            </w:r>
          </w:p>
        </w:tc>
        <w:tc>
          <w:tcPr>
            <w:tcW w:type="dxa" w:w="815"/>
            <w:tcBorders>
              <w:top w:val="single" w:sz="12" w:space="0" w:color="000000"/>
              <w:bottom w:val="single" w:sz="6" w:space="0" w:color="000000"/>
            </w:tcBorders>
          </w:tcPr>
          <w:p>
            <w:pPr>
              <w:keepNext/>
              <w:jc w:val="right"/>
            </w:pPr>
            <w:r>
              <w:rPr>
                <w:sz w:val="13"/>
              </w:rPr>
              <w:t>BioSample</w:t>
            </w:r>
          </w:p>
        </w:tc>
        <w:tc>
          <w:tcPr>
            <w:tcW w:type="dxa" w:w="450"/>
            <w:tcBorders>
              <w:top w:val="single" w:sz="12" w:space="0" w:color="000000"/>
              <w:bottom w:val="single" w:sz="6" w:space="0" w:color="000000"/>
            </w:tcBorders>
          </w:tcPr>
          <w:p>
            <w:pPr>
              <w:keepNext/>
              <w:jc w:val="right"/>
            </w:pPr>
            <w:r>
              <w:rPr>
                <w:sz w:val="13"/>
              </w:rPr>
              <w:t>Gene list</w:t>
            </w:r>
          </w:p>
        </w:tc>
        <w:tc>
          <w:tcPr>
            <w:tcW w:type="dxa" w:w="504"/>
            <w:tcBorders>
              <w:top w:val="single" w:sz="12" w:space="0" w:color="000000"/>
              <w:bottom w:val="single" w:sz="6" w:space="0" w:color="000000"/>
            </w:tcBorders>
          </w:tcPr>
          <w:p>
            <w:pPr>
              <w:keepNext/>
              <w:jc w:val="center"/>
            </w:pPr>
            <w:r>
              <w:rPr>
                <w:sz w:val="13"/>
              </w:rPr>
              <w:t>In scope</w:t>
            </w:r>
          </w:p>
        </w:tc>
        <w:tc>
          <w:tcPr>
            <w:tcW w:type="dxa" w:w="582"/>
            <w:tcBorders>
              <w:top w:val="single" w:sz="12" w:space="0" w:color="000000"/>
              <w:bottom w:val="single" w:sz="6" w:space="0" w:color="000000"/>
            </w:tcBorders>
          </w:tcPr>
          <w:p>
            <w:pPr>
              <w:keepNext/>
              <w:jc w:val="right"/>
            </w:pPr>
            <w:r>
              <w:rPr>
                <w:sz w:val="13"/>
              </w:rPr>
              <w:t>Target</w:t>
            </w:r>
          </w:p>
        </w:tc>
        <w:tc>
          <w:tcPr>
            <w:tcW w:type="dxa" w:w="450"/>
            <w:tcBorders>
              <w:top w:val="single" w:sz="12" w:space="0" w:color="000000"/>
              <w:bottom w:val="single" w:sz="6" w:space="0" w:color="000000"/>
            </w:tcBorders>
          </w:tcPr>
          <w:p>
            <w:pPr>
              <w:keepNext/>
              <w:jc w:val="right"/>
            </w:pPr>
            <w:r>
              <w:rPr>
                <w:sz w:val="13"/>
              </w:rPr>
              <w:t>Hard case</w:t>
            </w:r>
          </w:p>
        </w:tc>
      </w:tr>
      <w:tr>
        <w:trPr>
          <w:cantSplit/>
        </w:trPr>
        <w:tc>
          <w:tcPr>
            <w:tcW w:type="dxa" w:w="1358"/>
          </w:tcPr>
          <w:p>
            <w:pPr>
              <w:keepNext/>
              <w:jc w:val="left"/>
            </w:pPr>
            <w:r>
              <w:rPr>
                <w:sz w:val="13"/>
              </w:rPr>
              <w:t>Enterobacterales</w:t>
            </w:r>
          </w:p>
        </w:tc>
        <w:tc>
          <w:tcPr>
            <w:tcW w:type="dxa" w:w="737"/>
          </w:tcPr>
          <w:p>
            <w:pPr>
              <w:keepNext/>
              <w:jc w:val="right"/>
            </w:pPr>
            <w:r>
              <w:rPr>
                <w:sz w:val="13"/>
              </w:rPr>
              <w:t>427</w:t>
            </w:r>
          </w:p>
        </w:tc>
        <w:tc>
          <w:tcPr>
            <w:tcW w:type="dxa" w:w="815"/>
          </w:tcPr>
          <w:p>
            <w:pPr>
              <w:keepNext/>
              <w:jc w:val="right"/>
            </w:pPr>
            <w:r>
              <w:rPr>
                <w:sz w:val="13"/>
              </w:rPr>
              <w:t>422</w:t>
            </w:r>
          </w:p>
        </w:tc>
        <w:tc>
          <w:tcPr>
            <w:tcW w:type="dxa" w:w="450"/>
          </w:tcPr>
          <w:p>
            <w:pPr>
              <w:keepNext/>
              <w:jc w:val="right"/>
            </w:pPr>
            <w:r>
              <w:rPr>
                <w:sz w:val="13"/>
              </w:rPr>
              <w:t>408</w:t>
            </w:r>
          </w:p>
        </w:tc>
        <w:tc>
          <w:tcPr>
            <w:tcW w:type="dxa" w:w="504"/>
          </w:tcPr>
          <w:p>
            <w:pPr>
              <w:keepNext/>
              <w:jc w:val="center"/>
            </w:pPr>
            <w:r>
              <w:rPr>
                <w:sz w:val="13"/>
              </w:rPr>
              <w:t>yes</w:t>
            </w:r>
          </w:p>
        </w:tc>
        <w:tc>
          <w:tcPr>
            <w:tcW w:type="dxa" w:w="582"/>
          </w:tcPr>
          <w:p>
            <w:pPr>
              <w:keepNext/>
              <w:jc w:val="right"/>
            </w:pPr>
            <w:r>
              <w:rPr>
                <w:sz w:val="13"/>
              </w:rPr>
              <w:t>289</w:t>
            </w:r>
          </w:p>
        </w:tc>
        <w:tc>
          <w:tcPr>
            <w:tcW w:type="dxa" w:w="450"/>
          </w:tcPr>
          <w:p>
            <w:pPr>
              <w:keepNext/>
              <w:jc w:val="right"/>
            </w:pPr>
            <w:r>
              <w:rPr>
                <w:sz w:val="13"/>
              </w:rPr>
              <w:t>81</w:t>
            </w:r>
          </w:p>
        </w:tc>
      </w:tr>
      <w:tr>
        <w:trPr>
          <w:cantSplit/>
        </w:trPr>
        <w:tc>
          <w:tcPr>
            <w:tcW w:type="dxa" w:w="1358"/>
          </w:tcPr>
          <w:p>
            <w:pPr>
              <w:keepNext/>
              <w:jc w:val="left"/>
            </w:pPr>
            <w:r>
              <w:rPr>
                <w:i/>
                <w:sz w:val="13"/>
              </w:rPr>
              <w:t>Pseudomonas</w:t>
            </w:r>
          </w:p>
        </w:tc>
        <w:tc>
          <w:tcPr>
            <w:tcW w:type="dxa" w:w="737"/>
          </w:tcPr>
          <w:p>
            <w:pPr>
              <w:keepNext/>
              <w:jc w:val="right"/>
            </w:pPr>
            <w:r>
              <w:rPr>
                <w:sz w:val="13"/>
              </w:rPr>
              <w:t>140</w:t>
            </w:r>
          </w:p>
        </w:tc>
        <w:tc>
          <w:tcPr>
            <w:tcW w:type="dxa" w:w="815"/>
          </w:tcPr>
          <w:p>
            <w:pPr>
              <w:keepNext/>
              <w:jc w:val="right"/>
            </w:pPr>
            <w:r>
              <w:rPr>
                <w:sz w:val="13"/>
              </w:rPr>
              <w:t>137</w:t>
            </w:r>
          </w:p>
        </w:tc>
        <w:tc>
          <w:tcPr>
            <w:tcW w:type="dxa" w:w="450"/>
          </w:tcPr>
          <w:p>
            <w:pPr>
              <w:keepNext/>
              <w:jc w:val="right"/>
            </w:pPr>
            <w:r>
              <w:rPr>
                <w:sz w:val="13"/>
              </w:rPr>
              <w:t>131</w:t>
            </w:r>
          </w:p>
        </w:tc>
        <w:tc>
          <w:tcPr>
            <w:tcW w:type="dxa" w:w="504"/>
          </w:tcPr>
          <w:p>
            <w:pPr>
              <w:keepNext/>
              <w:jc w:val="center"/>
            </w:pPr>
            <w:r>
              <w:rPr>
                <w:sz w:val="13"/>
              </w:rPr>
              <w:t>yes</w:t>
            </w:r>
          </w:p>
        </w:tc>
        <w:tc>
          <w:tcPr>
            <w:tcW w:type="dxa" w:w="582"/>
          </w:tcPr>
          <w:p>
            <w:pPr>
              <w:keepNext/>
              <w:jc w:val="right"/>
            </w:pPr>
            <w:r>
              <w:rPr>
                <w:sz w:val="13"/>
              </w:rPr>
              <w:t>50</w:t>
            </w:r>
          </w:p>
        </w:tc>
        <w:tc>
          <w:tcPr>
            <w:tcW w:type="dxa" w:w="450"/>
          </w:tcPr>
          <w:p>
            <w:pPr>
              <w:keepNext/>
              <w:jc w:val="right"/>
            </w:pPr>
            <w:r>
              <w:rPr>
                <w:sz w:val="13"/>
              </w:rPr>
              <w:t>69</w:t>
            </w:r>
          </w:p>
        </w:tc>
      </w:tr>
      <w:tr>
        <w:trPr>
          <w:cantSplit/>
        </w:trPr>
        <w:tc>
          <w:tcPr>
            <w:tcW w:type="dxa" w:w="1358"/>
          </w:tcPr>
          <w:p>
            <w:pPr>
              <w:keepNext/>
              <w:jc w:val="left"/>
            </w:pPr>
            <w:r>
              <w:rPr>
                <w:i/>
                <w:sz w:val="13"/>
              </w:rPr>
              <w:t>Acinetobacter</w:t>
            </w:r>
          </w:p>
        </w:tc>
        <w:tc>
          <w:tcPr>
            <w:tcW w:type="dxa" w:w="737"/>
          </w:tcPr>
          <w:p>
            <w:pPr>
              <w:keepNext/>
              <w:jc w:val="right"/>
            </w:pPr>
            <w:r>
              <w:rPr>
                <w:sz w:val="13"/>
              </w:rPr>
              <w:t>68</w:t>
            </w:r>
          </w:p>
        </w:tc>
        <w:tc>
          <w:tcPr>
            <w:tcW w:type="dxa" w:w="815"/>
          </w:tcPr>
          <w:p>
            <w:pPr>
              <w:keepNext/>
              <w:jc w:val="right"/>
            </w:pPr>
            <w:r>
              <w:rPr>
                <w:sz w:val="13"/>
              </w:rPr>
              <w:t>68</w:t>
            </w:r>
          </w:p>
        </w:tc>
        <w:tc>
          <w:tcPr>
            <w:tcW w:type="dxa" w:w="450"/>
          </w:tcPr>
          <w:p>
            <w:pPr>
              <w:keepNext/>
              <w:jc w:val="right"/>
            </w:pPr>
            <w:r>
              <w:rPr>
                <w:sz w:val="13"/>
              </w:rPr>
              <w:t>67</w:t>
            </w:r>
          </w:p>
        </w:tc>
        <w:tc>
          <w:tcPr>
            <w:tcW w:type="dxa" w:w="504"/>
          </w:tcPr>
          <w:p>
            <w:pPr>
              <w:keepNext/>
              <w:jc w:val="center"/>
            </w:pPr>
            <w:r>
              <w:rPr>
                <w:sz w:val="13"/>
              </w:rPr>
              <w:t>yes</w:t>
            </w:r>
          </w:p>
        </w:tc>
        <w:tc>
          <w:tcPr>
            <w:tcW w:type="dxa" w:w="582"/>
          </w:tcPr>
          <w:p>
            <w:pPr>
              <w:keepNext/>
              <w:jc w:val="right"/>
            </w:pPr>
            <w:r>
              <w:rPr>
                <w:sz w:val="13"/>
              </w:rPr>
              <w:t>54</w:t>
            </w:r>
          </w:p>
        </w:tc>
        <w:tc>
          <w:tcPr>
            <w:tcW w:type="dxa" w:w="450"/>
          </w:tcPr>
          <w:p>
            <w:pPr>
              <w:keepNext/>
              <w:jc w:val="right"/>
            </w:pPr>
            <w:r>
              <w:rPr>
                <w:sz w:val="13"/>
              </w:rPr>
              <w:t>6</w:t>
            </w:r>
          </w:p>
        </w:tc>
      </w:tr>
      <w:tr>
        <w:trPr>
          <w:cantSplit/>
        </w:trPr>
        <w:tc>
          <w:tcPr>
            <w:tcW w:type="dxa" w:w="1358"/>
          </w:tcPr>
          <w:p>
            <w:pPr>
              <w:keepNext/>
              <w:jc w:val="left"/>
            </w:pPr>
            <w:r>
              <w:rPr>
                <w:i/>
                <w:sz w:val="13"/>
              </w:rPr>
              <w:t>S. aureus</w:t>
            </w:r>
          </w:p>
        </w:tc>
        <w:tc>
          <w:tcPr>
            <w:tcW w:type="dxa" w:w="737"/>
          </w:tcPr>
          <w:p>
            <w:pPr>
              <w:keepNext/>
              <w:jc w:val="right"/>
            </w:pPr>
            <w:r>
              <w:rPr>
                <w:sz w:val="13"/>
              </w:rPr>
              <w:t>129</w:t>
            </w:r>
          </w:p>
        </w:tc>
        <w:tc>
          <w:tcPr>
            <w:tcW w:type="dxa" w:w="815"/>
          </w:tcPr>
          <w:p>
            <w:pPr>
              <w:keepNext/>
              <w:jc w:val="right"/>
            </w:pPr>
            <w:r>
              <w:rPr>
                <w:sz w:val="13"/>
              </w:rPr>
              <w:t>128</w:t>
            </w:r>
          </w:p>
        </w:tc>
        <w:tc>
          <w:tcPr>
            <w:tcW w:type="dxa" w:w="450"/>
          </w:tcPr>
          <w:p>
            <w:pPr>
              <w:keepNext/>
              <w:jc w:val="right"/>
            </w:pPr>
            <w:r>
              <w:rPr>
                <w:sz w:val="13"/>
              </w:rPr>
              <w:t>126</w:t>
            </w:r>
          </w:p>
        </w:tc>
        <w:tc>
          <w:tcPr>
            <w:tcW w:type="dxa" w:w="504"/>
          </w:tcPr>
          <w:p>
            <w:pPr>
              <w:keepNext/>
              <w:jc w:val="center"/>
            </w:pPr>
            <w:r>
              <w:rPr>
                <w:sz w:val="13"/>
              </w:rPr>
              <w:t>yes</w:t>
            </w:r>
          </w:p>
        </w:tc>
        <w:tc>
          <w:tcPr>
            <w:tcW w:type="dxa" w:w="582"/>
          </w:tcPr>
          <w:p>
            <w:pPr>
              <w:keepNext/>
              <w:jc w:val="right"/>
            </w:pPr>
            <w:r>
              <w:rPr>
                <w:sz w:val="13"/>
              </w:rPr>
              <w:t>107</w:t>
            </w:r>
          </w:p>
        </w:tc>
        <w:tc>
          <w:tcPr>
            <w:tcW w:type="dxa" w:w="450"/>
          </w:tcPr>
          <w:p>
            <w:pPr>
              <w:keepNext/>
              <w:jc w:val="right"/>
            </w:pPr>
            <w:r>
              <w:rPr>
                <w:sz w:val="13"/>
              </w:rPr>
              <w:t>4</w:t>
            </w:r>
          </w:p>
        </w:tc>
      </w:tr>
      <w:tr>
        <w:trPr>
          <w:cantSplit/>
        </w:trPr>
        <w:tc>
          <w:tcPr>
            <w:tcW w:type="dxa" w:w="1358"/>
          </w:tcPr>
          <w:p>
            <w:pPr>
              <w:keepNext/>
              <w:jc w:val="left"/>
            </w:pPr>
            <w:r>
              <w:rPr>
                <w:sz w:val="13"/>
              </w:rPr>
              <w:t>Other staphylococci</w:t>
            </w:r>
          </w:p>
        </w:tc>
        <w:tc>
          <w:tcPr>
            <w:tcW w:type="dxa" w:w="737"/>
          </w:tcPr>
          <w:p>
            <w:pPr>
              <w:keepNext/>
              <w:jc w:val="right"/>
            </w:pPr>
            <w:r>
              <w:rPr>
                <w:sz w:val="13"/>
              </w:rPr>
              <w:t>9</w:t>
            </w:r>
          </w:p>
        </w:tc>
        <w:tc>
          <w:tcPr>
            <w:tcW w:type="dxa" w:w="815"/>
          </w:tcPr>
          <w:p>
            <w:pPr>
              <w:keepNext/>
              <w:jc w:val="right"/>
            </w:pPr>
            <w:r>
              <w:rPr>
                <w:sz w:val="13"/>
              </w:rPr>
              <w:t>9</w:t>
            </w:r>
          </w:p>
        </w:tc>
        <w:tc>
          <w:tcPr>
            <w:tcW w:type="dxa" w:w="450"/>
          </w:tcPr>
          <w:p>
            <w:pPr>
              <w:keepNext/>
              <w:jc w:val="right"/>
            </w:pPr>
            <w:r>
              <w:rPr>
                <w:sz w:val="13"/>
              </w:rPr>
              <w:t>9</w:t>
            </w:r>
          </w:p>
        </w:tc>
        <w:tc>
          <w:tcPr>
            <w:tcW w:type="dxa" w:w="504"/>
          </w:tcPr>
          <w:p>
            <w:pPr>
              <w:keepNext/>
              <w:jc w:val="center"/>
            </w:pPr>
            <w:r>
              <w:rPr>
                <w:sz w:val="13"/>
              </w:rPr>
              <w:t>yes</w:t>
            </w:r>
          </w:p>
        </w:tc>
        <w:tc>
          <w:tcPr>
            <w:tcW w:type="dxa" w:w="582"/>
          </w:tcPr>
          <w:p>
            <w:pPr>
              <w:keepNext/>
              <w:jc w:val="right"/>
            </w:pPr>
            <w:r>
              <w:rPr>
                <w:sz w:val="13"/>
              </w:rPr>
              <w:t>8</w:t>
            </w:r>
          </w:p>
        </w:tc>
        <w:tc>
          <w:tcPr>
            <w:tcW w:type="dxa" w:w="450"/>
          </w:tcPr>
          <w:p>
            <w:pPr>
              <w:keepNext/>
              <w:jc w:val="right"/>
            </w:pPr>
            <w:r>
              <w:rPr>
                <w:sz w:val="13"/>
              </w:rPr>
              <w:t>0</w:t>
            </w:r>
          </w:p>
        </w:tc>
      </w:tr>
      <w:tr>
        <w:trPr>
          <w:cantSplit/>
        </w:trPr>
        <w:tc>
          <w:tcPr>
            <w:tcW w:type="dxa" w:w="1358"/>
          </w:tcPr>
          <w:p>
            <w:pPr>
              <w:keepNext/>
              <w:jc w:val="left"/>
            </w:pPr>
            <w:r>
              <w:rPr>
                <w:i/>
                <w:sz w:val="13"/>
              </w:rPr>
              <w:t>Enterococcus</w:t>
            </w:r>
          </w:p>
        </w:tc>
        <w:tc>
          <w:tcPr>
            <w:tcW w:type="dxa" w:w="737"/>
          </w:tcPr>
          <w:p>
            <w:pPr>
              <w:keepNext/>
              <w:jc w:val="right"/>
            </w:pPr>
            <w:r>
              <w:rPr>
                <w:sz w:val="13"/>
              </w:rPr>
              <w:t>52</w:t>
            </w:r>
          </w:p>
        </w:tc>
        <w:tc>
          <w:tcPr>
            <w:tcW w:type="dxa" w:w="815"/>
          </w:tcPr>
          <w:p>
            <w:pPr>
              <w:keepNext/>
              <w:jc w:val="right"/>
            </w:pPr>
            <w:r>
              <w:rPr>
                <w:sz w:val="13"/>
              </w:rPr>
              <w:t>51</w:t>
            </w:r>
          </w:p>
        </w:tc>
        <w:tc>
          <w:tcPr>
            <w:tcW w:type="dxa" w:w="450"/>
          </w:tcPr>
          <w:p>
            <w:pPr>
              <w:keepNext/>
              <w:jc w:val="right"/>
            </w:pPr>
            <w:r>
              <w:rPr>
                <w:sz w:val="13"/>
              </w:rPr>
              <w:t>50</w:t>
            </w:r>
          </w:p>
        </w:tc>
        <w:tc>
          <w:tcPr>
            <w:tcW w:type="dxa" w:w="504"/>
          </w:tcPr>
          <w:p>
            <w:pPr>
              <w:keepNext/>
              <w:jc w:val="center"/>
            </w:pPr>
            <w:r>
              <w:rPr>
                <w:sz w:val="13"/>
              </w:rPr>
              <w:t>yes</w:t>
            </w:r>
          </w:p>
        </w:tc>
        <w:tc>
          <w:tcPr>
            <w:tcW w:type="dxa" w:w="582"/>
          </w:tcPr>
          <w:p>
            <w:pPr>
              <w:keepNext/>
              <w:jc w:val="right"/>
            </w:pPr>
            <w:r>
              <w:rPr>
                <w:sz w:val="13"/>
              </w:rPr>
              <w:t>21</w:t>
            </w:r>
          </w:p>
        </w:tc>
        <w:tc>
          <w:tcPr>
            <w:tcW w:type="dxa" w:w="450"/>
          </w:tcPr>
          <w:p>
            <w:pPr>
              <w:keepNext/>
              <w:jc w:val="right"/>
            </w:pPr>
            <w:r>
              <w:rPr>
                <w:sz w:val="13"/>
              </w:rPr>
              <w:t>9</w:t>
            </w:r>
          </w:p>
        </w:tc>
      </w:tr>
      <w:tr>
        <w:trPr>
          <w:cantSplit/>
        </w:trPr>
        <w:tc>
          <w:tcPr>
            <w:tcW w:type="dxa" w:w="1358"/>
          </w:tcPr>
          <w:p>
            <w:pPr>
              <w:keepNext/>
              <w:jc w:val="left"/>
            </w:pPr>
            <w:r>
              <w:rPr>
                <w:i/>
                <w:sz w:val="13"/>
              </w:rPr>
              <w:t>Neisseria</w:t>
            </w:r>
          </w:p>
        </w:tc>
        <w:tc>
          <w:tcPr>
            <w:tcW w:type="dxa" w:w="737"/>
          </w:tcPr>
          <w:p>
            <w:pPr>
              <w:keepNext/>
              <w:jc w:val="right"/>
            </w:pPr>
            <w:r>
              <w:rPr>
                <w:sz w:val="13"/>
              </w:rPr>
              <w:t>94</w:t>
            </w:r>
          </w:p>
        </w:tc>
        <w:tc>
          <w:tcPr>
            <w:tcW w:type="dxa" w:w="815"/>
          </w:tcPr>
          <w:p>
            <w:pPr>
              <w:keepNext/>
              <w:jc w:val="right"/>
            </w:pPr>
            <w:r>
              <w:rPr>
                <w:sz w:val="13"/>
              </w:rPr>
              <w:t>52</w:t>
            </w:r>
          </w:p>
        </w:tc>
        <w:tc>
          <w:tcPr>
            <w:tcW w:type="dxa" w:w="450"/>
          </w:tcPr>
          <w:p>
            <w:pPr>
              <w:keepNext/>
              <w:jc w:val="right"/>
            </w:pPr>
            <w:r>
              <w:rPr>
                <w:sz w:val="13"/>
              </w:rPr>
              <w:t>19</w:t>
            </w:r>
          </w:p>
        </w:tc>
        <w:tc>
          <w:tcPr>
            <w:tcW w:type="dxa" w:w="504"/>
          </w:tcPr>
          <w:p>
            <w:pPr>
              <w:keepNext/>
              <w:jc w:val="center"/>
            </w:pPr>
            <w:r>
              <w:rPr>
                <w:sz w:val="13"/>
              </w:rPr>
              <w:t>no</w:t>
            </w:r>
          </w:p>
        </w:tc>
        <w:tc>
          <w:tcPr>
            <w:tcW w:type="dxa" w:w="582"/>
          </w:tcPr>
          <w:p>
            <w:pPr>
              <w:keepNext/>
              <w:jc w:val="right"/>
            </w:pPr>
            <w:r>
              <w:rPr>
                <w:sz w:val="13"/>
              </w:rPr>
              <w:t>0</w:t>
            </w:r>
          </w:p>
        </w:tc>
        <w:tc>
          <w:tcPr>
            <w:tcW w:type="dxa" w:w="450"/>
          </w:tcPr>
          <w:p>
            <w:pPr>
              <w:keepNext/>
              <w:jc w:val="right"/>
            </w:pPr>
            <w:r>
              <w:rPr>
                <w:sz w:val="13"/>
              </w:rPr>
              <w:t>0</w:t>
            </w:r>
          </w:p>
        </w:tc>
      </w:tr>
      <w:tr>
        <w:trPr>
          <w:cantSplit/>
        </w:trPr>
        <w:tc>
          <w:tcPr>
            <w:tcW w:type="dxa" w:w="1358"/>
          </w:tcPr>
          <w:p>
            <w:pPr>
              <w:keepNext/>
              <w:jc w:val="left"/>
            </w:pPr>
            <w:r>
              <w:rPr>
                <w:sz w:val="13"/>
              </w:rPr>
              <w:t>Fungi</w:t>
            </w:r>
          </w:p>
        </w:tc>
        <w:tc>
          <w:tcPr>
            <w:tcW w:type="dxa" w:w="737"/>
          </w:tcPr>
          <w:p>
            <w:pPr>
              <w:keepNext/>
              <w:jc w:val="right"/>
            </w:pPr>
            <w:r>
              <w:rPr>
                <w:sz w:val="13"/>
              </w:rPr>
              <w:t>126</w:t>
            </w:r>
          </w:p>
        </w:tc>
        <w:tc>
          <w:tcPr>
            <w:tcW w:type="dxa" w:w="815"/>
          </w:tcPr>
          <w:p>
            <w:pPr>
              <w:keepNext/>
              <w:jc w:val="right"/>
            </w:pPr>
            <w:r>
              <w:rPr>
                <w:sz w:val="13"/>
              </w:rPr>
              <w:t>68</w:t>
            </w:r>
          </w:p>
        </w:tc>
        <w:tc>
          <w:tcPr>
            <w:tcW w:type="dxa" w:w="450"/>
          </w:tcPr>
          <w:p>
            <w:pPr>
              <w:keepNext/>
              <w:jc w:val="right"/>
            </w:pPr>
            <w:r>
              <w:rPr>
                <w:sz w:val="13"/>
              </w:rPr>
              <w:t>44</w:t>
            </w:r>
          </w:p>
        </w:tc>
        <w:tc>
          <w:tcPr>
            <w:tcW w:type="dxa" w:w="504"/>
          </w:tcPr>
          <w:p>
            <w:pPr>
              <w:keepNext/>
              <w:jc w:val="center"/>
            </w:pPr>
            <w:r>
              <w:rPr>
                <w:sz w:val="13"/>
              </w:rPr>
              <w:t>no</w:t>
            </w:r>
          </w:p>
        </w:tc>
        <w:tc>
          <w:tcPr>
            <w:tcW w:type="dxa" w:w="582"/>
          </w:tcPr>
          <w:p>
            <w:pPr>
              <w:keepNext/>
              <w:jc w:val="right"/>
            </w:pPr>
            <w:r>
              <w:rPr>
                <w:sz w:val="13"/>
              </w:rPr>
              <w:t>0</w:t>
            </w:r>
          </w:p>
        </w:tc>
        <w:tc>
          <w:tcPr>
            <w:tcW w:type="dxa" w:w="450"/>
          </w:tcPr>
          <w:p>
            <w:pPr>
              <w:keepNext/>
              <w:jc w:val="right"/>
            </w:pPr>
            <w:r>
              <w:rPr>
                <w:sz w:val="13"/>
              </w:rPr>
              <w:t>0</w:t>
            </w:r>
          </w:p>
        </w:tc>
      </w:tr>
      <w:tr>
        <w:trPr>
          <w:cantSplit/>
        </w:trPr>
        <w:tc>
          <w:tcPr>
            <w:tcW w:type="dxa" w:w="1358"/>
          </w:tcPr>
          <w:p>
            <w:pPr>
              <w:keepNext/>
              <w:jc w:val="left"/>
            </w:pPr>
            <w:r>
              <w:rPr>
                <w:sz w:val="13"/>
              </w:rPr>
              <w:t>Other bacteria</w:t>
            </w:r>
          </w:p>
        </w:tc>
        <w:tc>
          <w:tcPr>
            <w:tcW w:type="dxa" w:w="737"/>
          </w:tcPr>
          <w:p>
            <w:pPr>
              <w:keepNext/>
              <w:jc w:val="right"/>
            </w:pPr>
            <w:r>
              <w:rPr>
                <w:sz w:val="13"/>
              </w:rPr>
              <w:t>42</w:t>
            </w:r>
          </w:p>
        </w:tc>
        <w:tc>
          <w:tcPr>
            <w:tcW w:type="dxa" w:w="815"/>
          </w:tcPr>
          <w:p>
            <w:pPr>
              <w:keepNext/>
              <w:jc w:val="right"/>
            </w:pPr>
            <w:r>
              <w:rPr>
                <w:sz w:val="13"/>
              </w:rPr>
              <w:t>40</w:t>
            </w:r>
          </w:p>
        </w:tc>
        <w:tc>
          <w:tcPr>
            <w:tcW w:type="dxa" w:w="450"/>
          </w:tcPr>
          <w:p>
            <w:pPr>
              <w:keepNext/>
              <w:jc w:val="right"/>
            </w:pPr>
            <w:r>
              <w:rPr>
                <w:sz w:val="13"/>
              </w:rPr>
              <w:t>8</w:t>
            </w:r>
          </w:p>
        </w:tc>
        <w:tc>
          <w:tcPr>
            <w:tcW w:type="dxa" w:w="504"/>
          </w:tcPr>
          <w:p>
            <w:pPr>
              <w:keepNext/>
              <w:jc w:val="center"/>
            </w:pPr>
            <w:r>
              <w:rPr>
                <w:sz w:val="13"/>
              </w:rPr>
              <w:t>no</w:t>
            </w:r>
          </w:p>
        </w:tc>
        <w:tc>
          <w:tcPr>
            <w:tcW w:type="dxa" w:w="582"/>
          </w:tcPr>
          <w:p>
            <w:pPr>
              <w:keepNext/>
              <w:jc w:val="right"/>
            </w:pPr>
            <w:r>
              <w:rPr>
                <w:sz w:val="13"/>
              </w:rPr>
              <w:t>0</w:t>
            </w:r>
          </w:p>
        </w:tc>
        <w:tc>
          <w:tcPr>
            <w:tcW w:type="dxa" w:w="450"/>
          </w:tcPr>
          <w:p>
            <w:pPr>
              <w:keepNext/>
              <w:jc w:val="right"/>
            </w:pPr>
            <w:r>
              <w:rPr>
                <w:sz w:val="13"/>
              </w:rPr>
              <w:t>0</w:t>
            </w:r>
          </w:p>
        </w:tc>
      </w:tr>
      <w:tr>
        <w:trPr>
          <w:cantSplit/>
        </w:trPr>
        <w:tc>
          <w:tcPr>
            <w:tcW w:type="dxa" w:w="1358"/>
            <w:tcBorders>
              <w:bottom w:val="single" w:sz="12" w:space="0" w:color="000000"/>
              <w:top w:val="single" w:sz="4" w:space="0" w:color="000000"/>
            </w:tcBorders>
          </w:tcPr>
          <w:p>
            <w:pPr>
              <w:jc w:val="left"/>
            </w:pPr>
            <w:r>
              <w:rPr>
                <w:sz w:val="13"/>
              </w:rPr>
              <w:t>Total</w:t>
            </w:r>
          </w:p>
        </w:tc>
        <w:tc>
          <w:tcPr>
            <w:tcW w:type="dxa" w:w="737"/>
            <w:tcBorders>
              <w:bottom w:val="single" w:sz="12" w:space="0" w:color="000000"/>
              <w:top w:val="single" w:sz="4" w:space="0" w:color="000000"/>
            </w:tcBorders>
          </w:tcPr>
          <w:p>
            <w:pPr>
              <w:jc w:val="right"/>
            </w:pPr>
            <w:r>
              <w:rPr>
                <w:sz w:val="13"/>
              </w:rPr>
              <w:t>1,087</w:t>
            </w:r>
          </w:p>
        </w:tc>
        <w:tc>
          <w:tcPr>
            <w:tcW w:type="dxa" w:w="815"/>
            <w:tcBorders>
              <w:bottom w:val="single" w:sz="12" w:space="0" w:color="000000"/>
              <w:top w:val="single" w:sz="4" w:space="0" w:color="000000"/>
            </w:tcBorders>
          </w:tcPr>
          <w:p>
            <w:pPr>
              <w:jc w:val="right"/>
            </w:pPr>
            <w:r>
              <w:rPr>
                <w:sz w:val="13"/>
              </w:rPr>
              <w:t>975</w:t>
            </w:r>
          </w:p>
        </w:tc>
        <w:tc>
          <w:tcPr>
            <w:tcW w:type="dxa" w:w="450"/>
            <w:tcBorders>
              <w:bottom w:val="single" w:sz="12" w:space="0" w:color="000000"/>
              <w:top w:val="single" w:sz="4" w:space="0" w:color="000000"/>
            </w:tcBorders>
          </w:tcPr>
          <w:p>
            <w:pPr>
              <w:jc w:val="right"/>
            </w:pPr>
            <w:r>
              <w:rPr>
                <w:sz w:val="13"/>
              </w:rPr>
              <w:t>862</w:t>
            </w:r>
          </w:p>
        </w:tc>
        <w:tc>
          <w:tcPr>
            <w:tcW w:type="dxa" w:w="504"/>
            <w:tcBorders>
              <w:bottom w:val="single" w:sz="12" w:space="0" w:color="000000"/>
              <w:top w:val="single" w:sz="4" w:space="0" w:color="000000"/>
            </w:tcBorders>
          </w:tcPr>
          <w:p>
            <w:pPr>
              <w:jc w:val="center"/>
            </w:pPr>
            <w:r>
              <w:rPr>
                <w:sz w:val="13"/>
              </w:rPr>
              <w:t>825</w:t>
            </w:r>
          </w:p>
        </w:tc>
        <w:tc>
          <w:tcPr>
            <w:tcW w:type="dxa" w:w="582"/>
            <w:tcBorders>
              <w:bottom w:val="single" w:sz="12" w:space="0" w:color="000000"/>
              <w:top w:val="single" w:sz="4" w:space="0" w:color="000000"/>
            </w:tcBorders>
          </w:tcPr>
          <w:p>
            <w:pPr>
              <w:jc w:val="right"/>
            </w:pPr>
            <w:r>
              <w:rPr>
                <w:sz w:val="13"/>
              </w:rPr>
              <w:t>529</w:t>
            </w:r>
          </w:p>
        </w:tc>
        <w:tc>
          <w:tcPr>
            <w:tcW w:type="dxa" w:w="450"/>
            <w:tcBorders>
              <w:bottom w:val="single" w:sz="12" w:space="0" w:color="000000"/>
              <w:top w:val="single" w:sz="4" w:space="0" w:color="000000"/>
            </w:tcBorders>
          </w:tcPr>
          <w:p>
            <w:pPr>
              <w:jc w:val="right"/>
            </w:pPr>
            <w:r>
              <w:rPr>
                <w:sz w:val="13"/>
              </w:rPr>
              <w:t>169</w:t>
            </w:r>
          </w:p>
        </w:tc>
      </w:tr>
    </w:tbl>
    <w:p>
      <w:pPr>
        <w:spacing w:after="80"/>
      </w:pPr>
    </w:p>
    <w:p>
      <w:pPr>
        <w:keepNext/>
        <w:spacing w:before="160" w:after="80"/>
        <w:jc w:val="center"/>
        <w:outlineLvl w:val="1"/>
      </w:pPr>
      <w:r>
        <w:rPr>
          <w:b/>
          <w:sz w:val="18"/>
        </w:rPr>
        <w:t>B. Target coverage</w:t>
      </w:r>
    </w:p>
    <w:p>
      <w:pPr>
        <w:spacing w:before="0" w:after="0"/>
        <w:ind w:firstLine="245"/>
        <w:jc w:val="both"/>
      </w:pPr>
      <w:r>
        <w:rPr>
          <w:sz w:val="20"/>
        </w:rPr>
        <w:t xml:space="preserve">Of the 825 in-scope isolates, 529 (64.1%) carry at least one panel target, and 97 carry two or more (up to 4). Table IV gives the number of isolates, panels and species for each target group, and Fig. 3 shows where they sit. CTX-M is the most widely represented target (168 isolates in 17 panels), followed by </w:t>
      </w:r>
      <w:r>
        <w:rPr>
          <w:i/>
          <w:sz w:val="20"/>
        </w:rPr>
        <w:t>mecA</w:t>
      </w:r>
      <w:r>
        <w:rPr>
          <w:sz w:val="20"/>
        </w:rPr>
        <w:t xml:space="preserve"> (113), KPC (95, 16 panels), NDM (77), OXA-48-like (38) and VIM (36). The </w:t>
      </w:r>
      <w:r>
        <w:rPr>
          <w:i/>
          <w:sz w:val="20"/>
        </w:rPr>
        <w:t>Acinetobacter</w:t>
      </w:r>
      <w:r>
        <w:rPr>
          <w:sz w:val="20"/>
        </w:rPr>
        <w:t xml:space="preserve"> targets reported only by the newer Gram-negative panels are present (OXA-23-like 28, OXA-24/40-like 18, OXA-58-like 3), as are SME (9) and </w:t>
      </w:r>
      <w:r>
        <w:rPr>
          <w:i/>
          <w:sz w:val="20"/>
        </w:rPr>
        <w:t>mcr</w:t>
      </w:r>
      <w:r>
        <w:rPr>
          <w:sz w:val="20"/>
        </w:rPr>
        <w:t xml:space="preserve"> genes (</w:t>
      </w:r>
      <w:r>
        <w:rPr>
          <w:i/>
          <w:sz w:val="20"/>
        </w:rPr>
        <w:t>mcr-1</w:t>
      </w:r>
      <w:r>
        <w:rPr>
          <w:sz w:val="20"/>
        </w:rPr>
        <w:t xml:space="preserve"> 7, </w:t>
      </w:r>
      <w:r>
        <w:rPr>
          <w:i/>
          <w:sz w:val="20"/>
        </w:rPr>
        <w:t>mcr-2</w:t>
      </w:r>
      <w:r>
        <w:rPr>
          <w:sz w:val="20"/>
        </w:rPr>
        <w:t xml:space="preserve"> 1, </w:t>
      </w:r>
      <w:r>
        <w:rPr>
          <w:i/>
          <w:sz w:val="20"/>
        </w:rPr>
        <w:t>mcr-3</w:t>
      </w:r>
      <w:r>
        <w:rPr>
          <w:sz w:val="20"/>
        </w:rPr>
        <w:t xml:space="preserve"> 2). </w:t>
      </w:r>
      <w:r>
        <w:rPr>
          <w:i/>
          <w:sz w:val="20"/>
        </w:rPr>
        <w:t>mecC</w:t>
      </w:r>
      <w:r>
        <w:rPr>
          <w:sz w:val="20"/>
        </w:rPr>
        <w:t xml:space="preserve"> is represented by two isolates (in the borderline-oxacillin panel and its “mecC+” custom panel), and OXA-143-like, which LIAISON PLEX Gram-Negative reports, by none.</w:t>
      </w:r>
    </w:p>
    <w:p>
      <w:pPr>
        <w:spacing w:before="0" w:after="0"/>
        <w:ind w:firstLine="245"/>
        <w:jc w:val="both"/>
      </w:pPr>
      <w:r>
        <w:rPr>
          <w:sz w:val="20"/>
        </w:rPr>
        <w:t xml:space="preserve">The panels designed around carbapenemases cover the Gram-negative targets most densely: Gram Negative Carbapenemase Detection (CarbaNP) holds ten target groups, and Enterobacterales Carbapenemase Diversity (CRE) and the antibiotic verification panels for cefepime/zidebactam, plazomicin, imipenem/relebactam and meropenem/vaborbactam each hold four to seven. </w:t>
      </w:r>
      <w:r>
        <w:rPr>
          <w:i/>
          <w:sz w:val="20"/>
        </w:rPr>
        <w:t>mecA</w:t>
      </w:r>
      <w:r>
        <w:rPr>
          <w:sz w:val="20"/>
        </w:rPr>
        <w:t xml:space="preserve"> sits mainly in the staphylococcal panels (borderline oxacillin susceptibility, difficult-to-detect </w:t>
      </w:r>
      <w:r>
        <w:rPr>
          <w:i/>
          <w:sz w:val="20"/>
        </w:rPr>
        <w:t>mecA</w:t>
      </w:r>
      <w:r>
        <w:rPr>
          <w:sz w:val="20"/>
        </w:rPr>
        <w:t xml:space="preserve">, oxazolidinone-resistant staphylococci and vancomycin-intermediate </w:t>
      </w:r>
      <w:r>
        <w:rPr>
          <w:i/>
          <w:sz w:val="20"/>
        </w:rPr>
        <w:t>S. aureus</w:t>
      </w:r>
      <w:r>
        <w:rPr>
          <w:sz w:val="20"/>
        </w:rPr>
        <w:t xml:space="preserve">), with further isolates in the delafloxacin and aminoglycoside/tetracycline panels; </w:t>
      </w:r>
      <w:r>
        <w:rPr>
          <w:i/>
          <w:sz w:val="20"/>
        </w:rPr>
        <w:t>vanA</w:t>
      </w:r>
      <w:r>
        <w:rPr>
          <w:sz w:val="20"/>
        </w:rPr>
        <w:t xml:space="preserve"> and </w:t>
      </w:r>
      <w:r>
        <w:rPr>
          <w:i/>
          <w:sz w:val="20"/>
        </w:rPr>
        <w:t>vanB</w:t>
      </w:r>
      <w:r>
        <w:rPr>
          <w:sz w:val="20"/>
        </w:rPr>
        <w:t xml:space="preserve"> sit mostly in the VRE panel; and </w:t>
      </w:r>
      <w:r>
        <w:rPr>
          <w:i/>
          <w:sz w:val="20"/>
        </w:rPr>
        <w:t>mcr</w:t>
      </w:r>
      <w:r>
        <w:rPr>
          <w:sz w:val="20"/>
        </w:rPr>
        <w:t xml:space="preserve"> genes in the panel of isolates with new or novel resistance.</w:t>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after="60"/>
        <w:jc w:val="center"/>
      </w:pPr>
      <w:r>
        <w:rPr>
          <w:sz w:val="18"/>
        </w:rPr>
        <w:t xml:space="preserve">TABLE IV: </w:t>
      </w:r>
      <w:r>
        <w:rPr>
          <w:sz w:val="18"/>
        </w:rPr>
        <w:t xml:space="preserve">Rapid panel target groups in the Isolate Bank. </w:t>
      </w:r>
      <w:r>
        <w:rPr>
          <w:i/>
          <w:sz w:val="18"/>
        </w:rPr>
        <w:t>Species</w:t>
      </w:r>
      <w:r>
        <w:rPr>
          <w:sz w:val="18"/>
        </w:rPr>
        <w:t xml:space="preserve"> counts distinct genus–species names as CDC writes them.</w:t>
      </w:r>
    </w:p>
    <w:tbl>
      <w:tblPr>
        <w:jc w:val="center"/>
        <w:tblLayout w:type="fixed"/>
        <w:tblLook w:firstColumn="1" w:firstRow="1" w:lastColumn="0" w:lastRow="0" w:noHBand="0" w:noVBand="1" w:val="04A0"/>
        <w:tblCellMar>
          <w:top w:w="10" w:type="dxa"/>
          <w:bottom w:w="10" w:type="dxa"/>
          <w:left w:w="50" w:type="dxa"/>
          <w:right w:w="50" w:type="dxa"/>
        </w:tblCellMar>
        <w:tblLayout w:type="fixed"/>
        <w:tblW w:w="10166" w:type="dxa"/>
      </w:tblPr>
      <w:tblGrid>
        <w:gridCol w:w="2008"/>
        <w:gridCol w:w="1231"/>
        <w:gridCol w:w="972"/>
        <w:gridCol w:w="1101"/>
        <w:gridCol w:w="1423"/>
        <w:gridCol w:w="3428"/>
      </w:tblGrid>
      <w:tr>
        <w:trPr>
          <w:cantSplit/>
          <w:tblHeader/>
        </w:trPr>
        <w:tc>
          <w:tcPr>
            <w:tcW w:type="dxa" w:w="2009"/>
            <w:tcBorders>
              <w:top w:val="single" w:sz="12" w:space="0" w:color="000000"/>
              <w:bottom w:val="single" w:sz="6" w:space="0" w:color="000000"/>
            </w:tcBorders>
          </w:tcPr>
          <w:p>
            <w:pPr>
              <w:keepNext/>
              <w:jc w:val="left"/>
            </w:pPr>
            <w:r>
              <w:rPr>
                <w:sz w:val="14"/>
              </w:rPr>
              <w:t>Target group</w:t>
            </w:r>
          </w:p>
        </w:tc>
        <w:tc>
          <w:tcPr>
            <w:tcW w:type="dxa" w:w="1231"/>
            <w:tcBorders>
              <w:top w:val="single" w:sz="12" w:space="0" w:color="000000"/>
              <w:bottom w:val="single" w:sz="6" w:space="0" w:color="000000"/>
            </w:tcBorders>
          </w:tcPr>
          <w:p>
            <w:pPr>
              <w:keepNext/>
              <w:jc w:val="right"/>
            </w:pPr>
            <w:r>
              <w:rPr>
                <w:sz w:val="14"/>
              </w:rPr>
              <w:t>Isolates</w:t>
            </w:r>
          </w:p>
        </w:tc>
        <w:tc>
          <w:tcPr>
            <w:tcW w:type="dxa" w:w="972"/>
            <w:tcBorders>
              <w:top w:val="single" w:sz="12" w:space="0" w:color="000000"/>
              <w:bottom w:val="single" w:sz="6" w:space="0" w:color="000000"/>
            </w:tcBorders>
          </w:tcPr>
          <w:p>
            <w:pPr>
              <w:keepNext/>
              <w:jc w:val="right"/>
            </w:pPr>
            <w:r>
              <w:rPr>
                <w:sz w:val="14"/>
              </w:rPr>
              <w:t>Bank panels</w:t>
            </w:r>
          </w:p>
        </w:tc>
        <w:tc>
          <w:tcPr>
            <w:tcW w:type="dxa" w:w="1102"/>
            <w:tcBorders>
              <w:top w:val="single" w:sz="12" w:space="0" w:color="000000"/>
              <w:bottom w:val="single" w:sz="6" w:space="0" w:color="000000"/>
            </w:tcBorders>
          </w:tcPr>
          <w:p>
            <w:pPr>
              <w:keepNext/>
              <w:jc w:val="right"/>
            </w:pPr>
            <w:r>
              <w:rPr>
                <w:sz w:val="14"/>
              </w:rPr>
              <w:t>Species</w:t>
            </w:r>
          </w:p>
        </w:tc>
        <w:tc>
          <w:tcPr>
            <w:tcW w:type="dxa" w:w="1424"/>
            <w:tcBorders>
              <w:top w:val="single" w:sz="12" w:space="0" w:color="000000"/>
              <w:bottom w:val="single" w:sz="6" w:space="0" w:color="000000"/>
            </w:tcBorders>
          </w:tcPr>
          <w:p>
            <w:pPr>
              <w:keepNext/>
              <w:jc w:val="left"/>
            </w:pPr>
            <w:r>
              <w:rPr>
                <w:sz w:val="14"/>
              </w:rPr>
              <w:t>Panels reporting it</w:t>
            </w:r>
            <w:r>
              <w:rPr>
                <w:sz w:val="14"/>
              </w:rPr>
              <w:t>ᵃ</w:t>
            </w:r>
          </w:p>
        </w:tc>
        <w:tc>
          <w:tcPr>
            <w:tcW w:type="dxa" w:w="3429"/>
            <w:tcBorders>
              <w:top w:val="single" w:sz="12" w:space="0" w:color="000000"/>
              <w:bottom w:val="single" w:sz="6" w:space="0" w:color="000000"/>
            </w:tcBorders>
          </w:tcPr>
          <w:p>
            <w:pPr>
              <w:keepNext/>
              <w:jc w:val="left"/>
            </w:pPr>
            <w:r>
              <w:rPr>
                <w:sz w:val="14"/>
              </w:rPr>
              <w:t>CDC allele names (examples)</w:t>
            </w:r>
          </w:p>
        </w:tc>
      </w:tr>
      <w:tr>
        <w:trPr>
          <w:cantSplit/>
        </w:trPr>
        <w:tc>
          <w:tcPr>
            <w:tcW w:type="dxa" w:w="2009"/>
          </w:tcPr>
          <w:p>
            <w:pPr>
              <w:keepNext/>
              <w:jc w:val="left"/>
            </w:pPr>
            <w:r>
              <w:rPr>
                <w:sz w:val="14"/>
              </w:rPr>
              <w:t>mecA</w:t>
            </w:r>
          </w:p>
        </w:tc>
        <w:tc>
          <w:tcPr>
            <w:tcW w:type="dxa" w:w="1231"/>
          </w:tcPr>
          <w:p>
            <w:pPr>
              <w:keepNext/>
              <w:jc w:val="right"/>
            </w:pPr>
            <w:r>
              <w:rPr>
                <w:sz w:val="14"/>
              </w:rPr>
              <w:t>113</w:t>
            </w:r>
          </w:p>
        </w:tc>
        <w:tc>
          <w:tcPr>
            <w:tcW w:type="dxa" w:w="972"/>
          </w:tcPr>
          <w:p>
            <w:pPr>
              <w:keepNext/>
              <w:jc w:val="right"/>
            </w:pPr>
            <w:r>
              <w:rPr>
                <w:sz w:val="14"/>
              </w:rPr>
              <w:t>6</w:t>
            </w:r>
          </w:p>
        </w:tc>
        <w:tc>
          <w:tcPr>
            <w:tcW w:type="dxa" w:w="1102"/>
          </w:tcPr>
          <w:p>
            <w:pPr>
              <w:keepNext/>
              <w:jc w:val="right"/>
            </w:pPr>
            <w:r>
              <w:rPr>
                <w:sz w:val="14"/>
              </w:rPr>
              <w:t>3</w:t>
            </w:r>
          </w:p>
        </w:tc>
        <w:tc>
          <w:tcPr>
            <w:tcW w:type="dxa" w:w="1424"/>
          </w:tcPr>
          <w:p>
            <w:pPr>
              <w:keepNext/>
              <w:jc w:val="left"/>
            </w:pPr>
            <w:r>
              <w:rPr>
                <w:sz w:val="14"/>
              </w:rPr>
              <w:t>B2, eP, VP, LP</w:t>
            </w:r>
          </w:p>
        </w:tc>
        <w:tc>
          <w:tcPr>
            <w:tcW w:type="dxa" w:w="3429"/>
          </w:tcPr>
          <w:p>
            <w:pPr>
              <w:keepNext/>
              <w:jc w:val="left"/>
            </w:pPr>
            <w:r>
              <w:rPr>
                <w:sz w:val="14"/>
              </w:rPr>
              <w:t>mecA</w:t>
            </w:r>
          </w:p>
        </w:tc>
      </w:tr>
      <w:tr>
        <w:trPr>
          <w:cantSplit/>
        </w:trPr>
        <w:tc>
          <w:tcPr>
            <w:tcW w:type="dxa" w:w="2009"/>
          </w:tcPr>
          <w:p>
            <w:pPr>
              <w:keepNext/>
              <w:jc w:val="left"/>
            </w:pPr>
            <w:r>
              <w:rPr>
                <w:sz w:val="14"/>
              </w:rPr>
              <w:t>mecC</w:t>
            </w:r>
          </w:p>
        </w:tc>
        <w:tc>
          <w:tcPr>
            <w:tcW w:type="dxa" w:w="1231"/>
          </w:tcPr>
          <w:p>
            <w:pPr>
              <w:keepNext/>
              <w:jc w:val="right"/>
            </w:pPr>
            <w:r>
              <w:rPr>
                <w:sz w:val="14"/>
              </w:rPr>
              <w:t>2</w:t>
            </w:r>
          </w:p>
        </w:tc>
        <w:tc>
          <w:tcPr>
            <w:tcW w:type="dxa" w:w="972"/>
          </w:tcPr>
          <w:p>
            <w:pPr>
              <w:keepNext/>
              <w:jc w:val="right"/>
            </w:pPr>
            <w:r>
              <w:rPr>
                <w:sz w:val="14"/>
              </w:rPr>
              <w:t>2</w:t>
            </w:r>
          </w:p>
        </w:tc>
        <w:tc>
          <w:tcPr>
            <w:tcW w:type="dxa" w:w="1102"/>
          </w:tcPr>
          <w:p>
            <w:pPr>
              <w:keepNext/>
              <w:jc w:val="right"/>
            </w:pPr>
            <w:r>
              <w:rPr>
                <w:sz w:val="14"/>
              </w:rPr>
              <w:t>1</w:t>
            </w:r>
          </w:p>
        </w:tc>
        <w:tc>
          <w:tcPr>
            <w:tcW w:type="dxa" w:w="1424"/>
          </w:tcPr>
          <w:p>
            <w:pPr>
              <w:keepNext/>
              <w:jc w:val="left"/>
            </w:pPr>
            <w:r>
              <w:rPr>
                <w:sz w:val="14"/>
              </w:rPr>
              <w:t>B2, eP, LP</w:t>
            </w:r>
          </w:p>
        </w:tc>
        <w:tc>
          <w:tcPr>
            <w:tcW w:type="dxa" w:w="3429"/>
          </w:tcPr>
          <w:p>
            <w:pPr>
              <w:keepNext/>
              <w:jc w:val="left"/>
            </w:pPr>
            <w:r>
              <w:rPr>
                <w:sz w:val="14"/>
              </w:rPr>
              <w:t>blaZ-mecC</w:t>
            </w:r>
          </w:p>
        </w:tc>
      </w:tr>
      <w:tr>
        <w:trPr>
          <w:cantSplit/>
        </w:trPr>
        <w:tc>
          <w:tcPr>
            <w:tcW w:type="dxa" w:w="2009"/>
          </w:tcPr>
          <w:p>
            <w:pPr>
              <w:keepNext/>
              <w:jc w:val="left"/>
            </w:pPr>
            <w:r>
              <w:rPr>
                <w:sz w:val="14"/>
              </w:rPr>
              <w:t>vanA</w:t>
            </w:r>
          </w:p>
        </w:tc>
        <w:tc>
          <w:tcPr>
            <w:tcW w:type="dxa" w:w="1231"/>
          </w:tcPr>
          <w:p>
            <w:pPr>
              <w:keepNext/>
              <w:jc w:val="right"/>
            </w:pPr>
            <w:r>
              <w:rPr>
                <w:sz w:val="14"/>
              </w:rPr>
              <w:t>11</w:t>
            </w:r>
          </w:p>
        </w:tc>
        <w:tc>
          <w:tcPr>
            <w:tcW w:type="dxa" w:w="972"/>
          </w:tcPr>
          <w:p>
            <w:pPr>
              <w:keepNext/>
              <w:jc w:val="right"/>
            </w:pPr>
            <w:r>
              <w:rPr>
                <w:sz w:val="14"/>
              </w:rPr>
              <w:t>3</w:t>
            </w:r>
          </w:p>
        </w:tc>
        <w:tc>
          <w:tcPr>
            <w:tcW w:type="dxa" w:w="1102"/>
          </w:tcPr>
          <w:p>
            <w:pPr>
              <w:keepNext/>
              <w:jc w:val="right"/>
            </w:pPr>
            <w:r>
              <w:rPr>
                <w:sz w:val="14"/>
              </w:rPr>
              <w:t>3</w:t>
            </w:r>
          </w:p>
        </w:tc>
        <w:tc>
          <w:tcPr>
            <w:tcW w:type="dxa" w:w="1424"/>
          </w:tcPr>
          <w:p>
            <w:pPr>
              <w:keepNext/>
              <w:jc w:val="left"/>
            </w:pPr>
            <w:r>
              <w:rPr>
                <w:sz w:val="14"/>
              </w:rPr>
              <w:t>B2, eP, VP, LP</w:t>
            </w:r>
          </w:p>
        </w:tc>
        <w:tc>
          <w:tcPr>
            <w:tcW w:type="dxa" w:w="3429"/>
          </w:tcPr>
          <w:p>
            <w:pPr>
              <w:keepNext/>
              <w:jc w:val="left"/>
            </w:pPr>
            <w:r>
              <w:rPr>
                <w:sz w:val="14"/>
              </w:rPr>
              <w:t>VanA, vanHAX(lacks VanRs)</w:t>
            </w:r>
          </w:p>
        </w:tc>
      </w:tr>
      <w:tr>
        <w:trPr>
          <w:cantSplit/>
        </w:trPr>
        <w:tc>
          <w:tcPr>
            <w:tcW w:type="dxa" w:w="2009"/>
          </w:tcPr>
          <w:p>
            <w:pPr>
              <w:keepNext/>
              <w:jc w:val="left"/>
            </w:pPr>
            <w:r>
              <w:rPr>
                <w:sz w:val="14"/>
              </w:rPr>
              <w:t>vanB</w:t>
            </w:r>
          </w:p>
        </w:tc>
        <w:tc>
          <w:tcPr>
            <w:tcW w:type="dxa" w:w="1231"/>
          </w:tcPr>
          <w:p>
            <w:pPr>
              <w:keepNext/>
              <w:jc w:val="right"/>
            </w:pPr>
            <w:r>
              <w:rPr>
                <w:sz w:val="14"/>
              </w:rPr>
              <w:t>10</w:t>
            </w:r>
          </w:p>
        </w:tc>
        <w:tc>
          <w:tcPr>
            <w:tcW w:type="dxa" w:w="972"/>
          </w:tcPr>
          <w:p>
            <w:pPr>
              <w:keepNext/>
              <w:jc w:val="right"/>
            </w:pPr>
            <w:r>
              <w:rPr>
                <w:sz w:val="14"/>
              </w:rPr>
              <w:t>1</w:t>
            </w:r>
          </w:p>
        </w:tc>
        <w:tc>
          <w:tcPr>
            <w:tcW w:type="dxa" w:w="1102"/>
          </w:tcPr>
          <w:p>
            <w:pPr>
              <w:keepNext/>
              <w:jc w:val="right"/>
            </w:pPr>
            <w:r>
              <w:rPr>
                <w:sz w:val="14"/>
              </w:rPr>
              <w:t>2</w:t>
            </w:r>
          </w:p>
        </w:tc>
        <w:tc>
          <w:tcPr>
            <w:tcW w:type="dxa" w:w="1424"/>
          </w:tcPr>
          <w:p>
            <w:pPr>
              <w:keepNext/>
              <w:jc w:val="left"/>
            </w:pPr>
            <w:r>
              <w:rPr>
                <w:sz w:val="14"/>
              </w:rPr>
              <w:t>B2, eP, VP, LP</w:t>
            </w:r>
          </w:p>
        </w:tc>
        <w:tc>
          <w:tcPr>
            <w:tcW w:type="dxa" w:w="3429"/>
          </w:tcPr>
          <w:p>
            <w:pPr>
              <w:keepNext/>
              <w:jc w:val="left"/>
            </w:pPr>
            <w:r>
              <w:rPr>
                <w:sz w:val="14"/>
              </w:rPr>
              <w:t>VanB</w:t>
            </w:r>
          </w:p>
        </w:tc>
      </w:tr>
      <w:tr>
        <w:trPr>
          <w:cantSplit/>
        </w:trPr>
        <w:tc>
          <w:tcPr>
            <w:tcW w:type="dxa" w:w="2009"/>
          </w:tcPr>
          <w:p>
            <w:pPr>
              <w:keepNext/>
              <w:jc w:val="left"/>
            </w:pPr>
            <w:r>
              <w:rPr>
                <w:sz w:val="14"/>
              </w:rPr>
              <w:t>KPC</w:t>
            </w:r>
          </w:p>
        </w:tc>
        <w:tc>
          <w:tcPr>
            <w:tcW w:type="dxa" w:w="1231"/>
          </w:tcPr>
          <w:p>
            <w:pPr>
              <w:keepNext/>
              <w:jc w:val="right"/>
            </w:pPr>
            <w:r>
              <w:rPr>
                <w:sz w:val="14"/>
              </w:rPr>
              <w:t>95</w:t>
            </w:r>
          </w:p>
        </w:tc>
        <w:tc>
          <w:tcPr>
            <w:tcW w:type="dxa" w:w="972"/>
          </w:tcPr>
          <w:p>
            <w:pPr>
              <w:keepNext/>
              <w:jc w:val="right"/>
            </w:pPr>
            <w:r>
              <w:rPr>
                <w:sz w:val="14"/>
              </w:rPr>
              <w:t>16</w:t>
            </w:r>
          </w:p>
        </w:tc>
        <w:tc>
          <w:tcPr>
            <w:tcW w:type="dxa" w:w="1102"/>
          </w:tcPr>
          <w:p>
            <w:pPr>
              <w:keepNext/>
              <w:jc w:val="right"/>
            </w:pPr>
            <w:r>
              <w:rPr>
                <w:sz w:val="14"/>
              </w:rPr>
              <w:t>14</w:t>
            </w:r>
          </w:p>
        </w:tc>
        <w:tc>
          <w:tcPr>
            <w:tcW w:type="dxa" w:w="1424"/>
          </w:tcPr>
          <w:p>
            <w:pPr>
              <w:keepNext/>
              <w:jc w:val="left"/>
            </w:pPr>
            <w:r>
              <w:rPr>
                <w:sz w:val="14"/>
              </w:rPr>
              <w:t>B2, eN, VN, LN</w:t>
            </w:r>
          </w:p>
        </w:tc>
        <w:tc>
          <w:tcPr>
            <w:tcW w:type="dxa" w:w="3429"/>
          </w:tcPr>
          <w:p>
            <w:pPr>
              <w:keepNext/>
              <w:jc w:val="left"/>
            </w:pPr>
            <w:r>
              <w:rPr>
                <w:sz w:val="14"/>
              </w:rPr>
              <w:t>KPC-11, KPC-2, KPC-3, KPC-4, KPC-45, KPC-5, +1 more</w:t>
            </w:r>
          </w:p>
        </w:tc>
      </w:tr>
      <w:tr>
        <w:trPr>
          <w:cantSplit/>
        </w:trPr>
        <w:tc>
          <w:tcPr>
            <w:tcW w:type="dxa" w:w="2009"/>
          </w:tcPr>
          <w:p>
            <w:pPr>
              <w:keepNext/>
              <w:jc w:val="left"/>
            </w:pPr>
            <w:r>
              <w:rPr>
                <w:sz w:val="14"/>
              </w:rPr>
              <w:t>NDM</w:t>
            </w:r>
          </w:p>
        </w:tc>
        <w:tc>
          <w:tcPr>
            <w:tcW w:type="dxa" w:w="1231"/>
          </w:tcPr>
          <w:p>
            <w:pPr>
              <w:keepNext/>
              <w:jc w:val="right"/>
            </w:pPr>
            <w:r>
              <w:rPr>
                <w:sz w:val="14"/>
              </w:rPr>
              <w:t>77</w:t>
            </w:r>
          </w:p>
        </w:tc>
        <w:tc>
          <w:tcPr>
            <w:tcW w:type="dxa" w:w="972"/>
          </w:tcPr>
          <w:p>
            <w:pPr>
              <w:keepNext/>
              <w:jc w:val="right"/>
            </w:pPr>
            <w:r>
              <w:rPr>
                <w:sz w:val="14"/>
              </w:rPr>
              <w:t>15</w:t>
            </w:r>
          </w:p>
        </w:tc>
        <w:tc>
          <w:tcPr>
            <w:tcW w:type="dxa" w:w="1102"/>
          </w:tcPr>
          <w:p>
            <w:pPr>
              <w:keepNext/>
              <w:jc w:val="right"/>
            </w:pPr>
            <w:r>
              <w:rPr>
                <w:sz w:val="14"/>
              </w:rPr>
              <w:t>12</w:t>
            </w:r>
          </w:p>
        </w:tc>
        <w:tc>
          <w:tcPr>
            <w:tcW w:type="dxa" w:w="1424"/>
          </w:tcPr>
          <w:p>
            <w:pPr>
              <w:keepNext/>
              <w:jc w:val="left"/>
            </w:pPr>
            <w:r>
              <w:rPr>
                <w:sz w:val="14"/>
              </w:rPr>
              <w:t>B2, eN, VN, LN</w:t>
            </w:r>
          </w:p>
        </w:tc>
        <w:tc>
          <w:tcPr>
            <w:tcW w:type="dxa" w:w="3429"/>
          </w:tcPr>
          <w:p>
            <w:pPr>
              <w:keepNext/>
              <w:jc w:val="left"/>
            </w:pPr>
            <w:r>
              <w:rPr>
                <w:sz w:val="14"/>
              </w:rPr>
              <w:t>NDM, NDM-1, NDM-5, NDM-6, NDM-7</w:t>
            </w:r>
          </w:p>
        </w:tc>
      </w:tr>
      <w:tr>
        <w:trPr>
          <w:cantSplit/>
        </w:trPr>
        <w:tc>
          <w:tcPr>
            <w:tcW w:type="dxa" w:w="2009"/>
          </w:tcPr>
          <w:p>
            <w:pPr>
              <w:keepNext/>
              <w:jc w:val="left"/>
            </w:pPr>
            <w:r>
              <w:rPr>
                <w:sz w:val="14"/>
              </w:rPr>
              <w:t>OXA-48-like</w:t>
            </w:r>
          </w:p>
        </w:tc>
        <w:tc>
          <w:tcPr>
            <w:tcW w:type="dxa" w:w="1231"/>
          </w:tcPr>
          <w:p>
            <w:pPr>
              <w:keepNext/>
              <w:jc w:val="right"/>
            </w:pPr>
            <w:r>
              <w:rPr>
                <w:sz w:val="14"/>
              </w:rPr>
              <w:t>38</w:t>
            </w:r>
          </w:p>
        </w:tc>
        <w:tc>
          <w:tcPr>
            <w:tcW w:type="dxa" w:w="972"/>
          </w:tcPr>
          <w:p>
            <w:pPr>
              <w:keepNext/>
              <w:jc w:val="right"/>
            </w:pPr>
            <w:r>
              <w:rPr>
                <w:sz w:val="14"/>
              </w:rPr>
              <w:t>12</w:t>
            </w:r>
          </w:p>
        </w:tc>
        <w:tc>
          <w:tcPr>
            <w:tcW w:type="dxa" w:w="1102"/>
          </w:tcPr>
          <w:p>
            <w:pPr>
              <w:keepNext/>
              <w:jc w:val="right"/>
            </w:pPr>
            <w:r>
              <w:rPr>
                <w:sz w:val="14"/>
              </w:rPr>
              <w:t>7</w:t>
            </w:r>
          </w:p>
        </w:tc>
        <w:tc>
          <w:tcPr>
            <w:tcW w:type="dxa" w:w="1424"/>
          </w:tcPr>
          <w:p>
            <w:pPr>
              <w:keepNext/>
              <w:jc w:val="left"/>
            </w:pPr>
            <w:r>
              <w:rPr>
                <w:sz w:val="14"/>
              </w:rPr>
              <w:t>B2, eN, VN, LN</w:t>
            </w:r>
          </w:p>
        </w:tc>
        <w:tc>
          <w:tcPr>
            <w:tcW w:type="dxa" w:w="3429"/>
          </w:tcPr>
          <w:p>
            <w:pPr>
              <w:keepNext/>
              <w:jc w:val="left"/>
            </w:pPr>
            <w:r>
              <w:rPr>
                <w:sz w:val="14"/>
              </w:rPr>
              <w:t>OXA-181, OXA-232, OXA-244, OXA-252, OXA-48, OXA-48(c)</w:t>
            </w:r>
          </w:p>
        </w:tc>
      </w:tr>
      <w:tr>
        <w:trPr>
          <w:cantSplit/>
        </w:trPr>
        <w:tc>
          <w:tcPr>
            <w:tcW w:type="dxa" w:w="2009"/>
          </w:tcPr>
          <w:p>
            <w:pPr>
              <w:keepNext/>
              <w:jc w:val="left"/>
            </w:pPr>
            <w:r>
              <w:rPr>
                <w:sz w:val="14"/>
              </w:rPr>
              <w:t>VIM</w:t>
            </w:r>
          </w:p>
        </w:tc>
        <w:tc>
          <w:tcPr>
            <w:tcW w:type="dxa" w:w="1231"/>
          </w:tcPr>
          <w:p>
            <w:pPr>
              <w:keepNext/>
              <w:jc w:val="right"/>
            </w:pPr>
            <w:r>
              <w:rPr>
                <w:sz w:val="14"/>
              </w:rPr>
              <w:t>36</w:t>
            </w:r>
          </w:p>
        </w:tc>
        <w:tc>
          <w:tcPr>
            <w:tcW w:type="dxa" w:w="972"/>
          </w:tcPr>
          <w:p>
            <w:pPr>
              <w:keepNext/>
              <w:jc w:val="right"/>
            </w:pPr>
            <w:r>
              <w:rPr>
                <w:sz w:val="14"/>
              </w:rPr>
              <w:t>11</w:t>
            </w:r>
          </w:p>
        </w:tc>
        <w:tc>
          <w:tcPr>
            <w:tcW w:type="dxa" w:w="1102"/>
          </w:tcPr>
          <w:p>
            <w:pPr>
              <w:keepNext/>
              <w:jc w:val="right"/>
            </w:pPr>
            <w:r>
              <w:rPr>
                <w:sz w:val="14"/>
              </w:rPr>
              <w:t>4</w:t>
            </w:r>
          </w:p>
        </w:tc>
        <w:tc>
          <w:tcPr>
            <w:tcW w:type="dxa" w:w="1424"/>
          </w:tcPr>
          <w:p>
            <w:pPr>
              <w:keepNext/>
              <w:jc w:val="left"/>
            </w:pPr>
            <w:r>
              <w:rPr>
                <w:sz w:val="14"/>
              </w:rPr>
              <w:t>B2, eN, VN, LN</w:t>
            </w:r>
          </w:p>
        </w:tc>
        <w:tc>
          <w:tcPr>
            <w:tcW w:type="dxa" w:w="3429"/>
          </w:tcPr>
          <w:p>
            <w:pPr>
              <w:keepNext/>
              <w:jc w:val="left"/>
            </w:pPr>
            <w:r>
              <w:rPr>
                <w:sz w:val="14"/>
              </w:rPr>
              <w:t>VIM, VIM-1, VIM-11, VIM-2, VIM-27, VIM-4, +2 more</w:t>
            </w:r>
          </w:p>
        </w:tc>
      </w:tr>
      <w:tr>
        <w:trPr>
          <w:cantSplit/>
        </w:trPr>
        <w:tc>
          <w:tcPr>
            <w:tcW w:type="dxa" w:w="2009"/>
          </w:tcPr>
          <w:p>
            <w:pPr>
              <w:keepNext/>
              <w:jc w:val="left"/>
            </w:pPr>
            <w:r>
              <w:rPr>
                <w:sz w:val="14"/>
              </w:rPr>
              <w:t>IMP</w:t>
            </w:r>
          </w:p>
        </w:tc>
        <w:tc>
          <w:tcPr>
            <w:tcW w:type="dxa" w:w="1231"/>
          </w:tcPr>
          <w:p>
            <w:pPr>
              <w:keepNext/>
              <w:jc w:val="right"/>
            </w:pPr>
            <w:r>
              <w:rPr>
                <w:sz w:val="14"/>
              </w:rPr>
              <w:t>26</w:t>
            </w:r>
          </w:p>
        </w:tc>
        <w:tc>
          <w:tcPr>
            <w:tcW w:type="dxa" w:w="972"/>
          </w:tcPr>
          <w:p>
            <w:pPr>
              <w:keepNext/>
              <w:jc w:val="right"/>
            </w:pPr>
            <w:r>
              <w:rPr>
                <w:sz w:val="14"/>
              </w:rPr>
              <w:t>8</w:t>
            </w:r>
          </w:p>
        </w:tc>
        <w:tc>
          <w:tcPr>
            <w:tcW w:type="dxa" w:w="1102"/>
          </w:tcPr>
          <w:p>
            <w:pPr>
              <w:keepNext/>
              <w:jc w:val="right"/>
            </w:pPr>
            <w:r>
              <w:rPr>
                <w:sz w:val="14"/>
              </w:rPr>
              <w:t>7</w:t>
            </w:r>
          </w:p>
        </w:tc>
        <w:tc>
          <w:tcPr>
            <w:tcW w:type="dxa" w:w="1424"/>
          </w:tcPr>
          <w:p>
            <w:pPr>
              <w:keepNext/>
              <w:jc w:val="left"/>
            </w:pPr>
            <w:r>
              <w:rPr>
                <w:sz w:val="14"/>
              </w:rPr>
              <w:t>B2, eN, VN, LN</w:t>
            </w:r>
          </w:p>
        </w:tc>
        <w:tc>
          <w:tcPr>
            <w:tcW w:type="dxa" w:w="3429"/>
          </w:tcPr>
          <w:p>
            <w:pPr>
              <w:keepNext/>
              <w:jc w:val="left"/>
            </w:pPr>
            <w:r>
              <w:rPr>
                <w:sz w:val="14"/>
              </w:rPr>
              <w:t>IMP-1, IMP-13, IMP-14, IMP-15, IMP-18, IMP-26, +7 more</w:t>
            </w:r>
          </w:p>
        </w:tc>
      </w:tr>
      <w:tr>
        <w:trPr>
          <w:cantSplit/>
        </w:trPr>
        <w:tc>
          <w:tcPr>
            <w:tcW w:type="dxa" w:w="2009"/>
          </w:tcPr>
          <w:p>
            <w:pPr>
              <w:keepNext/>
              <w:jc w:val="left"/>
            </w:pPr>
            <w:r>
              <w:rPr>
                <w:sz w:val="14"/>
              </w:rPr>
              <w:t>CTX-M</w:t>
            </w:r>
          </w:p>
        </w:tc>
        <w:tc>
          <w:tcPr>
            <w:tcW w:type="dxa" w:w="1231"/>
          </w:tcPr>
          <w:p>
            <w:pPr>
              <w:keepNext/>
              <w:jc w:val="right"/>
            </w:pPr>
            <w:r>
              <w:rPr>
                <w:sz w:val="14"/>
              </w:rPr>
              <w:t>168</w:t>
            </w:r>
          </w:p>
        </w:tc>
        <w:tc>
          <w:tcPr>
            <w:tcW w:type="dxa" w:w="972"/>
          </w:tcPr>
          <w:p>
            <w:pPr>
              <w:keepNext/>
              <w:jc w:val="right"/>
            </w:pPr>
            <w:r>
              <w:rPr>
                <w:sz w:val="14"/>
              </w:rPr>
              <w:t>17</w:t>
            </w:r>
          </w:p>
        </w:tc>
        <w:tc>
          <w:tcPr>
            <w:tcW w:type="dxa" w:w="1102"/>
          </w:tcPr>
          <w:p>
            <w:pPr>
              <w:keepNext/>
              <w:jc w:val="right"/>
            </w:pPr>
            <w:r>
              <w:rPr>
                <w:sz w:val="14"/>
              </w:rPr>
              <w:t>12</w:t>
            </w:r>
          </w:p>
        </w:tc>
        <w:tc>
          <w:tcPr>
            <w:tcW w:type="dxa" w:w="1424"/>
          </w:tcPr>
          <w:p>
            <w:pPr>
              <w:keepNext/>
              <w:jc w:val="left"/>
            </w:pPr>
            <w:r>
              <w:rPr>
                <w:sz w:val="14"/>
              </w:rPr>
              <w:t>B2, eN, VN, LN</w:t>
            </w:r>
          </w:p>
        </w:tc>
        <w:tc>
          <w:tcPr>
            <w:tcW w:type="dxa" w:w="3429"/>
          </w:tcPr>
          <w:p>
            <w:pPr>
              <w:keepNext/>
              <w:jc w:val="left"/>
            </w:pPr>
            <w:r>
              <w:rPr>
                <w:sz w:val="14"/>
              </w:rPr>
              <w:t>CTX-M-1, CTX-M-124, CTX-M-14, CTX-M-14b, CTX-M-15, CTX-M-2, +6 more</w:t>
            </w:r>
          </w:p>
        </w:tc>
      </w:tr>
      <w:tr>
        <w:trPr>
          <w:cantSplit/>
        </w:trPr>
        <w:tc>
          <w:tcPr>
            <w:tcW w:type="dxa" w:w="2009"/>
          </w:tcPr>
          <w:p>
            <w:pPr>
              <w:keepNext/>
              <w:jc w:val="left"/>
            </w:pPr>
            <w:r>
              <w:rPr>
                <w:sz w:val="14"/>
              </w:rPr>
              <w:t>OXA-23-like</w:t>
            </w:r>
          </w:p>
        </w:tc>
        <w:tc>
          <w:tcPr>
            <w:tcW w:type="dxa" w:w="1231"/>
          </w:tcPr>
          <w:p>
            <w:pPr>
              <w:keepNext/>
              <w:jc w:val="right"/>
            </w:pPr>
            <w:r>
              <w:rPr>
                <w:sz w:val="14"/>
              </w:rPr>
              <w:t>28</w:t>
            </w:r>
          </w:p>
        </w:tc>
        <w:tc>
          <w:tcPr>
            <w:tcW w:type="dxa" w:w="972"/>
          </w:tcPr>
          <w:p>
            <w:pPr>
              <w:keepNext/>
              <w:jc w:val="right"/>
            </w:pPr>
            <w:r>
              <w:rPr>
                <w:sz w:val="14"/>
              </w:rPr>
              <w:t>4</w:t>
            </w:r>
          </w:p>
        </w:tc>
        <w:tc>
          <w:tcPr>
            <w:tcW w:type="dxa" w:w="1102"/>
          </w:tcPr>
          <w:p>
            <w:pPr>
              <w:keepNext/>
              <w:jc w:val="right"/>
            </w:pPr>
            <w:r>
              <w:rPr>
                <w:sz w:val="14"/>
              </w:rPr>
              <w:t>1</w:t>
            </w:r>
          </w:p>
        </w:tc>
        <w:tc>
          <w:tcPr>
            <w:tcW w:type="dxa" w:w="1424"/>
          </w:tcPr>
          <w:p>
            <w:pPr>
              <w:keepNext/>
              <w:jc w:val="left"/>
            </w:pPr>
            <w:r>
              <w:rPr>
                <w:sz w:val="14"/>
              </w:rPr>
              <w:t>eN, VN, LN</w:t>
            </w:r>
          </w:p>
        </w:tc>
        <w:tc>
          <w:tcPr>
            <w:tcW w:type="dxa" w:w="3429"/>
          </w:tcPr>
          <w:p>
            <w:pPr>
              <w:keepNext/>
              <w:jc w:val="left"/>
            </w:pPr>
            <w:r>
              <w:rPr>
                <w:sz w:val="14"/>
              </w:rPr>
              <w:t>OXA-23</w:t>
            </w:r>
          </w:p>
        </w:tc>
      </w:tr>
      <w:tr>
        <w:trPr>
          <w:cantSplit/>
        </w:trPr>
        <w:tc>
          <w:tcPr>
            <w:tcW w:type="dxa" w:w="2009"/>
          </w:tcPr>
          <w:p>
            <w:pPr>
              <w:keepNext/>
              <w:jc w:val="left"/>
            </w:pPr>
            <w:r>
              <w:rPr>
                <w:sz w:val="14"/>
              </w:rPr>
              <w:t>OXA-24/40-like</w:t>
            </w:r>
          </w:p>
        </w:tc>
        <w:tc>
          <w:tcPr>
            <w:tcW w:type="dxa" w:w="1231"/>
          </w:tcPr>
          <w:p>
            <w:pPr>
              <w:keepNext/>
              <w:jc w:val="right"/>
            </w:pPr>
            <w:r>
              <w:rPr>
                <w:sz w:val="14"/>
              </w:rPr>
              <w:t>18</w:t>
            </w:r>
          </w:p>
        </w:tc>
        <w:tc>
          <w:tcPr>
            <w:tcW w:type="dxa" w:w="972"/>
          </w:tcPr>
          <w:p>
            <w:pPr>
              <w:keepNext/>
              <w:jc w:val="right"/>
            </w:pPr>
            <w:r>
              <w:rPr>
                <w:sz w:val="14"/>
              </w:rPr>
              <w:t>3</w:t>
            </w:r>
          </w:p>
        </w:tc>
        <w:tc>
          <w:tcPr>
            <w:tcW w:type="dxa" w:w="1102"/>
          </w:tcPr>
          <w:p>
            <w:pPr>
              <w:keepNext/>
              <w:jc w:val="right"/>
            </w:pPr>
            <w:r>
              <w:rPr>
                <w:sz w:val="14"/>
              </w:rPr>
              <w:t>1</w:t>
            </w:r>
          </w:p>
        </w:tc>
        <w:tc>
          <w:tcPr>
            <w:tcW w:type="dxa" w:w="1424"/>
          </w:tcPr>
          <w:p>
            <w:pPr>
              <w:keepNext/>
              <w:jc w:val="left"/>
            </w:pPr>
            <w:r>
              <w:rPr>
                <w:sz w:val="14"/>
              </w:rPr>
              <w:t>LN</w:t>
            </w:r>
          </w:p>
        </w:tc>
        <w:tc>
          <w:tcPr>
            <w:tcW w:type="dxa" w:w="3429"/>
          </w:tcPr>
          <w:p>
            <w:pPr>
              <w:keepNext/>
              <w:jc w:val="left"/>
            </w:pPr>
            <w:r>
              <w:rPr>
                <w:sz w:val="14"/>
              </w:rPr>
              <w:t>OXA-24, OXA-72</w:t>
            </w:r>
          </w:p>
        </w:tc>
      </w:tr>
      <w:tr>
        <w:trPr>
          <w:cantSplit/>
        </w:trPr>
        <w:tc>
          <w:tcPr>
            <w:tcW w:type="dxa" w:w="2009"/>
          </w:tcPr>
          <w:p>
            <w:pPr>
              <w:keepNext/>
              <w:jc w:val="left"/>
            </w:pPr>
            <w:r>
              <w:rPr>
                <w:sz w:val="14"/>
              </w:rPr>
              <w:t>OXA-58-like</w:t>
            </w:r>
          </w:p>
        </w:tc>
        <w:tc>
          <w:tcPr>
            <w:tcW w:type="dxa" w:w="1231"/>
          </w:tcPr>
          <w:p>
            <w:pPr>
              <w:keepNext/>
              <w:jc w:val="right"/>
            </w:pPr>
            <w:r>
              <w:rPr>
                <w:sz w:val="14"/>
              </w:rPr>
              <w:t>3</w:t>
            </w:r>
          </w:p>
        </w:tc>
        <w:tc>
          <w:tcPr>
            <w:tcW w:type="dxa" w:w="972"/>
          </w:tcPr>
          <w:p>
            <w:pPr>
              <w:keepNext/>
              <w:jc w:val="right"/>
            </w:pPr>
            <w:r>
              <w:rPr>
                <w:sz w:val="14"/>
              </w:rPr>
              <w:t>2</w:t>
            </w:r>
          </w:p>
        </w:tc>
        <w:tc>
          <w:tcPr>
            <w:tcW w:type="dxa" w:w="1102"/>
          </w:tcPr>
          <w:p>
            <w:pPr>
              <w:keepNext/>
              <w:jc w:val="right"/>
            </w:pPr>
            <w:r>
              <w:rPr>
                <w:sz w:val="14"/>
              </w:rPr>
              <w:t>1</w:t>
            </w:r>
          </w:p>
        </w:tc>
        <w:tc>
          <w:tcPr>
            <w:tcW w:type="dxa" w:w="1424"/>
          </w:tcPr>
          <w:p>
            <w:pPr>
              <w:keepNext/>
              <w:jc w:val="left"/>
            </w:pPr>
            <w:r>
              <w:rPr>
                <w:sz w:val="14"/>
              </w:rPr>
              <w:t>LN</w:t>
            </w:r>
          </w:p>
        </w:tc>
        <w:tc>
          <w:tcPr>
            <w:tcW w:type="dxa" w:w="3429"/>
          </w:tcPr>
          <w:p>
            <w:pPr>
              <w:keepNext/>
              <w:jc w:val="left"/>
            </w:pPr>
            <w:r>
              <w:rPr>
                <w:sz w:val="14"/>
              </w:rPr>
              <w:t>OXA-58</w:t>
            </w:r>
          </w:p>
        </w:tc>
      </w:tr>
      <w:tr>
        <w:trPr>
          <w:cantSplit/>
        </w:trPr>
        <w:tc>
          <w:tcPr>
            <w:tcW w:type="dxa" w:w="2009"/>
          </w:tcPr>
          <w:p>
            <w:pPr>
              <w:keepNext/>
              <w:jc w:val="left"/>
            </w:pPr>
            <w:r>
              <w:rPr>
                <w:sz w:val="14"/>
              </w:rPr>
              <w:t>SME</w:t>
            </w:r>
          </w:p>
        </w:tc>
        <w:tc>
          <w:tcPr>
            <w:tcW w:type="dxa" w:w="1231"/>
          </w:tcPr>
          <w:p>
            <w:pPr>
              <w:keepNext/>
              <w:jc w:val="right"/>
            </w:pPr>
            <w:r>
              <w:rPr>
                <w:sz w:val="14"/>
              </w:rPr>
              <w:t>9</w:t>
            </w:r>
          </w:p>
        </w:tc>
        <w:tc>
          <w:tcPr>
            <w:tcW w:type="dxa" w:w="972"/>
          </w:tcPr>
          <w:p>
            <w:pPr>
              <w:keepNext/>
              <w:jc w:val="right"/>
            </w:pPr>
            <w:r>
              <w:rPr>
                <w:sz w:val="14"/>
              </w:rPr>
              <w:t>3</w:t>
            </w:r>
          </w:p>
        </w:tc>
        <w:tc>
          <w:tcPr>
            <w:tcW w:type="dxa" w:w="1102"/>
          </w:tcPr>
          <w:p>
            <w:pPr>
              <w:keepNext/>
              <w:jc w:val="right"/>
            </w:pPr>
            <w:r>
              <w:rPr>
                <w:sz w:val="14"/>
              </w:rPr>
              <w:t>1</w:t>
            </w:r>
          </w:p>
        </w:tc>
        <w:tc>
          <w:tcPr>
            <w:tcW w:type="dxa" w:w="1424"/>
          </w:tcPr>
          <w:p>
            <w:pPr>
              <w:keepNext/>
              <w:jc w:val="left"/>
            </w:pPr>
            <w:r>
              <w:rPr>
                <w:sz w:val="14"/>
              </w:rPr>
              <w:t>LN</w:t>
            </w:r>
          </w:p>
        </w:tc>
        <w:tc>
          <w:tcPr>
            <w:tcW w:type="dxa" w:w="3429"/>
          </w:tcPr>
          <w:p>
            <w:pPr>
              <w:keepNext/>
              <w:jc w:val="left"/>
            </w:pPr>
            <w:r>
              <w:rPr>
                <w:sz w:val="14"/>
              </w:rPr>
              <w:t>SME, SME-3, SME-4</w:t>
            </w:r>
          </w:p>
        </w:tc>
      </w:tr>
      <w:tr>
        <w:trPr>
          <w:cantSplit/>
        </w:trPr>
        <w:tc>
          <w:tcPr>
            <w:tcW w:type="dxa" w:w="2009"/>
          </w:tcPr>
          <w:p>
            <w:pPr>
              <w:keepNext/>
              <w:jc w:val="left"/>
            </w:pPr>
            <w:r>
              <w:rPr>
                <w:sz w:val="14"/>
              </w:rPr>
              <w:t>mcr-1</w:t>
            </w:r>
          </w:p>
        </w:tc>
        <w:tc>
          <w:tcPr>
            <w:tcW w:type="dxa" w:w="1231"/>
          </w:tcPr>
          <w:p>
            <w:pPr>
              <w:keepNext/>
              <w:jc w:val="right"/>
            </w:pPr>
            <w:r>
              <w:rPr>
                <w:sz w:val="14"/>
              </w:rPr>
              <w:t>7</w:t>
            </w:r>
          </w:p>
        </w:tc>
        <w:tc>
          <w:tcPr>
            <w:tcW w:type="dxa" w:w="972"/>
          </w:tcPr>
          <w:p>
            <w:pPr>
              <w:keepNext/>
              <w:jc w:val="right"/>
            </w:pPr>
            <w:r>
              <w:rPr>
                <w:sz w:val="14"/>
              </w:rPr>
              <w:t>1</w:t>
            </w:r>
          </w:p>
        </w:tc>
        <w:tc>
          <w:tcPr>
            <w:tcW w:type="dxa" w:w="1102"/>
          </w:tcPr>
          <w:p>
            <w:pPr>
              <w:keepNext/>
              <w:jc w:val="right"/>
            </w:pPr>
            <w:r>
              <w:rPr>
                <w:sz w:val="14"/>
              </w:rPr>
              <w:t>3</w:t>
            </w:r>
          </w:p>
        </w:tc>
        <w:tc>
          <w:tcPr>
            <w:tcW w:type="dxa" w:w="1424"/>
          </w:tcPr>
          <w:p>
            <w:pPr>
              <w:keepNext/>
              <w:jc w:val="left"/>
            </w:pPr>
            <w:r>
              <w:rPr>
                <w:sz w:val="14"/>
              </w:rPr>
              <w:t>B2, LN</w:t>
            </w:r>
          </w:p>
        </w:tc>
        <w:tc>
          <w:tcPr>
            <w:tcW w:type="dxa" w:w="3429"/>
          </w:tcPr>
          <w:p>
            <w:pPr>
              <w:keepNext/>
              <w:jc w:val="left"/>
            </w:pPr>
            <w:r>
              <w:rPr>
                <w:sz w:val="14"/>
              </w:rPr>
              <w:t>mcr-1</w:t>
            </w:r>
          </w:p>
        </w:tc>
      </w:tr>
      <w:tr>
        <w:trPr>
          <w:cantSplit/>
        </w:trPr>
        <w:tc>
          <w:tcPr>
            <w:tcW w:type="dxa" w:w="2009"/>
          </w:tcPr>
          <w:p>
            <w:pPr>
              <w:keepNext/>
              <w:jc w:val="left"/>
            </w:pPr>
            <w:r>
              <w:rPr>
                <w:sz w:val="14"/>
              </w:rPr>
              <w:t>mcr-2</w:t>
            </w:r>
          </w:p>
        </w:tc>
        <w:tc>
          <w:tcPr>
            <w:tcW w:type="dxa" w:w="1231"/>
          </w:tcPr>
          <w:p>
            <w:pPr>
              <w:keepNext/>
              <w:jc w:val="right"/>
            </w:pPr>
            <w:r>
              <w:rPr>
                <w:sz w:val="14"/>
              </w:rPr>
              <w:t>1</w:t>
            </w:r>
          </w:p>
        </w:tc>
        <w:tc>
          <w:tcPr>
            <w:tcW w:type="dxa" w:w="972"/>
          </w:tcPr>
          <w:p>
            <w:pPr>
              <w:keepNext/>
              <w:jc w:val="right"/>
            </w:pPr>
            <w:r>
              <w:rPr>
                <w:sz w:val="14"/>
              </w:rPr>
              <w:t>1</w:t>
            </w:r>
          </w:p>
        </w:tc>
        <w:tc>
          <w:tcPr>
            <w:tcW w:type="dxa" w:w="1102"/>
          </w:tcPr>
          <w:p>
            <w:pPr>
              <w:keepNext/>
              <w:jc w:val="right"/>
            </w:pPr>
            <w:r>
              <w:rPr>
                <w:sz w:val="14"/>
              </w:rPr>
              <w:t>1</w:t>
            </w:r>
          </w:p>
        </w:tc>
        <w:tc>
          <w:tcPr>
            <w:tcW w:type="dxa" w:w="1424"/>
          </w:tcPr>
          <w:p>
            <w:pPr>
              <w:keepNext/>
              <w:jc w:val="left"/>
            </w:pPr>
            <w:r>
              <w:rPr>
                <w:sz w:val="14"/>
              </w:rPr>
              <w:t>LN</w:t>
            </w:r>
          </w:p>
        </w:tc>
        <w:tc>
          <w:tcPr>
            <w:tcW w:type="dxa" w:w="3429"/>
          </w:tcPr>
          <w:p>
            <w:pPr>
              <w:keepNext/>
              <w:jc w:val="left"/>
            </w:pPr>
            <w:r>
              <w:rPr>
                <w:sz w:val="14"/>
              </w:rPr>
              <w:t>mcr-2</w:t>
            </w:r>
          </w:p>
        </w:tc>
      </w:tr>
      <w:tr>
        <w:trPr>
          <w:cantSplit/>
        </w:trPr>
        <w:tc>
          <w:tcPr>
            <w:tcW w:type="dxa" w:w="2009"/>
            <w:tcBorders>
              <w:bottom w:val="single" w:sz="12" w:space="0" w:color="000000"/>
            </w:tcBorders>
          </w:tcPr>
          <w:p>
            <w:pPr>
              <w:jc w:val="left"/>
            </w:pPr>
            <w:r>
              <w:rPr>
                <w:sz w:val="14"/>
              </w:rPr>
              <w:t>mcr-3</w:t>
            </w:r>
          </w:p>
        </w:tc>
        <w:tc>
          <w:tcPr>
            <w:tcW w:type="dxa" w:w="1231"/>
            <w:tcBorders>
              <w:bottom w:val="single" w:sz="12" w:space="0" w:color="000000"/>
            </w:tcBorders>
          </w:tcPr>
          <w:p>
            <w:pPr>
              <w:jc w:val="right"/>
            </w:pPr>
            <w:r>
              <w:rPr>
                <w:sz w:val="14"/>
              </w:rPr>
              <w:t>2</w:t>
            </w:r>
          </w:p>
        </w:tc>
        <w:tc>
          <w:tcPr>
            <w:tcW w:type="dxa" w:w="972"/>
            <w:tcBorders>
              <w:bottom w:val="single" w:sz="12" w:space="0" w:color="000000"/>
            </w:tcBorders>
          </w:tcPr>
          <w:p>
            <w:pPr>
              <w:jc w:val="right"/>
            </w:pPr>
            <w:r>
              <w:rPr>
                <w:sz w:val="14"/>
              </w:rPr>
              <w:t>1</w:t>
            </w:r>
          </w:p>
        </w:tc>
        <w:tc>
          <w:tcPr>
            <w:tcW w:type="dxa" w:w="1102"/>
            <w:tcBorders>
              <w:bottom w:val="single" w:sz="12" w:space="0" w:color="000000"/>
            </w:tcBorders>
          </w:tcPr>
          <w:p>
            <w:pPr>
              <w:jc w:val="right"/>
            </w:pPr>
            <w:r>
              <w:rPr>
                <w:sz w:val="14"/>
              </w:rPr>
              <w:t>2</w:t>
            </w:r>
          </w:p>
        </w:tc>
        <w:tc>
          <w:tcPr>
            <w:tcW w:type="dxa" w:w="1424"/>
            <w:tcBorders>
              <w:bottom w:val="single" w:sz="12" w:space="0" w:color="000000"/>
            </w:tcBorders>
          </w:tcPr>
          <w:p>
            <w:pPr>
              <w:jc w:val="left"/>
            </w:pPr>
            <w:r>
              <w:rPr>
                <w:sz w:val="14"/>
              </w:rPr>
              <w:t>LN</w:t>
            </w:r>
          </w:p>
        </w:tc>
        <w:tc>
          <w:tcPr>
            <w:tcW w:type="dxa" w:w="3429"/>
            <w:tcBorders>
              <w:bottom w:val="single" w:sz="12" w:space="0" w:color="000000"/>
            </w:tcBorders>
          </w:tcPr>
          <w:p>
            <w:pPr>
              <w:jc w:val="left"/>
            </w:pPr>
            <w:r>
              <w:rPr>
                <w:sz w:val="14"/>
              </w:rPr>
              <w:t>mcr-3</w:t>
            </w:r>
          </w:p>
        </w:tc>
      </w:tr>
    </w:tbl>
    <w:p>
      <w:pPr>
        <w:spacing w:after="80"/>
      </w:pPr>
    </w:p>
    <w:p>
      <w:pPr>
        <w:spacing w:after="0" w:line="20" w:lineRule="exact"/>
        <w:rPr>
          <w:sz w:val="2"/>
        </w:rPr>
        <w:sectPr>
          <w:type w:val="continuous"/>
          <w:pgSz w:w="12240" w:h="15840"/>
          <w:pgMar w:top="1224" w:bottom="1296" w:left="1036" w:right="1036" w:header="720" w:footer="720" w:gutter="0"/>
          <w:cols w:num="1" w:space="374"/>
        </w:sectPr>
      </w:pPr>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jc w:val="center"/>
      </w:pPr>
      <w:r>
        <w:drawing>
          <wp:inline xmlns:a="http://schemas.openxmlformats.org/drawingml/2006/main" xmlns:pic="http://schemas.openxmlformats.org/drawingml/2006/picture">
            <wp:extent cx="6068324" cy="4791675"/>
            <wp:docPr id="4" name="Picture 4"/>
            <wp:cNvGraphicFramePr>
              <a:graphicFrameLocks noChangeAspect="1"/>
            </wp:cNvGraphicFramePr>
            <a:graphic>
              <a:graphicData uri="http://schemas.openxmlformats.org/drawingml/2006/picture">
                <pic:pic>
                  <pic:nvPicPr>
                    <pic:cNvPr id="0" name="fig3_heatmap.png"/>
                    <pic:cNvPicPr/>
                  </pic:nvPicPr>
                  <pic:blipFill>
                    <a:blip r:embed="rId14"/>
                    <a:stretch>
                      <a:fillRect/>
                    </a:stretch>
                  </pic:blipFill>
                  <pic:spPr>
                    <a:xfrm>
                      <a:off x="0" y="0"/>
                      <a:ext cx="6068324" cy="4791675"/>
                    </a:xfrm>
                    <a:prstGeom prst="rect"/>
                  </pic:spPr>
                </pic:pic>
              </a:graphicData>
            </a:graphic>
          </wp:inline>
        </w:drawing>
      </w:r>
    </w:p>
    <w:p>
      <w:pPr>
        <w:spacing w:before="60" w:after="160"/>
        <w:jc w:val="both"/>
      </w:pPr>
      <w:r>
        <w:rPr>
          <w:sz w:val="18"/>
        </w:rPr>
        <w:t xml:space="preserve">FIG. 3: </w:t>
      </w:r>
      <w:r>
        <w:rPr>
          <w:sz w:val="18"/>
        </w:rPr>
        <w:t>Isolate Bank panels by rapid panel target. Each cell is the number of isolates in the panel whose CDC gene list includes the target; blank cells are zero. Panels without organisms that the cleared panels test are omitted. Panel codes are CDC's; “custom” panels are linked from other panels' descriptions. An isolate can belong to several panels.</w:t>
      </w:r>
    </w:p>
    <w:p>
      <w:pPr>
        <w:spacing w:after="0" w:line="20" w:lineRule="exact"/>
        <w:rPr>
          <w:sz w:val="2"/>
        </w:rPr>
        <w:sectPr>
          <w:type w:val="continuous"/>
          <w:pgSz w:w="12240" w:h="15840"/>
          <w:pgMar w:top="1224" w:bottom="1296" w:left="1036" w:right="1036" w:header="720" w:footer="720" w:gutter="0"/>
          <w:cols w:num="1" w:space="374"/>
        </w:sectPr>
      </w:pPr>
      <w:r/>
    </w:p>
    <w:p>
      <w:pPr>
        <w:spacing w:before="0" w:after="0"/>
        <w:ind w:firstLine="245"/>
        <w:jc w:val="both"/>
      </w:pPr>
      <w:r>
        <w:rPr>
          <w:sz w:val="20"/>
        </w:rPr>
        <w:t>Fig. 4 sets the target groups each cleared panel reports against the number of Bank isolates that carry them, and the released coverage table gives, for each reported target, the expected-positive isolates and their panels. Every reported target of every panel has at least one expected-positive Bank isolate except OXA-143-like within LIAISON PLEX's OXA result, which its OXA-23, OXA-24/40, OXA-48 and OXA-58 groups cover. The greedy query (Table V) found that 5 isolates cover all 10 BCID2 resistance targets and 4 cover all 8 LIAISON PLEX Gram-Negative targets; across the seven panels, between 2 and 5 isolates suffice. Table V also lists, for each panel, the expected positives that test not resistant, which a laboratory may want to include deliberately.</w:t>
      </w:r>
    </w:p>
    <w:p>
      <w:pPr>
        <w:keepNext/>
        <w:spacing w:before="160" w:after="80"/>
        <w:jc w:val="center"/>
        <w:outlineLvl w:val="1"/>
      </w:pPr>
      <w:r>
        <w:rPr>
          <w:b/>
          <w:sz w:val="18"/>
        </w:rPr>
        <w:t>C. Hard cases</w:t>
      </w:r>
    </w:p>
    <w:p>
      <w:pPr>
        <w:spacing w:before="0" w:after="0"/>
        <w:ind w:firstLine="245"/>
        <w:jc w:val="both"/>
      </w:pPr>
      <w:r>
        <w:rPr>
          <w:sz w:val="20"/>
        </w:rPr>
        <w:t>In total, 169 isolates fall into at least one hard-case category (Table VI, Fig. 5); 75 of them are in the two categories where a negative panel result is expected and 94 in the others.</w:t>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jc w:val="center"/>
      </w:pPr>
      <w:r>
        <w:drawing>
          <wp:inline xmlns:a="http://schemas.openxmlformats.org/drawingml/2006/main" xmlns:pic="http://schemas.openxmlformats.org/drawingml/2006/picture">
            <wp:extent cx="5551871" cy="2969335"/>
            <wp:docPr id="5" name="Picture 5"/>
            <wp:cNvGraphicFramePr>
              <a:graphicFrameLocks noChangeAspect="1"/>
            </wp:cNvGraphicFramePr>
            <a:graphic>
              <a:graphicData uri="http://schemas.openxmlformats.org/drawingml/2006/picture">
                <pic:pic>
                  <pic:nvPicPr>
                    <pic:cNvPr id="0" name="fig4_products.png"/>
                    <pic:cNvPicPr/>
                  </pic:nvPicPr>
                  <pic:blipFill>
                    <a:blip r:embed="rId15"/>
                    <a:stretch>
                      <a:fillRect/>
                    </a:stretch>
                  </pic:blipFill>
                  <pic:spPr>
                    <a:xfrm>
                      <a:off x="0" y="0"/>
                      <a:ext cx="5551871" cy="2969335"/>
                    </a:xfrm>
                    <a:prstGeom prst="rect"/>
                  </pic:spPr>
                </pic:pic>
              </a:graphicData>
            </a:graphic>
          </wp:inline>
        </w:drawing>
      </w:r>
    </w:p>
    <w:p>
      <w:pPr>
        <w:spacing w:before="60" w:after="160"/>
        <w:jc w:val="both"/>
      </w:pPr>
      <w:r>
        <w:rPr>
          <w:sz w:val="18"/>
        </w:rPr>
        <w:t xml:space="preserve">FIG. 4: </w:t>
      </w:r>
      <w:r>
        <w:rPr>
          <w:sz w:val="18"/>
        </w:rPr>
        <w:t>Rapid panel target groups (columns) reported by each FDA-cleared panel (rows), with the number of Isolate Bank isolates whose CDC gene list includes the target group. Gray cells: the panel does not report that target group. Several groups are reported together as one result (for example BCID2's “mecA/C” and “vanA/B”, or ePlex BCID-GN's “OXA”). The red 0 marks OXA-143-like, reported by LIAISON PLEX Gram-Negative but carried by no Bank isolate.</w:t>
      </w:r>
    </w:p>
    <w:p>
      <w:pPr>
        <w:spacing w:after="0" w:line="20" w:lineRule="exact"/>
        <w:rPr>
          <w:sz w:val="2"/>
        </w:rPr>
        <w:sectPr>
          <w:type w:val="continuous"/>
          <w:pgSz w:w="12240" w:h="15840"/>
          <w:pgMar w:top="1224" w:bottom="1296" w:left="1036" w:right="1036" w:header="720" w:footer="720" w:gutter="0"/>
          <w:cols w:num="1" w:space="374"/>
        </w:sectPr>
      </w:pPr>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after="60"/>
        <w:jc w:val="both"/>
      </w:pPr>
      <w:r>
        <w:rPr>
          <w:sz w:val="18"/>
        </w:rPr>
        <w:t xml:space="preserve">TABLE V: </w:t>
      </w:r>
      <w:r>
        <w:rPr>
          <w:sz w:val="18"/>
        </w:rPr>
        <w:t>Illustrative query: for each panel, the smallest set of Bank isolates (from panels on the Bank's main list) whose CDC gene lists cover every resistance target the panel reports, chosen by a deterministic greedy rule; and the expected-positive isolates whose matching drug tests not resistant. This shows how the crosswalk can be used; it is not a recommended verification protocol, and laboratories should follow the manufacturer's instructions and CLSI M52 [10].</w:t>
      </w:r>
    </w:p>
    <w:tbl>
      <w:tblPr>
        <w:jc w:val="center"/>
        <w:tblLayout w:type="fixed"/>
        <w:tblLook w:firstColumn="1" w:firstRow="1" w:lastColumn="0" w:lastRow="0" w:noHBand="0" w:noVBand="1" w:val="04A0"/>
        <w:tblCellMar>
          <w:top w:w="10" w:type="dxa"/>
          <w:bottom w:w="10" w:type="dxa"/>
          <w:left w:w="50" w:type="dxa"/>
          <w:right w:w="50" w:type="dxa"/>
        </w:tblCellMar>
        <w:tblLayout w:type="fixed"/>
        <w:tblW w:w="10166" w:type="dxa"/>
      </w:tblPr>
      <w:tblGrid>
        <w:gridCol w:w="1257"/>
        <w:gridCol w:w="1124"/>
        <w:gridCol w:w="1257"/>
        <w:gridCol w:w="3501"/>
        <w:gridCol w:w="3025"/>
      </w:tblGrid>
      <w:tr>
        <w:trPr>
          <w:cantSplit/>
          <w:tblHeader/>
        </w:trPr>
        <w:tc>
          <w:tcPr>
            <w:tcW w:type="dxa" w:w="1257"/>
            <w:tcBorders>
              <w:top w:val="single" w:sz="12" w:space="0" w:color="000000"/>
              <w:bottom w:val="single" w:sz="6" w:space="0" w:color="000000"/>
            </w:tcBorders>
          </w:tcPr>
          <w:p>
            <w:pPr>
              <w:keepNext/>
              <w:jc w:val="left"/>
            </w:pPr>
            <w:r>
              <w:rPr>
                <w:sz w:val="14"/>
              </w:rPr>
              <w:t>Panel</w:t>
            </w:r>
          </w:p>
        </w:tc>
        <w:tc>
          <w:tcPr>
            <w:tcW w:type="dxa" w:w="1125"/>
            <w:tcBorders>
              <w:top w:val="single" w:sz="12" w:space="0" w:color="000000"/>
              <w:bottom w:val="single" w:sz="6" w:space="0" w:color="000000"/>
            </w:tcBorders>
          </w:tcPr>
          <w:p>
            <w:pPr>
              <w:keepNext/>
              <w:jc w:val="right"/>
            </w:pPr>
            <w:r>
              <w:rPr>
                <w:sz w:val="14"/>
              </w:rPr>
              <w:t>Targets</w:t>
            </w:r>
          </w:p>
        </w:tc>
        <w:tc>
          <w:tcPr>
            <w:tcW w:type="dxa" w:w="1257"/>
            <w:tcBorders>
              <w:top w:val="single" w:sz="12" w:space="0" w:color="000000"/>
              <w:bottom w:val="single" w:sz="6" w:space="0" w:color="000000"/>
            </w:tcBorders>
          </w:tcPr>
          <w:p>
            <w:pPr>
              <w:keepNext/>
              <w:jc w:val="right"/>
            </w:pPr>
            <w:r>
              <w:rPr>
                <w:sz w:val="14"/>
              </w:rPr>
              <w:t>Isolates</w:t>
            </w:r>
          </w:p>
        </w:tc>
        <w:tc>
          <w:tcPr>
            <w:tcW w:type="dxa" w:w="3501"/>
            <w:tcBorders>
              <w:top w:val="single" w:sz="12" w:space="0" w:color="000000"/>
              <w:bottom w:val="single" w:sz="6" w:space="0" w:color="000000"/>
            </w:tcBorders>
          </w:tcPr>
          <w:p>
            <w:pPr>
              <w:keepNext/>
              <w:jc w:val="left"/>
            </w:pPr>
            <w:r>
              <w:rPr>
                <w:sz w:val="14"/>
              </w:rPr>
              <w:t>Smallest covering set: AR Bank number (targets exercised)</w:t>
            </w:r>
          </w:p>
        </w:tc>
        <w:tc>
          <w:tcPr>
            <w:tcW w:type="dxa" w:w="3026"/>
            <w:tcBorders>
              <w:top w:val="single" w:sz="12" w:space="0" w:color="000000"/>
              <w:bottom w:val="single" w:sz="6" w:space="0" w:color="000000"/>
            </w:tcBorders>
          </w:tcPr>
          <w:p>
            <w:pPr>
              <w:keepNext/>
              <w:jc w:val="left"/>
            </w:pPr>
            <w:r>
              <w:rPr>
                <w:sz w:val="14"/>
              </w:rPr>
              <w:t>Target present, drug not resistant (AR Bank)</w:t>
            </w:r>
          </w:p>
        </w:tc>
      </w:tr>
      <w:tr>
        <w:trPr>
          <w:cantSplit/>
        </w:trPr>
        <w:tc>
          <w:tcPr>
            <w:tcW w:type="dxa" w:w="1257"/>
          </w:tcPr>
          <w:p>
            <w:pPr>
              <w:keepNext/>
              <w:jc w:val="left"/>
            </w:pPr>
            <w:r>
              <w:rPr>
                <w:sz w:val="14"/>
              </w:rPr>
              <w:t>BioFire BCID2</w:t>
            </w:r>
          </w:p>
        </w:tc>
        <w:tc>
          <w:tcPr>
            <w:tcW w:type="dxa" w:w="1125"/>
          </w:tcPr>
          <w:p>
            <w:pPr>
              <w:keepNext/>
              <w:jc w:val="right"/>
            </w:pPr>
            <w:r>
              <w:rPr>
                <w:sz w:val="14"/>
              </w:rPr>
              <w:t>10</w:t>
            </w:r>
          </w:p>
        </w:tc>
        <w:tc>
          <w:tcPr>
            <w:tcW w:type="dxa" w:w="1257"/>
          </w:tcPr>
          <w:p>
            <w:pPr>
              <w:keepNext/>
              <w:jc w:val="right"/>
            </w:pPr>
            <w:r>
              <w:rPr>
                <w:sz w:val="14"/>
              </w:rPr>
              <w:t>5</w:t>
            </w:r>
          </w:p>
        </w:tc>
        <w:tc>
          <w:tcPr>
            <w:tcW w:type="dxa" w:w="3501"/>
          </w:tcPr>
          <w:p>
            <w:pPr>
              <w:keepNext/>
              <w:jc w:val="left"/>
            </w:pPr>
            <w:r>
              <w:rPr>
                <w:sz w:val="14"/>
              </w:rPr>
              <w:t>1153 (CTX-M, KPC, NDM, OXA-48-like); 0215 (mecA/C, mecA/C and MREJ (MRSA)); 1159 (VIM, IMP); 0346 (mcr-1); 0571 (vanA/B)</w:t>
            </w:r>
          </w:p>
        </w:tc>
        <w:tc>
          <w:tcPr>
            <w:tcW w:type="dxa" w:w="3026"/>
          </w:tcPr>
          <w:p>
            <w:pPr>
              <w:keepNext/>
              <w:jc w:val="left"/>
            </w:pPr>
            <w:r>
              <w:rPr>
                <w:sz w:val="14"/>
              </w:rPr>
              <w:t>0032, 0050, 0147, 0156, 0451, 0464, 0500, 0541, +5</w:t>
            </w:r>
          </w:p>
        </w:tc>
      </w:tr>
      <w:tr>
        <w:trPr>
          <w:cantSplit/>
        </w:trPr>
        <w:tc>
          <w:tcPr>
            <w:tcW w:type="dxa" w:w="1257"/>
          </w:tcPr>
          <w:p>
            <w:pPr>
              <w:keepNext/>
              <w:jc w:val="left"/>
            </w:pPr>
            <w:r>
              <w:rPr>
                <w:sz w:val="14"/>
              </w:rPr>
              <w:t>ePlex BCID-GP</w:t>
            </w:r>
          </w:p>
        </w:tc>
        <w:tc>
          <w:tcPr>
            <w:tcW w:type="dxa" w:w="1125"/>
          </w:tcPr>
          <w:p>
            <w:pPr>
              <w:keepNext/>
              <w:jc w:val="right"/>
            </w:pPr>
            <w:r>
              <w:rPr>
                <w:sz w:val="14"/>
              </w:rPr>
              <w:t>4</w:t>
            </w:r>
          </w:p>
        </w:tc>
        <w:tc>
          <w:tcPr>
            <w:tcW w:type="dxa" w:w="1257"/>
          </w:tcPr>
          <w:p>
            <w:pPr>
              <w:keepNext/>
              <w:jc w:val="right"/>
            </w:pPr>
            <w:r>
              <w:rPr>
                <w:sz w:val="14"/>
              </w:rPr>
              <w:t>4</w:t>
            </w:r>
          </w:p>
        </w:tc>
        <w:tc>
          <w:tcPr>
            <w:tcW w:type="dxa" w:w="3501"/>
          </w:tcPr>
          <w:p>
            <w:pPr>
              <w:keepNext/>
              <w:jc w:val="left"/>
            </w:pPr>
            <w:r>
              <w:rPr>
                <w:sz w:val="14"/>
              </w:rPr>
              <w:t>0215 (mecA); 0571 (vanA); 0782 (vanB); 1306 (mecC)</w:t>
            </w:r>
          </w:p>
        </w:tc>
        <w:tc>
          <w:tcPr>
            <w:tcW w:type="dxa" w:w="3026"/>
          </w:tcPr>
          <w:p>
            <w:pPr>
              <w:keepNext/>
              <w:jc w:val="left"/>
            </w:pPr>
            <w:r>
              <w:rPr>
                <w:sz w:val="14"/>
              </w:rPr>
              <w:t>0464, 0500, 0804, 0998, 1003</w:t>
            </w:r>
          </w:p>
        </w:tc>
      </w:tr>
      <w:tr>
        <w:trPr>
          <w:cantSplit/>
        </w:trPr>
        <w:tc>
          <w:tcPr>
            <w:tcW w:type="dxa" w:w="1257"/>
          </w:tcPr>
          <w:p>
            <w:pPr>
              <w:keepNext/>
              <w:jc w:val="left"/>
            </w:pPr>
            <w:r>
              <w:rPr>
                <w:sz w:val="14"/>
              </w:rPr>
              <w:t>ePlex BCID-GN</w:t>
            </w:r>
          </w:p>
        </w:tc>
        <w:tc>
          <w:tcPr>
            <w:tcW w:type="dxa" w:w="1125"/>
          </w:tcPr>
          <w:p>
            <w:pPr>
              <w:keepNext/>
              <w:jc w:val="right"/>
            </w:pPr>
            <w:r>
              <w:rPr>
                <w:sz w:val="14"/>
              </w:rPr>
              <w:t>6</w:t>
            </w:r>
          </w:p>
        </w:tc>
        <w:tc>
          <w:tcPr>
            <w:tcW w:type="dxa" w:w="1257"/>
          </w:tcPr>
          <w:p>
            <w:pPr>
              <w:keepNext/>
              <w:jc w:val="right"/>
            </w:pPr>
            <w:r>
              <w:rPr>
                <w:sz w:val="14"/>
              </w:rPr>
              <w:t>2</w:t>
            </w:r>
          </w:p>
        </w:tc>
        <w:tc>
          <w:tcPr>
            <w:tcW w:type="dxa" w:w="3501"/>
          </w:tcPr>
          <w:p>
            <w:pPr>
              <w:keepNext/>
              <w:jc w:val="left"/>
            </w:pPr>
            <w:r>
              <w:rPr>
                <w:sz w:val="14"/>
              </w:rPr>
              <w:t>1153 (CTX-M, KPC, NDM, OXA); 1159 (IMP, VIM)</w:t>
            </w:r>
          </w:p>
        </w:tc>
        <w:tc>
          <w:tcPr>
            <w:tcW w:type="dxa" w:w="3026"/>
          </w:tcPr>
          <w:p>
            <w:pPr>
              <w:keepNext/>
              <w:jc w:val="left"/>
            </w:pPr>
            <w:r>
              <w:rPr>
                <w:sz w:val="14"/>
              </w:rPr>
              <w:t>0032, 0050, 0147, 0156, 0451, 0541, 0611, 0834</w:t>
            </w:r>
          </w:p>
        </w:tc>
      </w:tr>
      <w:tr>
        <w:trPr>
          <w:cantSplit/>
        </w:trPr>
        <w:tc>
          <w:tcPr>
            <w:tcW w:type="dxa" w:w="1257"/>
          </w:tcPr>
          <w:p>
            <w:pPr>
              <w:keepNext/>
              <w:jc w:val="left"/>
            </w:pPr>
            <w:r>
              <w:rPr>
                <w:sz w:val="14"/>
              </w:rPr>
              <w:t>Verigene BC-GP</w:t>
            </w:r>
          </w:p>
        </w:tc>
        <w:tc>
          <w:tcPr>
            <w:tcW w:type="dxa" w:w="1125"/>
          </w:tcPr>
          <w:p>
            <w:pPr>
              <w:keepNext/>
              <w:jc w:val="right"/>
            </w:pPr>
            <w:r>
              <w:rPr>
                <w:sz w:val="14"/>
              </w:rPr>
              <w:t>3</w:t>
            </w:r>
          </w:p>
        </w:tc>
        <w:tc>
          <w:tcPr>
            <w:tcW w:type="dxa" w:w="1257"/>
          </w:tcPr>
          <w:p>
            <w:pPr>
              <w:keepNext/>
              <w:jc w:val="right"/>
            </w:pPr>
            <w:r>
              <w:rPr>
                <w:sz w:val="14"/>
              </w:rPr>
              <w:t>3</w:t>
            </w:r>
          </w:p>
        </w:tc>
        <w:tc>
          <w:tcPr>
            <w:tcW w:type="dxa" w:w="3501"/>
          </w:tcPr>
          <w:p>
            <w:pPr>
              <w:keepNext/>
              <w:jc w:val="left"/>
            </w:pPr>
            <w:r>
              <w:rPr>
                <w:sz w:val="14"/>
              </w:rPr>
              <w:t>0215 (mecA); 0571 (vanA); 0782 (vanB)</w:t>
            </w:r>
          </w:p>
        </w:tc>
        <w:tc>
          <w:tcPr>
            <w:tcW w:type="dxa" w:w="3026"/>
          </w:tcPr>
          <w:p>
            <w:pPr>
              <w:keepNext/>
              <w:jc w:val="left"/>
            </w:pPr>
            <w:r>
              <w:rPr>
                <w:sz w:val="14"/>
              </w:rPr>
              <w:t>0464, 0500, 0804, 0998, 1003</w:t>
            </w:r>
          </w:p>
        </w:tc>
      </w:tr>
      <w:tr>
        <w:trPr>
          <w:cantSplit/>
        </w:trPr>
        <w:tc>
          <w:tcPr>
            <w:tcW w:type="dxa" w:w="1257"/>
          </w:tcPr>
          <w:p>
            <w:pPr>
              <w:keepNext/>
              <w:jc w:val="left"/>
            </w:pPr>
            <w:r>
              <w:rPr>
                <w:sz w:val="14"/>
              </w:rPr>
              <w:t>Verigene BC-GN</w:t>
            </w:r>
          </w:p>
        </w:tc>
        <w:tc>
          <w:tcPr>
            <w:tcW w:type="dxa" w:w="1125"/>
          </w:tcPr>
          <w:p>
            <w:pPr>
              <w:keepNext/>
              <w:jc w:val="right"/>
            </w:pPr>
            <w:r>
              <w:rPr>
                <w:sz w:val="14"/>
              </w:rPr>
              <w:t>6</w:t>
            </w:r>
          </w:p>
        </w:tc>
        <w:tc>
          <w:tcPr>
            <w:tcW w:type="dxa" w:w="1257"/>
          </w:tcPr>
          <w:p>
            <w:pPr>
              <w:keepNext/>
              <w:jc w:val="right"/>
            </w:pPr>
            <w:r>
              <w:rPr>
                <w:sz w:val="14"/>
              </w:rPr>
              <w:t>2</w:t>
            </w:r>
          </w:p>
        </w:tc>
        <w:tc>
          <w:tcPr>
            <w:tcW w:type="dxa" w:w="3501"/>
          </w:tcPr>
          <w:p>
            <w:pPr>
              <w:keepNext/>
              <w:jc w:val="left"/>
            </w:pPr>
            <w:r>
              <w:rPr>
                <w:sz w:val="14"/>
              </w:rPr>
              <w:t>1153 (CTX-M, KPC, NDM, OXA); 1159 (VIM, IMP)</w:t>
            </w:r>
          </w:p>
        </w:tc>
        <w:tc>
          <w:tcPr>
            <w:tcW w:type="dxa" w:w="3026"/>
          </w:tcPr>
          <w:p>
            <w:pPr>
              <w:keepNext/>
              <w:jc w:val="left"/>
            </w:pPr>
            <w:r>
              <w:rPr>
                <w:sz w:val="14"/>
              </w:rPr>
              <w:t>0032, 0050, 0147, 0156, 0451, 0541, 0611, 0834</w:t>
            </w:r>
          </w:p>
        </w:tc>
      </w:tr>
      <w:tr>
        <w:trPr>
          <w:cantSplit/>
        </w:trPr>
        <w:tc>
          <w:tcPr>
            <w:tcW w:type="dxa" w:w="1257"/>
          </w:tcPr>
          <w:p>
            <w:pPr>
              <w:keepNext/>
              <w:jc w:val="left"/>
            </w:pPr>
            <w:r>
              <w:rPr>
                <w:sz w:val="14"/>
              </w:rPr>
              <w:t>LIAISON PLEX GP</w:t>
            </w:r>
          </w:p>
        </w:tc>
        <w:tc>
          <w:tcPr>
            <w:tcW w:type="dxa" w:w="1125"/>
          </w:tcPr>
          <w:p>
            <w:pPr>
              <w:keepNext/>
              <w:jc w:val="right"/>
            </w:pPr>
            <w:r>
              <w:rPr>
                <w:sz w:val="14"/>
              </w:rPr>
              <w:t>3</w:t>
            </w:r>
          </w:p>
        </w:tc>
        <w:tc>
          <w:tcPr>
            <w:tcW w:type="dxa" w:w="1257"/>
          </w:tcPr>
          <w:p>
            <w:pPr>
              <w:keepNext/>
              <w:jc w:val="right"/>
            </w:pPr>
            <w:r>
              <w:rPr>
                <w:sz w:val="14"/>
              </w:rPr>
              <w:t>3</w:t>
            </w:r>
          </w:p>
        </w:tc>
        <w:tc>
          <w:tcPr>
            <w:tcW w:type="dxa" w:w="3501"/>
          </w:tcPr>
          <w:p>
            <w:pPr>
              <w:keepNext/>
              <w:jc w:val="left"/>
            </w:pPr>
            <w:r>
              <w:rPr>
                <w:sz w:val="14"/>
              </w:rPr>
              <w:t>0215 (mecA/mecC); 0571 (vanA); 0782 (vanB)</w:t>
            </w:r>
          </w:p>
        </w:tc>
        <w:tc>
          <w:tcPr>
            <w:tcW w:type="dxa" w:w="3026"/>
          </w:tcPr>
          <w:p>
            <w:pPr>
              <w:keepNext/>
              <w:jc w:val="left"/>
            </w:pPr>
            <w:r>
              <w:rPr>
                <w:sz w:val="14"/>
              </w:rPr>
              <w:t>0464, 0500, 0804, 0998, 1003</w:t>
            </w:r>
          </w:p>
        </w:tc>
      </w:tr>
      <w:tr>
        <w:trPr>
          <w:cantSplit/>
        </w:trPr>
        <w:tc>
          <w:tcPr>
            <w:tcW w:type="dxa" w:w="1257"/>
            <w:tcBorders>
              <w:bottom w:val="single" w:sz="12" w:space="0" w:color="000000"/>
            </w:tcBorders>
          </w:tcPr>
          <w:p>
            <w:pPr>
              <w:jc w:val="left"/>
            </w:pPr>
            <w:r>
              <w:rPr>
                <w:sz w:val="14"/>
              </w:rPr>
              <w:t>LIAISON PLEX GN</w:t>
            </w:r>
          </w:p>
        </w:tc>
        <w:tc>
          <w:tcPr>
            <w:tcW w:type="dxa" w:w="1125"/>
            <w:tcBorders>
              <w:bottom w:val="single" w:sz="12" w:space="0" w:color="000000"/>
            </w:tcBorders>
          </w:tcPr>
          <w:p>
            <w:pPr>
              <w:jc w:val="right"/>
            </w:pPr>
            <w:r>
              <w:rPr>
                <w:sz w:val="14"/>
              </w:rPr>
              <w:t>8</w:t>
            </w:r>
          </w:p>
        </w:tc>
        <w:tc>
          <w:tcPr>
            <w:tcW w:type="dxa" w:w="1257"/>
            <w:tcBorders>
              <w:bottom w:val="single" w:sz="12" w:space="0" w:color="000000"/>
            </w:tcBorders>
          </w:tcPr>
          <w:p>
            <w:pPr>
              <w:jc w:val="right"/>
            </w:pPr>
            <w:r>
              <w:rPr>
                <w:sz w:val="14"/>
              </w:rPr>
              <w:t>4</w:t>
            </w:r>
          </w:p>
        </w:tc>
        <w:tc>
          <w:tcPr>
            <w:tcW w:type="dxa" w:w="3501"/>
            <w:tcBorders>
              <w:bottom w:val="single" w:sz="12" w:space="0" w:color="000000"/>
            </w:tcBorders>
          </w:tcPr>
          <w:p>
            <w:pPr>
              <w:jc w:val="left"/>
            </w:pPr>
            <w:r>
              <w:rPr>
                <w:sz w:val="14"/>
              </w:rPr>
              <w:t>1153 (CTX-M, KPC, NDM, OXA); 1159 (IMP, VIM); 0091 (SME); 0346 (MCR)</w:t>
            </w:r>
          </w:p>
        </w:tc>
        <w:tc>
          <w:tcPr>
            <w:tcW w:type="dxa" w:w="3026"/>
            <w:tcBorders>
              <w:bottom w:val="single" w:sz="12" w:space="0" w:color="000000"/>
            </w:tcBorders>
          </w:tcPr>
          <w:p>
            <w:pPr>
              <w:jc w:val="left"/>
            </w:pPr>
            <w:r>
              <w:rPr>
                <w:sz w:val="14"/>
              </w:rPr>
              <w:t>0027, 0032, 0050, 0147, 0156, 0451, 0541, 0611, +1</w:t>
            </w:r>
          </w:p>
        </w:tc>
      </w:tr>
    </w:tbl>
    <w:p>
      <w:pPr>
        <w:spacing w:after="80"/>
      </w:pPr>
    </w:p>
    <w:p>
      <w:pPr>
        <w:spacing w:after="0" w:line="20" w:lineRule="exact"/>
        <w:rPr>
          <w:sz w:val="2"/>
        </w:rPr>
        <w:sectPr>
          <w:type w:val="continuous"/>
          <w:pgSz w:w="12240" w:h="15840"/>
          <w:pgMar w:top="1224" w:bottom="1296" w:left="1036" w:right="1036" w:header="720" w:footer="720" w:gutter="0"/>
          <w:cols w:num="1" w:space="374"/>
        </w:sectPr>
      </w:pPr>
      <w:r/>
    </w:p>
    <w:p>
      <w:pPr>
        <w:keepNext/>
        <w:spacing w:before="120" w:after="20"/>
        <w:jc w:val="left"/>
        <w:outlineLvl w:val="2"/>
      </w:pPr>
      <w:r>
        <w:rPr>
          <w:i/>
          <w:sz w:val="19"/>
        </w:rPr>
        <w:t>1. Target present, drug not resistant.</w:t>
      </w:r>
    </w:p>
    <w:p>
      <w:pPr>
        <w:spacing w:before="0" w:after="0"/>
        <w:ind w:firstLine="245"/>
        <w:jc w:val="both"/>
      </w:pPr>
      <w:r>
        <w:rPr>
          <w:sz w:val="20"/>
        </w:rPr>
        <w:t xml:space="preserve">Table VII lists the 14 isolates that carry a panel target while testing not resistant to every matching drug. Six are KPC producers (KPC-2, -3 or -4) in </w:t>
      </w:r>
      <w:r>
        <w:rPr>
          <w:i/>
          <w:sz w:val="20"/>
        </w:rPr>
        <w:t>E. cloacae</w:t>
      </w:r>
      <w:r>
        <w:rPr>
          <w:sz w:val="20"/>
        </w:rPr>
        <w:t xml:space="preserve">, </w:t>
      </w:r>
      <w:r>
        <w:rPr>
          <w:i/>
          <w:sz w:val="20"/>
        </w:rPr>
        <w:t>K. oxytoca</w:t>
      </w:r>
      <w:r>
        <w:rPr>
          <w:sz w:val="20"/>
        </w:rPr>
        <w:t xml:space="preserve">, </w:t>
      </w:r>
      <w:r>
        <w:rPr>
          <w:i/>
          <w:sz w:val="20"/>
        </w:rPr>
        <w:t>E. coli</w:t>
      </w:r>
      <w:r>
        <w:rPr>
          <w:sz w:val="20"/>
        </w:rPr>
        <w:t xml:space="preserve"> and </w:t>
      </w:r>
      <w:r>
        <w:rPr>
          <w:i/>
          <w:sz w:val="20"/>
        </w:rPr>
        <w:t>P. mirabilis</w:t>
      </w:r>
      <w:r>
        <w:rPr>
          <w:sz w:val="20"/>
        </w:rPr>
        <w:t xml:space="preserve">, with meropenem MICs of 0.25 to 2 mg/L and imipenem and ertapenem MICs mostly intermediate. Two carry VIM: VIM-1 in </w:t>
      </w:r>
      <w:r>
        <w:rPr>
          <w:i/>
          <w:sz w:val="20"/>
        </w:rPr>
        <w:t>E. cloacae</w:t>
      </w:r>
      <w:r>
        <w:rPr>
          <w:sz w:val="20"/>
        </w:rPr>
        <w:t xml:space="preserve"> (meropenem 1 mg/L) and VIM-11 in </w:t>
      </w:r>
      <w:r>
        <w:rPr>
          <w:i/>
          <w:sz w:val="20"/>
        </w:rPr>
        <w:t>P. aeruginosa</w:t>
      </w:r>
      <w:r>
        <w:rPr>
          <w:sz w:val="20"/>
        </w:rPr>
        <w:t xml:space="preserve"> (all carbapenems at 4 mg/L, intermediate). One </w:t>
      </w:r>
      <w:r>
        <w:rPr>
          <w:i/>
          <w:sz w:val="20"/>
        </w:rPr>
        <w:t>Serratia marcescens</w:t>
      </w:r>
      <w:r>
        <w:rPr>
          <w:sz w:val="20"/>
        </w:rPr>
        <w:t xml:space="preserve"> carries SME with every carbapenem at the lowest dilution tested. Three </w:t>
      </w:r>
      <w:r>
        <w:rPr>
          <w:i/>
          <w:sz w:val="20"/>
        </w:rPr>
        <w:t>S. aureus</w:t>
      </w:r>
      <w:r>
        <w:rPr>
          <w:sz w:val="20"/>
        </w:rPr>
        <w:t xml:space="preserve"> carry </w:t>
      </w:r>
      <w:r>
        <w:rPr>
          <w:i/>
          <w:sz w:val="20"/>
        </w:rPr>
        <w:t>mecA</w:t>
      </w:r>
      <w:r>
        <w:rPr>
          <w:sz w:val="20"/>
        </w:rPr>
        <w:t xml:space="preserve"> with oxacillin MICs of 0.25 to 0.5 mg/L and cefoxitin MICs of 4 mg/L (susceptible); two of them were also susceptible by cefoxitin disk. These resemble oxacillin-susceptible MRSA [36]. CDC posts a cefoxitin disk result for 30 </w:t>
      </w:r>
      <w:r>
        <w:rPr>
          <w:i/>
          <w:sz w:val="20"/>
        </w:rPr>
        <w:t>mecA</w:t>
      </w:r>
      <w:r>
        <w:rPr>
          <w:sz w:val="20"/>
        </w:rPr>
        <w:t xml:space="preserve">-positive </w:t>
      </w:r>
      <w:r>
        <w:rPr>
          <w:i/>
          <w:sz w:val="20"/>
        </w:rPr>
        <w:t>S. aureus</w:t>
      </w:r>
      <w:r>
        <w:rPr>
          <w:sz w:val="20"/>
        </w:rPr>
        <w:t xml:space="preserve">, of which 28 are disk resistant; four of these (0977, 0981, 0991, 0992) are susceptible by oxacillin and cefoxitin MIC, so the disk detects their resistance and they are not counted as hard cases. Among enterococci, the vancomycin-variable </w:t>
      </w:r>
      <w:r>
        <w:rPr>
          <w:i/>
          <w:sz w:val="20"/>
        </w:rPr>
        <w:t>E. faecium</w:t>
      </w:r>
      <w:r>
        <w:rPr>
          <w:sz w:val="20"/>
        </w:rPr>
        <w:t xml:space="preserve"> 0500 carries the </w:t>
      </w:r>
      <w:r>
        <w:rPr>
          <w:i/>
          <w:sz w:val="20"/>
        </w:rPr>
        <w:t>vanA</w:t>
      </w:r>
      <w:r>
        <w:rPr>
          <w:sz w:val="20"/>
        </w:rPr>
        <w:t xml:space="preserve"> operon without its regulators and tests vancomycin susceptible (1 mg/L) [37, 38], and </w:t>
      </w:r>
      <w:r>
        <w:rPr>
          <w:i/>
          <w:sz w:val="20"/>
        </w:rPr>
        <w:t>E. faecalis</w:t>
      </w:r>
      <w:r>
        <w:rPr>
          <w:sz w:val="20"/>
        </w:rPr>
        <w:t xml:space="preserve"> 0804 carries </w:t>
      </w:r>
      <w:r>
        <w:rPr>
          <w:i/>
          <w:sz w:val="20"/>
        </w:rPr>
        <w:t>vanB</w:t>
      </w:r>
      <w:r>
        <w:rPr>
          <w:sz w:val="20"/>
        </w:rPr>
        <w:t xml:space="preserve"> with an intermediate vancomycin MIC of 16 mg/L.</w:t>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after="60"/>
        <w:jc w:val="center"/>
      </w:pPr>
      <w:r>
        <w:rPr>
          <w:sz w:val="18"/>
        </w:rPr>
        <w:t xml:space="preserve">TABLE VI: </w:t>
      </w:r>
      <w:r>
        <w:rPr>
          <w:sz w:val="18"/>
        </w:rPr>
        <w:t>Hard cases, by category, on CDC's posted interpretation (intermediate counted as not resistant). An isolate can fall in more than one category.</w:t>
      </w:r>
    </w:p>
    <w:tbl>
      <w:tblPr>
        <w:jc w:val="center"/>
        <w:tblLayout w:type="fixed"/>
        <w:tblLook w:firstColumn="1" w:firstRow="1" w:lastColumn="0" w:lastRow="0" w:noHBand="0" w:noVBand="1" w:val="04A0"/>
        <w:tblCellMar>
          <w:top w:w="10" w:type="dxa"/>
          <w:bottom w:w="10" w:type="dxa"/>
          <w:left w:w="50" w:type="dxa"/>
          <w:right w:w="50" w:type="dxa"/>
        </w:tblCellMar>
        <w:tblLayout w:type="fixed"/>
        <w:tblW w:w="10166" w:type="dxa"/>
      </w:tblPr>
      <w:tblGrid>
        <w:gridCol w:w="3412"/>
        <w:gridCol w:w="1225"/>
        <w:gridCol w:w="3412"/>
        <w:gridCol w:w="2115"/>
      </w:tblGrid>
      <w:tr>
        <w:trPr>
          <w:cantSplit/>
          <w:tblHeader/>
        </w:trPr>
        <w:tc>
          <w:tcPr>
            <w:tcW w:type="dxa" w:w="3413"/>
            <w:tcBorders>
              <w:top w:val="single" w:sz="12" w:space="0" w:color="000000"/>
              <w:bottom w:val="single" w:sz="6" w:space="0" w:color="000000"/>
            </w:tcBorders>
          </w:tcPr>
          <w:p>
            <w:pPr>
              <w:keepNext/>
              <w:jc w:val="left"/>
            </w:pPr>
            <w:r>
              <w:rPr>
                <w:sz w:val="14"/>
              </w:rPr>
              <w:t>Category</w:t>
            </w:r>
          </w:p>
        </w:tc>
        <w:tc>
          <w:tcPr>
            <w:tcW w:type="dxa" w:w="1225"/>
            <w:tcBorders>
              <w:top w:val="single" w:sz="12" w:space="0" w:color="000000"/>
              <w:bottom w:val="single" w:sz="6" w:space="0" w:color="000000"/>
            </w:tcBorders>
          </w:tcPr>
          <w:p>
            <w:pPr>
              <w:keepNext/>
              <w:jc w:val="right"/>
            </w:pPr>
            <w:r>
              <w:rPr>
                <w:sz w:val="14"/>
              </w:rPr>
              <w:t>Isolates</w:t>
            </w:r>
          </w:p>
        </w:tc>
        <w:tc>
          <w:tcPr>
            <w:tcW w:type="dxa" w:w="3413"/>
            <w:tcBorders>
              <w:top w:val="single" w:sz="12" w:space="0" w:color="000000"/>
              <w:bottom w:val="single" w:sz="6" w:space="0" w:color="000000"/>
            </w:tcBorders>
          </w:tcPr>
          <w:p>
            <w:pPr>
              <w:keepNext/>
              <w:jc w:val="left"/>
            </w:pPr>
            <w:r>
              <w:rPr>
                <w:sz w:val="14"/>
              </w:rPr>
              <w:t>Breakdown</w:t>
            </w:r>
          </w:p>
        </w:tc>
        <w:tc>
          <w:tcPr>
            <w:tcW w:type="dxa" w:w="2115"/>
            <w:tcBorders>
              <w:top w:val="single" w:sz="12" w:space="0" w:color="000000"/>
              <w:bottom w:val="single" w:sz="6" w:space="0" w:color="000000"/>
            </w:tcBorders>
          </w:tcPr>
          <w:p>
            <w:pPr>
              <w:keepNext/>
              <w:jc w:val="left"/>
            </w:pPr>
            <w:r>
              <w:rPr>
                <w:sz w:val="14"/>
              </w:rPr>
              <w:t>What a laboratory sees</w:t>
            </w:r>
          </w:p>
        </w:tc>
      </w:tr>
      <w:tr>
        <w:trPr>
          <w:cantSplit/>
        </w:trPr>
        <w:tc>
          <w:tcPr>
            <w:tcW w:type="dxa" w:w="3413"/>
          </w:tcPr>
          <w:p>
            <w:pPr>
              <w:keepNext/>
              <w:jc w:val="left"/>
            </w:pPr>
            <w:r>
              <w:rPr>
                <w:sz w:val="14"/>
              </w:rPr>
              <w:t>Target gene present, matching drug(s) not resistant</w:t>
            </w:r>
          </w:p>
        </w:tc>
        <w:tc>
          <w:tcPr>
            <w:tcW w:type="dxa" w:w="1225"/>
          </w:tcPr>
          <w:p>
            <w:pPr>
              <w:keepNext/>
              <w:jc w:val="right"/>
            </w:pPr>
            <w:r>
              <w:rPr>
                <w:sz w:val="14"/>
              </w:rPr>
              <w:t>14</w:t>
            </w:r>
          </w:p>
        </w:tc>
        <w:tc>
          <w:tcPr>
            <w:tcW w:type="dxa" w:w="3413"/>
          </w:tcPr>
          <w:p>
            <w:pPr>
              <w:keepNext/>
              <w:jc w:val="left"/>
            </w:pPr>
            <w:r>
              <w:rPr>
                <w:sz w:val="14"/>
              </w:rPr>
              <w:t>KPC 6, mecA 3, VIM 2, SME 1, vanA 1, vanB 1</w:t>
            </w:r>
          </w:p>
        </w:tc>
        <w:tc>
          <w:tcPr>
            <w:tcW w:type="dxa" w:w="2115"/>
          </w:tcPr>
          <w:p>
            <w:pPr>
              <w:keepNext/>
              <w:jc w:val="left"/>
            </w:pPr>
            <w:r>
              <w:rPr>
                <w:sz w:val="14"/>
              </w:rPr>
              <w:t>Panel positive, AST not resistant</w:t>
            </w:r>
          </w:p>
        </w:tc>
      </w:tr>
      <w:tr>
        <w:trPr>
          <w:cantSplit/>
        </w:trPr>
        <w:tc>
          <w:tcPr>
            <w:tcW w:type="dxa" w:w="3413"/>
          </w:tcPr>
          <w:p>
            <w:pPr>
              <w:keepNext/>
              <w:jc w:val="left"/>
            </w:pPr>
            <w:r>
              <w:rPr>
                <w:sz w:val="14"/>
              </w:rPr>
              <w:t xml:space="preserve">Carbapenem resistant, no panel carbapenemase (Enterobacterales, </w:t>
            </w:r>
            <w:r>
              <w:rPr>
                <w:i/>
                <w:sz w:val="14"/>
              </w:rPr>
              <w:t>Acinetobacter</w:t>
            </w:r>
            <w:r>
              <w:rPr>
                <w:sz w:val="14"/>
              </w:rPr>
              <w:t>)</w:t>
            </w:r>
          </w:p>
        </w:tc>
        <w:tc>
          <w:tcPr>
            <w:tcW w:type="dxa" w:w="1225"/>
          </w:tcPr>
          <w:p>
            <w:pPr>
              <w:keepNext/>
              <w:jc w:val="right"/>
            </w:pPr>
            <w:r>
              <w:rPr>
                <w:sz w:val="14"/>
              </w:rPr>
              <w:t>38</w:t>
            </w:r>
          </w:p>
        </w:tc>
        <w:tc>
          <w:tcPr>
            <w:tcW w:type="dxa" w:w="3413"/>
          </w:tcPr>
          <w:p>
            <w:pPr>
              <w:keepNext/>
              <w:jc w:val="left"/>
            </w:pPr>
            <w:r>
              <w:rPr>
                <w:sz w:val="14"/>
              </w:rPr>
              <w:t>Porin truncation with ESBL or AmpC 16; ESBL or AmpC only 8; No mechanism listed by CDC 5; Carbapenemase not on any panel 4; Intrinsic OXA-51-like (Acinetobacter) 3; Porin truncation only 2</w:t>
            </w:r>
          </w:p>
        </w:tc>
        <w:tc>
          <w:tcPr>
            <w:tcW w:type="dxa" w:w="2115"/>
          </w:tcPr>
          <w:p>
            <w:pPr>
              <w:keepNext/>
              <w:jc w:val="left"/>
            </w:pPr>
            <w:r>
              <w:rPr>
                <w:sz w:val="14"/>
              </w:rPr>
              <w:t>Panel negative, AST resistant</w:t>
            </w:r>
          </w:p>
        </w:tc>
      </w:tr>
      <w:tr>
        <w:trPr>
          <w:cantSplit/>
        </w:trPr>
        <w:tc>
          <w:tcPr>
            <w:tcW w:type="dxa" w:w="3413"/>
          </w:tcPr>
          <w:p>
            <w:pPr>
              <w:keepNext/>
              <w:jc w:val="left"/>
            </w:pPr>
            <w:r>
              <w:rPr>
                <w:sz w:val="14"/>
              </w:rPr>
              <w:t>Third-generation cephalosporin resistant, no CTX-M or carbapenemase</w:t>
            </w:r>
          </w:p>
        </w:tc>
        <w:tc>
          <w:tcPr>
            <w:tcW w:type="dxa" w:w="1225"/>
          </w:tcPr>
          <w:p>
            <w:pPr>
              <w:keepNext/>
              <w:jc w:val="right"/>
            </w:pPr>
            <w:r>
              <w:rPr>
                <w:sz w:val="14"/>
              </w:rPr>
              <w:t>58</w:t>
            </w:r>
          </w:p>
        </w:tc>
        <w:tc>
          <w:tcPr>
            <w:tcW w:type="dxa" w:w="3413"/>
          </w:tcPr>
          <w:p>
            <w:pPr>
              <w:keepNext/>
              <w:jc w:val="left"/>
            </w:pPr>
            <w:r>
              <w:rPr>
                <w:sz w:val="14"/>
              </w:rPr>
              <w:t>Other ESBL (SHV, TEM), plasmid or chromosomal AmpC</w:t>
            </w:r>
          </w:p>
        </w:tc>
        <w:tc>
          <w:tcPr>
            <w:tcW w:type="dxa" w:w="2115"/>
          </w:tcPr>
          <w:p>
            <w:pPr>
              <w:keepNext/>
              <w:jc w:val="left"/>
            </w:pPr>
            <w:r>
              <w:rPr>
                <w:sz w:val="14"/>
              </w:rPr>
              <w:t>CTX-M negative, AST resistant</w:t>
            </w:r>
          </w:p>
        </w:tc>
      </w:tr>
      <w:tr>
        <w:trPr>
          <w:cantSplit/>
        </w:trPr>
        <w:tc>
          <w:tcPr>
            <w:tcW w:type="dxa" w:w="3413"/>
          </w:tcPr>
          <w:p>
            <w:pPr>
              <w:keepNext/>
              <w:jc w:val="left"/>
            </w:pPr>
            <w:r>
              <w:rPr>
                <w:sz w:val="14"/>
              </w:rPr>
              <w:t xml:space="preserve">Oxacillin or cefoxitin resistant, no </w:t>
            </w:r>
            <w:r>
              <w:rPr>
                <w:i/>
                <w:sz w:val="14"/>
              </w:rPr>
              <w:t>mecA</w:t>
            </w:r>
            <w:r>
              <w:rPr>
                <w:sz w:val="14"/>
              </w:rPr>
              <w:t>/</w:t>
            </w:r>
            <w:r>
              <w:rPr>
                <w:i/>
                <w:sz w:val="14"/>
              </w:rPr>
              <w:t>mecC</w:t>
            </w:r>
          </w:p>
        </w:tc>
        <w:tc>
          <w:tcPr>
            <w:tcW w:type="dxa" w:w="1225"/>
          </w:tcPr>
          <w:p>
            <w:pPr>
              <w:keepNext/>
              <w:jc w:val="right"/>
            </w:pPr>
            <w:r>
              <w:rPr>
                <w:sz w:val="14"/>
              </w:rPr>
              <w:t>1</w:t>
            </w:r>
          </w:p>
        </w:tc>
        <w:tc>
          <w:tcPr>
            <w:tcW w:type="dxa" w:w="3413"/>
          </w:tcPr>
          <w:p>
            <w:pPr>
              <w:keepNext/>
              <w:jc w:val="left"/>
            </w:pPr>
            <w:r>
              <w:rPr>
                <w:sz w:val="14"/>
              </w:rPr>
              <w:t>No mechanism listed</w:t>
            </w:r>
          </w:p>
        </w:tc>
        <w:tc>
          <w:tcPr>
            <w:tcW w:type="dxa" w:w="2115"/>
          </w:tcPr>
          <w:p>
            <w:pPr>
              <w:keepNext/>
              <w:jc w:val="left"/>
            </w:pPr>
            <w:r>
              <w:rPr>
                <w:sz w:val="14"/>
              </w:rPr>
              <w:t>Panel negative, AST resistant</w:t>
            </w:r>
          </w:p>
        </w:tc>
      </w:tr>
      <w:tr>
        <w:trPr>
          <w:cantSplit/>
        </w:trPr>
        <w:tc>
          <w:tcPr>
            <w:tcW w:type="dxa" w:w="3413"/>
          </w:tcPr>
          <w:p>
            <w:pPr>
              <w:keepNext/>
              <w:jc w:val="left"/>
            </w:pPr>
            <w:r>
              <w:rPr>
                <w:sz w:val="14"/>
              </w:rPr>
              <w:t xml:space="preserve">Carbapenem-resistant </w:t>
            </w:r>
            <w:r>
              <w:rPr>
                <w:i/>
                <w:sz w:val="14"/>
              </w:rPr>
              <w:t>P. aeruginosa</w:t>
            </w:r>
            <w:r>
              <w:rPr>
                <w:sz w:val="14"/>
              </w:rPr>
              <w:t>, no carbapenemase</w:t>
            </w:r>
          </w:p>
        </w:tc>
        <w:tc>
          <w:tcPr>
            <w:tcW w:type="dxa" w:w="1225"/>
          </w:tcPr>
          <w:p>
            <w:pPr>
              <w:keepNext/>
              <w:jc w:val="right"/>
            </w:pPr>
            <w:r>
              <w:rPr>
                <w:sz w:val="14"/>
              </w:rPr>
              <w:t>68</w:t>
            </w:r>
          </w:p>
        </w:tc>
        <w:tc>
          <w:tcPr>
            <w:tcW w:type="dxa" w:w="3413"/>
          </w:tcPr>
          <w:p>
            <w:pPr>
              <w:keepNext/>
              <w:jc w:val="left"/>
            </w:pPr>
            <w:r>
              <w:rPr>
                <w:sz w:val="14"/>
              </w:rPr>
              <w:t>Chromosomal (OprD, efflux, AmpC)</w:t>
            </w:r>
          </w:p>
        </w:tc>
        <w:tc>
          <w:tcPr>
            <w:tcW w:type="dxa" w:w="2115"/>
          </w:tcPr>
          <w:p>
            <w:pPr>
              <w:keepNext/>
              <w:jc w:val="left"/>
            </w:pPr>
            <w:r>
              <w:rPr>
                <w:sz w:val="14"/>
              </w:rPr>
              <w:t>Expected negative</w:t>
            </w:r>
          </w:p>
        </w:tc>
      </w:tr>
      <w:tr>
        <w:trPr>
          <w:cantSplit/>
        </w:trPr>
        <w:tc>
          <w:tcPr>
            <w:tcW w:type="dxa" w:w="3413"/>
            <w:tcBorders>
              <w:bottom w:val="single" w:sz="12" w:space="0" w:color="000000"/>
            </w:tcBorders>
          </w:tcPr>
          <w:p>
            <w:pPr>
              <w:jc w:val="left"/>
            </w:pPr>
            <w:r>
              <w:rPr>
                <w:sz w:val="14"/>
              </w:rPr>
              <w:t xml:space="preserve">Vancomycin resistant by intrinsic </w:t>
            </w:r>
            <w:r>
              <w:rPr>
                <w:i/>
                <w:sz w:val="14"/>
              </w:rPr>
              <w:t>vanC</w:t>
            </w:r>
          </w:p>
        </w:tc>
        <w:tc>
          <w:tcPr>
            <w:tcW w:type="dxa" w:w="1225"/>
            <w:tcBorders>
              <w:bottom w:val="single" w:sz="12" w:space="0" w:color="000000"/>
            </w:tcBorders>
          </w:tcPr>
          <w:p>
            <w:pPr>
              <w:jc w:val="right"/>
            </w:pPr>
            <w:r>
              <w:rPr>
                <w:sz w:val="14"/>
              </w:rPr>
              <w:t>7</w:t>
            </w:r>
          </w:p>
        </w:tc>
        <w:tc>
          <w:tcPr>
            <w:tcW w:type="dxa" w:w="3413"/>
            <w:tcBorders>
              <w:bottom w:val="single" w:sz="12" w:space="0" w:color="000000"/>
            </w:tcBorders>
          </w:tcPr>
          <w:p>
            <w:pPr>
              <w:jc w:val="left"/>
            </w:pPr>
            <w:r>
              <w:rPr>
                <w:i/>
                <w:sz w:val="14"/>
              </w:rPr>
              <w:t>E. gallinarum</w:t>
            </w:r>
            <w:r>
              <w:rPr>
                <w:sz w:val="14"/>
              </w:rPr>
              <w:t xml:space="preserve">, </w:t>
            </w:r>
            <w:r>
              <w:rPr>
                <w:i/>
                <w:sz w:val="14"/>
              </w:rPr>
              <w:t>E. casseliflavus</w:t>
            </w:r>
          </w:p>
        </w:tc>
        <w:tc>
          <w:tcPr>
            <w:tcW w:type="dxa" w:w="2115"/>
            <w:tcBorders>
              <w:bottom w:val="single" w:sz="12" w:space="0" w:color="000000"/>
            </w:tcBorders>
          </w:tcPr>
          <w:p>
            <w:pPr>
              <w:jc w:val="left"/>
            </w:pPr>
            <w:r>
              <w:rPr>
                <w:sz w:val="14"/>
              </w:rPr>
              <w:t>Expected negative</w:t>
            </w:r>
          </w:p>
        </w:tc>
      </w:tr>
    </w:tbl>
    <w:p>
      <w:pPr>
        <w:spacing w:after="80"/>
      </w:pPr>
    </w:p>
    <w:p>
      <w:pPr>
        <w:spacing w:after="0" w:line="20" w:lineRule="exact"/>
        <w:rPr>
          <w:sz w:val="2"/>
        </w:rPr>
        <w:sectPr>
          <w:type w:val="continuous"/>
          <w:pgSz w:w="12240" w:h="15840"/>
          <w:pgMar w:top="1224" w:bottom="1296" w:left="1036" w:right="1036" w:header="720" w:footer="720" w:gutter="0"/>
          <w:cols w:num="1" w:space="374"/>
        </w:sectPr>
      </w:pPr>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jc w:val="center"/>
      </w:pPr>
      <w:r>
        <w:drawing>
          <wp:inline xmlns:a="http://schemas.openxmlformats.org/drawingml/2006/main" xmlns:pic="http://schemas.openxmlformats.org/drawingml/2006/picture">
            <wp:extent cx="6455664" cy="2328314"/>
            <wp:docPr id="6" name="Picture 6"/>
            <wp:cNvGraphicFramePr>
              <a:graphicFrameLocks noChangeAspect="1"/>
            </wp:cNvGraphicFramePr>
            <a:graphic>
              <a:graphicData uri="http://schemas.openxmlformats.org/drawingml/2006/picture">
                <pic:pic>
                  <pic:nvPicPr>
                    <pic:cNvPr id="0" name="fig6_hardcases.png"/>
                    <pic:cNvPicPr/>
                  </pic:nvPicPr>
                  <pic:blipFill>
                    <a:blip r:embed="rId16"/>
                    <a:stretch>
                      <a:fillRect/>
                    </a:stretch>
                  </pic:blipFill>
                  <pic:spPr>
                    <a:xfrm>
                      <a:off x="0" y="0"/>
                      <a:ext cx="6455664" cy="2328314"/>
                    </a:xfrm>
                    <a:prstGeom prst="rect"/>
                  </pic:spPr>
                </pic:pic>
              </a:graphicData>
            </a:graphic>
          </wp:inline>
        </w:drawing>
      </w:r>
    </w:p>
    <w:p>
      <w:pPr>
        <w:spacing w:before="60" w:after="160"/>
        <w:jc w:val="both"/>
      </w:pPr>
      <w:r>
        <w:rPr>
          <w:sz w:val="18"/>
        </w:rPr>
        <w:t xml:space="preserve">FIG. 5: </w:t>
      </w:r>
      <w:r>
        <w:rPr>
          <w:sz w:val="18"/>
        </w:rPr>
        <w:t xml:space="preserve">Hard cases. (a) Isolates in each category; gray bars are the two categories in which a negative panel result is expected. (b) The mechanisms CDC lists for the 38 carbapenem-resistant Enterobacterales and </w:t>
      </w:r>
      <w:r>
        <w:rPr>
          <w:i/>
          <w:sz w:val="18"/>
        </w:rPr>
        <w:t>Acinetobacter</w:t>
      </w:r>
      <w:r>
        <w:rPr>
          <w:sz w:val="18"/>
        </w:rPr>
        <w:t xml:space="preserve"> without a panel carbapenemase, classified by NCBI drug subclass.</w:t>
      </w:r>
    </w:p>
    <w:p>
      <w:pPr>
        <w:spacing w:after="0" w:line="20" w:lineRule="exact"/>
        <w:rPr>
          <w:sz w:val="2"/>
        </w:rPr>
        <w:sectPr>
          <w:type w:val="continuous"/>
          <w:pgSz w:w="12240" w:h="15840"/>
          <w:pgMar w:top="1224" w:bottom="1296" w:left="1036" w:right="1036" w:header="720" w:footer="720" w:gutter="0"/>
          <w:cols w:num="1" w:space="374"/>
        </w:sectPr>
      </w:pPr>
      <w:r/>
    </w:p>
    <w:p>
      <w:pPr>
        <w:keepNext/>
        <w:spacing w:before="120" w:after="20"/>
        <w:jc w:val="left"/>
        <w:outlineLvl w:val="2"/>
      </w:pPr>
      <w:r>
        <w:rPr>
          <w:i/>
          <w:sz w:val="19"/>
        </w:rPr>
        <w:t>2. Meropenem MICs of carbapenemase producers.</w:t>
      </w:r>
    </w:p>
    <w:p>
      <w:pPr>
        <w:spacing w:before="0" w:after="0"/>
        <w:ind w:firstLine="245"/>
        <w:jc w:val="both"/>
      </w:pPr>
      <w:r>
        <w:rPr>
          <w:sz w:val="20"/>
        </w:rPr>
        <w:t>Among Enterobacterales with a meropenem result (Fig. 6), 1 of 49 NDM producers and 1 of 9 SME producers tested not resistant, compared with 12 of 79 KPC, 7 of 23 OXA-48-like, 4 of 7 VIM and 7 of 10 IMP producers. No OXA-48-like producer was meropenem susceptible; all 7 not-resistant OXA-48-like isolates sat at the intermediate MIC of 2 mg/L, consistent with the weak carbapenemase activity of this family [39]. Most of these isolates were resistant to another carbapenem; only the isolates in Table VII were not resistant to any.</w:t>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after="60"/>
        <w:jc w:val="center"/>
      </w:pPr>
      <w:r>
        <w:rPr>
          <w:sz w:val="18"/>
        </w:rPr>
        <w:t xml:space="preserve">TABLE VII: </w:t>
      </w:r>
      <w:r>
        <w:rPr>
          <w:sz w:val="18"/>
        </w:rPr>
        <w:t>The 14 isolates that carry a rapid panel target while testing not resistant to every matching drug. Results are CDC's posted MICs (mg/L), disk diameters (mm) and interpretations.</w:t>
      </w:r>
    </w:p>
    <w:tbl>
      <w:tblPr>
        <w:jc w:val="center"/>
        <w:tblLayout w:type="fixed"/>
        <w:tblLook w:firstColumn="1" w:firstRow="1" w:lastColumn="0" w:lastRow="0" w:noHBand="0" w:noVBand="1" w:val="04A0"/>
        <w:tblCellMar>
          <w:top w:w="10" w:type="dxa"/>
          <w:bottom w:w="10" w:type="dxa"/>
          <w:left w:w="50" w:type="dxa"/>
          <w:right w:w="50" w:type="dxa"/>
        </w:tblCellMar>
        <w:tblLayout w:type="fixed"/>
        <w:tblW w:w="10166" w:type="dxa"/>
      </w:tblPr>
      <w:tblGrid>
        <w:gridCol w:w="816"/>
        <w:gridCol w:w="2301"/>
        <w:gridCol w:w="1113"/>
        <w:gridCol w:w="2004"/>
        <w:gridCol w:w="3928"/>
      </w:tblGrid>
      <w:tr>
        <w:trPr>
          <w:cantSplit/>
          <w:tblHeader/>
        </w:trPr>
        <w:tc>
          <w:tcPr>
            <w:tcW w:type="dxa" w:w="817"/>
            <w:tcBorders>
              <w:top w:val="single" w:sz="12" w:space="0" w:color="000000"/>
              <w:bottom w:val="single" w:sz="6" w:space="0" w:color="000000"/>
            </w:tcBorders>
          </w:tcPr>
          <w:p>
            <w:pPr>
              <w:keepNext/>
              <w:jc w:val="left"/>
            </w:pPr>
            <w:r>
              <w:rPr>
                <w:sz w:val="14"/>
              </w:rPr>
              <w:t>AR Bank</w:t>
            </w:r>
          </w:p>
        </w:tc>
        <w:tc>
          <w:tcPr>
            <w:tcW w:type="dxa" w:w="2302"/>
            <w:tcBorders>
              <w:top w:val="single" w:sz="12" w:space="0" w:color="000000"/>
              <w:bottom w:val="single" w:sz="6" w:space="0" w:color="000000"/>
            </w:tcBorders>
          </w:tcPr>
          <w:p>
            <w:pPr>
              <w:keepNext/>
              <w:jc w:val="left"/>
            </w:pPr>
            <w:r>
              <w:rPr>
                <w:sz w:val="14"/>
              </w:rPr>
              <w:t>Organism</w:t>
            </w:r>
          </w:p>
        </w:tc>
        <w:tc>
          <w:tcPr>
            <w:tcW w:type="dxa" w:w="1114"/>
            <w:tcBorders>
              <w:top w:val="single" w:sz="12" w:space="0" w:color="000000"/>
              <w:bottom w:val="single" w:sz="6" w:space="0" w:color="000000"/>
            </w:tcBorders>
          </w:tcPr>
          <w:p>
            <w:pPr>
              <w:keepNext/>
              <w:jc w:val="left"/>
            </w:pPr>
            <w:r>
              <w:rPr>
                <w:sz w:val="14"/>
              </w:rPr>
              <w:t>Target</w:t>
            </w:r>
          </w:p>
        </w:tc>
        <w:tc>
          <w:tcPr>
            <w:tcW w:type="dxa" w:w="2005"/>
            <w:tcBorders>
              <w:top w:val="single" w:sz="12" w:space="0" w:color="000000"/>
              <w:bottom w:val="single" w:sz="6" w:space="0" w:color="000000"/>
            </w:tcBorders>
          </w:tcPr>
          <w:p>
            <w:pPr>
              <w:keepNext/>
              <w:jc w:val="left"/>
            </w:pPr>
            <w:r>
              <w:rPr>
                <w:sz w:val="14"/>
              </w:rPr>
              <w:t>CDC gene</w:t>
            </w:r>
          </w:p>
        </w:tc>
        <w:tc>
          <w:tcPr>
            <w:tcW w:type="dxa" w:w="3929"/>
            <w:tcBorders>
              <w:top w:val="single" w:sz="12" w:space="0" w:color="000000"/>
              <w:bottom w:val="single" w:sz="6" w:space="0" w:color="000000"/>
            </w:tcBorders>
          </w:tcPr>
          <w:p>
            <w:pPr>
              <w:keepNext/>
              <w:jc w:val="left"/>
            </w:pPr>
            <w:r>
              <w:rPr>
                <w:sz w:val="14"/>
              </w:rPr>
              <w:t>CDC reference results (MIC in mg/L or disk in mm, CDC S/I/R)</w:t>
            </w:r>
          </w:p>
        </w:tc>
      </w:tr>
      <w:tr>
        <w:trPr>
          <w:cantSplit/>
        </w:trPr>
        <w:tc>
          <w:tcPr>
            <w:tcW w:type="dxa" w:w="817"/>
          </w:tcPr>
          <w:p>
            <w:pPr>
              <w:keepNext/>
              <w:jc w:val="left"/>
            </w:pPr>
            <w:r>
              <w:rPr>
                <w:sz w:val="14"/>
              </w:rPr>
              <w:t>0032</w:t>
            </w:r>
          </w:p>
        </w:tc>
        <w:tc>
          <w:tcPr>
            <w:tcW w:type="dxa" w:w="2302"/>
          </w:tcPr>
          <w:p>
            <w:pPr>
              <w:keepNext/>
              <w:jc w:val="left"/>
            </w:pPr>
            <w:r>
              <w:rPr>
                <w:i/>
                <w:sz w:val="14"/>
              </w:rPr>
              <w:t>Enterobacter cloacae</w:t>
            </w:r>
          </w:p>
        </w:tc>
        <w:tc>
          <w:tcPr>
            <w:tcW w:type="dxa" w:w="1114"/>
          </w:tcPr>
          <w:p>
            <w:pPr>
              <w:keepNext/>
              <w:jc w:val="left"/>
            </w:pPr>
            <w:r>
              <w:rPr>
                <w:sz w:val="14"/>
              </w:rPr>
              <w:t>KPC</w:t>
            </w:r>
          </w:p>
        </w:tc>
        <w:tc>
          <w:tcPr>
            <w:tcW w:type="dxa" w:w="2005"/>
          </w:tcPr>
          <w:p>
            <w:pPr>
              <w:keepNext/>
              <w:jc w:val="left"/>
            </w:pPr>
            <w:r>
              <w:rPr>
                <w:sz w:val="14"/>
              </w:rPr>
              <w:t>KPC-3</w:t>
            </w:r>
          </w:p>
        </w:tc>
        <w:tc>
          <w:tcPr>
            <w:tcW w:type="dxa" w:w="3929"/>
          </w:tcPr>
          <w:p>
            <w:pPr>
              <w:keepNext/>
              <w:jc w:val="left"/>
            </w:pPr>
            <w:r>
              <w:rPr>
                <w:sz w:val="14"/>
              </w:rPr>
              <w:t>Meropenem=0.25 S; Imipenem=2 I; Ertapenem=1 I; Doripenem=0.5 S</w:t>
            </w:r>
          </w:p>
        </w:tc>
      </w:tr>
      <w:tr>
        <w:trPr>
          <w:cantSplit/>
        </w:trPr>
        <w:tc>
          <w:tcPr>
            <w:tcW w:type="dxa" w:w="817"/>
          </w:tcPr>
          <w:p>
            <w:pPr>
              <w:keepNext/>
              <w:jc w:val="left"/>
            </w:pPr>
            <w:r>
              <w:rPr>
                <w:sz w:val="14"/>
              </w:rPr>
              <w:t>0050</w:t>
            </w:r>
          </w:p>
        </w:tc>
        <w:tc>
          <w:tcPr>
            <w:tcW w:type="dxa" w:w="2302"/>
          </w:tcPr>
          <w:p>
            <w:pPr>
              <w:keepNext/>
              <w:jc w:val="left"/>
            </w:pPr>
            <w:r>
              <w:rPr>
                <w:i/>
                <w:sz w:val="14"/>
              </w:rPr>
              <w:t>Enterobacter cloacae</w:t>
            </w:r>
          </w:p>
        </w:tc>
        <w:tc>
          <w:tcPr>
            <w:tcW w:type="dxa" w:w="1114"/>
          </w:tcPr>
          <w:p>
            <w:pPr>
              <w:keepNext/>
              <w:jc w:val="left"/>
            </w:pPr>
            <w:r>
              <w:rPr>
                <w:sz w:val="14"/>
              </w:rPr>
              <w:t>KPC</w:t>
            </w:r>
          </w:p>
        </w:tc>
        <w:tc>
          <w:tcPr>
            <w:tcW w:type="dxa" w:w="2005"/>
          </w:tcPr>
          <w:p>
            <w:pPr>
              <w:keepNext/>
              <w:jc w:val="left"/>
            </w:pPr>
            <w:r>
              <w:rPr>
                <w:sz w:val="14"/>
              </w:rPr>
              <w:t>KPC-4</w:t>
            </w:r>
          </w:p>
        </w:tc>
        <w:tc>
          <w:tcPr>
            <w:tcW w:type="dxa" w:w="3929"/>
          </w:tcPr>
          <w:p>
            <w:pPr>
              <w:keepNext/>
              <w:jc w:val="left"/>
            </w:pPr>
            <w:r>
              <w:rPr>
                <w:sz w:val="14"/>
              </w:rPr>
              <w:t>Meropenem=2 I; Imipenem=2 I; Ertapenem=1 I; Doripenem=0.5 S</w:t>
            </w:r>
          </w:p>
        </w:tc>
      </w:tr>
      <w:tr>
        <w:trPr>
          <w:cantSplit/>
        </w:trPr>
        <w:tc>
          <w:tcPr>
            <w:tcW w:type="dxa" w:w="817"/>
          </w:tcPr>
          <w:p>
            <w:pPr>
              <w:keepNext/>
              <w:jc w:val="left"/>
            </w:pPr>
            <w:r>
              <w:rPr>
                <w:sz w:val="14"/>
              </w:rPr>
              <w:t>0147</w:t>
            </w:r>
          </w:p>
        </w:tc>
        <w:tc>
          <w:tcPr>
            <w:tcW w:type="dxa" w:w="2302"/>
          </w:tcPr>
          <w:p>
            <w:pPr>
              <w:keepNext/>
              <w:jc w:val="left"/>
            </w:pPr>
            <w:r>
              <w:rPr>
                <w:i/>
                <w:sz w:val="14"/>
              </w:rPr>
              <w:t>Klebsiella oxytoca</w:t>
            </w:r>
          </w:p>
        </w:tc>
        <w:tc>
          <w:tcPr>
            <w:tcW w:type="dxa" w:w="1114"/>
          </w:tcPr>
          <w:p>
            <w:pPr>
              <w:keepNext/>
              <w:jc w:val="left"/>
            </w:pPr>
            <w:r>
              <w:rPr>
                <w:sz w:val="14"/>
              </w:rPr>
              <w:t>KPC</w:t>
            </w:r>
          </w:p>
        </w:tc>
        <w:tc>
          <w:tcPr>
            <w:tcW w:type="dxa" w:w="2005"/>
          </w:tcPr>
          <w:p>
            <w:pPr>
              <w:keepNext/>
              <w:jc w:val="left"/>
            </w:pPr>
            <w:r>
              <w:rPr>
                <w:sz w:val="14"/>
              </w:rPr>
              <w:t>KPC-3</w:t>
            </w:r>
          </w:p>
        </w:tc>
        <w:tc>
          <w:tcPr>
            <w:tcW w:type="dxa" w:w="3929"/>
          </w:tcPr>
          <w:p>
            <w:pPr>
              <w:keepNext/>
              <w:jc w:val="left"/>
            </w:pPr>
            <w:r>
              <w:rPr>
                <w:sz w:val="14"/>
              </w:rPr>
              <w:t>Meropenem=0.5 S; Imipenem=2 I; Ertapenem=1 I; Doripenem=2 I</w:t>
            </w:r>
          </w:p>
        </w:tc>
      </w:tr>
      <w:tr>
        <w:trPr>
          <w:cantSplit/>
        </w:trPr>
        <w:tc>
          <w:tcPr>
            <w:tcW w:type="dxa" w:w="817"/>
          </w:tcPr>
          <w:p>
            <w:pPr>
              <w:keepNext/>
              <w:jc w:val="left"/>
            </w:pPr>
            <w:r>
              <w:rPr>
                <w:sz w:val="14"/>
              </w:rPr>
              <w:t>0156</w:t>
            </w:r>
          </w:p>
        </w:tc>
        <w:tc>
          <w:tcPr>
            <w:tcW w:type="dxa" w:w="2302"/>
          </w:tcPr>
          <w:p>
            <w:pPr>
              <w:keepNext/>
              <w:jc w:val="left"/>
            </w:pPr>
            <w:r>
              <w:rPr>
                <w:i/>
                <w:sz w:val="14"/>
              </w:rPr>
              <w:t>Proteus mirabilis</w:t>
            </w:r>
          </w:p>
        </w:tc>
        <w:tc>
          <w:tcPr>
            <w:tcW w:type="dxa" w:w="1114"/>
          </w:tcPr>
          <w:p>
            <w:pPr>
              <w:keepNext/>
              <w:jc w:val="left"/>
            </w:pPr>
            <w:r>
              <w:rPr>
                <w:sz w:val="14"/>
              </w:rPr>
              <w:t>KPC</w:t>
            </w:r>
          </w:p>
        </w:tc>
        <w:tc>
          <w:tcPr>
            <w:tcW w:type="dxa" w:w="2005"/>
          </w:tcPr>
          <w:p>
            <w:pPr>
              <w:keepNext/>
              <w:jc w:val="left"/>
            </w:pPr>
            <w:r>
              <w:rPr>
                <w:sz w:val="14"/>
              </w:rPr>
              <w:t>KPC-2</w:t>
            </w:r>
          </w:p>
        </w:tc>
        <w:tc>
          <w:tcPr>
            <w:tcW w:type="dxa" w:w="3929"/>
          </w:tcPr>
          <w:p>
            <w:pPr>
              <w:keepNext/>
              <w:jc w:val="left"/>
            </w:pPr>
            <w:r>
              <w:rPr>
                <w:sz w:val="14"/>
              </w:rPr>
              <w:t>Meropenem=0.25 S; Ertapenem=0.25 S; Doripenem=0.5 S</w:t>
            </w:r>
          </w:p>
        </w:tc>
      </w:tr>
      <w:tr>
        <w:trPr>
          <w:cantSplit/>
        </w:trPr>
        <w:tc>
          <w:tcPr>
            <w:tcW w:type="dxa" w:w="817"/>
          </w:tcPr>
          <w:p>
            <w:pPr>
              <w:keepNext/>
              <w:jc w:val="left"/>
            </w:pPr>
            <w:r>
              <w:rPr>
                <w:sz w:val="14"/>
              </w:rPr>
              <w:t>0451</w:t>
            </w:r>
          </w:p>
        </w:tc>
        <w:tc>
          <w:tcPr>
            <w:tcW w:type="dxa" w:w="2302"/>
          </w:tcPr>
          <w:p>
            <w:pPr>
              <w:keepNext/>
              <w:jc w:val="left"/>
            </w:pPr>
            <w:r>
              <w:rPr>
                <w:i/>
                <w:sz w:val="14"/>
              </w:rPr>
              <w:t>Escherichia coli</w:t>
            </w:r>
          </w:p>
        </w:tc>
        <w:tc>
          <w:tcPr>
            <w:tcW w:type="dxa" w:w="1114"/>
          </w:tcPr>
          <w:p>
            <w:pPr>
              <w:keepNext/>
              <w:jc w:val="left"/>
            </w:pPr>
            <w:r>
              <w:rPr>
                <w:sz w:val="14"/>
              </w:rPr>
              <w:t>KPC</w:t>
            </w:r>
          </w:p>
        </w:tc>
        <w:tc>
          <w:tcPr>
            <w:tcW w:type="dxa" w:w="2005"/>
          </w:tcPr>
          <w:p>
            <w:pPr>
              <w:keepNext/>
              <w:jc w:val="left"/>
            </w:pPr>
            <w:r>
              <w:rPr>
                <w:sz w:val="14"/>
              </w:rPr>
              <w:t>KPC-3</w:t>
            </w:r>
          </w:p>
        </w:tc>
        <w:tc>
          <w:tcPr>
            <w:tcW w:type="dxa" w:w="3929"/>
          </w:tcPr>
          <w:p>
            <w:pPr>
              <w:keepNext/>
              <w:jc w:val="left"/>
            </w:pPr>
            <w:r>
              <w:rPr>
                <w:sz w:val="14"/>
              </w:rPr>
              <w:t>Meropenem=0.5 S; Imipenem=2 I; Ertapenem=1 I; Doripenem=1 S</w:t>
            </w:r>
          </w:p>
        </w:tc>
      </w:tr>
      <w:tr>
        <w:trPr>
          <w:cantSplit/>
        </w:trPr>
        <w:tc>
          <w:tcPr>
            <w:tcW w:type="dxa" w:w="817"/>
          </w:tcPr>
          <w:p>
            <w:pPr>
              <w:keepNext/>
              <w:jc w:val="left"/>
            </w:pPr>
            <w:r>
              <w:rPr>
                <w:sz w:val="14"/>
              </w:rPr>
              <w:t>0541</w:t>
            </w:r>
          </w:p>
        </w:tc>
        <w:tc>
          <w:tcPr>
            <w:tcW w:type="dxa" w:w="2302"/>
          </w:tcPr>
          <w:p>
            <w:pPr>
              <w:keepNext/>
              <w:jc w:val="left"/>
            </w:pPr>
            <w:r>
              <w:rPr>
                <w:i/>
                <w:sz w:val="14"/>
              </w:rPr>
              <w:t>Escherichia coli</w:t>
            </w:r>
          </w:p>
        </w:tc>
        <w:tc>
          <w:tcPr>
            <w:tcW w:type="dxa" w:w="1114"/>
          </w:tcPr>
          <w:p>
            <w:pPr>
              <w:keepNext/>
              <w:jc w:val="left"/>
            </w:pPr>
            <w:r>
              <w:rPr>
                <w:sz w:val="14"/>
              </w:rPr>
              <w:t>KPC</w:t>
            </w:r>
          </w:p>
        </w:tc>
        <w:tc>
          <w:tcPr>
            <w:tcW w:type="dxa" w:w="2005"/>
          </w:tcPr>
          <w:p>
            <w:pPr>
              <w:keepNext/>
              <w:jc w:val="left"/>
            </w:pPr>
            <w:r>
              <w:rPr>
                <w:sz w:val="14"/>
              </w:rPr>
              <w:t>KPC-3</w:t>
            </w:r>
          </w:p>
        </w:tc>
        <w:tc>
          <w:tcPr>
            <w:tcW w:type="dxa" w:w="3929"/>
          </w:tcPr>
          <w:p>
            <w:pPr>
              <w:keepNext/>
              <w:jc w:val="left"/>
            </w:pPr>
            <w:r>
              <w:rPr>
                <w:sz w:val="14"/>
              </w:rPr>
              <w:t>Meropenem=1 S; Imipenem=2 I; Ertapenem=1 I; Doripenem=1 S</w:t>
            </w:r>
          </w:p>
        </w:tc>
      </w:tr>
      <w:tr>
        <w:trPr>
          <w:cantSplit/>
        </w:trPr>
        <w:tc>
          <w:tcPr>
            <w:tcW w:type="dxa" w:w="817"/>
          </w:tcPr>
          <w:p>
            <w:pPr>
              <w:keepNext/>
              <w:jc w:val="left"/>
            </w:pPr>
            <w:r>
              <w:rPr>
                <w:sz w:val="14"/>
              </w:rPr>
              <w:t>0027</w:t>
            </w:r>
          </w:p>
        </w:tc>
        <w:tc>
          <w:tcPr>
            <w:tcW w:type="dxa" w:w="2302"/>
          </w:tcPr>
          <w:p>
            <w:pPr>
              <w:keepNext/>
              <w:jc w:val="left"/>
            </w:pPr>
            <w:r>
              <w:rPr>
                <w:i/>
                <w:sz w:val="14"/>
              </w:rPr>
              <w:t>Serratia marcescens</w:t>
            </w:r>
          </w:p>
        </w:tc>
        <w:tc>
          <w:tcPr>
            <w:tcW w:type="dxa" w:w="1114"/>
          </w:tcPr>
          <w:p>
            <w:pPr>
              <w:keepNext/>
              <w:jc w:val="left"/>
            </w:pPr>
            <w:r>
              <w:rPr>
                <w:sz w:val="14"/>
              </w:rPr>
              <w:t>SME</w:t>
            </w:r>
          </w:p>
        </w:tc>
        <w:tc>
          <w:tcPr>
            <w:tcW w:type="dxa" w:w="2005"/>
          </w:tcPr>
          <w:p>
            <w:pPr>
              <w:keepNext/>
              <w:jc w:val="left"/>
            </w:pPr>
            <w:r>
              <w:rPr>
                <w:sz w:val="14"/>
              </w:rPr>
              <w:t>SME</w:t>
            </w:r>
          </w:p>
        </w:tc>
        <w:tc>
          <w:tcPr>
            <w:tcW w:type="dxa" w:w="3929"/>
          </w:tcPr>
          <w:p>
            <w:pPr>
              <w:keepNext/>
              <w:jc w:val="left"/>
            </w:pPr>
            <w:r>
              <w:rPr>
                <w:sz w:val="14"/>
              </w:rPr>
              <w:t>Meropenem=</w:t>
            </w:r>
            <w:r>
              <w:rPr>
                <w:sz w:val="14"/>
              </w:rPr>
              <w:t>≤</w:t>
            </w:r>
            <w:r>
              <w:rPr>
                <w:sz w:val="14"/>
              </w:rPr>
              <w:t>0.12 S; Imipenem=</w:t>
            </w:r>
            <w:r>
              <w:rPr>
                <w:sz w:val="14"/>
              </w:rPr>
              <w:t>≤</w:t>
            </w:r>
            <w:r>
              <w:rPr>
                <w:sz w:val="14"/>
              </w:rPr>
              <w:t>0.5 S; Ertapenem=</w:t>
            </w:r>
            <w:r>
              <w:rPr>
                <w:sz w:val="14"/>
              </w:rPr>
              <w:t>≤</w:t>
            </w:r>
            <w:r>
              <w:rPr>
                <w:sz w:val="14"/>
              </w:rPr>
              <w:t>0.12 S; Doripenem=</w:t>
            </w:r>
            <w:r>
              <w:rPr>
                <w:sz w:val="14"/>
              </w:rPr>
              <w:t>≤</w:t>
            </w:r>
            <w:r>
              <w:rPr>
                <w:sz w:val="14"/>
              </w:rPr>
              <w:t>0.12 S</w:t>
            </w:r>
          </w:p>
        </w:tc>
      </w:tr>
      <w:tr>
        <w:trPr>
          <w:cantSplit/>
        </w:trPr>
        <w:tc>
          <w:tcPr>
            <w:tcW w:type="dxa" w:w="817"/>
          </w:tcPr>
          <w:p>
            <w:pPr>
              <w:keepNext/>
              <w:jc w:val="left"/>
            </w:pPr>
            <w:r>
              <w:rPr>
                <w:sz w:val="14"/>
              </w:rPr>
              <w:t>0611</w:t>
            </w:r>
          </w:p>
        </w:tc>
        <w:tc>
          <w:tcPr>
            <w:tcW w:type="dxa" w:w="2302"/>
          </w:tcPr>
          <w:p>
            <w:pPr>
              <w:keepNext/>
              <w:jc w:val="left"/>
            </w:pPr>
            <w:r>
              <w:rPr>
                <w:i/>
                <w:sz w:val="14"/>
              </w:rPr>
              <w:t>Pseudomonas aeruginosa</w:t>
            </w:r>
          </w:p>
        </w:tc>
        <w:tc>
          <w:tcPr>
            <w:tcW w:type="dxa" w:w="1114"/>
          </w:tcPr>
          <w:p>
            <w:pPr>
              <w:keepNext/>
              <w:jc w:val="left"/>
            </w:pPr>
            <w:r>
              <w:rPr>
                <w:sz w:val="14"/>
              </w:rPr>
              <w:t>VIM</w:t>
            </w:r>
          </w:p>
        </w:tc>
        <w:tc>
          <w:tcPr>
            <w:tcW w:type="dxa" w:w="2005"/>
          </w:tcPr>
          <w:p>
            <w:pPr>
              <w:keepNext/>
              <w:jc w:val="left"/>
            </w:pPr>
            <w:r>
              <w:rPr>
                <w:sz w:val="14"/>
              </w:rPr>
              <w:t>VIM-11</w:t>
            </w:r>
          </w:p>
        </w:tc>
        <w:tc>
          <w:tcPr>
            <w:tcW w:type="dxa" w:w="3929"/>
          </w:tcPr>
          <w:p>
            <w:pPr>
              <w:keepNext/>
              <w:jc w:val="left"/>
            </w:pPr>
            <w:r>
              <w:rPr>
                <w:sz w:val="14"/>
              </w:rPr>
              <w:t>Meropenem=4 I; Imipenem=4 I; Doripenem=4 I</w:t>
            </w:r>
          </w:p>
        </w:tc>
      </w:tr>
      <w:tr>
        <w:trPr>
          <w:cantSplit/>
        </w:trPr>
        <w:tc>
          <w:tcPr>
            <w:tcW w:type="dxa" w:w="817"/>
          </w:tcPr>
          <w:p>
            <w:pPr>
              <w:keepNext/>
              <w:jc w:val="left"/>
            </w:pPr>
            <w:r>
              <w:rPr>
                <w:sz w:val="14"/>
              </w:rPr>
              <w:t>0834</w:t>
            </w:r>
          </w:p>
        </w:tc>
        <w:tc>
          <w:tcPr>
            <w:tcW w:type="dxa" w:w="2302"/>
          </w:tcPr>
          <w:p>
            <w:pPr>
              <w:keepNext/>
              <w:jc w:val="left"/>
            </w:pPr>
            <w:r>
              <w:rPr>
                <w:i/>
                <w:sz w:val="14"/>
              </w:rPr>
              <w:t>Enterobacter cloacae</w:t>
            </w:r>
          </w:p>
        </w:tc>
        <w:tc>
          <w:tcPr>
            <w:tcW w:type="dxa" w:w="1114"/>
          </w:tcPr>
          <w:p>
            <w:pPr>
              <w:keepNext/>
              <w:jc w:val="left"/>
            </w:pPr>
            <w:r>
              <w:rPr>
                <w:sz w:val="14"/>
              </w:rPr>
              <w:t>VIM</w:t>
            </w:r>
          </w:p>
        </w:tc>
        <w:tc>
          <w:tcPr>
            <w:tcW w:type="dxa" w:w="2005"/>
          </w:tcPr>
          <w:p>
            <w:pPr>
              <w:keepNext/>
              <w:jc w:val="left"/>
            </w:pPr>
            <w:r>
              <w:rPr>
                <w:sz w:val="14"/>
              </w:rPr>
              <w:t>VIM-1</w:t>
            </w:r>
          </w:p>
        </w:tc>
        <w:tc>
          <w:tcPr>
            <w:tcW w:type="dxa" w:w="3929"/>
          </w:tcPr>
          <w:p>
            <w:pPr>
              <w:keepNext/>
              <w:jc w:val="left"/>
            </w:pPr>
            <w:r>
              <w:rPr>
                <w:sz w:val="14"/>
              </w:rPr>
              <w:t>Meropenem=1 S; Imipenem=2 I; Ertapenem=0.5 S; Doripenem=2 I</w:t>
            </w:r>
          </w:p>
        </w:tc>
      </w:tr>
      <w:tr>
        <w:trPr>
          <w:cantSplit/>
        </w:trPr>
        <w:tc>
          <w:tcPr>
            <w:tcW w:type="dxa" w:w="817"/>
          </w:tcPr>
          <w:p>
            <w:pPr>
              <w:keepNext/>
              <w:jc w:val="left"/>
            </w:pPr>
            <w:r>
              <w:rPr>
                <w:sz w:val="14"/>
              </w:rPr>
              <w:t>0464</w:t>
            </w:r>
          </w:p>
        </w:tc>
        <w:tc>
          <w:tcPr>
            <w:tcW w:type="dxa" w:w="2302"/>
          </w:tcPr>
          <w:p>
            <w:pPr>
              <w:keepNext/>
              <w:jc w:val="left"/>
            </w:pPr>
            <w:r>
              <w:rPr>
                <w:i/>
                <w:sz w:val="14"/>
              </w:rPr>
              <w:t>Staphylococcus aureus</w:t>
            </w:r>
          </w:p>
        </w:tc>
        <w:tc>
          <w:tcPr>
            <w:tcW w:type="dxa" w:w="1114"/>
          </w:tcPr>
          <w:p>
            <w:pPr>
              <w:keepNext/>
              <w:jc w:val="left"/>
            </w:pPr>
            <w:r>
              <w:rPr>
                <w:sz w:val="14"/>
              </w:rPr>
              <w:t>mecA</w:t>
            </w:r>
          </w:p>
        </w:tc>
        <w:tc>
          <w:tcPr>
            <w:tcW w:type="dxa" w:w="2005"/>
          </w:tcPr>
          <w:p>
            <w:pPr>
              <w:keepNext/>
              <w:jc w:val="left"/>
            </w:pPr>
            <w:r>
              <w:rPr>
                <w:sz w:val="14"/>
              </w:rPr>
              <w:t>mecA</w:t>
            </w:r>
          </w:p>
        </w:tc>
        <w:tc>
          <w:tcPr>
            <w:tcW w:type="dxa" w:w="3929"/>
          </w:tcPr>
          <w:p>
            <w:pPr>
              <w:keepNext/>
              <w:jc w:val="left"/>
            </w:pPr>
            <w:r>
              <w:rPr>
                <w:sz w:val="14"/>
              </w:rPr>
              <w:t>Oxacillin=0.5 S; Cefoxitin=4 S</w:t>
            </w:r>
          </w:p>
        </w:tc>
      </w:tr>
      <w:tr>
        <w:trPr>
          <w:cantSplit/>
        </w:trPr>
        <w:tc>
          <w:tcPr>
            <w:tcW w:type="dxa" w:w="817"/>
          </w:tcPr>
          <w:p>
            <w:pPr>
              <w:keepNext/>
              <w:jc w:val="left"/>
            </w:pPr>
            <w:r>
              <w:rPr>
                <w:sz w:val="14"/>
              </w:rPr>
              <w:t>0998</w:t>
            </w:r>
          </w:p>
        </w:tc>
        <w:tc>
          <w:tcPr>
            <w:tcW w:type="dxa" w:w="2302"/>
          </w:tcPr>
          <w:p>
            <w:pPr>
              <w:keepNext/>
              <w:jc w:val="left"/>
            </w:pPr>
            <w:r>
              <w:rPr>
                <w:i/>
                <w:sz w:val="14"/>
              </w:rPr>
              <w:t>Staphylococcus aureus</w:t>
            </w:r>
          </w:p>
        </w:tc>
        <w:tc>
          <w:tcPr>
            <w:tcW w:type="dxa" w:w="1114"/>
          </w:tcPr>
          <w:p>
            <w:pPr>
              <w:keepNext/>
              <w:jc w:val="left"/>
            </w:pPr>
            <w:r>
              <w:rPr>
                <w:sz w:val="14"/>
              </w:rPr>
              <w:t>mecA</w:t>
            </w:r>
          </w:p>
        </w:tc>
        <w:tc>
          <w:tcPr>
            <w:tcW w:type="dxa" w:w="2005"/>
          </w:tcPr>
          <w:p>
            <w:pPr>
              <w:keepNext/>
              <w:jc w:val="left"/>
            </w:pPr>
            <w:r>
              <w:rPr>
                <w:sz w:val="14"/>
              </w:rPr>
              <w:t>mecA</w:t>
            </w:r>
          </w:p>
        </w:tc>
        <w:tc>
          <w:tcPr>
            <w:tcW w:type="dxa" w:w="3929"/>
          </w:tcPr>
          <w:p>
            <w:pPr>
              <w:keepNext/>
              <w:jc w:val="left"/>
            </w:pPr>
            <w:r>
              <w:rPr>
                <w:sz w:val="14"/>
              </w:rPr>
              <w:t>Oxacillin=</w:t>
            </w:r>
            <w:r>
              <w:rPr>
                <w:sz w:val="14"/>
              </w:rPr>
              <w:t>≤</w:t>
            </w:r>
            <w:r>
              <w:rPr>
                <w:sz w:val="14"/>
              </w:rPr>
              <w:t>0.25 S; Cefoxitin=4 S; Cefoxitin disk=27 mm S</w:t>
            </w:r>
          </w:p>
        </w:tc>
      </w:tr>
      <w:tr>
        <w:trPr>
          <w:cantSplit/>
        </w:trPr>
        <w:tc>
          <w:tcPr>
            <w:tcW w:type="dxa" w:w="817"/>
          </w:tcPr>
          <w:p>
            <w:pPr>
              <w:keepNext/>
              <w:jc w:val="left"/>
            </w:pPr>
            <w:r>
              <w:rPr>
                <w:sz w:val="14"/>
              </w:rPr>
              <w:t>1003</w:t>
            </w:r>
          </w:p>
        </w:tc>
        <w:tc>
          <w:tcPr>
            <w:tcW w:type="dxa" w:w="2302"/>
          </w:tcPr>
          <w:p>
            <w:pPr>
              <w:keepNext/>
              <w:jc w:val="left"/>
            </w:pPr>
            <w:r>
              <w:rPr>
                <w:i/>
                <w:sz w:val="14"/>
              </w:rPr>
              <w:t>Staphylococcus aureus</w:t>
            </w:r>
          </w:p>
        </w:tc>
        <w:tc>
          <w:tcPr>
            <w:tcW w:type="dxa" w:w="1114"/>
          </w:tcPr>
          <w:p>
            <w:pPr>
              <w:keepNext/>
              <w:jc w:val="left"/>
            </w:pPr>
            <w:r>
              <w:rPr>
                <w:sz w:val="14"/>
              </w:rPr>
              <w:t>mecA</w:t>
            </w:r>
          </w:p>
        </w:tc>
        <w:tc>
          <w:tcPr>
            <w:tcW w:type="dxa" w:w="2005"/>
          </w:tcPr>
          <w:p>
            <w:pPr>
              <w:keepNext/>
              <w:jc w:val="left"/>
            </w:pPr>
            <w:r>
              <w:rPr>
                <w:sz w:val="14"/>
              </w:rPr>
              <w:t>mecA</w:t>
            </w:r>
          </w:p>
        </w:tc>
        <w:tc>
          <w:tcPr>
            <w:tcW w:type="dxa" w:w="3929"/>
          </w:tcPr>
          <w:p>
            <w:pPr>
              <w:keepNext/>
              <w:jc w:val="left"/>
            </w:pPr>
            <w:r>
              <w:rPr>
                <w:sz w:val="14"/>
              </w:rPr>
              <w:t>Oxacillin=0.5 S; Cefoxitin=4 S; Cefoxitin disk=26 mm S</w:t>
            </w:r>
          </w:p>
        </w:tc>
      </w:tr>
      <w:tr>
        <w:trPr>
          <w:cantSplit/>
        </w:trPr>
        <w:tc>
          <w:tcPr>
            <w:tcW w:type="dxa" w:w="817"/>
          </w:tcPr>
          <w:p>
            <w:pPr>
              <w:keepNext/>
              <w:jc w:val="left"/>
            </w:pPr>
            <w:r>
              <w:rPr>
                <w:sz w:val="14"/>
              </w:rPr>
              <w:t>0500</w:t>
            </w:r>
          </w:p>
        </w:tc>
        <w:tc>
          <w:tcPr>
            <w:tcW w:type="dxa" w:w="2302"/>
          </w:tcPr>
          <w:p>
            <w:pPr>
              <w:keepNext/>
              <w:jc w:val="left"/>
            </w:pPr>
            <w:r>
              <w:rPr>
                <w:i/>
                <w:sz w:val="14"/>
              </w:rPr>
              <w:t>Enterococcus faecium</w:t>
            </w:r>
          </w:p>
        </w:tc>
        <w:tc>
          <w:tcPr>
            <w:tcW w:type="dxa" w:w="1114"/>
          </w:tcPr>
          <w:p>
            <w:pPr>
              <w:keepNext/>
              <w:jc w:val="left"/>
            </w:pPr>
            <w:r>
              <w:rPr>
                <w:sz w:val="14"/>
              </w:rPr>
              <w:t>vanA</w:t>
            </w:r>
          </w:p>
        </w:tc>
        <w:tc>
          <w:tcPr>
            <w:tcW w:type="dxa" w:w="2005"/>
          </w:tcPr>
          <w:p>
            <w:pPr>
              <w:keepNext/>
              <w:jc w:val="left"/>
            </w:pPr>
            <w:r>
              <w:rPr>
                <w:sz w:val="14"/>
              </w:rPr>
              <w:t>vanHAX(lacks VanRs)</w:t>
            </w:r>
          </w:p>
        </w:tc>
        <w:tc>
          <w:tcPr>
            <w:tcW w:type="dxa" w:w="3929"/>
          </w:tcPr>
          <w:p>
            <w:pPr>
              <w:keepNext/>
              <w:jc w:val="left"/>
            </w:pPr>
            <w:r>
              <w:rPr>
                <w:sz w:val="14"/>
              </w:rPr>
              <w:t>Vancomycin=1 S</w:t>
            </w:r>
          </w:p>
        </w:tc>
      </w:tr>
      <w:tr>
        <w:trPr>
          <w:cantSplit/>
        </w:trPr>
        <w:tc>
          <w:tcPr>
            <w:tcW w:type="dxa" w:w="817"/>
            <w:tcBorders>
              <w:bottom w:val="single" w:sz="12" w:space="0" w:color="000000"/>
            </w:tcBorders>
          </w:tcPr>
          <w:p>
            <w:pPr>
              <w:jc w:val="left"/>
            </w:pPr>
            <w:r>
              <w:rPr>
                <w:sz w:val="14"/>
              </w:rPr>
              <w:t>0804</w:t>
            </w:r>
          </w:p>
        </w:tc>
        <w:tc>
          <w:tcPr>
            <w:tcW w:type="dxa" w:w="2302"/>
            <w:tcBorders>
              <w:bottom w:val="single" w:sz="12" w:space="0" w:color="000000"/>
            </w:tcBorders>
          </w:tcPr>
          <w:p>
            <w:pPr>
              <w:jc w:val="left"/>
            </w:pPr>
            <w:r>
              <w:rPr>
                <w:i/>
                <w:sz w:val="14"/>
              </w:rPr>
              <w:t>Enterococcus faecalis</w:t>
            </w:r>
          </w:p>
        </w:tc>
        <w:tc>
          <w:tcPr>
            <w:tcW w:type="dxa" w:w="1114"/>
            <w:tcBorders>
              <w:bottom w:val="single" w:sz="12" w:space="0" w:color="000000"/>
            </w:tcBorders>
          </w:tcPr>
          <w:p>
            <w:pPr>
              <w:jc w:val="left"/>
            </w:pPr>
            <w:r>
              <w:rPr>
                <w:sz w:val="14"/>
              </w:rPr>
              <w:t>vanB</w:t>
            </w:r>
          </w:p>
        </w:tc>
        <w:tc>
          <w:tcPr>
            <w:tcW w:type="dxa" w:w="2005"/>
            <w:tcBorders>
              <w:bottom w:val="single" w:sz="12" w:space="0" w:color="000000"/>
            </w:tcBorders>
          </w:tcPr>
          <w:p>
            <w:pPr>
              <w:jc w:val="left"/>
            </w:pPr>
            <w:r>
              <w:rPr>
                <w:sz w:val="14"/>
              </w:rPr>
              <w:t>VanB</w:t>
            </w:r>
          </w:p>
        </w:tc>
        <w:tc>
          <w:tcPr>
            <w:tcW w:type="dxa" w:w="3929"/>
            <w:tcBorders>
              <w:bottom w:val="single" w:sz="12" w:space="0" w:color="000000"/>
            </w:tcBorders>
          </w:tcPr>
          <w:p>
            <w:pPr>
              <w:jc w:val="left"/>
            </w:pPr>
            <w:r>
              <w:rPr>
                <w:sz w:val="14"/>
              </w:rPr>
              <w:t>Vancomycin=16 I</w:t>
            </w:r>
          </w:p>
        </w:tc>
      </w:tr>
    </w:tbl>
    <w:p>
      <w:pPr>
        <w:spacing w:after="80"/>
      </w:pPr>
    </w:p>
    <w:p>
      <w:pPr>
        <w:spacing w:after="0" w:line="20" w:lineRule="exact"/>
        <w:rPr>
          <w:sz w:val="2"/>
        </w:rPr>
        <w:sectPr>
          <w:type w:val="continuous"/>
          <w:pgSz w:w="12240" w:h="15840"/>
          <w:pgMar w:top="1224" w:bottom="1296" w:left="1036" w:right="1036" w:header="720" w:footer="720" w:gutter="0"/>
          <w:cols w:num="1" w:space="374"/>
        </w:sectPr>
      </w:pPr>
      <w:r/>
    </w:p>
    <w:p>
      <w:pPr>
        <w:keepNext/>
        <w:spacing w:before="120" w:after="20"/>
        <w:jc w:val="left"/>
        <w:outlineLvl w:val="2"/>
      </w:pPr>
      <w:r>
        <w:rPr>
          <w:i/>
          <w:sz w:val="19"/>
        </w:rPr>
        <w:t>3. Resistant without a target.</w:t>
      </w:r>
    </w:p>
    <w:p>
      <w:pPr>
        <w:spacing w:before="0" w:after="0"/>
        <w:ind w:firstLine="245"/>
        <w:jc w:val="both"/>
      </w:pPr>
      <w:r>
        <w:rPr>
          <w:sz w:val="20"/>
        </w:rPr>
        <w:t xml:space="preserve">Of the 38 carbapenem-resistant Enterobacterales and </w:t>
      </w:r>
      <w:r>
        <w:rPr>
          <w:i/>
          <w:sz w:val="20"/>
        </w:rPr>
        <w:t>Acinetobacter</w:t>
      </w:r>
      <w:r>
        <w:rPr>
          <w:sz w:val="20"/>
        </w:rPr>
        <w:t xml:space="preserve"> without a panel carbapenemase, the largest group (16) carry a truncated porin together with an ESBL or AmpC, 8 an ESBL or AmpC alone and 2 a truncated porin alone (Fig. 5b). Another 4 carry a carbapenemase that no cleared panel reports (NMC-A, of the IMI family, in two </w:t>
      </w:r>
      <w:r>
        <w:rPr>
          <w:i/>
          <w:sz w:val="20"/>
        </w:rPr>
        <w:t>Enterobacter</w:t>
      </w:r>
      <w:r>
        <w:rPr>
          <w:sz w:val="20"/>
        </w:rPr>
        <w:t xml:space="preserve">; OXA-237, of the OXA-134 family, in two </w:t>
      </w:r>
      <w:r>
        <w:rPr>
          <w:i/>
          <w:sz w:val="20"/>
        </w:rPr>
        <w:t>A. baumannii</w:t>
      </w:r>
      <w:r>
        <w:rPr>
          <w:sz w:val="20"/>
        </w:rPr>
        <w:t xml:space="preserve">), 3 </w:t>
      </w:r>
      <w:r>
        <w:rPr>
          <w:i/>
          <w:sz w:val="20"/>
        </w:rPr>
        <w:t>A. baumannii</w:t>
      </w:r>
      <w:r>
        <w:rPr>
          <w:sz w:val="20"/>
        </w:rPr>
        <w:t xml:space="preserve"> carry only their intrinsic OXA-51-like enzyme, and for 5 CDC lists no </w:t>
      </w:r>
      <w:r>
        <w:rPr>
          <w:sz w:val="20"/>
        </w:rPr>
        <w:t>β</w:t>
      </w:r>
      <w:r>
        <w:rPr>
          <w:sz w:val="20"/>
        </w:rPr>
        <w:t xml:space="preserve">-lactam mechanism. A further 58 Enterobacterales are resistant to a third-generation cephalosporin without CTX-M or a carbapenemase, typically with SHV or TEM ESBLs or plasmid or chromosomal AmpC enzymes [6, 40]. One </w:t>
      </w:r>
      <w:r>
        <w:rPr>
          <w:i/>
          <w:sz w:val="20"/>
        </w:rPr>
        <w:t>S. aureus</w:t>
      </w:r>
      <w:r>
        <w:rPr>
          <w:sz w:val="20"/>
        </w:rPr>
        <w:t xml:space="preserve"> is resistant to oxacillin and cefoxitin without </w:t>
      </w:r>
      <w:r>
        <w:rPr>
          <w:i/>
          <w:sz w:val="20"/>
        </w:rPr>
        <w:t>mecA</w:t>
      </w:r>
      <w:r>
        <w:rPr>
          <w:sz w:val="20"/>
        </w:rPr>
        <w:t xml:space="preserve"> or </w:t>
      </w:r>
      <w:r>
        <w:rPr>
          <w:i/>
          <w:sz w:val="20"/>
        </w:rPr>
        <w:t>mecC</w:t>
      </w:r>
      <w:r>
        <w:rPr>
          <w:sz w:val="20"/>
        </w:rPr>
        <w:t xml:space="preserve">. Of the 140 </w:t>
      </w:r>
      <w:r>
        <w:rPr>
          <w:i/>
          <w:sz w:val="20"/>
        </w:rPr>
        <w:t>P. aeruginosa</w:t>
      </w:r>
      <w:r>
        <w:rPr>
          <w:sz w:val="20"/>
        </w:rPr>
        <w:t xml:space="preserve"> isolates, 50 carry a panel carbapenemase and 68 are carbapenem resistant without one; for these a negative panel result is the correct answer [27]. Seven </w:t>
      </w:r>
      <w:r>
        <w:rPr>
          <w:i/>
          <w:sz w:val="20"/>
        </w:rPr>
        <w:t>E. gallinarum</w:t>
      </w:r>
      <w:r>
        <w:rPr>
          <w:sz w:val="20"/>
        </w:rPr>
        <w:t xml:space="preserve"> and </w:t>
      </w:r>
      <w:r>
        <w:rPr>
          <w:i/>
          <w:sz w:val="20"/>
        </w:rPr>
        <w:t>E. casseliflavus</w:t>
      </w:r>
      <w:r>
        <w:rPr>
          <w:sz w:val="20"/>
        </w:rPr>
        <w:t xml:space="preserve"> are vancomycin resistant through intrinsic </w:t>
      </w:r>
      <w:r>
        <w:rPr>
          <w:i/>
          <w:sz w:val="20"/>
        </w:rPr>
        <w:t>vanC</w:t>
      </w:r>
      <w:r>
        <w:rPr>
          <w:sz w:val="20"/>
        </w:rPr>
        <w:t xml:space="preserve"> [28].</w:t>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jc w:val="center"/>
      </w:pPr>
      <w:r>
        <w:drawing>
          <wp:inline xmlns:a="http://schemas.openxmlformats.org/drawingml/2006/main" xmlns:pic="http://schemas.openxmlformats.org/drawingml/2006/picture">
            <wp:extent cx="6455664" cy="2900413"/>
            <wp:docPr id="7" name="Picture 7"/>
            <wp:cNvGraphicFramePr>
              <a:graphicFrameLocks noChangeAspect="1"/>
            </wp:cNvGraphicFramePr>
            <a:graphic>
              <a:graphicData uri="http://schemas.openxmlformats.org/drawingml/2006/picture">
                <pic:pic>
                  <pic:nvPicPr>
                    <pic:cNvPr id="0" name="fig5_meropenem.png"/>
                    <pic:cNvPicPr/>
                  </pic:nvPicPr>
                  <pic:blipFill>
                    <a:blip r:embed="rId17"/>
                    <a:stretch>
                      <a:fillRect/>
                    </a:stretch>
                  </pic:blipFill>
                  <pic:spPr>
                    <a:xfrm>
                      <a:off x="0" y="0"/>
                      <a:ext cx="6455664" cy="2900413"/>
                    </a:xfrm>
                    <a:prstGeom prst="rect"/>
                  </pic:spPr>
                </pic:pic>
              </a:graphicData>
            </a:graphic>
          </wp:inline>
        </w:drawing>
      </w:r>
    </w:p>
    <w:p>
      <w:pPr>
        <w:spacing w:before="60" w:after="160"/>
        <w:jc w:val="both"/>
      </w:pPr>
      <w:r>
        <w:rPr>
          <w:sz w:val="18"/>
        </w:rPr>
        <w:t xml:space="preserve">FIG. 6: </w:t>
      </w:r>
      <w:r>
        <w:rPr>
          <w:sz w:val="18"/>
        </w:rPr>
        <w:t xml:space="preserve">CDC reference meropenem MICs for Enterobacterales, by the carbapenemase target the isolate carries. Colors give the CLSI category (susceptible </w:t>
      </w:r>
      <w:r>
        <w:rPr>
          <w:sz w:val="18"/>
        </w:rPr>
        <w:t>≤</w:t>
      </w:r>
      <w:r>
        <w:rPr>
          <w:sz w:val="18"/>
        </w:rPr>
        <w:t xml:space="preserve">1, intermediate 2, resistant </w:t>
      </w:r>
      <w:r>
        <w:rPr>
          <w:sz w:val="18"/>
        </w:rPr>
        <w:t>≥</w:t>
      </w:r>
      <w:r>
        <w:rPr>
          <w:sz w:val="18"/>
        </w:rPr>
        <w:t xml:space="preserve">4 mg/L); dotted lines mark the breakpoints. MICs recorded as </w:t>
      </w:r>
      <w:r>
        <w:rPr>
          <w:sz w:val="18"/>
        </w:rPr>
        <w:t>≤</w:t>
      </w:r>
      <w:r>
        <w:rPr>
          <w:sz w:val="18"/>
        </w:rPr>
        <w:t xml:space="preserve"> or </w:t>
      </w:r>
      <w:r>
        <w:rPr>
          <w:sz w:val="18"/>
        </w:rPr>
        <w:t>&gt;</w:t>
      </w:r>
      <w:r>
        <w:rPr>
          <w:sz w:val="18"/>
        </w:rPr>
        <w:t xml:space="preserve"> a value are shown at that value.</w:t>
      </w:r>
    </w:p>
    <w:p>
      <w:pPr>
        <w:spacing w:after="0" w:line="20" w:lineRule="exact"/>
        <w:rPr>
          <w:sz w:val="2"/>
        </w:rPr>
        <w:sectPr>
          <w:type w:val="continuous"/>
          <w:pgSz w:w="12240" w:h="15840"/>
          <w:pgMar w:top="1224" w:bottom="1296" w:left="1036" w:right="1036" w:header="720" w:footer="720" w:gutter="0"/>
          <w:cols w:num="1" w:space="374"/>
        </w:sectPr>
      </w:pPr>
      <w:r/>
    </w:p>
    <w:p>
      <w:pPr>
        <w:keepNext/>
        <w:spacing w:before="160" w:after="80"/>
        <w:jc w:val="center"/>
        <w:outlineLvl w:val="1"/>
      </w:pPr>
      <w:r>
        <w:rPr>
          <w:b/>
          <w:sz w:val="18"/>
        </w:rPr>
        <w:t>D. External check of the Project 1 benchmark</w:t>
      </w:r>
    </w:p>
    <w:p>
      <w:pPr>
        <w:spacing w:before="0" w:after="0"/>
        <w:ind w:firstLine="245"/>
        <w:jc w:val="both"/>
      </w:pPr>
      <w:r>
        <w:rPr>
          <w:sz w:val="20"/>
        </w:rPr>
        <w:t>Of 593 Bank isolates in Project 1's organisms with a BioSample, 562 had AMRFinderPlus results in NCBI Pathogen Detection and 31 did not. Of these, 24 were also in the Project 1 benchmark; all 24 had been deposited in NCBI by CDC itself. They were excluded from check B, leaving 538 independent isolates.</w:t>
      </w:r>
    </w:p>
    <w:p>
      <w:pPr>
        <w:keepNext/>
        <w:spacing w:before="120" w:after="20"/>
        <w:jc w:val="left"/>
        <w:outlineLvl w:val="2"/>
      </w:pPr>
      <w:r>
        <w:rPr>
          <w:i/>
          <w:sz w:val="19"/>
        </w:rPr>
        <w:t>1. Check A.</w:t>
      </w:r>
    </w:p>
    <w:p>
      <w:pPr>
        <w:spacing w:before="0" w:after="0"/>
        <w:ind w:firstLine="245"/>
        <w:jc w:val="both"/>
      </w:pPr>
      <w:r>
        <w:rPr>
          <w:sz w:val="20"/>
        </w:rPr>
        <w:t xml:space="preserve">CDC's gene lists and AMRFinderPlus agreed on every isolate for </w:t>
      </w:r>
      <w:r>
        <w:rPr>
          <w:i/>
          <w:sz w:val="20"/>
        </w:rPr>
        <w:t>mecA</w:t>
      </w:r>
      <w:r>
        <w:rPr>
          <w:sz w:val="20"/>
        </w:rPr>
        <w:t xml:space="preserve">, </w:t>
      </w:r>
      <w:r>
        <w:rPr>
          <w:i/>
          <w:sz w:val="20"/>
        </w:rPr>
        <w:t>mecC</w:t>
      </w:r>
      <w:r>
        <w:rPr>
          <w:sz w:val="20"/>
        </w:rPr>
        <w:t xml:space="preserve">, </w:t>
      </w:r>
      <w:r>
        <w:rPr>
          <w:i/>
          <w:sz w:val="20"/>
        </w:rPr>
        <w:t>vanA</w:t>
      </w:r>
      <w:r>
        <w:rPr>
          <w:sz w:val="20"/>
        </w:rPr>
        <w:t xml:space="preserve">, </w:t>
      </w:r>
      <w:r>
        <w:rPr>
          <w:i/>
          <w:sz w:val="20"/>
        </w:rPr>
        <w:t>vanB</w:t>
      </w:r>
      <w:r>
        <w:rPr>
          <w:sz w:val="20"/>
        </w:rPr>
        <w:t xml:space="preserve">, KPC, NDM, VIM and IMP (Table VIII, Fig. 7). OXA-48-like differed for 4 isolates, all </w:t>
      </w:r>
      <w:r>
        <w:rPr>
          <w:i/>
          <w:sz w:val="20"/>
        </w:rPr>
        <w:t>K. pneumoniae</w:t>
      </w:r>
      <w:r>
        <w:rPr>
          <w:sz w:val="20"/>
        </w:rPr>
        <w:t xml:space="preserve"> with OXA-232 listed by CDC and absent from NCBI's analysis (</w:t>
      </w:r>
      <w:r>
        <w:rPr>
          <w:sz w:val="20"/>
        </w:rPr>
        <w:t>κ</w:t>
      </w:r>
      <w:r>
        <w:rPr>
          <w:sz w:val="20"/>
        </w:rPr>
        <w:t xml:space="preserve"> = 0.93), and CTX-M for 2 in each direction (</w:t>
      </w:r>
      <w:r>
        <w:rPr>
          <w:sz w:val="20"/>
        </w:rPr>
        <w:t>κ</w:t>
      </w:r>
      <w:r>
        <w:rPr>
          <w:sz w:val="20"/>
        </w:rPr>
        <w:t xml:space="preserve"> = 0.98). OXA-232 is carried on a small (6.1 kb) ColE-type plasmid [41], which may be missing from a public assembly while present in the sequencing reads; for three of the four isolates CDC states that its calls combined an assembly-based search with SRST2, which searches the reads directly. NCBI's analysis also confirmed </w:t>
      </w:r>
      <w:r>
        <w:rPr>
          <w:i/>
          <w:sz w:val="20"/>
        </w:rPr>
        <w:t>mecC</w:t>
      </w:r>
      <w:r>
        <w:rPr>
          <w:sz w:val="20"/>
        </w:rPr>
        <w:t xml:space="preserve"> in both isolates CDC lists only as “blaZ-mecC”. Agreement did not depend on CDC's method: 3 of 198 positive calls differed among isolates CDC called without NCBI's database, and 5 of 199 among those called with it.</w:t>
      </w:r>
    </w:p>
    <w:p>
      <w:pPr>
        <w:keepNext/>
        <w:spacing w:before="120" w:after="20"/>
        <w:jc w:val="left"/>
        <w:outlineLvl w:val="2"/>
      </w:pPr>
      <w:r>
        <w:rPr>
          <w:i/>
          <w:sz w:val="19"/>
        </w:rPr>
        <w:t>2. Check B.</w:t>
      </w:r>
    </w:p>
    <w:p>
      <w:pPr>
        <w:spacing w:before="0" w:after="0"/>
        <w:ind w:firstLine="245"/>
        <w:jc w:val="both"/>
      </w:pPr>
      <w:r>
        <w:rPr>
          <w:sz w:val="20"/>
        </w:rPr>
        <w:t xml:space="preserve">Project 1's breakpoint rules reproduced CDC's posted category for 99.8% of 2,851 comparable isolate–drug results; the 6 differences (Table X) concern Morganellaceae meropenem and ceftazidime MICs at the breakpoint, an </w:t>
      </w:r>
      <w:r>
        <w:rPr>
          <w:i/>
          <w:sz w:val="20"/>
        </w:rPr>
        <w:t>Enterobacter</w:t>
      </w:r>
      <w:r>
        <w:rPr>
          <w:sz w:val="20"/>
        </w:rPr>
        <w:t xml:space="preserve"> ceftazidime MIC of 8 mg/L, and one </w:t>
      </w:r>
      <w:r>
        <w:rPr>
          <w:i/>
          <w:sz w:val="20"/>
        </w:rPr>
        <w:t>mecA</w:t>
      </w:r>
      <w:r>
        <w:rPr>
          <w:sz w:val="20"/>
        </w:rPr>
        <w:t xml:space="preserve">-positive </w:t>
      </w:r>
      <w:r>
        <w:rPr>
          <w:i/>
          <w:sz w:val="20"/>
        </w:rPr>
        <w:t>S. aureus</w:t>
      </w:r>
      <w:r>
        <w:rPr>
          <w:sz w:val="20"/>
        </w:rPr>
        <w:t xml:space="preserve"> with an oxacillin MIC of 2 mg/L that CDC reports as resistant, as CLSI directs for </w:t>
      </w:r>
      <w:r>
        <w:rPr>
          <w:i/>
          <w:sz w:val="20"/>
        </w:rPr>
        <w:t>mecA</w:t>
      </w:r>
      <w:r>
        <w:rPr>
          <w:sz w:val="20"/>
        </w:rPr>
        <w:t>-positive isolates [25].</w:t>
      </w:r>
    </w:p>
    <w:p>
      <w:pPr>
        <w:keepNext/>
        <w:spacing w:before="120" w:after="60"/>
        <w:jc w:val="center"/>
      </w:pPr>
      <w:r>
        <w:rPr>
          <w:sz w:val="18"/>
        </w:rPr>
        <w:t xml:space="preserve">TABLE VIII: </w:t>
      </w:r>
      <w:r>
        <w:rPr>
          <w:sz w:val="18"/>
        </w:rPr>
        <w:t>Check A: rapid panel targets in CDC's gene lists and in NCBI AMRFinderPlus for the same BioSample. Right-hand columns restrict to isolates CDC called with ResFinder or ARG-ANNOT alone.</w:t>
      </w:r>
    </w:p>
    <w:tbl>
      <w:tblPr>
        <w:jc w:val="center"/>
        <w:tblLayout w:type="fixed"/>
        <w:tblLook w:firstColumn="1" w:firstRow="1" w:lastColumn="0" w:lastRow="0" w:noHBand="0" w:noVBand="1" w:val="04A0"/>
        <w:tblCellMar>
          <w:top w:w="10" w:type="dxa"/>
          <w:bottom w:w="10" w:type="dxa"/>
          <w:left w:w="50" w:type="dxa"/>
          <w:right w:w="50" w:type="dxa"/>
        </w:tblCellMar>
        <w:tblLayout w:type="fixed"/>
        <w:tblW w:w="4896" w:type="dxa"/>
      </w:tblPr>
      <w:tblGrid>
        <w:gridCol w:w="1040"/>
        <w:gridCol w:w="374"/>
        <w:gridCol w:w="457"/>
        <w:gridCol w:w="457"/>
        <w:gridCol w:w="482"/>
        <w:gridCol w:w="457"/>
        <w:gridCol w:w="374"/>
        <w:gridCol w:w="457"/>
        <w:gridCol w:w="791"/>
      </w:tblGrid>
      <w:tr>
        <w:trPr>
          <w:cantSplit/>
          <w:tblHeader/>
        </w:trPr>
        <w:tc>
          <w:tcPr>
            <w:tcW w:type="dxa" w:w="1041"/>
            <w:tcBorders>
              <w:top w:val="single" w:sz="12" w:space="0" w:color="000000"/>
            </w:tcBorders>
          </w:tcPr>
          <w:p>
            <w:pPr>
              <w:keepNext/>
              <w:jc w:val="left"/>
            </w:pPr>
          </w:p>
        </w:tc>
        <w:tc>
          <w:tcPr>
            <w:tcW w:type="dxa" w:w="458"/>
            <w:gridSpan w:val="5"/>
            <w:tcBorders>
              <w:top w:val="single" w:sz="12" w:space="0" w:color="000000"/>
              <w:top w:val="single" w:sz="12" w:space="0" w:color="000000"/>
              <w:top w:val="single" w:sz="12" w:space="0" w:color="000000"/>
              <w:top w:val="single" w:sz="12" w:space="0" w:color="000000"/>
              <w:top w:val="single" w:sz="12" w:space="0" w:color="000000"/>
            </w:tcBorders>
          </w:tcPr>
          <w:p>
            <w:pPr>
              <w:keepNext/>
              <w:jc w:val="center"/>
            </w:pPr>
            <w:r>
              <w:rPr>
                <w:sz w:val="13"/>
              </w:rPr>
              <w:t>All isolates with both calls</w:t>
            </w:r>
          </w:p>
        </w:tc>
        <w:tc>
          <w:tcPr>
            <w:tcW w:type="dxa" w:w="791"/>
            <w:gridSpan w:val="3"/>
            <w:tcBorders>
              <w:top w:val="single" w:sz="12" w:space="0" w:color="000000"/>
              <w:top w:val="single" w:sz="12" w:space="0" w:color="000000"/>
              <w:top w:val="single" w:sz="12" w:space="0" w:color="000000"/>
            </w:tcBorders>
          </w:tcPr>
          <w:p>
            <w:pPr>
              <w:keepNext/>
              <w:jc w:val="center"/>
            </w:pPr>
            <w:r>
              <w:rPr>
                <w:sz w:val="13"/>
              </w:rPr>
              <w:t>CDC method without NCBI database</w:t>
            </w:r>
          </w:p>
        </w:tc>
      </w:tr>
      <w:tr>
        <w:trPr>
          <w:cantSplit/>
          <w:tblHeader/>
        </w:trPr>
        <w:tc>
          <w:tcPr>
            <w:tcW w:type="dxa" w:w="1041"/>
            <w:tcBorders>
              <w:bottom w:val="single" w:sz="6" w:space="0" w:color="000000"/>
            </w:tcBorders>
          </w:tcPr>
          <w:p>
            <w:pPr>
              <w:keepNext/>
              <w:jc w:val="left"/>
            </w:pPr>
            <w:r>
              <w:rPr>
                <w:sz w:val="13"/>
              </w:rPr>
              <w:t>Target</w:t>
            </w:r>
          </w:p>
        </w:tc>
        <w:tc>
          <w:tcPr>
            <w:tcW w:type="dxa" w:w="375"/>
            <w:tcBorders>
              <w:bottom w:val="single" w:sz="6" w:space="0" w:color="000000"/>
            </w:tcBorders>
          </w:tcPr>
          <w:p>
            <w:pPr>
              <w:keepNext/>
              <w:jc w:val="right"/>
            </w:pPr>
            <w:r>
              <w:rPr>
                <w:i/>
                <w:sz w:val="13"/>
              </w:rPr>
              <w:t>n</w:t>
            </w:r>
          </w:p>
        </w:tc>
        <w:tc>
          <w:tcPr>
            <w:tcW w:type="dxa" w:w="458"/>
            <w:tcBorders>
              <w:bottom w:val="single" w:sz="6" w:space="0" w:color="000000"/>
            </w:tcBorders>
          </w:tcPr>
          <w:p>
            <w:pPr>
              <w:keepNext/>
              <w:jc w:val="right"/>
            </w:pPr>
            <w:r>
              <w:rPr>
                <w:sz w:val="13"/>
              </w:rPr>
              <w:t>Both</w:t>
            </w:r>
          </w:p>
        </w:tc>
        <w:tc>
          <w:tcPr>
            <w:tcW w:type="dxa" w:w="458"/>
            <w:tcBorders>
              <w:bottom w:val="single" w:sz="6" w:space="0" w:color="000000"/>
            </w:tcBorders>
          </w:tcPr>
          <w:p>
            <w:pPr>
              <w:keepNext/>
              <w:jc w:val="right"/>
            </w:pPr>
            <w:r>
              <w:rPr>
                <w:sz w:val="13"/>
              </w:rPr>
              <w:t>CDC only</w:t>
            </w:r>
          </w:p>
        </w:tc>
        <w:tc>
          <w:tcPr>
            <w:tcW w:type="dxa" w:w="483"/>
            <w:tcBorders>
              <w:bottom w:val="single" w:sz="6" w:space="0" w:color="000000"/>
            </w:tcBorders>
          </w:tcPr>
          <w:p>
            <w:pPr>
              <w:keepNext/>
              <w:jc w:val="right"/>
            </w:pPr>
            <w:r>
              <w:rPr>
                <w:sz w:val="13"/>
              </w:rPr>
              <w:t>NCBI only</w:t>
            </w:r>
          </w:p>
        </w:tc>
        <w:tc>
          <w:tcPr>
            <w:tcW w:type="dxa" w:w="458"/>
            <w:tcBorders>
              <w:bottom w:val="single" w:sz="6" w:space="0" w:color="000000"/>
            </w:tcBorders>
          </w:tcPr>
          <w:p>
            <w:pPr>
              <w:keepNext/>
              <w:jc w:val="right"/>
            </w:pPr>
            <w:r>
              <w:rPr>
                <w:sz w:val="13"/>
              </w:rPr>
              <w:t>κ</w:t>
            </w:r>
          </w:p>
        </w:tc>
        <w:tc>
          <w:tcPr>
            <w:tcW w:type="dxa" w:w="375"/>
            <w:tcBorders>
              <w:bottom w:val="single" w:sz="6" w:space="0" w:color="000000"/>
            </w:tcBorders>
          </w:tcPr>
          <w:p>
            <w:pPr>
              <w:keepNext/>
              <w:jc w:val="right"/>
            </w:pPr>
            <w:r>
              <w:rPr>
                <w:i/>
                <w:sz w:val="13"/>
              </w:rPr>
              <w:t>n</w:t>
            </w:r>
          </w:p>
        </w:tc>
        <w:tc>
          <w:tcPr>
            <w:tcW w:type="dxa" w:w="458"/>
            <w:tcBorders>
              <w:bottom w:val="single" w:sz="6" w:space="0" w:color="000000"/>
            </w:tcBorders>
          </w:tcPr>
          <w:p>
            <w:pPr>
              <w:keepNext/>
              <w:jc w:val="right"/>
            </w:pPr>
            <w:r>
              <w:rPr>
                <w:sz w:val="13"/>
              </w:rPr>
              <w:t>Both</w:t>
            </w:r>
          </w:p>
        </w:tc>
        <w:tc>
          <w:tcPr>
            <w:tcW w:type="dxa" w:w="791"/>
            <w:tcBorders>
              <w:bottom w:val="single" w:sz="6" w:space="0" w:color="000000"/>
            </w:tcBorders>
          </w:tcPr>
          <w:p>
            <w:pPr>
              <w:keepNext/>
              <w:jc w:val="right"/>
            </w:pPr>
            <w:r>
              <w:rPr>
                <w:sz w:val="13"/>
              </w:rPr>
              <w:t>Disagree</w:t>
            </w:r>
          </w:p>
        </w:tc>
      </w:tr>
      <w:tr>
        <w:trPr>
          <w:cantSplit/>
        </w:trPr>
        <w:tc>
          <w:tcPr>
            <w:tcW w:type="dxa" w:w="1041"/>
          </w:tcPr>
          <w:p>
            <w:pPr>
              <w:keepNext/>
              <w:jc w:val="left"/>
            </w:pPr>
            <w:r>
              <w:rPr>
                <w:sz w:val="13"/>
              </w:rPr>
              <w:t>mecA</w:t>
            </w:r>
          </w:p>
        </w:tc>
        <w:tc>
          <w:tcPr>
            <w:tcW w:type="dxa" w:w="375"/>
          </w:tcPr>
          <w:p>
            <w:pPr>
              <w:keepNext/>
              <w:jc w:val="right"/>
            </w:pPr>
            <w:r>
              <w:rPr>
                <w:sz w:val="13"/>
              </w:rPr>
              <w:t>124</w:t>
            </w:r>
          </w:p>
        </w:tc>
        <w:tc>
          <w:tcPr>
            <w:tcW w:type="dxa" w:w="458"/>
          </w:tcPr>
          <w:p>
            <w:pPr>
              <w:keepNext/>
              <w:jc w:val="right"/>
            </w:pPr>
            <w:r>
              <w:rPr>
                <w:sz w:val="13"/>
              </w:rPr>
              <w:t>103</w:t>
            </w:r>
          </w:p>
        </w:tc>
        <w:tc>
          <w:tcPr>
            <w:tcW w:type="dxa" w:w="458"/>
          </w:tcPr>
          <w:p>
            <w:pPr>
              <w:keepNext/>
              <w:jc w:val="right"/>
            </w:pPr>
            <w:r>
              <w:rPr>
                <w:sz w:val="13"/>
              </w:rPr>
              <w:t>0</w:t>
            </w:r>
          </w:p>
        </w:tc>
        <w:tc>
          <w:tcPr>
            <w:tcW w:type="dxa" w:w="483"/>
          </w:tcPr>
          <w:p>
            <w:pPr>
              <w:keepNext/>
              <w:jc w:val="right"/>
            </w:pPr>
            <w:r>
              <w:rPr>
                <w:sz w:val="13"/>
              </w:rPr>
              <w:t>0</w:t>
            </w:r>
          </w:p>
        </w:tc>
        <w:tc>
          <w:tcPr>
            <w:tcW w:type="dxa" w:w="458"/>
          </w:tcPr>
          <w:p>
            <w:pPr>
              <w:keepNext/>
              <w:jc w:val="right"/>
            </w:pPr>
            <w:r>
              <w:rPr>
                <w:sz w:val="13"/>
              </w:rPr>
              <w:t>1.00</w:t>
            </w:r>
          </w:p>
        </w:tc>
        <w:tc>
          <w:tcPr>
            <w:tcW w:type="dxa" w:w="375"/>
          </w:tcPr>
          <w:p>
            <w:pPr>
              <w:keepNext/>
              <w:jc w:val="right"/>
            </w:pPr>
            <w:r>
              <w:rPr>
                <w:sz w:val="13"/>
              </w:rPr>
              <w:t>61</w:t>
            </w:r>
          </w:p>
        </w:tc>
        <w:tc>
          <w:tcPr>
            <w:tcW w:type="dxa" w:w="458"/>
          </w:tcPr>
          <w:p>
            <w:pPr>
              <w:keepNext/>
              <w:jc w:val="right"/>
            </w:pPr>
            <w:r>
              <w:rPr>
                <w:sz w:val="13"/>
              </w:rPr>
              <w:t>51</w:t>
            </w:r>
          </w:p>
        </w:tc>
        <w:tc>
          <w:tcPr>
            <w:tcW w:type="dxa" w:w="791"/>
          </w:tcPr>
          <w:p>
            <w:pPr>
              <w:keepNext/>
              <w:jc w:val="right"/>
            </w:pPr>
            <w:r>
              <w:rPr>
                <w:sz w:val="13"/>
              </w:rPr>
              <w:t>0</w:t>
            </w:r>
          </w:p>
        </w:tc>
      </w:tr>
      <w:tr>
        <w:trPr>
          <w:cantSplit/>
        </w:trPr>
        <w:tc>
          <w:tcPr>
            <w:tcW w:type="dxa" w:w="1041"/>
          </w:tcPr>
          <w:p>
            <w:pPr>
              <w:keepNext/>
              <w:jc w:val="left"/>
            </w:pPr>
            <w:r>
              <w:rPr>
                <w:sz w:val="13"/>
              </w:rPr>
              <w:t>mecC</w:t>
            </w:r>
          </w:p>
        </w:tc>
        <w:tc>
          <w:tcPr>
            <w:tcW w:type="dxa" w:w="375"/>
          </w:tcPr>
          <w:p>
            <w:pPr>
              <w:keepNext/>
              <w:jc w:val="right"/>
            </w:pPr>
            <w:r>
              <w:rPr>
                <w:sz w:val="13"/>
              </w:rPr>
              <w:t>124</w:t>
            </w:r>
          </w:p>
        </w:tc>
        <w:tc>
          <w:tcPr>
            <w:tcW w:type="dxa" w:w="458"/>
          </w:tcPr>
          <w:p>
            <w:pPr>
              <w:keepNext/>
              <w:jc w:val="right"/>
            </w:pPr>
            <w:r>
              <w:rPr>
                <w:sz w:val="13"/>
              </w:rPr>
              <w:t>2</w:t>
            </w:r>
          </w:p>
        </w:tc>
        <w:tc>
          <w:tcPr>
            <w:tcW w:type="dxa" w:w="458"/>
          </w:tcPr>
          <w:p>
            <w:pPr>
              <w:keepNext/>
              <w:jc w:val="right"/>
            </w:pPr>
            <w:r>
              <w:rPr>
                <w:sz w:val="13"/>
              </w:rPr>
              <w:t>0</w:t>
            </w:r>
          </w:p>
        </w:tc>
        <w:tc>
          <w:tcPr>
            <w:tcW w:type="dxa" w:w="483"/>
          </w:tcPr>
          <w:p>
            <w:pPr>
              <w:keepNext/>
              <w:jc w:val="right"/>
            </w:pPr>
            <w:r>
              <w:rPr>
                <w:sz w:val="13"/>
              </w:rPr>
              <w:t>0</w:t>
            </w:r>
          </w:p>
        </w:tc>
        <w:tc>
          <w:tcPr>
            <w:tcW w:type="dxa" w:w="458"/>
          </w:tcPr>
          <w:p>
            <w:pPr>
              <w:keepNext/>
              <w:jc w:val="right"/>
            </w:pPr>
            <w:r>
              <w:rPr>
                <w:sz w:val="13"/>
              </w:rPr>
              <w:t>1.00</w:t>
            </w:r>
          </w:p>
        </w:tc>
        <w:tc>
          <w:tcPr>
            <w:tcW w:type="dxa" w:w="375"/>
          </w:tcPr>
          <w:p>
            <w:pPr>
              <w:keepNext/>
              <w:jc w:val="right"/>
            </w:pPr>
            <w:r>
              <w:rPr>
                <w:sz w:val="13"/>
              </w:rPr>
              <w:t>61</w:t>
            </w:r>
          </w:p>
        </w:tc>
        <w:tc>
          <w:tcPr>
            <w:tcW w:type="dxa" w:w="458"/>
          </w:tcPr>
          <w:p>
            <w:pPr>
              <w:keepNext/>
              <w:jc w:val="right"/>
            </w:pPr>
            <w:r>
              <w:rPr>
                <w:sz w:val="13"/>
              </w:rPr>
              <w:t>0</w:t>
            </w:r>
          </w:p>
        </w:tc>
        <w:tc>
          <w:tcPr>
            <w:tcW w:type="dxa" w:w="791"/>
          </w:tcPr>
          <w:p>
            <w:pPr>
              <w:keepNext/>
              <w:jc w:val="right"/>
            </w:pPr>
            <w:r>
              <w:rPr>
                <w:sz w:val="13"/>
              </w:rPr>
              <w:t>0</w:t>
            </w:r>
          </w:p>
        </w:tc>
      </w:tr>
      <w:tr>
        <w:trPr>
          <w:cantSplit/>
        </w:trPr>
        <w:tc>
          <w:tcPr>
            <w:tcW w:type="dxa" w:w="1041"/>
          </w:tcPr>
          <w:p>
            <w:pPr>
              <w:keepNext/>
              <w:jc w:val="left"/>
            </w:pPr>
            <w:r>
              <w:rPr>
                <w:sz w:val="13"/>
              </w:rPr>
              <w:t>vanA</w:t>
            </w:r>
          </w:p>
        </w:tc>
        <w:tc>
          <w:tcPr>
            <w:tcW w:type="dxa" w:w="375"/>
          </w:tcPr>
          <w:p>
            <w:pPr>
              <w:keepNext/>
              <w:jc w:val="right"/>
            </w:pPr>
            <w:r>
              <w:rPr>
                <w:sz w:val="13"/>
              </w:rPr>
              <w:t>39</w:t>
            </w:r>
          </w:p>
        </w:tc>
        <w:tc>
          <w:tcPr>
            <w:tcW w:type="dxa" w:w="458"/>
          </w:tcPr>
          <w:p>
            <w:pPr>
              <w:keepNext/>
              <w:jc w:val="right"/>
            </w:pPr>
            <w:r>
              <w:rPr>
                <w:sz w:val="13"/>
              </w:rPr>
              <w:t>10</w:t>
            </w:r>
          </w:p>
        </w:tc>
        <w:tc>
          <w:tcPr>
            <w:tcW w:type="dxa" w:w="458"/>
          </w:tcPr>
          <w:p>
            <w:pPr>
              <w:keepNext/>
              <w:jc w:val="right"/>
            </w:pPr>
            <w:r>
              <w:rPr>
                <w:sz w:val="13"/>
              </w:rPr>
              <w:t>0</w:t>
            </w:r>
          </w:p>
        </w:tc>
        <w:tc>
          <w:tcPr>
            <w:tcW w:type="dxa" w:w="483"/>
          </w:tcPr>
          <w:p>
            <w:pPr>
              <w:keepNext/>
              <w:jc w:val="right"/>
            </w:pPr>
            <w:r>
              <w:rPr>
                <w:sz w:val="13"/>
              </w:rPr>
              <w:t>0</w:t>
            </w:r>
          </w:p>
        </w:tc>
        <w:tc>
          <w:tcPr>
            <w:tcW w:type="dxa" w:w="458"/>
          </w:tcPr>
          <w:p>
            <w:pPr>
              <w:keepNext/>
              <w:jc w:val="right"/>
            </w:pPr>
            <w:r>
              <w:rPr>
                <w:sz w:val="13"/>
              </w:rPr>
              <w:t>1.00</w:t>
            </w:r>
          </w:p>
        </w:tc>
        <w:tc>
          <w:tcPr>
            <w:tcW w:type="dxa" w:w="375"/>
          </w:tcPr>
          <w:p>
            <w:pPr>
              <w:keepNext/>
              <w:jc w:val="right"/>
            </w:pPr>
            <w:r>
              <w:rPr>
                <w:sz w:val="13"/>
              </w:rPr>
              <w:t>18</w:t>
            </w:r>
          </w:p>
        </w:tc>
        <w:tc>
          <w:tcPr>
            <w:tcW w:type="dxa" w:w="458"/>
          </w:tcPr>
          <w:p>
            <w:pPr>
              <w:keepNext/>
              <w:jc w:val="right"/>
            </w:pPr>
            <w:r>
              <w:rPr>
                <w:sz w:val="13"/>
              </w:rPr>
              <w:t>2</w:t>
            </w:r>
          </w:p>
        </w:tc>
        <w:tc>
          <w:tcPr>
            <w:tcW w:type="dxa" w:w="791"/>
          </w:tcPr>
          <w:p>
            <w:pPr>
              <w:keepNext/>
              <w:jc w:val="right"/>
            </w:pPr>
            <w:r>
              <w:rPr>
                <w:sz w:val="13"/>
              </w:rPr>
              <w:t>0</w:t>
            </w:r>
          </w:p>
        </w:tc>
      </w:tr>
      <w:tr>
        <w:trPr>
          <w:cantSplit/>
        </w:trPr>
        <w:tc>
          <w:tcPr>
            <w:tcW w:type="dxa" w:w="1041"/>
          </w:tcPr>
          <w:p>
            <w:pPr>
              <w:keepNext/>
              <w:jc w:val="left"/>
            </w:pPr>
            <w:r>
              <w:rPr>
                <w:sz w:val="13"/>
              </w:rPr>
              <w:t>vanB</w:t>
            </w:r>
          </w:p>
        </w:tc>
        <w:tc>
          <w:tcPr>
            <w:tcW w:type="dxa" w:w="375"/>
          </w:tcPr>
          <w:p>
            <w:pPr>
              <w:keepNext/>
              <w:jc w:val="right"/>
            </w:pPr>
            <w:r>
              <w:rPr>
                <w:sz w:val="13"/>
              </w:rPr>
              <w:t>39</w:t>
            </w:r>
          </w:p>
        </w:tc>
        <w:tc>
          <w:tcPr>
            <w:tcW w:type="dxa" w:w="458"/>
          </w:tcPr>
          <w:p>
            <w:pPr>
              <w:keepNext/>
              <w:jc w:val="right"/>
            </w:pPr>
            <w:r>
              <w:rPr>
                <w:sz w:val="13"/>
              </w:rPr>
              <w:t>10</w:t>
            </w:r>
          </w:p>
        </w:tc>
        <w:tc>
          <w:tcPr>
            <w:tcW w:type="dxa" w:w="458"/>
          </w:tcPr>
          <w:p>
            <w:pPr>
              <w:keepNext/>
              <w:jc w:val="right"/>
            </w:pPr>
            <w:r>
              <w:rPr>
                <w:sz w:val="13"/>
              </w:rPr>
              <w:t>0</w:t>
            </w:r>
          </w:p>
        </w:tc>
        <w:tc>
          <w:tcPr>
            <w:tcW w:type="dxa" w:w="483"/>
          </w:tcPr>
          <w:p>
            <w:pPr>
              <w:keepNext/>
              <w:jc w:val="right"/>
            </w:pPr>
            <w:r>
              <w:rPr>
                <w:sz w:val="13"/>
              </w:rPr>
              <w:t>0</w:t>
            </w:r>
          </w:p>
        </w:tc>
        <w:tc>
          <w:tcPr>
            <w:tcW w:type="dxa" w:w="458"/>
          </w:tcPr>
          <w:p>
            <w:pPr>
              <w:keepNext/>
              <w:jc w:val="right"/>
            </w:pPr>
            <w:r>
              <w:rPr>
                <w:sz w:val="13"/>
              </w:rPr>
              <w:t>1.00</w:t>
            </w:r>
          </w:p>
        </w:tc>
        <w:tc>
          <w:tcPr>
            <w:tcW w:type="dxa" w:w="375"/>
          </w:tcPr>
          <w:p>
            <w:pPr>
              <w:keepNext/>
              <w:jc w:val="right"/>
            </w:pPr>
            <w:r>
              <w:rPr>
                <w:sz w:val="13"/>
              </w:rPr>
              <w:t>18</w:t>
            </w:r>
          </w:p>
        </w:tc>
        <w:tc>
          <w:tcPr>
            <w:tcW w:type="dxa" w:w="458"/>
          </w:tcPr>
          <w:p>
            <w:pPr>
              <w:keepNext/>
              <w:jc w:val="right"/>
            </w:pPr>
            <w:r>
              <w:rPr>
                <w:sz w:val="13"/>
              </w:rPr>
              <w:t>0</w:t>
            </w:r>
          </w:p>
        </w:tc>
        <w:tc>
          <w:tcPr>
            <w:tcW w:type="dxa" w:w="791"/>
          </w:tcPr>
          <w:p>
            <w:pPr>
              <w:keepNext/>
              <w:jc w:val="right"/>
            </w:pPr>
            <w:r>
              <w:rPr>
                <w:sz w:val="13"/>
              </w:rPr>
              <w:t>0</w:t>
            </w:r>
          </w:p>
        </w:tc>
      </w:tr>
      <w:tr>
        <w:trPr>
          <w:cantSplit/>
        </w:trPr>
        <w:tc>
          <w:tcPr>
            <w:tcW w:type="dxa" w:w="1041"/>
          </w:tcPr>
          <w:p>
            <w:pPr>
              <w:keepNext/>
              <w:jc w:val="left"/>
            </w:pPr>
            <w:r>
              <w:rPr>
                <w:sz w:val="13"/>
              </w:rPr>
              <w:t>KPC</w:t>
            </w:r>
          </w:p>
        </w:tc>
        <w:tc>
          <w:tcPr>
            <w:tcW w:type="dxa" w:w="375"/>
          </w:tcPr>
          <w:p>
            <w:pPr>
              <w:keepNext/>
              <w:jc w:val="right"/>
            </w:pPr>
            <w:r>
              <w:rPr>
                <w:sz w:val="13"/>
              </w:rPr>
              <w:t>377</w:t>
            </w:r>
          </w:p>
        </w:tc>
        <w:tc>
          <w:tcPr>
            <w:tcW w:type="dxa" w:w="458"/>
          </w:tcPr>
          <w:p>
            <w:pPr>
              <w:keepNext/>
              <w:jc w:val="right"/>
            </w:pPr>
            <w:r>
              <w:rPr>
                <w:sz w:val="13"/>
              </w:rPr>
              <w:t>74</w:t>
            </w:r>
          </w:p>
        </w:tc>
        <w:tc>
          <w:tcPr>
            <w:tcW w:type="dxa" w:w="458"/>
          </w:tcPr>
          <w:p>
            <w:pPr>
              <w:keepNext/>
              <w:jc w:val="right"/>
            </w:pPr>
            <w:r>
              <w:rPr>
                <w:sz w:val="13"/>
              </w:rPr>
              <w:t>0</w:t>
            </w:r>
          </w:p>
        </w:tc>
        <w:tc>
          <w:tcPr>
            <w:tcW w:type="dxa" w:w="483"/>
          </w:tcPr>
          <w:p>
            <w:pPr>
              <w:keepNext/>
              <w:jc w:val="right"/>
            </w:pPr>
            <w:r>
              <w:rPr>
                <w:sz w:val="13"/>
              </w:rPr>
              <w:t>0</w:t>
            </w:r>
          </w:p>
        </w:tc>
        <w:tc>
          <w:tcPr>
            <w:tcW w:type="dxa" w:w="458"/>
          </w:tcPr>
          <w:p>
            <w:pPr>
              <w:keepNext/>
              <w:jc w:val="right"/>
            </w:pPr>
            <w:r>
              <w:rPr>
                <w:sz w:val="13"/>
              </w:rPr>
              <w:t>1.00</w:t>
            </w:r>
          </w:p>
        </w:tc>
        <w:tc>
          <w:tcPr>
            <w:tcW w:type="dxa" w:w="375"/>
          </w:tcPr>
          <w:p>
            <w:pPr>
              <w:keepNext/>
              <w:jc w:val="right"/>
            </w:pPr>
            <w:r>
              <w:rPr>
                <w:sz w:val="13"/>
              </w:rPr>
              <w:t>161</w:t>
            </w:r>
          </w:p>
        </w:tc>
        <w:tc>
          <w:tcPr>
            <w:tcW w:type="dxa" w:w="458"/>
          </w:tcPr>
          <w:p>
            <w:pPr>
              <w:keepNext/>
              <w:jc w:val="right"/>
            </w:pPr>
            <w:r>
              <w:rPr>
                <w:sz w:val="13"/>
              </w:rPr>
              <w:t>29</w:t>
            </w:r>
          </w:p>
        </w:tc>
        <w:tc>
          <w:tcPr>
            <w:tcW w:type="dxa" w:w="791"/>
          </w:tcPr>
          <w:p>
            <w:pPr>
              <w:keepNext/>
              <w:jc w:val="right"/>
            </w:pPr>
            <w:r>
              <w:rPr>
                <w:sz w:val="13"/>
              </w:rPr>
              <w:t>0</w:t>
            </w:r>
          </w:p>
        </w:tc>
      </w:tr>
      <w:tr>
        <w:trPr>
          <w:cantSplit/>
        </w:trPr>
        <w:tc>
          <w:tcPr>
            <w:tcW w:type="dxa" w:w="1041"/>
          </w:tcPr>
          <w:p>
            <w:pPr>
              <w:keepNext/>
              <w:jc w:val="left"/>
            </w:pPr>
            <w:r>
              <w:rPr>
                <w:sz w:val="13"/>
              </w:rPr>
              <w:t>NDM</w:t>
            </w:r>
          </w:p>
        </w:tc>
        <w:tc>
          <w:tcPr>
            <w:tcW w:type="dxa" w:w="375"/>
          </w:tcPr>
          <w:p>
            <w:pPr>
              <w:keepNext/>
              <w:jc w:val="right"/>
            </w:pPr>
            <w:r>
              <w:rPr>
                <w:sz w:val="13"/>
              </w:rPr>
              <w:t>377</w:t>
            </w:r>
          </w:p>
        </w:tc>
        <w:tc>
          <w:tcPr>
            <w:tcW w:type="dxa" w:w="458"/>
          </w:tcPr>
          <w:p>
            <w:pPr>
              <w:keepNext/>
              <w:jc w:val="right"/>
            </w:pPr>
            <w:r>
              <w:rPr>
                <w:sz w:val="13"/>
              </w:rPr>
              <w:t>62</w:t>
            </w:r>
          </w:p>
        </w:tc>
        <w:tc>
          <w:tcPr>
            <w:tcW w:type="dxa" w:w="458"/>
          </w:tcPr>
          <w:p>
            <w:pPr>
              <w:keepNext/>
              <w:jc w:val="right"/>
            </w:pPr>
            <w:r>
              <w:rPr>
                <w:sz w:val="13"/>
              </w:rPr>
              <w:t>0</w:t>
            </w:r>
          </w:p>
        </w:tc>
        <w:tc>
          <w:tcPr>
            <w:tcW w:type="dxa" w:w="483"/>
          </w:tcPr>
          <w:p>
            <w:pPr>
              <w:keepNext/>
              <w:jc w:val="right"/>
            </w:pPr>
            <w:r>
              <w:rPr>
                <w:sz w:val="13"/>
              </w:rPr>
              <w:t>0</w:t>
            </w:r>
          </w:p>
        </w:tc>
        <w:tc>
          <w:tcPr>
            <w:tcW w:type="dxa" w:w="458"/>
          </w:tcPr>
          <w:p>
            <w:pPr>
              <w:keepNext/>
              <w:jc w:val="right"/>
            </w:pPr>
            <w:r>
              <w:rPr>
                <w:sz w:val="13"/>
              </w:rPr>
              <w:t>1.00</w:t>
            </w:r>
          </w:p>
        </w:tc>
        <w:tc>
          <w:tcPr>
            <w:tcW w:type="dxa" w:w="375"/>
          </w:tcPr>
          <w:p>
            <w:pPr>
              <w:keepNext/>
              <w:jc w:val="right"/>
            </w:pPr>
            <w:r>
              <w:rPr>
                <w:sz w:val="13"/>
              </w:rPr>
              <w:t>161</w:t>
            </w:r>
          </w:p>
        </w:tc>
        <w:tc>
          <w:tcPr>
            <w:tcW w:type="dxa" w:w="458"/>
          </w:tcPr>
          <w:p>
            <w:pPr>
              <w:keepNext/>
              <w:jc w:val="right"/>
            </w:pPr>
            <w:r>
              <w:rPr>
                <w:sz w:val="13"/>
              </w:rPr>
              <w:t>36</w:t>
            </w:r>
          </w:p>
        </w:tc>
        <w:tc>
          <w:tcPr>
            <w:tcW w:type="dxa" w:w="791"/>
          </w:tcPr>
          <w:p>
            <w:pPr>
              <w:keepNext/>
              <w:jc w:val="right"/>
            </w:pPr>
            <w:r>
              <w:rPr>
                <w:sz w:val="13"/>
              </w:rPr>
              <w:t>0</w:t>
            </w:r>
          </w:p>
        </w:tc>
      </w:tr>
      <w:tr>
        <w:trPr>
          <w:cantSplit/>
        </w:trPr>
        <w:tc>
          <w:tcPr>
            <w:tcW w:type="dxa" w:w="1041"/>
          </w:tcPr>
          <w:p>
            <w:pPr>
              <w:keepNext/>
              <w:jc w:val="left"/>
            </w:pPr>
            <w:r>
              <w:rPr>
                <w:sz w:val="13"/>
              </w:rPr>
              <w:t>OXA-48-like</w:t>
            </w:r>
          </w:p>
        </w:tc>
        <w:tc>
          <w:tcPr>
            <w:tcW w:type="dxa" w:w="375"/>
          </w:tcPr>
          <w:p>
            <w:pPr>
              <w:keepNext/>
              <w:jc w:val="right"/>
            </w:pPr>
            <w:r>
              <w:rPr>
                <w:sz w:val="13"/>
              </w:rPr>
              <w:t>377</w:t>
            </w:r>
          </w:p>
        </w:tc>
        <w:tc>
          <w:tcPr>
            <w:tcW w:type="dxa" w:w="458"/>
          </w:tcPr>
          <w:p>
            <w:pPr>
              <w:keepNext/>
              <w:jc w:val="right"/>
            </w:pPr>
            <w:r>
              <w:rPr>
                <w:sz w:val="13"/>
              </w:rPr>
              <w:t>30</w:t>
            </w:r>
          </w:p>
        </w:tc>
        <w:tc>
          <w:tcPr>
            <w:tcW w:type="dxa" w:w="458"/>
          </w:tcPr>
          <w:p>
            <w:pPr>
              <w:keepNext/>
              <w:jc w:val="right"/>
            </w:pPr>
            <w:r>
              <w:rPr>
                <w:sz w:val="13"/>
              </w:rPr>
              <w:t>4</w:t>
            </w:r>
          </w:p>
        </w:tc>
        <w:tc>
          <w:tcPr>
            <w:tcW w:type="dxa" w:w="483"/>
          </w:tcPr>
          <w:p>
            <w:pPr>
              <w:keepNext/>
              <w:jc w:val="right"/>
            </w:pPr>
            <w:r>
              <w:rPr>
                <w:sz w:val="13"/>
              </w:rPr>
              <w:t>0</w:t>
            </w:r>
          </w:p>
        </w:tc>
        <w:tc>
          <w:tcPr>
            <w:tcW w:type="dxa" w:w="458"/>
          </w:tcPr>
          <w:p>
            <w:pPr>
              <w:keepNext/>
              <w:jc w:val="right"/>
            </w:pPr>
            <w:r>
              <w:rPr>
                <w:sz w:val="13"/>
              </w:rPr>
              <w:t>0.93</w:t>
            </w:r>
          </w:p>
        </w:tc>
        <w:tc>
          <w:tcPr>
            <w:tcW w:type="dxa" w:w="375"/>
          </w:tcPr>
          <w:p>
            <w:pPr>
              <w:keepNext/>
              <w:jc w:val="right"/>
            </w:pPr>
            <w:r>
              <w:rPr>
                <w:sz w:val="13"/>
              </w:rPr>
              <w:t>161</w:t>
            </w:r>
          </w:p>
        </w:tc>
        <w:tc>
          <w:tcPr>
            <w:tcW w:type="dxa" w:w="458"/>
          </w:tcPr>
          <w:p>
            <w:pPr>
              <w:keepNext/>
              <w:jc w:val="right"/>
            </w:pPr>
            <w:r>
              <w:rPr>
                <w:sz w:val="13"/>
              </w:rPr>
              <w:t>14</w:t>
            </w:r>
          </w:p>
        </w:tc>
        <w:tc>
          <w:tcPr>
            <w:tcW w:type="dxa" w:w="791"/>
          </w:tcPr>
          <w:p>
            <w:pPr>
              <w:keepNext/>
              <w:jc w:val="right"/>
            </w:pPr>
            <w:r>
              <w:rPr>
                <w:sz w:val="13"/>
              </w:rPr>
              <w:t>1</w:t>
            </w:r>
          </w:p>
        </w:tc>
      </w:tr>
      <w:tr>
        <w:trPr>
          <w:cantSplit/>
        </w:trPr>
        <w:tc>
          <w:tcPr>
            <w:tcW w:type="dxa" w:w="1041"/>
          </w:tcPr>
          <w:p>
            <w:pPr>
              <w:keepNext/>
              <w:jc w:val="left"/>
            </w:pPr>
            <w:r>
              <w:rPr>
                <w:sz w:val="13"/>
              </w:rPr>
              <w:t>VIM</w:t>
            </w:r>
          </w:p>
        </w:tc>
        <w:tc>
          <w:tcPr>
            <w:tcW w:type="dxa" w:w="375"/>
          </w:tcPr>
          <w:p>
            <w:pPr>
              <w:keepNext/>
              <w:jc w:val="right"/>
            </w:pPr>
            <w:r>
              <w:rPr>
                <w:sz w:val="13"/>
              </w:rPr>
              <w:t>377</w:t>
            </w:r>
          </w:p>
        </w:tc>
        <w:tc>
          <w:tcPr>
            <w:tcW w:type="dxa" w:w="458"/>
          </w:tcPr>
          <w:p>
            <w:pPr>
              <w:keepNext/>
              <w:jc w:val="right"/>
            </w:pPr>
            <w:r>
              <w:rPr>
                <w:sz w:val="13"/>
              </w:rPr>
              <w:t>8</w:t>
            </w:r>
          </w:p>
        </w:tc>
        <w:tc>
          <w:tcPr>
            <w:tcW w:type="dxa" w:w="458"/>
          </w:tcPr>
          <w:p>
            <w:pPr>
              <w:keepNext/>
              <w:jc w:val="right"/>
            </w:pPr>
            <w:r>
              <w:rPr>
                <w:sz w:val="13"/>
              </w:rPr>
              <w:t>0</w:t>
            </w:r>
          </w:p>
        </w:tc>
        <w:tc>
          <w:tcPr>
            <w:tcW w:type="dxa" w:w="483"/>
          </w:tcPr>
          <w:p>
            <w:pPr>
              <w:keepNext/>
              <w:jc w:val="right"/>
            </w:pPr>
            <w:r>
              <w:rPr>
                <w:sz w:val="13"/>
              </w:rPr>
              <w:t>0</w:t>
            </w:r>
          </w:p>
        </w:tc>
        <w:tc>
          <w:tcPr>
            <w:tcW w:type="dxa" w:w="458"/>
          </w:tcPr>
          <w:p>
            <w:pPr>
              <w:keepNext/>
              <w:jc w:val="right"/>
            </w:pPr>
            <w:r>
              <w:rPr>
                <w:sz w:val="13"/>
              </w:rPr>
              <w:t>1.00</w:t>
            </w:r>
          </w:p>
        </w:tc>
        <w:tc>
          <w:tcPr>
            <w:tcW w:type="dxa" w:w="375"/>
          </w:tcPr>
          <w:p>
            <w:pPr>
              <w:keepNext/>
              <w:jc w:val="right"/>
            </w:pPr>
            <w:r>
              <w:rPr>
                <w:sz w:val="13"/>
              </w:rPr>
              <w:t>161</w:t>
            </w:r>
          </w:p>
        </w:tc>
        <w:tc>
          <w:tcPr>
            <w:tcW w:type="dxa" w:w="458"/>
          </w:tcPr>
          <w:p>
            <w:pPr>
              <w:keepNext/>
              <w:jc w:val="right"/>
            </w:pPr>
            <w:r>
              <w:rPr>
                <w:sz w:val="13"/>
              </w:rPr>
              <w:t>2</w:t>
            </w:r>
          </w:p>
        </w:tc>
        <w:tc>
          <w:tcPr>
            <w:tcW w:type="dxa" w:w="791"/>
          </w:tcPr>
          <w:p>
            <w:pPr>
              <w:keepNext/>
              <w:jc w:val="right"/>
            </w:pPr>
            <w:r>
              <w:rPr>
                <w:sz w:val="13"/>
              </w:rPr>
              <w:t>0</w:t>
            </w:r>
          </w:p>
        </w:tc>
      </w:tr>
      <w:tr>
        <w:trPr>
          <w:cantSplit/>
        </w:trPr>
        <w:tc>
          <w:tcPr>
            <w:tcW w:type="dxa" w:w="1041"/>
          </w:tcPr>
          <w:p>
            <w:pPr>
              <w:keepNext/>
              <w:jc w:val="left"/>
            </w:pPr>
            <w:r>
              <w:rPr>
                <w:sz w:val="13"/>
              </w:rPr>
              <w:t>IMP</w:t>
            </w:r>
          </w:p>
        </w:tc>
        <w:tc>
          <w:tcPr>
            <w:tcW w:type="dxa" w:w="375"/>
          </w:tcPr>
          <w:p>
            <w:pPr>
              <w:keepNext/>
              <w:jc w:val="right"/>
            </w:pPr>
            <w:r>
              <w:rPr>
                <w:sz w:val="13"/>
              </w:rPr>
              <w:t>377</w:t>
            </w:r>
          </w:p>
        </w:tc>
        <w:tc>
          <w:tcPr>
            <w:tcW w:type="dxa" w:w="458"/>
          </w:tcPr>
          <w:p>
            <w:pPr>
              <w:keepNext/>
              <w:jc w:val="right"/>
            </w:pPr>
            <w:r>
              <w:rPr>
                <w:sz w:val="13"/>
              </w:rPr>
              <w:t>10</w:t>
            </w:r>
          </w:p>
        </w:tc>
        <w:tc>
          <w:tcPr>
            <w:tcW w:type="dxa" w:w="458"/>
          </w:tcPr>
          <w:p>
            <w:pPr>
              <w:keepNext/>
              <w:jc w:val="right"/>
            </w:pPr>
            <w:r>
              <w:rPr>
                <w:sz w:val="13"/>
              </w:rPr>
              <w:t>0</w:t>
            </w:r>
          </w:p>
        </w:tc>
        <w:tc>
          <w:tcPr>
            <w:tcW w:type="dxa" w:w="483"/>
          </w:tcPr>
          <w:p>
            <w:pPr>
              <w:keepNext/>
              <w:jc w:val="right"/>
            </w:pPr>
            <w:r>
              <w:rPr>
                <w:sz w:val="13"/>
              </w:rPr>
              <w:t>0</w:t>
            </w:r>
          </w:p>
        </w:tc>
        <w:tc>
          <w:tcPr>
            <w:tcW w:type="dxa" w:w="458"/>
          </w:tcPr>
          <w:p>
            <w:pPr>
              <w:keepNext/>
              <w:jc w:val="right"/>
            </w:pPr>
            <w:r>
              <w:rPr>
                <w:sz w:val="13"/>
              </w:rPr>
              <w:t>1.00</w:t>
            </w:r>
          </w:p>
        </w:tc>
        <w:tc>
          <w:tcPr>
            <w:tcW w:type="dxa" w:w="375"/>
          </w:tcPr>
          <w:p>
            <w:pPr>
              <w:keepNext/>
              <w:jc w:val="right"/>
            </w:pPr>
            <w:r>
              <w:rPr>
                <w:sz w:val="13"/>
              </w:rPr>
              <w:t>161</w:t>
            </w:r>
          </w:p>
        </w:tc>
        <w:tc>
          <w:tcPr>
            <w:tcW w:type="dxa" w:w="458"/>
          </w:tcPr>
          <w:p>
            <w:pPr>
              <w:keepNext/>
              <w:jc w:val="right"/>
            </w:pPr>
            <w:r>
              <w:rPr>
                <w:sz w:val="13"/>
              </w:rPr>
              <w:t>1</w:t>
            </w:r>
          </w:p>
        </w:tc>
        <w:tc>
          <w:tcPr>
            <w:tcW w:type="dxa" w:w="791"/>
          </w:tcPr>
          <w:p>
            <w:pPr>
              <w:keepNext/>
              <w:jc w:val="right"/>
            </w:pPr>
            <w:r>
              <w:rPr>
                <w:sz w:val="13"/>
              </w:rPr>
              <w:t>0</w:t>
            </w:r>
          </w:p>
        </w:tc>
      </w:tr>
      <w:tr>
        <w:trPr>
          <w:cantSplit/>
        </w:trPr>
        <w:tc>
          <w:tcPr>
            <w:tcW w:type="dxa" w:w="1041"/>
            <w:tcBorders>
              <w:bottom w:val="single" w:sz="12" w:space="0" w:color="000000"/>
            </w:tcBorders>
          </w:tcPr>
          <w:p>
            <w:pPr>
              <w:jc w:val="left"/>
            </w:pPr>
            <w:r>
              <w:rPr>
                <w:sz w:val="13"/>
              </w:rPr>
              <w:t>CTX-M</w:t>
            </w:r>
          </w:p>
        </w:tc>
        <w:tc>
          <w:tcPr>
            <w:tcW w:type="dxa" w:w="375"/>
            <w:tcBorders>
              <w:bottom w:val="single" w:sz="12" w:space="0" w:color="000000"/>
            </w:tcBorders>
          </w:tcPr>
          <w:p>
            <w:pPr>
              <w:jc w:val="right"/>
            </w:pPr>
            <w:r>
              <w:rPr>
                <w:sz w:val="13"/>
              </w:rPr>
              <w:t>377</w:t>
            </w:r>
          </w:p>
        </w:tc>
        <w:tc>
          <w:tcPr>
            <w:tcW w:type="dxa" w:w="458"/>
            <w:tcBorders>
              <w:bottom w:val="single" w:sz="12" w:space="0" w:color="000000"/>
            </w:tcBorders>
          </w:tcPr>
          <w:p>
            <w:pPr>
              <w:jc w:val="right"/>
            </w:pPr>
            <w:r>
              <w:rPr>
                <w:sz w:val="13"/>
              </w:rPr>
              <w:t>160</w:t>
            </w:r>
          </w:p>
        </w:tc>
        <w:tc>
          <w:tcPr>
            <w:tcW w:type="dxa" w:w="458"/>
            <w:tcBorders>
              <w:bottom w:val="single" w:sz="12" w:space="0" w:color="000000"/>
            </w:tcBorders>
          </w:tcPr>
          <w:p>
            <w:pPr>
              <w:jc w:val="right"/>
            </w:pPr>
            <w:r>
              <w:rPr>
                <w:sz w:val="13"/>
              </w:rPr>
              <w:t>2</w:t>
            </w:r>
          </w:p>
        </w:tc>
        <w:tc>
          <w:tcPr>
            <w:tcW w:type="dxa" w:w="483"/>
            <w:tcBorders>
              <w:bottom w:val="single" w:sz="12" w:space="0" w:color="000000"/>
            </w:tcBorders>
          </w:tcPr>
          <w:p>
            <w:pPr>
              <w:jc w:val="right"/>
            </w:pPr>
            <w:r>
              <w:rPr>
                <w:sz w:val="13"/>
              </w:rPr>
              <w:t>2</w:t>
            </w:r>
          </w:p>
        </w:tc>
        <w:tc>
          <w:tcPr>
            <w:tcW w:type="dxa" w:w="458"/>
            <w:tcBorders>
              <w:bottom w:val="single" w:sz="12" w:space="0" w:color="000000"/>
            </w:tcBorders>
          </w:tcPr>
          <w:p>
            <w:pPr>
              <w:jc w:val="right"/>
            </w:pPr>
            <w:r>
              <w:rPr>
                <w:sz w:val="13"/>
              </w:rPr>
              <w:t>0.98</w:t>
            </w:r>
          </w:p>
        </w:tc>
        <w:tc>
          <w:tcPr>
            <w:tcW w:type="dxa" w:w="375"/>
            <w:tcBorders>
              <w:bottom w:val="single" w:sz="12" w:space="0" w:color="000000"/>
            </w:tcBorders>
          </w:tcPr>
          <w:p>
            <w:pPr>
              <w:jc w:val="right"/>
            </w:pPr>
            <w:r>
              <w:rPr>
                <w:sz w:val="13"/>
              </w:rPr>
              <w:t>161</w:t>
            </w:r>
          </w:p>
        </w:tc>
        <w:tc>
          <w:tcPr>
            <w:tcW w:type="dxa" w:w="458"/>
            <w:tcBorders>
              <w:bottom w:val="single" w:sz="12" w:space="0" w:color="000000"/>
            </w:tcBorders>
          </w:tcPr>
          <w:p>
            <w:pPr>
              <w:jc w:val="right"/>
            </w:pPr>
            <w:r>
              <w:rPr>
                <w:sz w:val="13"/>
              </w:rPr>
              <w:t>63</w:t>
            </w:r>
          </w:p>
        </w:tc>
        <w:tc>
          <w:tcPr>
            <w:tcW w:type="dxa" w:w="791"/>
            <w:tcBorders>
              <w:bottom w:val="single" w:sz="12" w:space="0" w:color="000000"/>
            </w:tcBorders>
          </w:tcPr>
          <w:p>
            <w:pPr>
              <w:jc w:val="right"/>
            </w:pPr>
            <w:r>
              <w:rPr>
                <w:sz w:val="13"/>
              </w:rPr>
              <w:t>2</w:t>
            </w:r>
          </w:p>
        </w:tc>
      </w:tr>
    </w:tbl>
    <w:p>
      <w:pPr>
        <w:spacing w:after="80"/>
      </w:pP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jc w:val="center"/>
      </w:pPr>
      <w:r>
        <w:drawing>
          <wp:inline xmlns:a="http://schemas.openxmlformats.org/drawingml/2006/main" xmlns:pic="http://schemas.openxmlformats.org/drawingml/2006/picture">
            <wp:extent cx="6068324" cy="2832098"/>
            <wp:docPr id="8" name="Picture 8"/>
            <wp:cNvGraphicFramePr>
              <a:graphicFrameLocks noChangeAspect="1"/>
            </wp:cNvGraphicFramePr>
            <a:graphic>
              <a:graphicData uri="http://schemas.openxmlformats.org/drawingml/2006/picture">
                <pic:pic>
                  <pic:nvPicPr>
                    <pic:cNvPr id="0" name="fig7_checkA.png"/>
                    <pic:cNvPicPr/>
                  </pic:nvPicPr>
                  <pic:blipFill>
                    <a:blip r:embed="rId18"/>
                    <a:stretch>
                      <a:fillRect/>
                    </a:stretch>
                  </pic:blipFill>
                  <pic:spPr>
                    <a:xfrm>
                      <a:off x="0" y="0"/>
                      <a:ext cx="6068324" cy="2832098"/>
                    </a:xfrm>
                    <a:prstGeom prst="rect"/>
                  </pic:spPr>
                </pic:pic>
              </a:graphicData>
            </a:graphic>
          </wp:inline>
        </w:drawing>
      </w:r>
    </w:p>
    <w:p>
      <w:pPr>
        <w:spacing w:before="60" w:after="160"/>
        <w:jc w:val="both"/>
      </w:pPr>
      <w:r>
        <w:rPr>
          <w:sz w:val="18"/>
        </w:rPr>
        <w:t xml:space="preserve">FIG. 7: </w:t>
      </w:r>
      <w:r>
        <w:rPr>
          <w:sz w:val="18"/>
        </w:rPr>
        <w:t xml:space="preserve">Check A. (a) Isolates in which CDC, NCBI AMRFinderPlus, or both found each target, with Cohen's </w:t>
      </w:r>
      <w:r>
        <w:rPr>
          <w:sz w:val="18"/>
        </w:rPr>
        <w:t>κ</w:t>
      </w:r>
      <w:r>
        <w:rPr>
          <w:sz w:val="18"/>
        </w:rPr>
        <w:t>. (b) Disagreeing target-positive calls by CDC's gene-calling method; “independent” means CDC used ResFinder or ARG-ANNOT without NCBI's database.</w:t>
      </w:r>
    </w:p>
    <w:p>
      <w:pPr>
        <w:spacing w:after="0" w:line="20" w:lineRule="exact"/>
        <w:rPr>
          <w:sz w:val="2"/>
        </w:rPr>
        <w:sectPr>
          <w:type w:val="continuous"/>
          <w:pgSz w:w="12240" w:h="15840"/>
          <w:pgMar w:top="1224" w:bottom="1296" w:left="1036" w:right="1036" w:header="720" w:footer="720" w:gutter="0"/>
          <w:cols w:num="1" w:space="374"/>
        </w:sectPr>
      </w:pPr>
      <w:r/>
    </w:p>
    <w:p>
      <w:pPr>
        <w:spacing w:before="0" w:after="0"/>
        <w:ind w:firstLine="245"/>
        <w:jc w:val="both"/>
      </w:pPr>
      <w:r>
        <w:rPr>
          <w:sz w:val="20"/>
        </w:rPr>
        <w:t>Table IX and Fig. 8 set the Bank estimates beside Project 1's. When a target gene was present, the share of isolates testing resistant was similar to Project 1 for the high-PPV targets: KPC predicted resistance to any carbapenem in 60/64 (93.8%; Project 1 98.0%), OXA-48-like in 26/26 (100.0%), the five panel carbapenemases together in 142/147 (96.6%; Project 1 97.8%), and CTX-M predicted ceftriaxone resistance in 146/146 (100.0%; Project 1 97.7%). The drug-level pattern also held: carbapenemase producers were less often resistant to meropenem (PPV 84.4%) than to any carbapenem, and OXA-48-like producers least of all (19/26 meropenem resistant). For CTX-M and ceftazidime the Bank PPV was higher than Project 1's (87.6% versus 57.0%).</w:t>
      </w:r>
    </w:p>
    <w:p>
      <w:pPr>
        <w:spacing w:before="0" w:after="0"/>
        <w:ind w:firstLine="245"/>
        <w:jc w:val="both"/>
      </w:pPr>
      <w:r>
        <w:rPr>
          <w:sz w:val="20"/>
        </w:rPr>
        <w:t xml:space="preserve">The measures that depend on what else is in the collection differed, as expected. Among </w:t>
      </w:r>
      <w:r>
        <w:rPr>
          <w:i/>
          <w:sz w:val="20"/>
        </w:rPr>
        <w:t>S. aureus</w:t>
      </w:r>
      <w:r>
        <w:rPr>
          <w:sz w:val="20"/>
        </w:rPr>
        <w:t xml:space="preserve">, </w:t>
      </w:r>
      <w:r>
        <w:rPr>
          <w:i/>
          <w:sz w:val="20"/>
        </w:rPr>
        <w:t>mecA</w:t>
      </w:r>
      <w:r>
        <w:rPr>
          <w:sz w:val="20"/>
        </w:rPr>
        <w:t xml:space="preserve">-positive isolates were often oxacillin susceptible by MIC (36 of them), so specificity for oxacillin was 39.0% against Project 1's 98.5%; with cefoxitin added, PPV was 94.2% and specificity 77.8%. These are the Bank's deliberately difficult staphylococci: its borderline oxacillin (BORSA) and difficult-to-detect </w:t>
      </w:r>
      <w:r>
        <w:rPr>
          <w:i/>
          <w:sz w:val="20"/>
        </w:rPr>
        <w:t>mecA</w:t>
      </w:r>
      <w:r>
        <w:rPr>
          <w:sz w:val="20"/>
        </w:rPr>
        <w:t xml:space="preserve"> (DTD) panels. Sensitivity of each single carbapenemase was low because Bank isolates carry many different carbapenemases, but sensitivity of the five together for any-carbapenem resistance was 79.8% (Project 1 64.3%) and for meropenem 83.8% (Project 1 73.2%). CTX-M sensitivity for ceftriaxone resistance matched Project 1 (55.3% versus 56.5%), confirming that a negative CTX-M result is a weak predictor of ceftriaxone susceptibility.</w:t>
      </w:r>
    </w:p>
    <w:p>
      <w:pPr>
        <w:keepNext/>
        <w:spacing w:before="120" w:after="20"/>
        <w:jc w:val="left"/>
        <w:outlineLvl w:val="2"/>
      </w:pPr>
      <w:r>
        <w:rPr>
          <w:i/>
          <w:sz w:val="19"/>
        </w:rPr>
        <w:t>3. Check C.</w:t>
      </w:r>
    </w:p>
    <w:p>
      <w:pPr>
        <w:spacing w:before="0" w:after="0"/>
        <w:ind w:firstLine="245"/>
        <w:jc w:val="both"/>
      </w:pPr>
      <w:r>
        <w:rPr>
          <w:sz w:val="20"/>
        </w:rPr>
        <w:t>For the 120 isolate–drug results on the 24 overlapping isolates, the category from CDC's NCBI antibiogram matched the category from CDC's web page in 97.5%, with 0 major or very major differences; the 3 differences were susceptible versus intermediate at a carbapenem breakpoint. Because both records come from CDC, this is a consistency check of CDC's two postings, not a comparison between laboratories.</w:t>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after="60"/>
        <w:jc w:val="both"/>
      </w:pPr>
      <w:r>
        <w:rPr>
          <w:sz w:val="18"/>
        </w:rPr>
        <w:t xml:space="preserve">TABLE IX: </w:t>
      </w:r>
      <w:r>
        <w:rPr>
          <w:sz w:val="18"/>
        </w:rPr>
        <w:t xml:space="preserve">Check B: Project 1 rules applied to independent Bank isolates (Bank) beside Project 1's U.S. estimates (P1). </w:t>
      </w:r>
      <w:r>
        <w:rPr>
          <w:i/>
          <w:sz w:val="18"/>
        </w:rPr>
        <w:t>n</w:t>
      </w:r>
      <w:r>
        <w:rPr>
          <w:sz w:val="18"/>
        </w:rPr>
        <w:t xml:space="preserve"> is Bank isolates with an interpretable result; PPV and sensitivity also give Bank counts. Enterobacterales exclude </w:t>
      </w:r>
      <w:r>
        <w:rPr>
          <w:i/>
          <w:sz w:val="18"/>
        </w:rPr>
        <w:t>Salmonella</w:t>
      </w:r>
      <w:r>
        <w:rPr>
          <w:sz w:val="18"/>
        </w:rPr>
        <w:t xml:space="preserve">; enterococci are </w:t>
      </w:r>
      <w:r>
        <w:rPr>
          <w:i/>
          <w:sz w:val="18"/>
        </w:rPr>
        <w:t>E. faecalis</w:t>
      </w:r>
      <w:r>
        <w:rPr>
          <w:sz w:val="18"/>
        </w:rPr>
        <w:t xml:space="preserve"> and </w:t>
      </w:r>
      <w:r>
        <w:rPr>
          <w:i/>
          <w:sz w:val="18"/>
        </w:rPr>
        <w:t>E. faecium</w:t>
      </w:r>
      <w:r>
        <w:rPr>
          <w:sz w:val="18"/>
        </w:rPr>
        <w:t>. – , not estimable.</w:t>
      </w:r>
    </w:p>
    <w:tbl>
      <w:tblPr>
        <w:jc w:val="center"/>
        <w:tblLayout w:type="fixed"/>
        <w:tblLook w:firstColumn="1" w:firstRow="1" w:lastColumn="0" w:lastRow="0" w:noHBand="0" w:noVBand="1" w:val="04A0"/>
        <w:tblCellMar>
          <w:top w:w="10" w:type="dxa"/>
          <w:bottom w:w="10" w:type="dxa"/>
          <w:left w:w="50" w:type="dxa"/>
          <w:right w:w="50" w:type="dxa"/>
        </w:tblCellMar>
        <w:tblLayout w:type="fixed"/>
        <w:tblW w:w="10166" w:type="dxa"/>
      </w:tblPr>
      <w:tblGrid>
        <w:gridCol w:w="1667"/>
        <w:gridCol w:w="1344"/>
        <w:gridCol w:w="484"/>
        <w:gridCol w:w="914"/>
        <w:gridCol w:w="806"/>
        <w:gridCol w:w="806"/>
        <w:gridCol w:w="914"/>
        <w:gridCol w:w="806"/>
        <w:gridCol w:w="806"/>
        <w:gridCol w:w="806"/>
        <w:gridCol w:w="806"/>
      </w:tblGrid>
      <w:tr>
        <w:trPr>
          <w:cantSplit/>
          <w:tblHeader/>
        </w:trPr>
        <w:tc>
          <w:tcPr>
            <w:tcW w:type="dxa" w:w="1668"/>
            <w:tcBorders>
              <w:top w:val="single" w:sz="12" w:space="0" w:color="000000"/>
            </w:tcBorders>
          </w:tcPr>
          <w:p>
            <w:pPr>
              <w:keepNext/>
              <w:jc w:val="left"/>
            </w:pPr>
          </w:p>
        </w:tc>
        <w:tc>
          <w:tcPr>
            <w:tcW w:type="dxa" w:w="1345"/>
            <w:tcBorders>
              <w:top w:val="single" w:sz="12" w:space="0" w:color="000000"/>
            </w:tcBorders>
          </w:tcPr>
          <w:p>
            <w:pPr>
              <w:keepNext/>
              <w:jc w:val="left"/>
            </w:pPr>
          </w:p>
        </w:tc>
        <w:tc>
          <w:tcPr>
            <w:tcW w:type="dxa" w:w="484"/>
            <w:tcBorders>
              <w:top w:val="single" w:sz="12" w:space="0" w:color="000000"/>
            </w:tcBorders>
          </w:tcPr>
          <w:p>
            <w:pPr>
              <w:keepNext/>
              <w:jc w:val="right"/>
            </w:pPr>
          </w:p>
        </w:tc>
        <w:tc>
          <w:tcPr>
            <w:tcW w:type="dxa" w:w="807"/>
            <w:gridSpan w:val="3"/>
            <w:tcBorders>
              <w:top w:val="single" w:sz="12" w:space="0" w:color="000000"/>
              <w:top w:val="single" w:sz="12" w:space="0" w:color="000000"/>
              <w:top w:val="single" w:sz="12" w:space="0" w:color="000000"/>
            </w:tcBorders>
          </w:tcPr>
          <w:p>
            <w:pPr>
              <w:keepNext/>
              <w:jc w:val="center"/>
            </w:pPr>
            <w:r>
              <w:rPr>
                <w:sz w:val="14"/>
              </w:rPr>
              <w:t>PPV</w:t>
            </w:r>
          </w:p>
        </w:tc>
        <w:tc>
          <w:tcPr>
            <w:tcW w:type="dxa" w:w="807"/>
            <w:gridSpan w:val="3"/>
            <w:tcBorders>
              <w:top w:val="single" w:sz="12" w:space="0" w:color="000000"/>
              <w:top w:val="single" w:sz="12" w:space="0" w:color="000000"/>
              <w:top w:val="single" w:sz="12" w:space="0" w:color="000000"/>
            </w:tcBorders>
          </w:tcPr>
          <w:p>
            <w:pPr>
              <w:keepNext/>
              <w:jc w:val="center"/>
            </w:pPr>
            <w:r>
              <w:rPr>
                <w:sz w:val="14"/>
              </w:rPr>
              <w:t>Sensitivity</w:t>
            </w:r>
          </w:p>
        </w:tc>
        <w:tc>
          <w:tcPr>
            <w:tcW w:type="dxa" w:w="807"/>
            <w:gridSpan w:val="2"/>
            <w:tcBorders>
              <w:top w:val="single" w:sz="12" w:space="0" w:color="000000"/>
              <w:top w:val="single" w:sz="12" w:space="0" w:color="000000"/>
            </w:tcBorders>
          </w:tcPr>
          <w:p>
            <w:pPr>
              <w:keepNext/>
              <w:jc w:val="center"/>
            </w:pPr>
            <w:r>
              <w:rPr>
                <w:sz w:val="14"/>
              </w:rPr>
              <w:t>Specificity</w:t>
            </w:r>
          </w:p>
        </w:tc>
      </w:tr>
      <w:tr>
        <w:trPr>
          <w:cantSplit/>
          <w:tblHeader/>
        </w:trPr>
        <w:tc>
          <w:tcPr>
            <w:tcW w:type="dxa" w:w="1668"/>
            <w:tcBorders>
              <w:bottom w:val="single" w:sz="6" w:space="0" w:color="000000"/>
            </w:tcBorders>
          </w:tcPr>
          <w:p>
            <w:pPr>
              <w:keepNext/>
              <w:jc w:val="left"/>
            </w:pPr>
            <w:r>
              <w:rPr>
                <w:sz w:val="14"/>
              </w:rPr>
              <w:t>Target</w:t>
            </w:r>
          </w:p>
        </w:tc>
        <w:tc>
          <w:tcPr>
            <w:tcW w:type="dxa" w:w="1345"/>
            <w:tcBorders>
              <w:bottom w:val="single" w:sz="6" w:space="0" w:color="000000"/>
            </w:tcBorders>
          </w:tcPr>
          <w:p>
            <w:pPr>
              <w:keepNext/>
              <w:jc w:val="left"/>
            </w:pPr>
            <w:r>
              <w:rPr>
                <w:sz w:val="14"/>
              </w:rPr>
              <w:t>Drug</w:t>
            </w:r>
          </w:p>
        </w:tc>
        <w:tc>
          <w:tcPr>
            <w:tcW w:type="dxa" w:w="484"/>
            <w:tcBorders>
              <w:bottom w:val="single" w:sz="6" w:space="0" w:color="000000"/>
            </w:tcBorders>
          </w:tcPr>
          <w:p>
            <w:pPr>
              <w:keepNext/>
              <w:jc w:val="right"/>
            </w:pPr>
            <w:r>
              <w:rPr>
                <w:i/>
                <w:sz w:val="14"/>
              </w:rPr>
              <w:t>n</w:t>
            </w:r>
          </w:p>
        </w:tc>
        <w:tc>
          <w:tcPr>
            <w:tcW w:type="dxa" w:w="914"/>
            <w:tcBorders>
              <w:bottom w:val="single" w:sz="6" w:space="0" w:color="000000"/>
            </w:tcBorders>
          </w:tcPr>
          <w:p>
            <w:pPr>
              <w:keepNext/>
              <w:jc w:val="right"/>
            </w:pPr>
            <w:r>
              <w:rPr>
                <w:sz w:val="14"/>
              </w:rPr>
              <w:t>Bank</w:t>
            </w:r>
          </w:p>
        </w:tc>
        <w:tc>
          <w:tcPr>
            <w:tcW w:type="dxa" w:w="807"/>
            <w:tcBorders>
              <w:bottom w:val="single" w:sz="6" w:space="0" w:color="000000"/>
            </w:tcBorders>
          </w:tcPr>
          <w:p>
            <w:pPr>
              <w:keepNext/>
              <w:jc w:val="right"/>
            </w:pPr>
            <w:r>
              <w:rPr>
                <w:sz w:val="14"/>
              </w:rPr>
              <w:t>Bank</w:t>
            </w:r>
          </w:p>
        </w:tc>
        <w:tc>
          <w:tcPr>
            <w:tcW w:type="dxa" w:w="807"/>
            <w:tcBorders>
              <w:bottom w:val="single" w:sz="6" w:space="0" w:color="000000"/>
            </w:tcBorders>
          </w:tcPr>
          <w:p>
            <w:pPr>
              <w:keepNext/>
              <w:jc w:val="right"/>
            </w:pPr>
            <w:r>
              <w:rPr>
                <w:sz w:val="14"/>
              </w:rPr>
              <w:t>P1</w:t>
            </w:r>
          </w:p>
        </w:tc>
        <w:tc>
          <w:tcPr>
            <w:tcW w:type="dxa" w:w="914"/>
            <w:tcBorders>
              <w:bottom w:val="single" w:sz="6" w:space="0" w:color="000000"/>
            </w:tcBorders>
          </w:tcPr>
          <w:p>
            <w:pPr>
              <w:keepNext/>
              <w:jc w:val="right"/>
            </w:pPr>
            <w:r>
              <w:rPr>
                <w:sz w:val="14"/>
              </w:rPr>
              <w:t>Bank</w:t>
            </w:r>
          </w:p>
        </w:tc>
        <w:tc>
          <w:tcPr>
            <w:tcW w:type="dxa" w:w="807"/>
            <w:tcBorders>
              <w:bottom w:val="single" w:sz="6" w:space="0" w:color="000000"/>
            </w:tcBorders>
          </w:tcPr>
          <w:p>
            <w:pPr>
              <w:keepNext/>
              <w:jc w:val="right"/>
            </w:pPr>
            <w:r>
              <w:rPr>
                <w:sz w:val="14"/>
              </w:rPr>
              <w:t>Bank</w:t>
            </w:r>
          </w:p>
        </w:tc>
        <w:tc>
          <w:tcPr>
            <w:tcW w:type="dxa" w:w="807"/>
            <w:tcBorders>
              <w:bottom w:val="single" w:sz="6" w:space="0" w:color="000000"/>
            </w:tcBorders>
          </w:tcPr>
          <w:p>
            <w:pPr>
              <w:keepNext/>
              <w:jc w:val="right"/>
            </w:pPr>
            <w:r>
              <w:rPr>
                <w:sz w:val="14"/>
              </w:rPr>
              <w:t>P1</w:t>
            </w:r>
          </w:p>
        </w:tc>
        <w:tc>
          <w:tcPr>
            <w:tcW w:type="dxa" w:w="807"/>
            <w:tcBorders>
              <w:bottom w:val="single" w:sz="6" w:space="0" w:color="000000"/>
            </w:tcBorders>
          </w:tcPr>
          <w:p>
            <w:pPr>
              <w:keepNext/>
              <w:jc w:val="right"/>
            </w:pPr>
            <w:r>
              <w:rPr>
                <w:sz w:val="14"/>
              </w:rPr>
              <w:t>Bank</w:t>
            </w:r>
          </w:p>
        </w:tc>
        <w:tc>
          <w:tcPr>
            <w:tcW w:type="dxa" w:w="807"/>
            <w:tcBorders>
              <w:bottom w:val="single" w:sz="6" w:space="0" w:color="000000"/>
            </w:tcBorders>
          </w:tcPr>
          <w:p>
            <w:pPr>
              <w:keepNext/>
              <w:jc w:val="right"/>
            </w:pPr>
            <w:r>
              <w:rPr>
                <w:sz w:val="14"/>
              </w:rPr>
              <w:t>P1</w:t>
            </w:r>
          </w:p>
        </w:tc>
      </w:tr>
      <w:tr>
        <w:trPr>
          <w:cantSplit/>
        </w:trPr>
        <w:tc>
          <w:tcPr>
            <w:tcW w:type="dxa" w:w="1668"/>
          </w:tcPr>
          <w:p>
            <w:pPr>
              <w:keepNext/>
              <w:jc w:val="left"/>
            </w:pPr>
            <w:r>
              <w:rPr>
                <w:sz w:val="14"/>
              </w:rPr>
              <w:t>mecA</w:t>
            </w:r>
          </w:p>
        </w:tc>
        <w:tc>
          <w:tcPr>
            <w:tcW w:type="dxa" w:w="1345"/>
          </w:tcPr>
          <w:p>
            <w:pPr>
              <w:keepNext/>
              <w:jc w:val="left"/>
            </w:pPr>
            <w:r>
              <w:rPr>
                <w:sz w:val="14"/>
              </w:rPr>
              <w:t>oxacillin</w:t>
            </w:r>
          </w:p>
        </w:tc>
        <w:tc>
          <w:tcPr>
            <w:tcW w:type="dxa" w:w="484"/>
          </w:tcPr>
          <w:p>
            <w:pPr>
              <w:keepNext/>
              <w:jc w:val="right"/>
            </w:pPr>
            <w:r>
              <w:rPr>
                <w:sz w:val="14"/>
              </w:rPr>
              <w:t>127</w:t>
            </w:r>
          </w:p>
        </w:tc>
        <w:tc>
          <w:tcPr>
            <w:tcW w:type="dxa" w:w="914"/>
          </w:tcPr>
          <w:p>
            <w:pPr>
              <w:keepNext/>
              <w:jc w:val="right"/>
            </w:pPr>
            <w:r>
              <w:rPr>
                <w:sz w:val="14"/>
              </w:rPr>
              <w:t>67/103</w:t>
            </w:r>
          </w:p>
        </w:tc>
        <w:tc>
          <w:tcPr>
            <w:tcW w:type="dxa" w:w="807"/>
          </w:tcPr>
          <w:p>
            <w:pPr>
              <w:keepNext/>
              <w:jc w:val="right"/>
            </w:pPr>
            <w:r>
              <w:rPr>
                <w:sz w:val="14"/>
              </w:rPr>
              <w:t>65.0%</w:t>
            </w:r>
          </w:p>
        </w:tc>
        <w:tc>
          <w:tcPr>
            <w:tcW w:type="dxa" w:w="807"/>
          </w:tcPr>
          <w:p>
            <w:pPr>
              <w:keepNext/>
              <w:jc w:val="right"/>
            </w:pPr>
            <w:r>
              <w:rPr>
                <w:sz w:val="14"/>
              </w:rPr>
              <w:t>97.7%</w:t>
            </w:r>
          </w:p>
        </w:tc>
        <w:tc>
          <w:tcPr>
            <w:tcW w:type="dxa" w:w="914"/>
          </w:tcPr>
          <w:p>
            <w:pPr>
              <w:keepNext/>
              <w:jc w:val="right"/>
            </w:pPr>
            <w:r>
              <w:rPr>
                <w:sz w:val="14"/>
              </w:rPr>
              <w:t>67/68</w:t>
            </w:r>
          </w:p>
        </w:tc>
        <w:tc>
          <w:tcPr>
            <w:tcW w:type="dxa" w:w="807"/>
          </w:tcPr>
          <w:p>
            <w:pPr>
              <w:keepNext/>
              <w:jc w:val="right"/>
            </w:pPr>
            <w:r>
              <w:rPr>
                <w:sz w:val="14"/>
              </w:rPr>
              <w:t>98.5%</w:t>
            </w:r>
          </w:p>
        </w:tc>
        <w:tc>
          <w:tcPr>
            <w:tcW w:type="dxa" w:w="807"/>
          </w:tcPr>
          <w:p>
            <w:pPr>
              <w:keepNext/>
              <w:jc w:val="right"/>
            </w:pPr>
            <w:r>
              <w:rPr>
                <w:sz w:val="14"/>
              </w:rPr>
              <w:t>100.0%</w:t>
            </w:r>
          </w:p>
        </w:tc>
        <w:tc>
          <w:tcPr>
            <w:tcW w:type="dxa" w:w="807"/>
          </w:tcPr>
          <w:p>
            <w:pPr>
              <w:keepNext/>
              <w:jc w:val="right"/>
            </w:pPr>
            <w:r>
              <w:rPr>
                <w:sz w:val="14"/>
              </w:rPr>
              <w:t>39.0%</w:t>
            </w:r>
          </w:p>
        </w:tc>
        <w:tc>
          <w:tcPr>
            <w:tcW w:type="dxa" w:w="807"/>
          </w:tcPr>
          <w:p>
            <w:pPr>
              <w:keepNext/>
              <w:jc w:val="right"/>
            </w:pPr>
            <w:r>
              <w:rPr>
                <w:sz w:val="14"/>
              </w:rPr>
              <w:t>98.5%</w:t>
            </w:r>
          </w:p>
        </w:tc>
      </w:tr>
      <w:tr>
        <w:trPr>
          <w:cantSplit/>
        </w:trPr>
        <w:tc>
          <w:tcPr>
            <w:tcW w:type="dxa" w:w="1668"/>
          </w:tcPr>
          <w:p>
            <w:pPr>
              <w:keepNext/>
              <w:jc w:val="left"/>
            </w:pPr>
            <w:r>
              <w:rPr>
                <w:sz w:val="14"/>
              </w:rPr>
              <w:t>mecA</w:t>
            </w:r>
          </w:p>
        </w:tc>
        <w:tc>
          <w:tcPr>
            <w:tcW w:type="dxa" w:w="1345"/>
          </w:tcPr>
          <w:p>
            <w:pPr>
              <w:keepNext/>
              <w:jc w:val="left"/>
            </w:pPr>
            <w:r>
              <w:rPr>
                <w:sz w:val="14"/>
              </w:rPr>
              <w:t>cefoxitin</w:t>
            </w:r>
          </w:p>
        </w:tc>
        <w:tc>
          <w:tcPr>
            <w:tcW w:type="dxa" w:w="484"/>
          </w:tcPr>
          <w:p>
            <w:pPr>
              <w:keepNext/>
              <w:jc w:val="right"/>
            </w:pPr>
            <w:r>
              <w:rPr>
                <w:sz w:val="14"/>
              </w:rPr>
              <w:t>127</w:t>
            </w:r>
          </w:p>
        </w:tc>
        <w:tc>
          <w:tcPr>
            <w:tcW w:type="dxa" w:w="914"/>
          </w:tcPr>
          <w:p>
            <w:pPr>
              <w:keepNext/>
              <w:jc w:val="right"/>
            </w:pPr>
            <w:r>
              <w:rPr>
                <w:sz w:val="14"/>
              </w:rPr>
              <w:t>97/103</w:t>
            </w:r>
          </w:p>
        </w:tc>
        <w:tc>
          <w:tcPr>
            <w:tcW w:type="dxa" w:w="807"/>
          </w:tcPr>
          <w:p>
            <w:pPr>
              <w:keepNext/>
              <w:jc w:val="right"/>
            </w:pPr>
            <w:r>
              <w:rPr>
                <w:sz w:val="14"/>
              </w:rPr>
              <w:t>94.2%</w:t>
            </w:r>
          </w:p>
        </w:tc>
        <w:tc>
          <w:tcPr>
            <w:tcW w:type="dxa" w:w="807"/>
          </w:tcPr>
          <w:p>
            <w:pPr>
              <w:keepNext/>
              <w:jc w:val="right"/>
            </w:pPr>
            <w:r>
              <w:rPr>
                <w:sz w:val="14"/>
              </w:rPr>
              <w:t>–</w:t>
            </w:r>
          </w:p>
        </w:tc>
        <w:tc>
          <w:tcPr>
            <w:tcW w:type="dxa" w:w="914"/>
          </w:tcPr>
          <w:p>
            <w:pPr>
              <w:keepNext/>
              <w:jc w:val="right"/>
            </w:pPr>
            <w:r>
              <w:rPr>
                <w:sz w:val="14"/>
              </w:rPr>
              <w:t>97/100</w:t>
            </w:r>
          </w:p>
        </w:tc>
        <w:tc>
          <w:tcPr>
            <w:tcW w:type="dxa" w:w="807"/>
          </w:tcPr>
          <w:p>
            <w:pPr>
              <w:keepNext/>
              <w:jc w:val="right"/>
            </w:pPr>
            <w:r>
              <w:rPr>
                <w:sz w:val="14"/>
              </w:rPr>
              <w:t>97.0%</w:t>
            </w:r>
          </w:p>
        </w:tc>
        <w:tc>
          <w:tcPr>
            <w:tcW w:type="dxa" w:w="807"/>
          </w:tcPr>
          <w:p>
            <w:pPr>
              <w:keepNext/>
              <w:jc w:val="right"/>
            </w:pPr>
            <w:r>
              <w:rPr>
                <w:sz w:val="14"/>
              </w:rPr>
              <w:t>0.0%</w:t>
            </w:r>
          </w:p>
        </w:tc>
        <w:tc>
          <w:tcPr>
            <w:tcW w:type="dxa" w:w="807"/>
          </w:tcPr>
          <w:p>
            <w:pPr>
              <w:keepNext/>
              <w:jc w:val="right"/>
            </w:pPr>
            <w:r>
              <w:rPr>
                <w:sz w:val="14"/>
              </w:rPr>
              <w:t>77.8%</w:t>
            </w:r>
          </w:p>
        </w:tc>
        <w:tc>
          <w:tcPr>
            <w:tcW w:type="dxa" w:w="807"/>
          </w:tcPr>
          <w:p>
            <w:pPr>
              <w:keepNext/>
              <w:jc w:val="right"/>
            </w:pPr>
            <w:r>
              <w:rPr>
                <w:sz w:val="14"/>
              </w:rPr>
              <w:t>–</w:t>
            </w:r>
          </w:p>
        </w:tc>
      </w:tr>
      <w:tr>
        <w:trPr>
          <w:cantSplit/>
        </w:trPr>
        <w:tc>
          <w:tcPr>
            <w:tcW w:type="dxa" w:w="1668"/>
          </w:tcPr>
          <w:p>
            <w:pPr>
              <w:keepNext/>
              <w:jc w:val="left"/>
            </w:pPr>
            <w:r>
              <w:rPr>
                <w:sz w:val="14"/>
              </w:rPr>
              <w:t>mecA</w:t>
            </w:r>
          </w:p>
        </w:tc>
        <w:tc>
          <w:tcPr>
            <w:tcW w:type="dxa" w:w="1345"/>
          </w:tcPr>
          <w:p>
            <w:pPr>
              <w:keepNext/>
              <w:jc w:val="left"/>
            </w:pPr>
            <w:r>
              <w:rPr>
                <w:sz w:val="14"/>
              </w:rPr>
              <w:t>oxacillin or cefoxitin</w:t>
            </w:r>
          </w:p>
        </w:tc>
        <w:tc>
          <w:tcPr>
            <w:tcW w:type="dxa" w:w="484"/>
          </w:tcPr>
          <w:p>
            <w:pPr>
              <w:keepNext/>
              <w:jc w:val="right"/>
            </w:pPr>
            <w:r>
              <w:rPr>
                <w:sz w:val="14"/>
              </w:rPr>
              <w:t>127</w:t>
            </w:r>
          </w:p>
        </w:tc>
        <w:tc>
          <w:tcPr>
            <w:tcW w:type="dxa" w:w="914"/>
          </w:tcPr>
          <w:p>
            <w:pPr>
              <w:keepNext/>
              <w:jc w:val="right"/>
            </w:pPr>
            <w:r>
              <w:rPr>
                <w:sz w:val="14"/>
              </w:rPr>
              <w:t>97/103</w:t>
            </w:r>
          </w:p>
        </w:tc>
        <w:tc>
          <w:tcPr>
            <w:tcW w:type="dxa" w:w="807"/>
          </w:tcPr>
          <w:p>
            <w:pPr>
              <w:keepNext/>
              <w:jc w:val="right"/>
            </w:pPr>
            <w:r>
              <w:rPr>
                <w:sz w:val="14"/>
              </w:rPr>
              <w:t>94.2%</w:t>
            </w:r>
          </w:p>
        </w:tc>
        <w:tc>
          <w:tcPr>
            <w:tcW w:type="dxa" w:w="807"/>
          </w:tcPr>
          <w:p>
            <w:pPr>
              <w:keepNext/>
              <w:jc w:val="right"/>
            </w:pPr>
            <w:r>
              <w:rPr>
                <w:sz w:val="14"/>
              </w:rPr>
              <w:t>97.7%</w:t>
            </w:r>
          </w:p>
        </w:tc>
        <w:tc>
          <w:tcPr>
            <w:tcW w:type="dxa" w:w="914"/>
          </w:tcPr>
          <w:p>
            <w:pPr>
              <w:keepNext/>
              <w:jc w:val="right"/>
            </w:pPr>
            <w:r>
              <w:rPr>
                <w:sz w:val="14"/>
              </w:rPr>
              <w:t>97/100</w:t>
            </w:r>
          </w:p>
        </w:tc>
        <w:tc>
          <w:tcPr>
            <w:tcW w:type="dxa" w:w="807"/>
          </w:tcPr>
          <w:p>
            <w:pPr>
              <w:keepNext/>
              <w:jc w:val="right"/>
            </w:pPr>
            <w:r>
              <w:rPr>
                <w:sz w:val="14"/>
              </w:rPr>
              <w:t>97.0%</w:t>
            </w:r>
          </w:p>
        </w:tc>
        <w:tc>
          <w:tcPr>
            <w:tcW w:type="dxa" w:w="807"/>
          </w:tcPr>
          <w:p>
            <w:pPr>
              <w:keepNext/>
              <w:jc w:val="right"/>
            </w:pPr>
            <w:r>
              <w:rPr>
                <w:sz w:val="14"/>
              </w:rPr>
              <w:t>99.5%</w:t>
            </w:r>
          </w:p>
        </w:tc>
        <w:tc>
          <w:tcPr>
            <w:tcW w:type="dxa" w:w="807"/>
          </w:tcPr>
          <w:p>
            <w:pPr>
              <w:keepNext/>
              <w:jc w:val="right"/>
            </w:pPr>
            <w:r>
              <w:rPr>
                <w:sz w:val="14"/>
              </w:rPr>
              <w:t>77.8%</w:t>
            </w:r>
          </w:p>
        </w:tc>
        <w:tc>
          <w:tcPr>
            <w:tcW w:type="dxa" w:w="807"/>
          </w:tcPr>
          <w:p>
            <w:pPr>
              <w:keepNext/>
              <w:jc w:val="right"/>
            </w:pPr>
            <w:r>
              <w:rPr>
                <w:sz w:val="14"/>
              </w:rPr>
              <w:t>98.5%</w:t>
            </w:r>
          </w:p>
        </w:tc>
      </w:tr>
      <w:tr>
        <w:trPr>
          <w:cantSplit/>
        </w:trPr>
        <w:tc>
          <w:tcPr>
            <w:tcW w:type="dxa" w:w="1668"/>
          </w:tcPr>
          <w:p>
            <w:pPr>
              <w:keepNext/>
              <w:jc w:val="left"/>
            </w:pPr>
            <w:r>
              <w:rPr>
                <w:sz w:val="14"/>
              </w:rPr>
              <w:t>vanA</w:t>
            </w:r>
          </w:p>
        </w:tc>
        <w:tc>
          <w:tcPr>
            <w:tcW w:type="dxa" w:w="1345"/>
          </w:tcPr>
          <w:p>
            <w:pPr>
              <w:keepNext/>
              <w:jc w:val="left"/>
            </w:pPr>
            <w:r>
              <w:rPr>
                <w:sz w:val="14"/>
              </w:rPr>
              <w:t>vancomycin</w:t>
            </w:r>
          </w:p>
        </w:tc>
        <w:tc>
          <w:tcPr>
            <w:tcW w:type="dxa" w:w="484"/>
          </w:tcPr>
          <w:p>
            <w:pPr>
              <w:keepNext/>
              <w:jc w:val="right"/>
            </w:pPr>
            <w:r>
              <w:rPr>
                <w:sz w:val="14"/>
              </w:rPr>
              <w:t>41</w:t>
            </w:r>
          </w:p>
        </w:tc>
        <w:tc>
          <w:tcPr>
            <w:tcW w:type="dxa" w:w="914"/>
          </w:tcPr>
          <w:p>
            <w:pPr>
              <w:keepNext/>
              <w:jc w:val="right"/>
            </w:pPr>
            <w:r>
              <w:rPr>
                <w:sz w:val="14"/>
              </w:rPr>
              <w:t>9/10</w:t>
            </w:r>
          </w:p>
        </w:tc>
        <w:tc>
          <w:tcPr>
            <w:tcW w:type="dxa" w:w="807"/>
          </w:tcPr>
          <w:p>
            <w:pPr>
              <w:keepNext/>
              <w:jc w:val="right"/>
            </w:pPr>
            <w:r>
              <w:rPr>
                <w:sz w:val="14"/>
              </w:rPr>
              <w:t>90.0%</w:t>
            </w:r>
          </w:p>
        </w:tc>
        <w:tc>
          <w:tcPr>
            <w:tcW w:type="dxa" w:w="807"/>
          </w:tcPr>
          <w:p>
            <w:pPr>
              <w:keepNext/>
              <w:jc w:val="right"/>
            </w:pPr>
            <w:r>
              <w:rPr>
                <w:sz w:val="14"/>
              </w:rPr>
              <w:t>89.7%</w:t>
            </w:r>
          </w:p>
        </w:tc>
        <w:tc>
          <w:tcPr>
            <w:tcW w:type="dxa" w:w="914"/>
          </w:tcPr>
          <w:p>
            <w:pPr>
              <w:keepNext/>
              <w:jc w:val="right"/>
            </w:pPr>
            <w:r>
              <w:rPr>
                <w:sz w:val="14"/>
              </w:rPr>
              <w:t>9/18</w:t>
            </w:r>
          </w:p>
        </w:tc>
        <w:tc>
          <w:tcPr>
            <w:tcW w:type="dxa" w:w="807"/>
          </w:tcPr>
          <w:p>
            <w:pPr>
              <w:keepNext/>
              <w:jc w:val="right"/>
            </w:pPr>
            <w:r>
              <w:rPr>
                <w:sz w:val="14"/>
              </w:rPr>
              <w:t>50.0%</w:t>
            </w:r>
          </w:p>
        </w:tc>
        <w:tc>
          <w:tcPr>
            <w:tcW w:type="dxa" w:w="807"/>
          </w:tcPr>
          <w:p>
            <w:pPr>
              <w:keepNext/>
              <w:jc w:val="right"/>
            </w:pPr>
            <w:r>
              <w:rPr>
                <w:sz w:val="14"/>
              </w:rPr>
              <w:t>89.7%</w:t>
            </w:r>
          </w:p>
        </w:tc>
        <w:tc>
          <w:tcPr>
            <w:tcW w:type="dxa" w:w="807"/>
          </w:tcPr>
          <w:p>
            <w:pPr>
              <w:keepNext/>
              <w:jc w:val="right"/>
            </w:pPr>
            <w:r>
              <w:rPr>
                <w:sz w:val="14"/>
              </w:rPr>
              <w:t>95.7%</w:t>
            </w:r>
          </w:p>
        </w:tc>
        <w:tc>
          <w:tcPr>
            <w:tcW w:type="dxa" w:w="807"/>
          </w:tcPr>
          <w:p>
            <w:pPr>
              <w:keepNext/>
              <w:jc w:val="right"/>
            </w:pPr>
            <w:r>
              <w:rPr>
                <w:sz w:val="14"/>
              </w:rPr>
              <w:t>96.7%</w:t>
            </w:r>
          </w:p>
        </w:tc>
      </w:tr>
      <w:tr>
        <w:trPr>
          <w:cantSplit/>
        </w:trPr>
        <w:tc>
          <w:tcPr>
            <w:tcW w:type="dxa" w:w="1668"/>
          </w:tcPr>
          <w:p>
            <w:pPr>
              <w:keepNext/>
              <w:jc w:val="left"/>
            </w:pPr>
            <w:r>
              <w:rPr>
                <w:sz w:val="14"/>
              </w:rPr>
              <w:t>vanB</w:t>
            </w:r>
          </w:p>
        </w:tc>
        <w:tc>
          <w:tcPr>
            <w:tcW w:type="dxa" w:w="1345"/>
          </w:tcPr>
          <w:p>
            <w:pPr>
              <w:keepNext/>
              <w:jc w:val="left"/>
            </w:pPr>
            <w:r>
              <w:rPr>
                <w:sz w:val="14"/>
              </w:rPr>
              <w:t>vancomycin</w:t>
            </w:r>
          </w:p>
        </w:tc>
        <w:tc>
          <w:tcPr>
            <w:tcW w:type="dxa" w:w="484"/>
          </w:tcPr>
          <w:p>
            <w:pPr>
              <w:keepNext/>
              <w:jc w:val="right"/>
            </w:pPr>
            <w:r>
              <w:rPr>
                <w:sz w:val="14"/>
              </w:rPr>
              <w:t>41</w:t>
            </w:r>
          </w:p>
        </w:tc>
        <w:tc>
          <w:tcPr>
            <w:tcW w:type="dxa" w:w="914"/>
          </w:tcPr>
          <w:p>
            <w:pPr>
              <w:keepNext/>
              <w:jc w:val="right"/>
            </w:pPr>
            <w:r>
              <w:rPr>
                <w:sz w:val="14"/>
              </w:rPr>
              <w:t>9/10</w:t>
            </w:r>
          </w:p>
        </w:tc>
        <w:tc>
          <w:tcPr>
            <w:tcW w:type="dxa" w:w="807"/>
          </w:tcPr>
          <w:p>
            <w:pPr>
              <w:keepNext/>
              <w:jc w:val="right"/>
            </w:pPr>
            <w:r>
              <w:rPr>
                <w:sz w:val="14"/>
              </w:rPr>
              <w:t>90.0%</w:t>
            </w:r>
          </w:p>
        </w:tc>
        <w:tc>
          <w:tcPr>
            <w:tcW w:type="dxa" w:w="807"/>
          </w:tcPr>
          <w:p>
            <w:pPr>
              <w:keepNext/>
              <w:jc w:val="right"/>
            </w:pPr>
            <w:r>
              <w:rPr>
                <w:sz w:val="14"/>
              </w:rPr>
              <w:t>–</w:t>
            </w:r>
          </w:p>
        </w:tc>
        <w:tc>
          <w:tcPr>
            <w:tcW w:type="dxa" w:w="914"/>
          </w:tcPr>
          <w:p>
            <w:pPr>
              <w:keepNext/>
              <w:jc w:val="right"/>
            </w:pPr>
            <w:r>
              <w:rPr>
                <w:sz w:val="14"/>
              </w:rPr>
              <w:t>9/18</w:t>
            </w:r>
          </w:p>
        </w:tc>
        <w:tc>
          <w:tcPr>
            <w:tcW w:type="dxa" w:w="807"/>
          </w:tcPr>
          <w:p>
            <w:pPr>
              <w:keepNext/>
              <w:jc w:val="right"/>
            </w:pPr>
            <w:r>
              <w:rPr>
                <w:sz w:val="14"/>
              </w:rPr>
              <w:t>50.0%</w:t>
            </w:r>
          </w:p>
        </w:tc>
        <w:tc>
          <w:tcPr>
            <w:tcW w:type="dxa" w:w="807"/>
          </w:tcPr>
          <w:p>
            <w:pPr>
              <w:keepNext/>
              <w:jc w:val="right"/>
            </w:pPr>
            <w:r>
              <w:rPr>
                <w:sz w:val="14"/>
              </w:rPr>
              <w:t>0.0%</w:t>
            </w:r>
          </w:p>
        </w:tc>
        <w:tc>
          <w:tcPr>
            <w:tcW w:type="dxa" w:w="807"/>
          </w:tcPr>
          <w:p>
            <w:pPr>
              <w:keepNext/>
              <w:jc w:val="right"/>
            </w:pPr>
            <w:r>
              <w:rPr>
                <w:sz w:val="14"/>
              </w:rPr>
              <w:t>95.7%</w:t>
            </w:r>
          </w:p>
        </w:tc>
        <w:tc>
          <w:tcPr>
            <w:tcW w:type="dxa" w:w="807"/>
          </w:tcPr>
          <w:p>
            <w:pPr>
              <w:keepNext/>
              <w:jc w:val="right"/>
            </w:pPr>
            <w:r>
              <w:rPr>
                <w:sz w:val="14"/>
              </w:rPr>
              <w:t>100.0%</w:t>
            </w:r>
          </w:p>
        </w:tc>
      </w:tr>
      <w:tr>
        <w:trPr>
          <w:cantSplit/>
        </w:trPr>
        <w:tc>
          <w:tcPr>
            <w:tcW w:type="dxa" w:w="1668"/>
          </w:tcPr>
          <w:p>
            <w:pPr>
              <w:keepNext/>
              <w:jc w:val="left"/>
            </w:pPr>
            <w:r>
              <w:rPr>
                <w:sz w:val="14"/>
              </w:rPr>
              <w:t>KPC</w:t>
            </w:r>
          </w:p>
        </w:tc>
        <w:tc>
          <w:tcPr>
            <w:tcW w:type="dxa" w:w="1345"/>
          </w:tcPr>
          <w:p>
            <w:pPr>
              <w:keepNext/>
              <w:jc w:val="left"/>
            </w:pPr>
            <w:r>
              <w:rPr>
                <w:sz w:val="14"/>
              </w:rPr>
              <w:t>meropenem</w:t>
            </w:r>
          </w:p>
        </w:tc>
        <w:tc>
          <w:tcPr>
            <w:tcW w:type="dxa" w:w="484"/>
          </w:tcPr>
          <w:p>
            <w:pPr>
              <w:keepNext/>
              <w:jc w:val="right"/>
            </w:pPr>
            <w:r>
              <w:rPr>
                <w:sz w:val="14"/>
              </w:rPr>
              <w:t>312</w:t>
            </w:r>
          </w:p>
        </w:tc>
        <w:tc>
          <w:tcPr>
            <w:tcW w:type="dxa" w:w="914"/>
          </w:tcPr>
          <w:p>
            <w:pPr>
              <w:keepNext/>
              <w:jc w:val="right"/>
            </w:pPr>
            <w:r>
              <w:rPr>
                <w:sz w:val="14"/>
              </w:rPr>
              <w:t>54/64</w:t>
            </w:r>
          </w:p>
        </w:tc>
        <w:tc>
          <w:tcPr>
            <w:tcW w:type="dxa" w:w="807"/>
          </w:tcPr>
          <w:p>
            <w:pPr>
              <w:keepNext/>
              <w:jc w:val="right"/>
            </w:pPr>
            <w:r>
              <w:rPr>
                <w:sz w:val="14"/>
              </w:rPr>
              <w:t>84.4%</w:t>
            </w:r>
          </w:p>
        </w:tc>
        <w:tc>
          <w:tcPr>
            <w:tcW w:type="dxa" w:w="807"/>
          </w:tcPr>
          <w:p>
            <w:pPr>
              <w:keepNext/>
              <w:jc w:val="right"/>
            </w:pPr>
            <w:r>
              <w:rPr>
                <w:sz w:val="14"/>
              </w:rPr>
              <w:t>90.5%</w:t>
            </w:r>
          </w:p>
        </w:tc>
        <w:tc>
          <w:tcPr>
            <w:tcW w:type="dxa" w:w="914"/>
          </w:tcPr>
          <w:p>
            <w:pPr>
              <w:keepNext/>
              <w:jc w:val="right"/>
            </w:pPr>
            <w:r>
              <w:rPr>
                <w:sz w:val="14"/>
              </w:rPr>
              <w:t>54/148</w:t>
            </w:r>
          </w:p>
        </w:tc>
        <w:tc>
          <w:tcPr>
            <w:tcW w:type="dxa" w:w="807"/>
          </w:tcPr>
          <w:p>
            <w:pPr>
              <w:keepNext/>
              <w:jc w:val="right"/>
            </w:pPr>
            <w:r>
              <w:rPr>
                <w:sz w:val="14"/>
              </w:rPr>
              <w:t>36.5%</w:t>
            </w:r>
          </w:p>
        </w:tc>
        <w:tc>
          <w:tcPr>
            <w:tcW w:type="dxa" w:w="807"/>
          </w:tcPr>
          <w:p>
            <w:pPr>
              <w:keepNext/>
              <w:jc w:val="right"/>
            </w:pPr>
            <w:r>
              <w:rPr>
                <w:sz w:val="14"/>
              </w:rPr>
              <w:t>55.3%</w:t>
            </w:r>
          </w:p>
        </w:tc>
        <w:tc>
          <w:tcPr>
            <w:tcW w:type="dxa" w:w="807"/>
          </w:tcPr>
          <w:p>
            <w:pPr>
              <w:keepNext/>
              <w:jc w:val="right"/>
            </w:pPr>
            <w:r>
              <w:rPr>
                <w:sz w:val="14"/>
              </w:rPr>
              <w:t>93.9%</w:t>
            </w:r>
          </w:p>
        </w:tc>
        <w:tc>
          <w:tcPr>
            <w:tcW w:type="dxa" w:w="807"/>
          </w:tcPr>
          <w:p>
            <w:pPr>
              <w:keepNext/>
              <w:jc w:val="right"/>
            </w:pPr>
            <w:r>
              <w:rPr>
                <w:sz w:val="14"/>
              </w:rPr>
              <w:t>99.5%</w:t>
            </w:r>
          </w:p>
        </w:tc>
      </w:tr>
      <w:tr>
        <w:trPr>
          <w:cantSplit/>
        </w:trPr>
        <w:tc>
          <w:tcPr>
            <w:tcW w:type="dxa" w:w="1668"/>
          </w:tcPr>
          <w:p>
            <w:pPr>
              <w:keepNext/>
              <w:jc w:val="left"/>
            </w:pPr>
            <w:r>
              <w:rPr>
                <w:sz w:val="14"/>
              </w:rPr>
              <w:t>KPC</w:t>
            </w:r>
          </w:p>
        </w:tc>
        <w:tc>
          <w:tcPr>
            <w:tcW w:type="dxa" w:w="1345"/>
          </w:tcPr>
          <w:p>
            <w:pPr>
              <w:keepNext/>
              <w:jc w:val="left"/>
            </w:pPr>
            <w:r>
              <w:rPr>
                <w:sz w:val="14"/>
              </w:rPr>
              <w:t>any carbapenem</w:t>
            </w:r>
          </w:p>
        </w:tc>
        <w:tc>
          <w:tcPr>
            <w:tcW w:type="dxa" w:w="484"/>
          </w:tcPr>
          <w:p>
            <w:pPr>
              <w:keepNext/>
              <w:jc w:val="right"/>
            </w:pPr>
            <w:r>
              <w:rPr>
                <w:sz w:val="14"/>
              </w:rPr>
              <w:t>312</w:t>
            </w:r>
          </w:p>
        </w:tc>
        <w:tc>
          <w:tcPr>
            <w:tcW w:type="dxa" w:w="914"/>
          </w:tcPr>
          <w:p>
            <w:pPr>
              <w:keepNext/>
              <w:jc w:val="right"/>
            </w:pPr>
            <w:r>
              <w:rPr>
                <w:sz w:val="14"/>
              </w:rPr>
              <w:t>60/64</w:t>
            </w:r>
          </w:p>
        </w:tc>
        <w:tc>
          <w:tcPr>
            <w:tcW w:type="dxa" w:w="807"/>
          </w:tcPr>
          <w:p>
            <w:pPr>
              <w:keepNext/>
              <w:jc w:val="right"/>
            </w:pPr>
            <w:r>
              <w:rPr>
                <w:sz w:val="14"/>
              </w:rPr>
              <w:t>93.8%</w:t>
            </w:r>
          </w:p>
        </w:tc>
        <w:tc>
          <w:tcPr>
            <w:tcW w:type="dxa" w:w="807"/>
          </w:tcPr>
          <w:p>
            <w:pPr>
              <w:keepNext/>
              <w:jc w:val="right"/>
            </w:pPr>
            <w:r>
              <w:rPr>
                <w:sz w:val="14"/>
              </w:rPr>
              <w:t>98.0%</w:t>
            </w:r>
          </w:p>
        </w:tc>
        <w:tc>
          <w:tcPr>
            <w:tcW w:type="dxa" w:w="914"/>
          </w:tcPr>
          <w:p>
            <w:pPr>
              <w:keepNext/>
              <w:jc w:val="right"/>
            </w:pPr>
            <w:r>
              <w:rPr>
                <w:sz w:val="14"/>
              </w:rPr>
              <w:t>60/178</w:t>
            </w:r>
          </w:p>
        </w:tc>
        <w:tc>
          <w:tcPr>
            <w:tcW w:type="dxa" w:w="807"/>
          </w:tcPr>
          <w:p>
            <w:pPr>
              <w:keepNext/>
              <w:jc w:val="right"/>
            </w:pPr>
            <w:r>
              <w:rPr>
                <w:sz w:val="14"/>
              </w:rPr>
              <w:t>33.7%</w:t>
            </w:r>
          </w:p>
        </w:tc>
        <w:tc>
          <w:tcPr>
            <w:tcW w:type="dxa" w:w="807"/>
          </w:tcPr>
          <w:p>
            <w:pPr>
              <w:keepNext/>
              <w:jc w:val="right"/>
            </w:pPr>
            <w:r>
              <w:rPr>
                <w:sz w:val="14"/>
              </w:rPr>
              <w:t>47.0%</w:t>
            </w:r>
          </w:p>
        </w:tc>
        <w:tc>
          <w:tcPr>
            <w:tcW w:type="dxa" w:w="807"/>
          </w:tcPr>
          <w:p>
            <w:pPr>
              <w:keepNext/>
              <w:jc w:val="right"/>
            </w:pPr>
            <w:r>
              <w:rPr>
                <w:sz w:val="14"/>
              </w:rPr>
              <w:t>97.0%</w:t>
            </w:r>
          </w:p>
        </w:tc>
        <w:tc>
          <w:tcPr>
            <w:tcW w:type="dxa" w:w="807"/>
          </w:tcPr>
          <w:p>
            <w:pPr>
              <w:keepNext/>
              <w:jc w:val="right"/>
            </w:pPr>
            <w:r>
              <w:rPr>
                <w:sz w:val="14"/>
              </w:rPr>
              <w:t>99.9%</w:t>
            </w:r>
          </w:p>
        </w:tc>
      </w:tr>
      <w:tr>
        <w:trPr>
          <w:cantSplit/>
        </w:trPr>
        <w:tc>
          <w:tcPr>
            <w:tcW w:type="dxa" w:w="1668"/>
          </w:tcPr>
          <w:p>
            <w:pPr>
              <w:keepNext/>
              <w:jc w:val="left"/>
            </w:pPr>
            <w:r>
              <w:rPr>
                <w:sz w:val="14"/>
              </w:rPr>
              <w:t>NDM</w:t>
            </w:r>
          </w:p>
        </w:tc>
        <w:tc>
          <w:tcPr>
            <w:tcW w:type="dxa" w:w="1345"/>
          </w:tcPr>
          <w:p>
            <w:pPr>
              <w:keepNext/>
              <w:jc w:val="left"/>
            </w:pPr>
            <w:r>
              <w:rPr>
                <w:sz w:val="14"/>
              </w:rPr>
              <w:t>meropenem</w:t>
            </w:r>
          </w:p>
        </w:tc>
        <w:tc>
          <w:tcPr>
            <w:tcW w:type="dxa" w:w="484"/>
          </w:tcPr>
          <w:p>
            <w:pPr>
              <w:keepNext/>
              <w:jc w:val="right"/>
            </w:pPr>
            <w:r>
              <w:rPr>
                <w:sz w:val="14"/>
              </w:rPr>
              <w:t>312</w:t>
            </w:r>
          </w:p>
        </w:tc>
        <w:tc>
          <w:tcPr>
            <w:tcW w:type="dxa" w:w="914"/>
          </w:tcPr>
          <w:p>
            <w:pPr>
              <w:keepNext/>
              <w:jc w:val="right"/>
            </w:pPr>
            <w:r>
              <w:rPr>
                <w:sz w:val="14"/>
              </w:rPr>
              <w:t>52/53</w:t>
            </w:r>
          </w:p>
        </w:tc>
        <w:tc>
          <w:tcPr>
            <w:tcW w:type="dxa" w:w="807"/>
          </w:tcPr>
          <w:p>
            <w:pPr>
              <w:keepNext/>
              <w:jc w:val="right"/>
            </w:pPr>
            <w:r>
              <w:rPr>
                <w:sz w:val="14"/>
              </w:rPr>
              <w:t>98.1%</w:t>
            </w:r>
          </w:p>
        </w:tc>
        <w:tc>
          <w:tcPr>
            <w:tcW w:type="dxa" w:w="807"/>
          </w:tcPr>
          <w:p>
            <w:pPr>
              <w:keepNext/>
              <w:jc w:val="right"/>
            </w:pPr>
            <w:r>
              <w:rPr>
                <w:sz w:val="14"/>
              </w:rPr>
              <w:t>97.6%</w:t>
            </w:r>
          </w:p>
        </w:tc>
        <w:tc>
          <w:tcPr>
            <w:tcW w:type="dxa" w:w="914"/>
          </w:tcPr>
          <w:p>
            <w:pPr>
              <w:keepNext/>
              <w:jc w:val="right"/>
            </w:pPr>
            <w:r>
              <w:rPr>
                <w:sz w:val="14"/>
              </w:rPr>
              <w:t>52/148</w:t>
            </w:r>
          </w:p>
        </w:tc>
        <w:tc>
          <w:tcPr>
            <w:tcW w:type="dxa" w:w="807"/>
          </w:tcPr>
          <w:p>
            <w:pPr>
              <w:keepNext/>
              <w:jc w:val="right"/>
            </w:pPr>
            <w:r>
              <w:rPr>
                <w:sz w:val="14"/>
              </w:rPr>
              <w:t>35.1%</w:t>
            </w:r>
          </w:p>
        </w:tc>
        <w:tc>
          <w:tcPr>
            <w:tcW w:type="dxa" w:w="807"/>
          </w:tcPr>
          <w:p>
            <w:pPr>
              <w:keepNext/>
              <w:jc w:val="right"/>
            </w:pPr>
            <w:r>
              <w:rPr>
                <w:sz w:val="14"/>
              </w:rPr>
              <w:t>12.2%</w:t>
            </w:r>
          </w:p>
        </w:tc>
        <w:tc>
          <w:tcPr>
            <w:tcW w:type="dxa" w:w="807"/>
          </w:tcPr>
          <w:p>
            <w:pPr>
              <w:keepNext/>
              <w:jc w:val="right"/>
            </w:pPr>
            <w:r>
              <w:rPr>
                <w:sz w:val="14"/>
              </w:rPr>
              <w:t>99.4%</w:t>
            </w:r>
          </w:p>
        </w:tc>
        <w:tc>
          <w:tcPr>
            <w:tcW w:type="dxa" w:w="807"/>
          </w:tcPr>
          <w:p>
            <w:pPr>
              <w:keepNext/>
              <w:jc w:val="right"/>
            </w:pPr>
            <w:r>
              <w:rPr>
                <w:sz w:val="14"/>
              </w:rPr>
              <w:t>100.0%</w:t>
            </w:r>
          </w:p>
        </w:tc>
      </w:tr>
      <w:tr>
        <w:trPr>
          <w:cantSplit/>
        </w:trPr>
        <w:tc>
          <w:tcPr>
            <w:tcW w:type="dxa" w:w="1668"/>
          </w:tcPr>
          <w:p>
            <w:pPr>
              <w:keepNext/>
              <w:jc w:val="left"/>
            </w:pPr>
            <w:r>
              <w:rPr>
                <w:sz w:val="14"/>
              </w:rPr>
              <w:t>NDM</w:t>
            </w:r>
          </w:p>
        </w:tc>
        <w:tc>
          <w:tcPr>
            <w:tcW w:type="dxa" w:w="1345"/>
          </w:tcPr>
          <w:p>
            <w:pPr>
              <w:keepNext/>
              <w:jc w:val="left"/>
            </w:pPr>
            <w:r>
              <w:rPr>
                <w:sz w:val="14"/>
              </w:rPr>
              <w:t>any carbapenem</w:t>
            </w:r>
          </w:p>
        </w:tc>
        <w:tc>
          <w:tcPr>
            <w:tcW w:type="dxa" w:w="484"/>
          </w:tcPr>
          <w:p>
            <w:pPr>
              <w:keepNext/>
              <w:jc w:val="right"/>
            </w:pPr>
            <w:r>
              <w:rPr>
                <w:sz w:val="14"/>
              </w:rPr>
              <w:t>312</w:t>
            </w:r>
          </w:p>
        </w:tc>
        <w:tc>
          <w:tcPr>
            <w:tcW w:type="dxa" w:w="914"/>
          </w:tcPr>
          <w:p>
            <w:pPr>
              <w:keepNext/>
              <w:jc w:val="right"/>
            </w:pPr>
            <w:r>
              <w:rPr>
                <w:sz w:val="14"/>
              </w:rPr>
              <w:t>53/53</w:t>
            </w:r>
          </w:p>
        </w:tc>
        <w:tc>
          <w:tcPr>
            <w:tcW w:type="dxa" w:w="807"/>
          </w:tcPr>
          <w:p>
            <w:pPr>
              <w:keepNext/>
              <w:jc w:val="right"/>
            </w:pPr>
            <w:r>
              <w:rPr>
                <w:sz w:val="14"/>
              </w:rPr>
              <w:t>100.0%</w:t>
            </w:r>
          </w:p>
        </w:tc>
        <w:tc>
          <w:tcPr>
            <w:tcW w:type="dxa" w:w="807"/>
          </w:tcPr>
          <w:p>
            <w:pPr>
              <w:keepNext/>
              <w:jc w:val="right"/>
            </w:pPr>
            <w:r>
              <w:rPr>
                <w:sz w:val="14"/>
              </w:rPr>
              <w:t>100.0%</w:t>
            </w:r>
          </w:p>
        </w:tc>
        <w:tc>
          <w:tcPr>
            <w:tcW w:type="dxa" w:w="914"/>
          </w:tcPr>
          <w:p>
            <w:pPr>
              <w:keepNext/>
              <w:jc w:val="right"/>
            </w:pPr>
            <w:r>
              <w:rPr>
                <w:sz w:val="14"/>
              </w:rPr>
              <w:t>53/178</w:t>
            </w:r>
          </w:p>
        </w:tc>
        <w:tc>
          <w:tcPr>
            <w:tcW w:type="dxa" w:w="807"/>
          </w:tcPr>
          <w:p>
            <w:pPr>
              <w:keepNext/>
              <w:jc w:val="right"/>
            </w:pPr>
            <w:r>
              <w:rPr>
                <w:sz w:val="14"/>
              </w:rPr>
              <w:t>29.8%</w:t>
            </w:r>
          </w:p>
        </w:tc>
        <w:tc>
          <w:tcPr>
            <w:tcW w:type="dxa" w:w="807"/>
          </w:tcPr>
          <w:p>
            <w:pPr>
              <w:keepNext/>
              <w:jc w:val="right"/>
            </w:pPr>
            <w:r>
              <w:rPr>
                <w:sz w:val="14"/>
              </w:rPr>
              <w:t>9.7%</w:t>
            </w:r>
          </w:p>
        </w:tc>
        <w:tc>
          <w:tcPr>
            <w:tcW w:type="dxa" w:w="807"/>
          </w:tcPr>
          <w:p>
            <w:pPr>
              <w:keepNext/>
              <w:jc w:val="right"/>
            </w:pPr>
            <w:r>
              <w:rPr>
                <w:sz w:val="14"/>
              </w:rPr>
              <w:t>100.0%</w:t>
            </w:r>
          </w:p>
        </w:tc>
        <w:tc>
          <w:tcPr>
            <w:tcW w:type="dxa" w:w="807"/>
          </w:tcPr>
          <w:p>
            <w:pPr>
              <w:keepNext/>
              <w:jc w:val="right"/>
            </w:pPr>
            <w:r>
              <w:rPr>
                <w:sz w:val="14"/>
              </w:rPr>
              <w:t>100.0%</w:t>
            </w:r>
          </w:p>
        </w:tc>
      </w:tr>
      <w:tr>
        <w:trPr>
          <w:cantSplit/>
        </w:trPr>
        <w:tc>
          <w:tcPr>
            <w:tcW w:type="dxa" w:w="1668"/>
          </w:tcPr>
          <w:p>
            <w:pPr>
              <w:keepNext/>
              <w:jc w:val="left"/>
            </w:pPr>
            <w:r>
              <w:rPr>
                <w:sz w:val="14"/>
              </w:rPr>
              <w:t>OXA-48-like</w:t>
            </w:r>
          </w:p>
        </w:tc>
        <w:tc>
          <w:tcPr>
            <w:tcW w:type="dxa" w:w="1345"/>
          </w:tcPr>
          <w:p>
            <w:pPr>
              <w:keepNext/>
              <w:jc w:val="left"/>
            </w:pPr>
            <w:r>
              <w:rPr>
                <w:sz w:val="14"/>
              </w:rPr>
              <w:t>meropenem</w:t>
            </w:r>
          </w:p>
        </w:tc>
        <w:tc>
          <w:tcPr>
            <w:tcW w:type="dxa" w:w="484"/>
          </w:tcPr>
          <w:p>
            <w:pPr>
              <w:keepNext/>
              <w:jc w:val="right"/>
            </w:pPr>
            <w:r>
              <w:rPr>
                <w:sz w:val="14"/>
              </w:rPr>
              <w:t>312</w:t>
            </w:r>
          </w:p>
        </w:tc>
        <w:tc>
          <w:tcPr>
            <w:tcW w:type="dxa" w:w="914"/>
          </w:tcPr>
          <w:p>
            <w:pPr>
              <w:keepNext/>
              <w:jc w:val="right"/>
            </w:pPr>
            <w:r>
              <w:rPr>
                <w:sz w:val="14"/>
              </w:rPr>
              <w:t>19/26</w:t>
            </w:r>
          </w:p>
        </w:tc>
        <w:tc>
          <w:tcPr>
            <w:tcW w:type="dxa" w:w="807"/>
          </w:tcPr>
          <w:p>
            <w:pPr>
              <w:keepNext/>
              <w:jc w:val="right"/>
            </w:pPr>
            <w:r>
              <w:rPr>
                <w:sz w:val="14"/>
              </w:rPr>
              <w:t>73.1%</w:t>
            </w:r>
          </w:p>
        </w:tc>
        <w:tc>
          <w:tcPr>
            <w:tcW w:type="dxa" w:w="807"/>
          </w:tcPr>
          <w:p>
            <w:pPr>
              <w:keepNext/>
              <w:jc w:val="right"/>
            </w:pPr>
            <w:r>
              <w:rPr>
                <w:sz w:val="14"/>
              </w:rPr>
              <w:t>76.3%</w:t>
            </w:r>
          </w:p>
        </w:tc>
        <w:tc>
          <w:tcPr>
            <w:tcW w:type="dxa" w:w="914"/>
          </w:tcPr>
          <w:p>
            <w:pPr>
              <w:keepNext/>
              <w:jc w:val="right"/>
            </w:pPr>
            <w:r>
              <w:rPr>
                <w:sz w:val="14"/>
              </w:rPr>
              <w:t>19/148</w:t>
            </w:r>
          </w:p>
        </w:tc>
        <w:tc>
          <w:tcPr>
            <w:tcW w:type="dxa" w:w="807"/>
          </w:tcPr>
          <w:p>
            <w:pPr>
              <w:keepNext/>
              <w:jc w:val="right"/>
            </w:pPr>
            <w:r>
              <w:rPr>
                <w:sz w:val="14"/>
              </w:rPr>
              <w:t>12.8%</w:t>
            </w:r>
          </w:p>
        </w:tc>
        <w:tc>
          <w:tcPr>
            <w:tcW w:type="dxa" w:w="807"/>
          </w:tcPr>
          <w:p>
            <w:pPr>
              <w:keepNext/>
              <w:jc w:val="right"/>
            </w:pPr>
            <w:r>
              <w:rPr>
                <w:sz w:val="14"/>
              </w:rPr>
              <w:t>8.8%</w:t>
            </w:r>
          </w:p>
        </w:tc>
        <w:tc>
          <w:tcPr>
            <w:tcW w:type="dxa" w:w="807"/>
          </w:tcPr>
          <w:p>
            <w:pPr>
              <w:keepNext/>
              <w:jc w:val="right"/>
            </w:pPr>
            <w:r>
              <w:rPr>
                <w:sz w:val="14"/>
              </w:rPr>
              <w:t>95.7%</w:t>
            </w:r>
          </w:p>
        </w:tc>
        <w:tc>
          <w:tcPr>
            <w:tcW w:type="dxa" w:w="807"/>
          </w:tcPr>
          <w:p>
            <w:pPr>
              <w:keepNext/>
              <w:jc w:val="right"/>
            </w:pPr>
            <w:r>
              <w:rPr>
                <w:sz w:val="14"/>
              </w:rPr>
              <w:t>99.7%</w:t>
            </w:r>
          </w:p>
        </w:tc>
      </w:tr>
      <w:tr>
        <w:trPr>
          <w:cantSplit/>
        </w:trPr>
        <w:tc>
          <w:tcPr>
            <w:tcW w:type="dxa" w:w="1668"/>
          </w:tcPr>
          <w:p>
            <w:pPr>
              <w:keepNext/>
              <w:jc w:val="left"/>
            </w:pPr>
            <w:r>
              <w:rPr>
                <w:sz w:val="14"/>
              </w:rPr>
              <w:t>OXA-48-like</w:t>
            </w:r>
          </w:p>
        </w:tc>
        <w:tc>
          <w:tcPr>
            <w:tcW w:type="dxa" w:w="1345"/>
          </w:tcPr>
          <w:p>
            <w:pPr>
              <w:keepNext/>
              <w:jc w:val="left"/>
            </w:pPr>
            <w:r>
              <w:rPr>
                <w:sz w:val="14"/>
              </w:rPr>
              <w:t>any carbapenem</w:t>
            </w:r>
          </w:p>
        </w:tc>
        <w:tc>
          <w:tcPr>
            <w:tcW w:type="dxa" w:w="484"/>
          </w:tcPr>
          <w:p>
            <w:pPr>
              <w:keepNext/>
              <w:jc w:val="right"/>
            </w:pPr>
            <w:r>
              <w:rPr>
                <w:sz w:val="14"/>
              </w:rPr>
              <w:t>312</w:t>
            </w:r>
          </w:p>
        </w:tc>
        <w:tc>
          <w:tcPr>
            <w:tcW w:type="dxa" w:w="914"/>
          </w:tcPr>
          <w:p>
            <w:pPr>
              <w:keepNext/>
              <w:jc w:val="right"/>
            </w:pPr>
            <w:r>
              <w:rPr>
                <w:sz w:val="14"/>
              </w:rPr>
              <w:t>26/26</w:t>
            </w:r>
          </w:p>
        </w:tc>
        <w:tc>
          <w:tcPr>
            <w:tcW w:type="dxa" w:w="807"/>
          </w:tcPr>
          <w:p>
            <w:pPr>
              <w:keepNext/>
              <w:jc w:val="right"/>
            </w:pPr>
            <w:r>
              <w:rPr>
                <w:sz w:val="14"/>
              </w:rPr>
              <w:t>100.0%</w:t>
            </w:r>
          </w:p>
        </w:tc>
        <w:tc>
          <w:tcPr>
            <w:tcW w:type="dxa" w:w="807"/>
          </w:tcPr>
          <w:p>
            <w:pPr>
              <w:keepNext/>
              <w:jc w:val="right"/>
            </w:pPr>
            <w:r>
              <w:rPr>
                <w:sz w:val="14"/>
              </w:rPr>
              <w:t>94.7%</w:t>
            </w:r>
          </w:p>
        </w:tc>
        <w:tc>
          <w:tcPr>
            <w:tcW w:type="dxa" w:w="914"/>
          </w:tcPr>
          <w:p>
            <w:pPr>
              <w:keepNext/>
              <w:jc w:val="right"/>
            </w:pPr>
            <w:r>
              <w:rPr>
                <w:sz w:val="14"/>
              </w:rPr>
              <w:t>26/178</w:t>
            </w:r>
          </w:p>
        </w:tc>
        <w:tc>
          <w:tcPr>
            <w:tcW w:type="dxa" w:w="807"/>
          </w:tcPr>
          <w:p>
            <w:pPr>
              <w:keepNext/>
              <w:jc w:val="right"/>
            </w:pPr>
            <w:r>
              <w:rPr>
                <w:sz w:val="14"/>
              </w:rPr>
              <w:t>14.6%</w:t>
            </w:r>
          </w:p>
        </w:tc>
        <w:tc>
          <w:tcPr>
            <w:tcW w:type="dxa" w:w="807"/>
          </w:tcPr>
          <w:p>
            <w:pPr>
              <w:keepNext/>
              <w:jc w:val="right"/>
            </w:pPr>
            <w:r>
              <w:rPr>
                <w:sz w:val="14"/>
              </w:rPr>
              <w:t>8.5%</w:t>
            </w:r>
          </w:p>
        </w:tc>
        <w:tc>
          <w:tcPr>
            <w:tcW w:type="dxa" w:w="807"/>
          </w:tcPr>
          <w:p>
            <w:pPr>
              <w:keepNext/>
              <w:jc w:val="right"/>
            </w:pPr>
            <w:r>
              <w:rPr>
                <w:sz w:val="14"/>
              </w:rPr>
              <w:t>100.0%</w:t>
            </w:r>
          </w:p>
        </w:tc>
        <w:tc>
          <w:tcPr>
            <w:tcW w:type="dxa" w:w="807"/>
          </w:tcPr>
          <w:p>
            <w:pPr>
              <w:keepNext/>
              <w:jc w:val="right"/>
            </w:pPr>
            <w:r>
              <w:rPr>
                <w:sz w:val="14"/>
              </w:rPr>
              <w:t>100.0%</w:t>
            </w:r>
          </w:p>
        </w:tc>
      </w:tr>
      <w:tr>
        <w:trPr>
          <w:cantSplit/>
        </w:trPr>
        <w:tc>
          <w:tcPr>
            <w:tcW w:type="dxa" w:w="1668"/>
          </w:tcPr>
          <w:p>
            <w:pPr>
              <w:keepNext/>
              <w:jc w:val="left"/>
            </w:pPr>
            <w:r>
              <w:rPr>
                <w:sz w:val="14"/>
              </w:rPr>
              <w:t>VIM</w:t>
            </w:r>
          </w:p>
        </w:tc>
        <w:tc>
          <w:tcPr>
            <w:tcW w:type="dxa" w:w="1345"/>
          </w:tcPr>
          <w:p>
            <w:pPr>
              <w:keepNext/>
              <w:jc w:val="left"/>
            </w:pPr>
            <w:r>
              <w:rPr>
                <w:sz w:val="14"/>
              </w:rPr>
              <w:t>meropenem</w:t>
            </w:r>
          </w:p>
        </w:tc>
        <w:tc>
          <w:tcPr>
            <w:tcW w:type="dxa" w:w="484"/>
          </w:tcPr>
          <w:p>
            <w:pPr>
              <w:keepNext/>
              <w:jc w:val="right"/>
            </w:pPr>
            <w:r>
              <w:rPr>
                <w:sz w:val="14"/>
              </w:rPr>
              <w:t>312</w:t>
            </w:r>
          </w:p>
        </w:tc>
        <w:tc>
          <w:tcPr>
            <w:tcW w:type="dxa" w:w="914"/>
          </w:tcPr>
          <w:p>
            <w:pPr>
              <w:keepNext/>
              <w:jc w:val="right"/>
            </w:pPr>
            <w:r>
              <w:rPr>
                <w:sz w:val="14"/>
              </w:rPr>
              <w:t>3/6</w:t>
            </w:r>
          </w:p>
        </w:tc>
        <w:tc>
          <w:tcPr>
            <w:tcW w:type="dxa" w:w="807"/>
          </w:tcPr>
          <w:p>
            <w:pPr>
              <w:keepNext/>
              <w:jc w:val="right"/>
            </w:pPr>
            <w:r>
              <w:rPr>
                <w:sz w:val="14"/>
              </w:rPr>
              <w:t>50.0%</w:t>
            </w:r>
          </w:p>
        </w:tc>
        <w:tc>
          <w:tcPr>
            <w:tcW w:type="dxa" w:w="807"/>
          </w:tcPr>
          <w:p>
            <w:pPr>
              <w:keepNext/>
              <w:jc w:val="right"/>
            </w:pPr>
            <w:r>
              <w:rPr>
                <w:sz w:val="14"/>
              </w:rPr>
              <w:t>75.0%</w:t>
            </w:r>
          </w:p>
        </w:tc>
        <w:tc>
          <w:tcPr>
            <w:tcW w:type="dxa" w:w="914"/>
          </w:tcPr>
          <w:p>
            <w:pPr>
              <w:keepNext/>
              <w:jc w:val="right"/>
            </w:pPr>
            <w:r>
              <w:rPr>
                <w:sz w:val="14"/>
              </w:rPr>
              <w:t>3/148</w:t>
            </w:r>
          </w:p>
        </w:tc>
        <w:tc>
          <w:tcPr>
            <w:tcW w:type="dxa" w:w="807"/>
          </w:tcPr>
          <w:p>
            <w:pPr>
              <w:keepNext/>
              <w:jc w:val="right"/>
            </w:pPr>
            <w:r>
              <w:rPr>
                <w:sz w:val="14"/>
              </w:rPr>
              <w:t>2.0%</w:t>
            </w:r>
          </w:p>
        </w:tc>
        <w:tc>
          <w:tcPr>
            <w:tcW w:type="dxa" w:w="807"/>
          </w:tcPr>
          <w:p>
            <w:pPr>
              <w:keepNext/>
              <w:jc w:val="right"/>
            </w:pPr>
            <w:r>
              <w:rPr>
                <w:sz w:val="14"/>
              </w:rPr>
              <w:t>0.9%</w:t>
            </w:r>
          </w:p>
        </w:tc>
        <w:tc>
          <w:tcPr>
            <w:tcW w:type="dxa" w:w="807"/>
          </w:tcPr>
          <w:p>
            <w:pPr>
              <w:keepNext/>
              <w:jc w:val="right"/>
            </w:pPr>
            <w:r>
              <w:rPr>
                <w:sz w:val="14"/>
              </w:rPr>
              <w:t>98.2%</w:t>
            </w:r>
          </w:p>
        </w:tc>
        <w:tc>
          <w:tcPr>
            <w:tcW w:type="dxa" w:w="807"/>
          </w:tcPr>
          <w:p>
            <w:pPr>
              <w:keepNext/>
              <w:jc w:val="right"/>
            </w:pPr>
            <w:r>
              <w:rPr>
                <w:sz w:val="14"/>
              </w:rPr>
              <w:t>100.0%</w:t>
            </w:r>
          </w:p>
        </w:tc>
      </w:tr>
      <w:tr>
        <w:trPr>
          <w:cantSplit/>
        </w:trPr>
        <w:tc>
          <w:tcPr>
            <w:tcW w:type="dxa" w:w="1668"/>
          </w:tcPr>
          <w:p>
            <w:pPr>
              <w:keepNext/>
              <w:jc w:val="left"/>
            </w:pPr>
            <w:r>
              <w:rPr>
                <w:sz w:val="14"/>
              </w:rPr>
              <w:t>IMP</w:t>
            </w:r>
          </w:p>
        </w:tc>
        <w:tc>
          <w:tcPr>
            <w:tcW w:type="dxa" w:w="1345"/>
          </w:tcPr>
          <w:p>
            <w:pPr>
              <w:keepNext/>
              <w:jc w:val="left"/>
            </w:pPr>
            <w:r>
              <w:rPr>
                <w:sz w:val="14"/>
              </w:rPr>
              <w:t>meropenem</w:t>
            </w:r>
          </w:p>
        </w:tc>
        <w:tc>
          <w:tcPr>
            <w:tcW w:type="dxa" w:w="484"/>
          </w:tcPr>
          <w:p>
            <w:pPr>
              <w:keepNext/>
              <w:jc w:val="right"/>
            </w:pPr>
            <w:r>
              <w:rPr>
                <w:sz w:val="14"/>
              </w:rPr>
              <w:t>312</w:t>
            </w:r>
          </w:p>
        </w:tc>
        <w:tc>
          <w:tcPr>
            <w:tcW w:type="dxa" w:w="914"/>
          </w:tcPr>
          <w:p>
            <w:pPr>
              <w:keepNext/>
              <w:jc w:val="right"/>
            </w:pPr>
            <w:r>
              <w:rPr>
                <w:sz w:val="14"/>
              </w:rPr>
              <w:t>1/3</w:t>
            </w:r>
          </w:p>
        </w:tc>
        <w:tc>
          <w:tcPr>
            <w:tcW w:type="dxa" w:w="807"/>
          </w:tcPr>
          <w:p>
            <w:pPr>
              <w:keepNext/>
              <w:jc w:val="right"/>
            </w:pPr>
            <w:r>
              <w:rPr>
                <w:sz w:val="14"/>
              </w:rPr>
              <w:t>33.3%</w:t>
            </w:r>
          </w:p>
        </w:tc>
        <w:tc>
          <w:tcPr>
            <w:tcW w:type="dxa" w:w="807"/>
          </w:tcPr>
          <w:p>
            <w:pPr>
              <w:keepNext/>
              <w:jc w:val="right"/>
            </w:pPr>
            <w:r>
              <w:rPr>
                <w:sz w:val="14"/>
              </w:rPr>
              <w:t>37.5%</w:t>
            </w:r>
          </w:p>
        </w:tc>
        <w:tc>
          <w:tcPr>
            <w:tcW w:type="dxa" w:w="914"/>
          </w:tcPr>
          <w:p>
            <w:pPr>
              <w:keepNext/>
              <w:jc w:val="right"/>
            </w:pPr>
            <w:r>
              <w:rPr>
                <w:sz w:val="14"/>
              </w:rPr>
              <w:t>1/148</w:t>
            </w:r>
          </w:p>
        </w:tc>
        <w:tc>
          <w:tcPr>
            <w:tcW w:type="dxa" w:w="807"/>
          </w:tcPr>
          <w:p>
            <w:pPr>
              <w:keepNext/>
              <w:jc w:val="right"/>
            </w:pPr>
            <w:r>
              <w:rPr>
                <w:sz w:val="14"/>
              </w:rPr>
              <w:t>0.7%</w:t>
            </w:r>
          </w:p>
        </w:tc>
        <w:tc>
          <w:tcPr>
            <w:tcW w:type="dxa" w:w="807"/>
          </w:tcPr>
          <w:p>
            <w:pPr>
              <w:keepNext/>
              <w:jc w:val="right"/>
            </w:pPr>
            <w:r>
              <w:rPr>
                <w:sz w:val="14"/>
              </w:rPr>
              <w:t>0.9%</w:t>
            </w:r>
          </w:p>
        </w:tc>
        <w:tc>
          <w:tcPr>
            <w:tcW w:type="dxa" w:w="807"/>
          </w:tcPr>
          <w:p>
            <w:pPr>
              <w:keepNext/>
              <w:jc w:val="right"/>
            </w:pPr>
            <w:r>
              <w:rPr>
                <w:sz w:val="14"/>
              </w:rPr>
              <w:t>98.8%</w:t>
            </w:r>
          </w:p>
        </w:tc>
        <w:tc>
          <w:tcPr>
            <w:tcW w:type="dxa" w:w="807"/>
          </w:tcPr>
          <w:p>
            <w:pPr>
              <w:keepNext/>
              <w:jc w:val="right"/>
            </w:pPr>
            <w:r>
              <w:rPr>
                <w:sz w:val="14"/>
              </w:rPr>
              <w:t>99.9%</w:t>
            </w:r>
          </w:p>
        </w:tc>
      </w:tr>
      <w:tr>
        <w:trPr>
          <w:cantSplit/>
        </w:trPr>
        <w:tc>
          <w:tcPr>
            <w:tcW w:type="dxa" w:w="1668"/>
          </w:tcPr>
          <w:p>
            <w:pPr>
              <w:keepNext/>
              <w:jc w:val="left"/>
            </w:pPr>
            <w:r>
              <w:rPr>
                <w:sz w:val="14"/>
              </w:rPr>
              <w:t>CTX-M</w:t>
            </w:r>
          </w:p>
        </w:tc>
        <w:tc>
          <w:tcPr>
            <w:tcW w:type="dxa" w:w="1345"/>
          </w:tcPr>
          <w:p>
            <w:pPr>
              <w:keepNext/>
              <w:jc w:val="left"/>
            </w:pPr>
            <w:r>
              <w:rPr>
                <w:sz w:val="14"/>
              </w:rPr>
              <w:t>ceftriaxone</w:t>
            </w:r>
          </w:p>
        </w:tc>
        <w:tc>
          <w:tcPr>
            <w:tcW w:type="dxa" w:w="484"/>
          </w:tcPr>
          <w:p>
            <w:pPr>
              <w:keepNext/>
              <w:jc w:val="right"/>
            </w:pPr>
            <w:r>
              <w:rPr>
                <w:sz w:val="14"/>
              </w:rPr>
              <w:t>350</w:t>
            </w:r>
          </w:p>
        </w:tc>
        <w:tc>
          <w:tcPr>
            <w:tcW w:type="dxa" w:w="914"/>
          </w:tcPr>
          <w:p>
            <w:pPr>
              <w:keepNext/>
              <w:jc w:val="right"/>
            </w:pPr>
            <w:r>
              <w:rPr>
                <w:sz w:val="14"/>
              </w:rPr>
              <w:t>146/146</w:t>
            </w:r>
          </w:p>
        </w:tc>
        <w:tc>
          <w:tcPr>
            <w:tcW w:type="dxa" w:w="807"/>
          </w:tcPr>
          <w:p>
            <w:pPr>
              <w:keepNext/>
              <w:jc w:val="right"/>
            </w:pPr>
            <w:r>
              <w:rPr>
                <w:sz w:val="14"/>
              </w:rPr>
              <w:t>100.0%</w:t>
            </w:r>
          </w:p>
        </w:tc>
        <w:tc>
          <w:tcPr>
            <w:tcW w:type="dxa" w:w="807"/>
          </w:tcPr>
          <w:p>
            <w:pPr>
              <w:keepNext/>
              <w:jc w:val="right"/>
            </w:pPr>
            <w:r>
              <w:rPr>
                <w:sz w:val="14"/>
              </w:rPr>
              <w:t>97.7%</w:t>
            </w:r>
          </w:p>
        </w:tc>
        <w:tc>
          <w:tcPr>
            <w:tcW w:type="dxa" w:w="914"/>
          </w:tcPr>
          <w:p>
            <w:pPr>
              <w:keepNext/>
              <w:jc w:val="right"/>
            </w:pPr>
            <w:r>
              <w:rPr>
                <w:sz w:val="14"/>
              </w:rPr>
              <w:t>146/264</w:t>
            </w:r>
          </w:p>
        </w:tc>
        <w:tc>
          <w:tcPr>
            <w:tcW w:type="dxa" w:w="807"/>
          </w:tcPr>
          <w:p>
            <w:pPr>
              <w:keepNext/>
              <w:jc w:val="right"/>
            </w:pPr>
            <w:r>
              <w:rPr>
                <w:sz w:val="14"/>
              </w:rPr>
              <w:t>55.3%</w:t>
            </w:r>
          </w:p>
        </w:tc>
        <w:tc>
          <w:tcPr>
            <w:tcW w:type="dxa" w:w="807"/>
          </w:tcPr>
          <w:p>
            <w:pPr>
              <w:keepNext/>
              <w:jc w:val="right"/>
            </w:pPr>
            <w:r>
              <w:rPr>
                <w:sz w:val="14"/>
              </w:rPr>
              <w:t>56.5%</w:t>
            </w:r>
          </w:p>
        </w:tc>
        <w:tc>
          <w:tcPr>
            <w:tcW w:type="dxa" w:w="807"/>
          </w:tcPr>
          <w:p>
            <w:pPr>
              <w:keepNext/>
              <w:jc w:val="right"/>
            </w:pPr>
            <w:r>
              <w:rPr>
                <w:sz w:val="14"/>
              </w:rPr>
              <w:t>100.0%</w:t>
            </w:r>
          </w:p>
        </w:tc>
        <w:tc>
          <w:tcPr>
            <w:tcW w:type="dxa" w:w="807"/>
          </w:tcPr>
          <w:p>
            <w:pPr>
              <w:keepNext/>
              <w:jc w:val="right"/>
            </w:pPr>
            <w:r>
              <w:rPr>
                <w:sz w:val="14"/>
              </w:rPr>
              <w:t>99.1%</w:t>
            </w:r>
          </w:p>
        </w:tc>
      </w:tr>
      <w:tr>
        <w:trPr>
          <w:cantSplit/>
        </w:trPr>
        <w:tc>
          <w:tcPr>
            <w:tcW w:type="dxa" w:w="1668"/>
          </w:tcPr>
          <w:p>
            <w:pPr>
              <w:keepNext/>
              <w:jc w:val="left"/>
            </w:pPr>
            <w:r>
              <w:rPr>
                <w:sz w:val="14"/>
              </w:rPr>
              <w:t>CTX-M</w:t>
            </w:r>
          </w:p>
        </w:tc>
        <w:tc>
          <w:tcPr>
            <w:tcW w:type="dxa" w:w="1345"/>
          </w:tcPr>
          <w:p>
            <w:pPr>
              <w:keepNext/>
              <w:jc w:val="left"/>
            </w:pPr>
            <w:r>
              <w:rPr>
                <w:sz w:val="14"/>
              </w:rPr>
              <w:t>ceftazidime</w:t>
            </w:r>
          </w:p>
        </w:tc>
        <w:tc>
          <w:tcPr>
            <w:tcW w:type="dxa" w:w="484"/>
          </w:tcPr>
          <w:p>
            <w:pPr>
              <w:keepNext/>
              <w:jc w:val="right"/>
            </w:pPr>
            <w:r>
              <w:rPr>
                <w:sz w:val="14"/>
              </w:rPr>
              <w:t>312</w:t>
            </w:r>
          </w:p>
        </w:tc>
        <w:tc>
          <w:tcPr>
            <w:tcW w:type="dxa" w:w="914"/>
          </w:tcPr>
          <w:p>
            <w:pPr>
              <w:keepNext/>
              <w:jc w:val="right"/>
            </w:pPr>
            <w:r>
              <w:rPr>
                <w:sz w:val="14"/>
              </w:rPr>
              <w:t>127/145</w:t>
            </w:r>
          </w:p>
        </w:tc>
        <w:tc>
          <w:tcPr>
            <w:tcW w:type="dxa" w:w="807"/>
          </w:tcPr>
          <w:p>
            <w:pPr>
              <w:keepNext/>
              <w:jc w:val="right"/>
            </w:pPr>
            <w:r>
              <w:rPr>
                <w:sz w:val="14"/>
              </w:rPr>
              <w:t>87.6%</w:t>
            </w:r>
          </w:p>
        </w:tc>
        <w:tc>
          <w:tcPr>
            <w:tcW w:type="dxa" w:w="807"/>
          </w:tcPr>
          <w:p>
            <w:pPr>
              <w:keepNext/>
              <w:jc w:val="right"/>
            </w:pPr>
            <w:r>
              <w:rPr>
                <w:sz w:val="14"/>
              </w:rPr>
              <w:t>57.0%</w:t>
            </w:r>
          </w:p>
        </w:tc>
        <w:tc>
          <w:tcPr>
            <w:tcW w:type="dxa" w:w="914"/>
          </w:tcPr>
          <w:p>
            <w:pPr>
              <w:keepNext/>
              <w:jc w:val="right"/>
            </w:pPr>
            <w:r>
              <w:rPr>
                <w:sz w:val="14"/>
              </w:rPr>
              <w:t>127/235</w:t>
            </w:r>
          </w:p>
        </w:tc>
        <w:tc>
          <w:tcPr>
            <w:tcW w:type="dxa" w:w="807"/>
          </w:tcPr>
          <w:p>
            <w:pPr>
              <w:keepNext/>
              <w:jc w:val="right"/>
            </w:pPr>
            <w:r>
              <w:rPr>
                <w:sz w:val="14"/>
              </w:rPr>
              <w:t>54.0%</w:t>
            </w:r>
          </w:p>
        </w:tc>
        <w:tc>
          <w:tcPr>
            <w:tcW w:type="dxa" w:w="807"/>
          </w:tcPr>
          <w:p>
            <w:pPr>
              <w:keepNext/>
              <w:jc w:val="right"/>
            </w:pPr>
            <w:r>
              <w:rPr>
                <w:sz w:val="14"/>
              </w:rPr>
              <w:t>42.7%</w:t>
            </w:r>
          </w:p>
        </w:tc>
        <w:tc>
          <w:tcPr>
            <w:tcW w:type="dxa" w:w="807"/>
          </w:tcPr>
          <w:p>
            <w:pPr>
              <w:keepNext/>
              <w:jc w:val="right"/>
            </w:pPr>
            <w:r>
              <w:rPr>
                <w:sz w:val="14"/>
              </w:rPr>
              <w:t>76.6%</w:t>
            </w:r>
          </w:p>
        </w:tc>
        <w:tc>
          <w:tcPr>
            <w:tcW w:type="dxa" w:w="807"/>
          </w:tcPr>
          <w:p>
            <w:pPr>
              <w:keepNext/>
              <w:jc w:val="right"/>
            </w:pPr>
            <w:r>
              <w:rPr>
                <w:sz w:val="14"/>
              </w:rPr>
              <w:t>86.7%</w:t>
            </w:r>
          </w:p>
        </w:tc>
      </w:tr>
      <w:tr>
        <w:trPr>
          <w:cantSplit/>
        </w:trPr>
        <w:tc>
          <w:tcPr>
            <w:tcW w:type="dxa" w:w="1668"/>
            <w:tcBorders>
              <w:top w:val="single" w:sz="4" w:space="0" w:color="000000"/>
            </w:tcBorders>
          </w:tcPr>
          <w:p>
            <w:pPr>
              <w:keepNext/>
              <w:jc w:val="left"/>
            </w:pPr>
            <w:r>
              <w:rPr>
                <w:sz w:val="14"/>
              </w:rPr>
              <w:t>mecA or mecC</w:t>
            </w:r>
          </w:p>
        </w:tc>
        <w:tc>
          <w:tcPr>
            <w:tcW w:type="dxa" w:w="1345"/>
            <w:tcBorders>
              <w:top w:val="single" w:sz="4" w:space="0" w:color="000000"/>
            </w:tcBorders>
          </w:tcPr>
          <w:p>
            <w:pPr>
              <w:keepNext/>
              <w:jc w:val="left"/>
            </w:pPr>
            <w:r>
              <w:rPr>
                <w:sz w:val="14"/>
              </w:rPr>
              <w:t>oxacillin or cefoxitin</w:t>
            </w:r>
          </w:p>
        </w:tc>
        <w:tc>
          <w:tcPr>
            <w:tcW w:type="dxa" w:w="484"/>
            <w:tcBorders>
              <w:top w:val="single" w:sz="4" w:space="0" w:color="000000"/>
            </w:tcBorders>
          </w:tcPr>
          <w:p>
            <w:pPr>
              <w:keepNext/>
              <w:jc w:val="right"/>
            </w:pPr>
            <w:r>
              <w:rPr>
                <w:sz w:val="14"/>
              </w:rPr>
              <w:t>127</w:t>
            </w:r>
          </w:p>
        </w:tc>
        <w:tc>
          <w:tcPr>
            <w:tcW w:type="dxa" w:w="914"/>
            <w:tcBorders>
              <w:top w:val="single" w:sz="4" w:space="0" w:color="000000"/>
            </w:tcBorders>
          </w:tcPr>
          <w:p>
            <w:pPr>
              <w:keepNext/>
              <w:jc w:val="right"/>
            </w:pPr>
            <w:r>
              <w:rPr>
                <w:sz w:val="14"/>
              </w:rPr>
              <w:t>99/105</w:t>
            </w:r>
          </w:p>
        </w:tc>
        <w:tc>
          <w:tcPr>
            <w:tcW w:type="dxa" w:w="807"/>
            <w:tcBorders>
              <w:top w:val="single" w:sz="4" w:space="0" w:color="000000"/>
            </w:tcBorders>
          </w:tcPr>
          <w:p>
            <w:pPr>
              <w:keepNext/>
              <w:jc w:val="right"/>
            </w:pPr>
            <w:r>
              <w:rPr>
                <w:sz w:val="14"/>
              </w:rPr>
              <w:t>94.3%</w:t>
            </w:r>
          </w:p>
        </w:tc>
        <w:tc>
          <w:tcPr>
            <w:tcW w:type="dxa" w:w="807"/>
            <w:tcBorders>
              <w:top w:val="single" w:sz="4" w:space="0" w:color="000000"/>
            </w:tcBorders>
          </w:tcPr>
          <w:p>
            <w:pPr>
              <w:keepNext/>
              <w:jc w:val="right"/>
            </w:pPr>
            <w:r>
              <w:rPr>
                <w:sz w:val="14"/>
              </w:rPr>
              <w:t>97.7%</w:t>
            </w:r>
          </w:p>
        </w:tc>
        <w:tc>
          <w:tcPr>
            <w:tcW w:type="dxa" w:w="914"/>
            <w:tcBorders>
              <w:top w:val="single" w:sz="4" w:space="0" w:color="000000"/>
            </w:tcBorders>
          </w:tcPr>
          <w:p>
            <w:pPr>
              <w:keepNext/>
              <w:jc w:val="right"/>
            </w:pPr>
            <w:r>
              <w:rPr>
                <w:sz w:val="14"/>
              </w:rPr>
              <w:t>99/100</w:t>
            </w:r>
          </w:p>
        </w:tc>
        <w:tc>
          <w:tcPr>
            <w:tcW w:type="dxa" w:w="807"/>
            <w:tcBorders>
              <w:top w:val="single" w:sz="4" w:space="0" w:color="000000"/>
            </w:tcBorders>
          </w:tcPr>
          <w:p>
            <w:pPr>
              <w:keepNext/>
              <w:jc w:val="right"/>
            </w:pPr>
            <w:r>
              <w:rPr>
                <w:sz w:val="14"/>
              </w:rPr>
              <w:t>99.0%</w:t>
            </w:r>
          </w:p>
        </w:tc>
        <w:tc>
          <w:tcPr>
            <w:tcW w:type="dxa" w:w="807"/>
            <w:tcBorders>
              <w:top w:val="single" w:sz="4" w:space="0" w:color="000000"/>
            </w:tcBorders>
          </w:tcPr>
          <w:p>
            <w:pPr>
              <w:keepNext/>
              <w:jc w:val="right"/>
            </w:pPr>
            <w:r>
              <w:rPr>
                <w:sz w:val="14"/>
              </w:rPr>
              <w:t>99.5%</w:t>
            </w:r>
          </w:p>
        </w:tc>
        <w:tc>
          <w:tcPr>
            <w:tcW w:type="dxa" w:w="807"/>
            <w:tcBorders>
              <w:top w:val="single" w:sz="4" w:space="0" w:color="000000"/>
            </w:tcBorders>
          </w:tcPr>
          <w:p>
            <w:pPr>
              <w:keepNext/>
              <w:jc w:val="right"/>
            </w:pPr>
            <w:r>
              <w:rPr>
                <w:sz w:val="14"/>
              </w:rPr>
              <w:t>77.8%</w:t>
            </w:r>
          </w:p>
        </w:tc>
        <w:tc>
          <w:tcPr>
            <w:tcW w:type="dxa" w:w="807"/>
            <w:tcBorders>
              <w:top w:val="single" w:sz="4" w:space="0" w:color="000000"/>
            </w:tcBorders>
          </w:tcPr>
          <w:p>
            <w:pPr>
              <w:keepNext/>
              <w:jc w:val="right"/>
            </w:pPr>
            <w:r>
              <w:rPr>
                <w:sz w:val="14"/>
              </w:rPr>
              <w:t>98.5%</w:t>
            </w:r>
          </w:p>
        </w:tc>
      </w:tr>
      <w:tr>
        <w:trPr>
          <w:cantSplit/>
        </w:trPr>
        <w:tc>
          <w:tcPr>
            <w:tcW w:type="dxa" w:w="1668"/>
          </w:tcPr>
          <w:p>
            <w:pPr>
              <w:keepNext/>
              <w:jc w:val="left"/>
            </w:pPr>
            <w:r>
              <w:rPr>
                <w:sz w:val="14"/>
              </w:rPr>
              <w:t>vanA or vanB</w:t>
            </w:r>
          </w:p>
        </w:tc>
        <w:tc>
          <w:tcPr>
            <w:tcW w:type="dxa" w:w="1345"/>
          </w:tcPr>
          <w:p>
            <w:pPr>
              <w:keepNext/>
              <w:jc w:val="left"/>
            </w:pPr>
            <w:r>
              <w:rPr>
                <w:sz w:val="14"/>
              </w:rPr>
              <w:t>vancomycin</w:t>
            </w:r>
          </w:p>
        </w:tc>
        <w:tc>
          <w:tcPr>
            <w:tcW w:type="dxa" w:w="484"/>
          </w:tcPr>
          <w:p>
            <w:pPr>
              <w:keepNext/>
              <w:jc w:val="right"/>
            </w:pPr>
            <w:r>
              <w:rPr>
                <w:sz w:val="14"/>
              </w:rPr>
              <w:t>41</w:t>
            </w:r>
          </w:p>
        </w:tc>
        <w:tc>
          <w:tcPr>
            <w:tcW w:type="dxa" w:w="914"/>
          </w:tcPr>
          <w:p>
            <w:pPr>
              <w:keepNext/>
              <w:jc w:val="right"/>
            </w:pPr>
            <w:r>
              <w:rPr>
                <w:sz w:val="14"/>
              </w:rPr>
              <w:t>18/20</w:t>
            </w:r>
          </w:p>
        </w:tc>
        <w:tc>
          <w:tcPr>
            <w:tcW w:type="dxa" w:w="807"/>
          </w:tcPr>
          <w:p>
            <w:pPr>
              <w:keepNext/>
              <w:jc w:val="right"/>
            </w:pPr>
            <w:r>
              <w:rPr>
                <w:sz w:val="14"/>
              </w:rPr>
              <w:t>90.0%</w:t>
            </w:r>
          </w:p>
        </w:tc>
        <w:tc>
          <w:tcPr>
            <w:tcW w:type="dxa" w:w="807"/>
          </w:tcPr>
          <w:p>
            <w:pPr>
              <w:keepNext/>
              <w:jc w:val="right"/>
            </w:pPr>
            <w:r>
              <w:rPr>
                <w:sz w:val="14"/>
              </w:rPr>
              <w:t>89.7%</w:t>
            </w:r>
          </w:p>
        </w:tc>
        <w:tc>
          <w:tcPr>
            <w:tcW w:type="dxa" w:w="914"/>
          </w:tcPr>
          <w:p>
            <w:pPr>
              <w:keepNext/>
              <w:jc w:val="right"/>
            </w:pPr>
            <w:r>
              <w:rPr>
                <w:sz w:val="14"/>
              </w:rPr>
              <w:t>18/18</w:t>
            </w:r>
          </w:p>
        </w:tc>
        <w:tc>
          <w:tcPr>
            <w:tcW w:type="dxa" w:w="807"/>
          </w:tcPr>
          <w:p>
            <w:pPr>
              <w:keepNext/>
              <w:jc w:val="right"/>
            </w:pPr>
            <w:r>
              <w:rPr>
                <w:sz w:val="14"/>
              </w:rPr>
              <w:t>100.0%</w:t>
            </w:r>
          </w:p>
        </w:tc>
        <w:tc>
          <w:tcPr>
            <w:tcW w:type="dxa" w:w="807"/>
          </w:tcPr>
          <w:p>
            <w:pPr>
              <w:keepNext/>
              <w:jc w:val="right"/>
            </w:pPr>
            <w:r>
              <w:rPr>
                <w:sz w:val="14"/>
              </w:rPr>
              <w:t>89.7%</w:t>
            </w:r>
          </w:p>
        </w:tc>
        <w:tc>
          <w:tcPr>
            <w:tcW w:type="dxa" w:w="807"/>
          </w:tcPr>
          <w:p>
            <w:pPr>
              <w:keepNext/>
              <w:jc w:val="right"/>
            </w:pPr>
            <w:r>
              <w:rPr>
                <w:sz w:val="14"/>
              </w:rPr>
              <w:t>91.3%</w:t>
            </w:r>
          </w:p>
        </w:tc>
        <w:tc>
          <w:tcPr>
            <w:tcW w:type="dxa" w:w="807"/>
          </w:tcPr>
          <w:p>
            <w:pPr>
              <w:keepNext/>
              <w:jc w:val="right"/>
            </w:pPr>
            <w:r>
              <w:rPr>
                <w:sz w:val="14"/>
              </w:rPr>
              <w:t>96.7%</w:t>
            </w:r>
          </w:p>
        </w:tc>
      </w:tr>
      <w:tr>
        <w:trPr>
          <w:cantSplit/>
        </w:trPr>
        <w:tc>
          <w:tcPr>
            <w:tcW w:type="dxa" w:w="1668"/>
          </w:tcPr>
          <w:p>
            <w:pPr>
              <w:keepNext/>
              <w:jc w:val="left"/>
            </w:pPr>
            <w:r>
              <w:rPr>
                <w:sz w:val="14"/>
              </w:rPr>
              <w:t>Any of 5 carbapenemases</w:t>
            </w:r>
          </w:p>
        </w:tc>
        <w:tc>
          <w:tcPr>
            <w:tcW w:type="dxa" w:w="1345"/>
          </w:tcPr>
          <w:p>
            <w:pPr>
              <w:keepNext/>
              <w:jc w:val="left"/>
            </w:pPr>
            <w:r>
              <w:rPr>
                <w:sz w:val="14"/>
              </w:rPr>
              <w:t>meropenem</w:t>
            </w:r>
          </w:p>
        </w:tc>
        <w:tc>
          <w:tcPr>
            <w:tcW w:type="dxa" w:w="484"/>
          </w:tcPr>
          <w:p>
            <w:pPr>
              <w:keepNext/>
              <w:jc w:val="right"/>
            </w:pPr>
            <w:r>
              <w:rPr>
                <w:sz w:val="14"/>
              </w:rPr>
              <w:t>312</w:t>
            </w:r>
          </w:p>
        </w:tc>
        <w:tc>
          <w:tcPr>
            <w:tcW w:type="dxa" w:w="914"/>
          </w:tcPr>
          <w:p>
            <w:pPr>
              <w:keepNext/>
              <w:jc w:val="right"/>
            </w:pPr>
            <w:r>
              <w:rPr>
                <w:sz w:val="14"/>
              </w:rPr>
              <w:t>124/147</w:t>
            </w:r>
          </w:p>
        </w:tc>
        <w:tc>
          <w:tcPr>
            <w:tcW w:type="dxa" w:w="807"/>
          </w:tcPr>
          <w:p>
            <w:pPr>
              <w:keepNext/>
              <w:jc w:val="right"/>
            </w:pPr>
            <w:r>
              <w:rPr>
                <w:sz w:val="14"/>
              </w:rPr>
              <w:t>84.4%</w:t>
            </w:r>
          </w:p>
        </w:tc>
        <w:tc>
          <w:tcPr>
            <w:tcW w:type="dxa" w:w="807"/>
          </w:tcPr>
          <w:p>
            <w:pPr>
              <w:keepNext/>
              <w:jc w:val="right"/>
            </w:pPr>
            <w:r>
              <w:rPr>
                <w:sz w:val="14"/>
              </w:rPr>
              <w:t>87.6%</w:t>
            </w:r>
          </w:p>
        </w:tc>
        <w:tc>
          <w:tcPr>
            <w:tcW w:type="dxa" w:w="914"/>
          </w:tcPr>
          <w:p>
            <w:pPr>
              <w:keepNext/>
              <w:jc w:val="right"/>
            </w:pPr>
            <w:r>
              <w:rPr>
                <w:sz w:val="14"/>
              </w:rPr>
              <w:t>124/148</w:t>
            </w:r>
          </w:p>
        </w:tc>
        <w:tc>
          <w:tcPr>
            <w:tcW w:type="dxa" w:w="807"/>
          </w:tcPr>
          <w:p>
            <w:pPr>
              <w:keepNext/>
              <w:jc w:val="right"/>
            </w:pPr>
            <w:r>
              <w:rPr>
                <w:sz w:val="14"/>
              </w:rPr>
              <w:t>83.8%</w:t>
            </w:r>
          </w:p>
        </w:tc>
        <w:tc>
          <w:tcPr>
            <w:tcW w:type="dxa" w:w="807"/>
          </w:tcPr>
          <w:p>
            <w:pPr>
              <w:keepNext/>
              <w:jc w:val="right"/>
            </w:pPr>
            <w:r>
              <w:rPr>
                <w:sz w:val="14"/>
              </w:rPr>
              <w:t>73.2%</w:t>
            </w:r>
          </w:p>
        </w:tc>
        <w:tc>
          <w:tcPr>
            <w:tcW w:type="dxa" w:w="807"/>
          </w:tcPr>
          <w:p>
            <w:pPr>
              <w:keepNext/>
              <w:jc w:val="right"/>
            </w:pPr>
            <w:r>
              <w:rPr>
                <w:sz w:val="14"/>
              </w:rPr>
              <w:t>86.0%</w:t>
            </w:r>
          </w:p>
        </w:tc>
        <w:tc>
          <w:tcPr>
            <w:tcW w:type="dxa" w:w="807"/>
          </w:tcPr>
          <w:p>
            <w:pPr>
              <w:keepNext/>
              <w:jc w:val="right"/>
            </w:pPr>
            <w:r>
              <w:rPr>
                <w:sz w:val="14"/>
              </w:rPr>
              <w:t>99.0%</w:t>
            </w:r>
          </w:p>
        </w:tc>
      </w:tr>
      <w:tr>
        <w:trPr>
          <w:cantSplit/>
        </w:trPr>
        <w:tc>
          <w:tcPr>
            <w:tcW w:type="dxa" w:w="1668"/>
            <w:tcBorders>
              <w:bottom w:val="single" w:sz="12" w:space="0" w:color="000000"/>
            </w:tcBorders>
          </w:tcPr>
          <w:p>
            <w:pPr>
              <w:jc w:val="left"/>
            </w:pPr>
            <w:r>
              <w:rPr>
                <w:sz w:val="14"/>
              </w:rPr>
              <w:t>Any of 5 carbapenemases</w:t>
            </w:r>
          </w:p>
        </w:tc>
        <w:tc>
          <w:tcPr>
            <w:tcW w:type="dxa" w:w="1345"/>
            <w:tcBorders>
              <w:bottom w:val="single" w:sz="12" w:space="0" w:color="000000"/>
            </w:tcBorders>
          </w:tcPr>
          <w:p>
            <w:pPr>
              <w:jc w:val="left"/>
            </w:pPr>
            <w:r>
              <w:rPr>
                <w:sz w:val="14"/>
              </w:rPr>
              <w:t>any carbapenem</w:t>
            </w:r>
          </w:p>
        </w:tc>
        <w:tc>
          <w:tcPr>
            <w:tcW w:type="dxa" w:w="484"/>
            <w:tcBorders>
              <w:bottom w:val="single" w:sz="12" w:space="0" w:color="000000"/>
            </w:tcBorders>
          </w:tcPr>
          <w:p>
            <w:pPr>
              <w:jc w:val="right"/>
            </w:pPr>
            <w:r>
              <w:rPr>
                <w:sz w:val="14"/>
              </w:rPr>
              <w:t>312</w:t>
            </w:r>
          </w:p>
        </w:tc>
        <w:tc>
          <w:tcPr>
            <w:tcW w:type="dxa" w:w="914"/>
            <w:tcBorders>
              <w:bottom w:val="single" w:sz="12" w:space="0" w:color="000000"/>
            </w:tcBorders>
          </w:tcPr>
          <w:p>
            <w:pPr>
              <w:jc w:val="right"/>
            </w:pPr>
            <w:r>
              <w:rPr>
                <w:sz w:val="14"/>
              </w:rPr>
              <w:t>142/147</w:t>
            </w:r>
          </w:p>
        </w:tc>
        <w:tc>
          <w:tcPr>
            <w:tcW w:type="dxa" w:w="807"/>
            <w:tcBorders>
              <w:bottom w:val="single" w:sz="12" w:space="0" w:color="000000"/>
            </w:tcBorders>
          </w:tcPr>
          <w:p>
            <w:pPr>
              <w:jc w:val="right"/>
            </w:pPr>
            <w:r>
              <w:rPr>
                <w:sz w:val="14"/>
              </w:rPr>
              <w:t>96.6%</w:t>
            </w:r>
          </w:p>
        </w:tc>
        <w:tc>
          <w:tcPr>
            <w:tcW w:type="dxa" w:w="807"/>
            <w:tcBorders>
              <w:bottom w:val="single" w:sz="12" w:space="0" w:color="000000"/>
            </w:tcBorders>
          </w:tcPr>
          <w:p>
            <w:pPr>
              <w:jc w:val="right"/>
            </w:pPr>
            <w:r>
              <w:rPr>
                <w:sz w:val="14"/>
              </w:rPr>
              <w:t>97.8%</w:t>
            </w:r>
          </w:p>
        </w:tc>
        <w:tc>
          <w:tcPr>
            <w:tcW w:type="dxa" w:w="914"/>
            <w:tcBorders>
              <w:bottom w:val="single" w:sz="12" w:space="0" w:color="000000"/>
            </w:tcBorders>
          </w:tcPr>
          <w:p>
            <w:pPr>
              <w:jc w:val="right"/>
            </w:pPr>
            <w:r>
              <w:rPr>
                <w:sz w:val="14"/>
              </w:rPr>
              <w:t>142/178</w:t>
            </w:r>
          </w:p>
        </w:tc>
        <w:tc>
          <w:tcPr>
            <w:tcW w:type="dxa" w:w="807"/>
            <w:tcBorders>
              <w:bottom w:val="single" w:sz="12" w:space="0" w:color="000000"/>
            </w:tcBorders>
          </w:tcPr>
          <w:p>
            <w:pPr>
              <w:jc w:val="right"/>
            </w:pPr>
            <w:r>
              <w:rPr>
                <w:sz w:val="14"/>
              </w:rPr>
              <w:t>79.8%</w:t>
            </w:r>
          </w:p>
        </w:tc>
        <w:tc>
          <w:tcPr>
            <w:tcW w:type="dxa" w:w="807"/>
            <w:tcBorders>
              <w:bottom w:val="single" w:sz="12" w:space="0" w:color="000000"/>
            </w:tcBorders>
          </w:tcPr>
          <w:p>
            <w:pPr>
              <w:jc w:val="right"/>
            </w:pPr>
            <w:r>
              <w:rPr>
                <w:sz w:val="14"/>
              </w:rPr>
              <w:t>64.3%</w:t>
            </w:r>
          </w:p>
        </w:tc>
        <w:tc>
          <w:tcPr>
            <w:tcW w:type="dxa" w:w="807"/>
            <w:tcBorders>
              <w:bottom w:val="single" w:sz="12" w:space="0" w:color="000000"/>
            </w:tcBorders>
          </w:tcPr>
          <w:p>
            <w:pPr>
              <w:jc w:val="right"/>
            </w:pPr>
            <w:r>
              <w:rPr>
                <w:sz w:val="14"/>
              </w:rPr>
              <w:t>96.3%</w:t>
            </w:r>
          </w:p>
        </w:tc>
        <w:tc>
          <w:tcPr>
            <w:tcW w:type="dxa" w:w="807"/>
            <w:tcBorders>
              <w:bottom w:val="single" w:sz="12" w:space="0" w:color="000000"/>
            </w:tcBorders>
          </w:tcPr>
          <w:p>
            <w:pPr>
              <w:jc w:val="right"/>
            </w:pPr>
            <w:r>
              <w:rPr>
                <w:sz w:val="14"/>
              </w:rPr>
              <w:t>99.8%</w:t>
            </w:r>
          </w:p>
        </w:tc>
      </w:tr>
    </w:tbl>
    <w:p>
      <w:pPr>
        <w:spacing w:after="80"/>
      </w:pPr>
    </w:p>
    <w:p>
      <w:pPr>
        <w:spacing w:after="0" w:line="20" w:lineRule="exact"/>
        <w:rPr>
          <w:sz w:val="2"/>
        </w:rPr>
        <w:sectPr>
          <w:type w:val="continuous"/>
          <w:pgSz w:w="12240" w:h="15840"/>
          <w:pgMar w:top="1224" w:bottom="1296" w:left="1036" w:right="1036" w:header="720" w:footer="720" w:gutter="0"/>
          <w:cols w:num="1" w:space="374"/>
        </w:sectPr>
      </w:pPr>
      <w:r/>
    </w:p>
    <w:p>
      <w:pPr>
        <w:spacing w:after="0" w:line="20" w:lineRule="exact"/>
        <w:rPr>
          <w:sz w:val="2"/>
        </w:rPr>
        <w:sectPr>
          <w:type w:val="continuous"/>
          <w:pgSz w:w="12240" w:h="15840"/>
          <w:pgMar w:top="1224" w:bottom="1296" w:left="1036" w:right="1036" w:header="720" w:footer="720" w:gutter="0"/>
          <w:cols w:num="2" w:space="374"/>
        </w:sectPr>
      </w:pPr>
      <w:r/>
    </w:p>
    <w:p>
      <w:pPr>
        <w:keepNext/>
        <w:spacing w:before="120"/>
        <w:jc w:val="center"/>
      </w:pPr>
      <w:r>
        <w:drawing>
          <wp:inline xmlns:a="http://schemas.openxmlformats.org/drawingml/2006/main" xmlns:pic="http://schemas.openxmlformats.org/drawingml/2006/picture">
            <wp:extent cx="5164531" cy="3172170"/>
            <wp:docPr id="9" name="Picture 9"/>
            <wp:cNvGraphicFramePr>
              <a:graphicFrameLocks noChangeAspect="1"/>
            </wp:cNvGraphicFramePr>
            <a:graphic>
              <a:graphicData uri="http://schemas.openxmlformats.org/drawingml/2006/picture">
                <pic:pic>
                  <pic:nvPicPr>
                    <pic:cNvPr id="0" name="fig8_checkB.png"/>
                    <pic:cNvPicPr/>
                  </pic:nvPicPr>
                  <pic:blipFill>
                    <a:blip r:embed="rId19"/>
                    <a:stretch>
                      <a:fillRect/>
                    </a:stretch>
                  </pic:blipFill>
                  <pic:spPr>
                    <a:xfrm>
                      <a:off x="0" y="0"/>
                      <a:ext cx="5164531" cy="3172170"/>
                    </a:xfrm>
                    <a:prstGeom prst="rect"/>
                  </pic:spPr>
                </pic:pic>
              </a:graphicData>
            </a:graphic>
          </wp:inline>
        </w:drawing>
      </w:r>
    </w:p>
    <w:p>
      <w:pPr>
        <w:spacing w:before="60" w:after="160"/>
        <w:jc w:val="both"/>
      </w:pPr>
      <w:r>
        <w:rPr>
          <w:sz w:val="18"/>
        </w:rPr>
        <w:t xml:space="preserve">FIG. 8: </w:t>
      </w:r>
      <w:r>
        <w:rPr>
          <w:sz w:val="18"/>
        </w:rPr>
        <w:t>Check B. (a) Share of gene-positive isolates that test resistant (PPV) and (b) share of resistant isolates that carry a target (sensitivity), Bank (blue) beside Project 1 (orange), with 95% Wilson intervals. Numbers in brackets are Bank denominators.</w:t>
      </w:r>
    </w:p>
    <w:p>
      <w:pPr>
        <w:spacing w:after="0" w:line="20" w:lineRule="exact"/>
        <w:rPr>
          <w:sz w:val="2"/>
        </w:rPr>
        <w:sectPr>
          <w:type w:val="continuous"/>
          <w:pgSz w:w="12240" w:h="15840"/>
          <w:pgMar w:top="1224" w:bottom="1296" w:left="1036" w:right="1036" w:header="720" w:footer="720" w:gutter="0"/>
          <w:cols w:num="1" w:space="374"/>
        </w:sectPr>
      </w:pPr>
      <w:r/>
    </w:p>
    <w:p>
      <w:pPr>
        <w:keepNext/>
        <w:spacing w:before="120" w:after="60"/>
        <w:jc w:val="center"/>
      </w:pPr>
      <w:r>
        <w:rPr>
          <w:sz w:val="18"/>
        </w:rPr>
        <w:t xml:space="preserve">TABLE X: </w:t>
      </w:r>
      <w:r>
        <w:rPr>
          <w:sz w:val="18"/>
        </w:rPr>
        <w:t>The 6 isolate–drug results where Project 1's breakpoint rules and CDC's posted category differ.</w:t>
      </w:r>
    </w:p>
    <w:tbl>
      <w:tblPr>
        <w:jc w:val="center"/>
        <w:tblLayout w:type="fixed"/>
        <w:tblLook w:firstColumn="1" w:firstRow="1" w:lastColumn="0" w:lastRow="0" w:noHBand="0" w:noVBand="1" w:val="04A0"/>
        <w:tblCellMar>
          <w:top w:w="10" w:type="dxa"/>
          <w:bottom w:w="10" w:type="dxa"/>
          <w:left w:w="50" w:type="dxa"/>
          <w:right w:w="50" w:type="dxa"/>
        </w:tblCellMar>
        <w:tblLayout w:type="fixed"/>
        <w:tblW w:w="4896" w:type="dxa"/>
      </w:tblPr>
      <w:tblGrid>
        <w:gridCol w:w="525"/>
        <w:gridCol w:w="1481"/>
        <w:gridCol w:w="1194"/>
        <w:gridCol w:w="430"/>
        <w:gridCol w:w="430"/>
        <w:gridCol w:w="834"/>
      </w:tblGrid>
      <w:tr>
        <w:trPr>
          <w:cantSplit/>
          <w:tblHeader/>
        </w:trPr>
        <w:tc>
          <w:tcPr>
            <w:tcW w:type="dxa" w:w="526"/>
            <w:tcBorders>
              <w:top w:val="single" w:sz="12" w:space="0" w:color="000000"/>
              <w:bottom w:val="single" w:sz="6" w:space="0" w:color="000000"/>
            </w:tcBorders>
          </w:tcPr>
          <w:p>
            <w:pPr>
              <w:keepNext/>
              <w:jc w:val="left"/>
            </w:pPr>
            <w:r>
              <w:rPr>
                <w:sz w:val="13"/>
              </w:rPr>
              <w:t>AR Bank</w:t>
            </w:r>
          </w:p>
        </w:tc>
        <w:tc>
          <w:tcPr>
            <w:tcW w:type="dxa" w:w="1481"/>
            <w:tcBorders>
              <w:top w:val="single" w:sz="12" w:space="0" w:color="000000"/>
              <w:bottom w:val="single" w:sz="6" w:space="0" w:color="000000"/>
            </w:tcBorders>
          </w:tcPr>
          <w:p>
            <w:pPr>
              <w:keepNext/>
              <w:jc w:val="left"/>
            </w:pPr>
            <w:r>
              <w:rPr>
                <w:sz w:val="13"/>
              </w:rPr>
              <w:t>Organism group</w:t>
            </w:r>
          </w:p>
        </w:tc>
        <w:tc>
          <w:tcPr>
            <w:tcW w:type="dxa" w:w="1195"/>
            <w:tcBorders>
              <w:top w:val="single" w:sz="12" w:space="0" w:color="000000"/>
              <w:bottom w:val="single" w:sz="6" w:space="0" w:color="000000"/>
            </w:tcBorders>
          </w:tcPr>
          <w:p>
            <w:pPr>
              <w:keepNext/>
              <w:jc w:val="left"/>
            </w:pPr>
            <w:r>
              <w:rPr>
                <w:sz w:val="13"/>
              </w:rPr>
              <w:t>Drug</w:t>
            </w:r>
          </w:p>
        </w:tc>
        <w:tc>
          <w:tcPr>
            <w:tcW w:type="dxa" w:w="430"/>
            <w:tcBorders>
              <w:top w:val="single" w:sz="12" w:space="0" w:color="000000"/>
              <w:bottom w:val="single" w:sz="6" w:space="0" w:color="000000"/>
            </w:tcBorders>
          </w:tcPr>
          <w:p>
            <w:pPr>
              <w:keepNext/>
              <w:jc w:val="right"/>
            </w:pPr>
            <w:r>
              <w:rPr>
                <w:sz w:val="13"/>
              </w:rPr>
              <w:t>MIC</w:t>
            </w:r>
          </w:p>
        </w:tc>
        <w:tc>
          <w:tcPr>
            <w:tcW w:type="dxa" w:w="430"/>
            <w:tcBorders>
              <w:top w:val="single" w:sz="12" w:space="0" w:color="000000"/>
              <w:bottom w:val="single" w:sz="6" w:space="0" w:color="000000"/>
            </w:tcBorders>
          </w:tcPr>
          <w:p>
            <w:pPr>
              <w:keepNext/>
              <w:jc w:val="center"/>
            </w:pPr>
            <w:r>
              <w:rPr>
                <w:sz w:val="13"/>
              </w:rPr>
              <w:t>CDC</w:t>
            </w:r>
          </w:p>
        </w:tc>
        <w:tc>
          <w:tcPr>
            <w:tcW w:type="dxa" w:w="834"/>
            <w:tcBorders>
              <w:top w:val="single" w:sz="12" w:space="0" w:color="000000"/>
              <w:bottom w:val="single" w:sz="6" w:space="0" w:color="000000"/>
            </w:tcBorders>
          </w:tcPr>
          <w:p>
            <w:pPr>
              <w:keepNext/>
              <w:jc w:val="center"/>
            </w:pPr>
            <w:r>
              <w:rPr>
                <w:sz w:val="13"/>
              </w:rPr>
              <w:t>Project 1 rules</w:t>
            </w:r>
          </w:p>
        </w:tc>
      </w:tr>
      <w:tr>
        <w:trPr>
          <w:cantSplit/>
        </w:trPr>
        <w:tc>
          <w:tcPr>
            <w:tcW w:type="dxa" w:w="526"/>
          </w:tcPr>
          <w:p>
            <w:pPr>
              <w:keepNext/>
              <w:jc w:val="left"/>
            </w:pPr>
            <w:r>
              <w:rPr>
                <w:sz w:val="13"/>
              </w:rPr>
              <w:t>0057</w:t>
            </w:r>
          </w:p>
        </w:tc>
        <w:tc>
          <w:tcPr>
            <w:tcW w:type="dxa" w:w="1481"/>
          </w:tcPr>
          <w:p>
            <w:pPr>
              <w:keepNext/>
              <w:jc w:val="left"/>
            </w:pPr>
            <w:r>
              <w:rPr>
                <w:sz w:val="13"/>
              </w:rPr>
              <w:t>Morganella / Providencia</w:t>
            </w:r>
          </w:p>
        </w:tc>
        <w:tc>
          <w:tcPr>
            <w:tcW w:type="dxa" w:w="1195"/>
          </w:tcPr>
          <w:p>
            <w:pPr>
              <w:keepNext/>
              <w:jc w:val="left"/>
            </w:pPr>
            <w:r>
              <w:rPr>
                <w:sz w:val="13"/>
              </w:rPr>
              <w:t>meropenem</w:t>
            </w:r>
          </w:p>
        </w:tc>
        <w:tc>
          <w:tcPr>
            <w:tcW w:type="dxa" w:w="430"/>
          </w:tcPr>
          <w:p>
            <w:pPr>
              <w:keepNext/>
              <w:jc w:val="right"/>
            </w:pPr>
            <w:r>
              <w:rPr>
                <w:sz w:val="13"/>
              </w:rPr>
              <w:t>2</w:t>
            </w:r>
          </w:p>
        </w:tc>
        <w:tc>
          <w:tcPr>
            <w:tcW w:type="dxa" w:w="430"/>
          </w:tcPr>
          <w:p>
            <w:pPr>
              <w:keepNext/>
              <w:jc w:val="center"/>
            </w:pPr>
            <w:r>
              <w:rPr>
                <w:sz w:val="13"/>
              </w:rPr>
              <w:t>R</w:t>
            </w:r>
          </w:p>
        </w:tc>
        <w:tc>
          <w:tcPr>
            <w:tcW w:type="dxa" w:w="834"/>
          </w:tcPr>
          <w:p>
            <w:pPr>
              <w:keepNext/>
              <w:jc w:val="center"/>
            </w:pPr>
            <w:r>
              <w:rPr>
                <w:sz w:val="13"/>
              </w:rPr>
              <w:t>I</w:t>
            </w:r>
          </w:p>
        </w:tc>
      </w:tr>
      <w:tr>
        <w:trPr>
          <w:cantSplit/>
        </w:trPr>
        <w:tc>
          <w:tcPr>
            <w:tcW w:type="dxa" w:w="526"/>
          </w:tcPr>
          <w:p>
            <w:pPr>
              <w:keepNext/>
              <w:jc w:val="left"/>
            </w:pPr>
            <w:r>
              <w:rPr>
                <w:sz w:val="13"/>
              </w:rPr>
              <w:t>0082</w:t>
            </w:r>
          </w:p>
        </w:tc>
        <w:tc>
          <w:tcPr>
            <w:tcW w:type="dxa" w:w="1481"/>
          </w:tcPr>
          <w:p>
            <w:pPr>
              <w:keepNext/>
              <w:jc w:val="left"/>
            </w:pPr>
            <w:r>
              <w:rPr>
                <w:sz w:val="13"/>
              </w:rPr>
              <w:t>Morganella / Providencia</w:t>
            </w:r>
          </w:p>
        </w:tc>
        <w:tc>
          <w:tcPr>
            <w:tcW w:type="dxa" w:w="1195"/>
          </w:tcPr>
          <w:p>
            <w:pPr>
              <w:keepNext/>
              <w:jc w:val="left"/>
            </w:pPr>
            <w:r>
              <w:rPr>
                <w:sz w:val="13"/>
              </w:rPr>
              <w:t>meropenem</w:t>
            </w:r>
          </w:p>
        </w:tc>
        <w:tc>
          <w:tcPr>
            <w:tcW w:type="dxa" w:w="430"/>
          </w:tcPr>
          <w:p>
            <w:pPr>
              <w:keepNext/>
              <w:jc w:val="right"/>
            </w:pPr>
            <w:r>
              <w:rPr>
                <w:sz w:val="13"/>
              </w:rPr>
              <w:t>4</w:t>
            </w:r>
          </w:p>
        </w:tc>
        <w:tc>
          <w:tcPr>
            <w:tcW w:type="dxa" w:w="430"/>
          </w:tcPr>
          <w:p>
            <w:pPr>
              <w:keepNext/>
              <w:jc w:val="center"/>
            </w:pPr>
            <w:r>
              <w:rPr>
                <w:sz w:val="13"/>
              </w:rPr>
              <w:t>I</w:t>
            </w:r>
          </w:p>
        </w:tc>
        <w:tc>
          <w:tcPr>
            <w:tcW w:type="dxa" w:w="834"/>
          </w:tcPr>
          <w:p>
            <w:pPr>
              <w:keepNext/>
              <w:jc w:val="center"/>
            </w:pPr>
            <w:r>
              <w:rPr>
                <w:sz w:val="13"/>
              </w:rPr>
              <w:t>R</w:t>
            </w:r>
          </w:p>
        </w:tc>
      </w:tr>
      <w:tr>
        <w:trPr>
          <w:cantSplit/>
        </w:trPr>
        <w:tc>
          <w:tcPr>
            <w:tcW w:type="dxa" w:w="526"/>
          </w:tcPr>
          <w:p>
            <w:pPr>
              <w:keepNext/>
              <w:jc w:val="left"/>
            </w:pPr>
            <w:r>
              <w:rPr>
                <w:sz w:val="13"/>
              </w:rPr>
              <w:t>0155</w:t>
            </w:r>
          </w:p>
        </w:tc>
        <w:tc>
          <w:tcPr>
            <w:tcW w:type="dxa" w:w="1481"/>
          </w:tcPr>
          <w:p>
            <w:pPr>
              <w:keepNext/>
              <w:jc w:val="left"/>
            </w:pPr>
            <w:r>
              <w:rPr>
                <w:sz w:val="13"/>
              </w:rPr>
              <w:t>Morganella / Providencia</w:t>
            </w:r>
          </w:p>
        </w:tc>
        <w:tc>
          <w:tcPr>
            <w:tcW w:type="dxa" w:w="1195"/>
          </w:tcPr>
          <w:p>
            <w:pPr>
              <w:keepNext/>
              <w:jc w:val="left"/>
            </w:pPr>
            <w:r>
              <w:rPr>
                <w:sz w:val="13"/>
              </w:rPr>
              <w:t>ceftazidime</w:t>
            </w:r>
          </w:p>
        </w:tc>
        <w:tc>
          <w:tcPr>
            <w:tcW w:type="dxa" w:w="430"/>
          </w:tcPr>
          <w:p>
            <w:pPr>
              <w:keepNext/>
              <w:jc w:val="right"/>
            </w:pPr>
            <w:r>
              <w:rPr>
                <w:sz w:val="13"/>
              </w:rPr>
              <w:t>8</w:t>
            </w:r>
          </w:p>
        </w:tc>
        <w:tc>
          <w:tcPr>
            <w:tcW w:type="dxa" w:w="430"/>
          </w:tcPr>
          <w:p>
            <w:pPr>
              <w:keepNext/>
              <w:jc w:val="center"/>
            </w:pPr>
            <w:r>
              <w:rPr>
                <w:sz w:val="13"/>
              </w:rPr>
              <w:t>R</w:t>
            </w:r>
          </w:p>
        </w:tc>
        <w:tc>
          <w:tcPr>
            <w:tcW w:type="dxa" w:w="834"/>
          </w:tcPr>
          <w:p>
            <w:pPr>
              <w:keepNext/>
              <w:jc w:val="center"/>
            </w:pPr>
            <w:r>
              <w:rPr>
                <w:sz w:val="13"/>
              </w:rPr>
              <w:t>I</w:t>
            </w:r>
          </w:p>
        </w:tc>
      </w:tr>
      <w:tr>
        <w:trPr>
          <w:cantSplit/>
        </w:trPr>
        <w:tc>
          <w:tcPr>
            <w:tcW w:type="dxa" w:w="526"/>
          </w:tcPr>
          <w:p>
            <w:pPr>
              <w:keepNext/>
              <w:jc w:val="left"/>
            </w:pPr>
            <w:r>
              <w:rPr>
                <w:sz w:val="13"/>
              </w:rPr>
              <w:t>0216</w:t>
            </w:r>
          </w:p>
        </w:tc>
        <w:tc>
          <w:tcPr>
            <w:tcW w:type="dxa" w:w="1481"/>
          </w:tcPr>
          <w:p>
            <w:pPr>
              <w:keepNext/>
              <w:jc w:val="left"/>
            </w:pPr>
            <w:r>
              <w:rPr>
                <w:i/>
                <w:sz w:val="13"/>
              </w:rPr>
              <w:t>Staphylococcus aureus</w:t>
            </w:r>
          </w:p>
        </w:tc>
        <w:tc>
          <w:tcPr>
            <w:tcW w:type="dxa" w:w="1195"/>
          </w:tcPr>
          <w:p>
            <w:pPr>
              <w:keepNext/>
              <w:jc w:val="left"/>
            </w:pPr>
            <w:r>
              <w:rPr>
                <w:sz w:val="13"/>
              </w:rPr>
              <w:t>oxacillin</w:t>
            </w:r>
          </w:p>
        </w:tc>
        <w:tc>
          <w:tcPr>
            <w:tcW w:type="dxa" w:w="430"/>
          </w:tcPr>
          <w:p>
            <w:pPr>
              <w:keepNext/>
              <w:jc w:val="right"/>
            </w:pPr>
            <w:r>
              <w:rPr>
                <w:sz w:val="13"/>
              </w:rPr>
              <w:t>2</w:t>
            </w:r>
          </w:p>
        </w:tc>
        <w:tc>
          <w:tcPr>
            <w:tcW w:type="dxa" w:w="430"/>
          </w:tcPr>
          <w:p>
            <w:pPr>
              <w:keepNext/>
              <w:jc w:val="center"/>
            </w:pPr>
            <w:r>
              <w:rPr>
                <w:sz w:val="13"/>
              </w:rPr>
              <w:t>R</w:t>
            </w:r>
          </w:p>
        </w:tc>
        <w:tc>
          <w:tcPr>
            <w:tcW w:type="dxa" w:w="834"/>
          </w:tcPr>
          <w:p>
            <w:pPr>
              <w:keepNext/>
              <w:jc w:val="center"/>
            </w:pPr>
            <w:r>
              <w:rPr>
                <w:sz w:val="13"/>
              </w:rPr>
              <w:t>S</w:t>
            </w:r>
          </w:p>
        </w:tc>
      </w:tr>
      <w:tr>
        <w:trPr>
          <w:cantSplit/>
        </w:trPr>
        <w:tc>
          <w:tcPr>
            <w:tcW w:type="dxa" w:w="526"/>
          </w:tcPr>
          <w:p>
            <w:pPr>
              <w:keepNext/>
              <w:jc w:val="left"/>
            </w:pPr>
            <w:r>
              <w:rPr>
                <w:sz w:val="13"/>
              </w:rPr>
              <w:t>1011</w:t>
            </w:r>
          </w:p>
        </w:tc>
        <w:tc>
          <w:tcPr>
            <w:tcW w:type="dxa" w:w="1481"/>
          </w:tcPr>
          <w:p>
            <w:pPr>
              <w:keepNext/>
              <w:jc w:val="left"/>
            </w:pPr>
            <w:r>
              <w:rPr>
                <w:i/>
                <w:sz w:val="13"/>
              </w:rPr>
              <w:t>Enterobacter cloacae</w:t>
            </w:r>
            <w:r>
              <w:rPr>
                <w:sz w:val="13"/>
              </w:rPr>
              <w:t xml:space="preserve"> complex</w:t>
            </w:r>
          </w:p>
        </w:tc>
        <w:tc>
          <w:tcPr>
            <w:tcW w:type="dxa" w:w="1195"/>
          </w:tcPr>
          <w:p>
            <w:pPr>
              <w:keepNext/>
              <w:jc w:val="left"/>
            </w:pPr>
            <w:r>
              <w:rPr>
                <w:sz w:val="13"/>
              </w:rPr>
              <w:t>ceftazidime</w:t>
            </w:r>
          </w:p>
        </w:tc>
        <w:tc>
          <w:tcPr>
            <w:tcW w:type="dxa" w:w="430"/>
          </w:tcPr>
          <w:p>
            <w:pPr>
              <w:keepNext/>
              <w:jc w:val="right"/>
            </w:pPr>
            <w:r>
              <w:rPr>
                <w:sz w:val="13"/>
              </w:rPr>
              <w:t>8</w:t>
            </w:r>
          </w:p>
        </w:tc>
        <w:tc>
          <w:tcPr>
            <w:tcW w:type="dxa" w:w="430"/>
          </w:tcPr>
          <w:p>
            <w:pPr>
              <w:keepNext/>
              <w:jc w:val="center"/>
            </w:pPr>
            <w:r>
              <w:rPr>
                <w:sz w:val="13"/>
              </w:rPr>
              <w:t>R</w:t>
            </w:r>
          </w:p>
        </w:tc>
        <w:tc>
          <w:tcPr>
            <w:tcW w:type="dxa" w:w="834"/>
          </w:tcPr>
          <w:p>
            <w:pPr>
              <w:keepNext/>
              <w:jc w:val="center"/>
            </w:pPr>
            <w:r>
              <w:rPr>
                <w:sz w:val="13"/>
              </w:rPr>
              <w:t>I</w:t>
            </w:r>
          </w:p>
        </w:tc>
      </w:tr>
      <w:tr>
        <w:trPr>
          <w:cantSplit/>
        </w:trPr>
        <w:tc>
          <w:tcPr>
            <w:tcW w:type="dxa" w:w="526"/>
            <w:tcBorders>
              <w:bottom w:val="single" w:sz="12" w:space="0" w:color="000000"/>
            </w:tcBorders>
          </w:tcPr>
          <w:p>
            <w:pPr>
              <w:jc w:val="left"/>
            </w:pPr>
            <w:r>
              <w:rPr>
                <w:sz w:val="13"/>
              </w:rPr>
              <w:t>1113</w:t>
            </w:r>
          </w:p>
        </w:tc>
        <w:tc>
          <w:tcPr>
            <w:tcW w:type="dxa" w:w="1481"/>
            <w:tcBorders>
              <w:bottom w:val="single" w:sz="12" w:space="0" w:color="000000"/>
            </w:tcBorders>
          </w:tcPr>
          <w:p>
            <w:pPr>
              <w:jc w:val="left"/>
            </w:pPr>
            <w:r>
              <w:rPr>
                <w:sz w:val="13"/>
              </w:rPr>
              <w:t>Morganella / Providencia</w:t>
            </w:r>
          </w:p>
        </w:tc>
        <w:tc>
          <w:tcPr>
            <w:tcW w:type="dxa" w:w="1195"/>
            <w:tcBorders>
              <w:bottom w:val="single" w:sz="12" w:space="0" w:color="000000"/>
            </w:tcBorders>
          </w:tcPr>
          <w:p>
            <w:pPr>
              <w:jc w:val="left"/>
            </w:pPr>
            <w:r>
              <w:rPr>
                <w:sz w:val="13"/>
              </w:rPr>
              <w:t>meropenem</w:t>
            </w:r>
          </w:p>
        </w:tc>
        <w:tc>
          <w:tcPr>
            <w:tcW w:type="dxa" w:w="430"/>
            <w:tcBorders>
              <w:bottom w:val="single" w:sz="12" w:space="0" w:color="000000"/>
            </w:tcBorders>
          </w:tcPr>
          <w:p>
            <w:pPr>
              <w:jc w:val="right"/>
            </w:pPr>
            <w:r>
              <w:rPr>
                <w:sz w:val="13"/>
              </w:rPr>
              <w:t>2</w:t>
            </w:r>
          </w:p>
        </w:tc>
        <w:tc>
          <w:tcPr>
            <w:tcW w:type="dxa" w:w="430"/>
            <w:tcBorders>
              <w:bottom w:val="single" w:sz="12" w:space="0" w:color="000000"/>
            </w:tcBorders>
          </w:tcPr>
          <w:p>
            <w:pPr>
              <w:jc w:val="center"/>
            </w:pPr>
            <w:r>
              <w:rPr>
                <w:sz w:val="13"/>
              </w:rPr>
              <w:t>S</w:t>
            </w:r>
          </w:p>
        </w:tc>
        <w:tc>
          <w:tcPr>
            <w:tcW w:type="dxa" w:w="834"/>
            <w:tcBorders>
              <w:bottom w:val="single" w:sz="12" w:space="0" w:color="000000"/>
            </w:tcBorders>
          </w:tcPr>
          <w:p>
            <w:pPr>
              <w:jc w:val="center"/>
            </w:pPr>
            <w:r>
              <w:rPr>
                <w:sz w:val="13"/>
              </w:rPr>
              <w:t>I</w:t>
            </w:r>
          </w:p>
        </w:tc>
      </w:tr>
    </w:tbl>
    <w:p>
      <w:pPr>
        <w:spacing w:after="80"/>
      </w:pPr>
    </w:p>
    <w:p>
      <w:pPr>
        <w:keepNext/>
        <w:spacing w:before="200" w:after="100"/>
        <w:jc w:val="center"/>
        <w:outlineLvl w:val="0"/>
      </w:pPr>
      <w:r>
        <w:rPr>
          <w:b/>
          <w:sz w:val="18"/>
        </w:rPr>
        <w:t>IV. DISCUSSION</w:t>
      </w:r>
    </w:p>
    <w:p>
      <w:pPr>
        <w:keepNext/>
        <w:spacing w:before="160" w:after="80"/>
        <w:jc w:val="center"/>
        <w:outlineLvl w:val="1"/>
      </w:pPr>
      <w:r>
        <w:rPr>
          <w:b/>
          <w:sz w:val="18"/>
        </w:rPr>
        <w:t>A. Principal findings</w:t>
      </w:r>
    </w:p>
    <w:p>
      <w:pPr>
        <w:spacing w:before="0" w:after="0"/>
        <w:ind w:firstLine="245"/>
        <w:jc w:val="both"/>
      </w:pPr>
      <w:r>
        <w:rPr>
          <w:sz w:val="20"/>
        </w:rPr>
        <w:t>The Isolate Bank already contains reference organisms for nearly every resistance target reported by the seven FDA-cleared blood culture panels with resistance targets, and for most of the ways those targets can mislead. What it lacked was an index by target and by device. The crosswalk supplies it: each isolate's targets, the panels that should call it positive, its reference results, and whether it is a hard case. Two to five isolates cover every target of any one panel, and the hard-case list offers a further set of organisms that tests what a panel cannot know.</w:t>
      </w:r>
    </w:p>
    <w:p>
      <w:pPr>
        <w:spacing w:before="0" w:after="0"/>
        <w:ind w:firstLine="245"/>
        <w:jc w:val="both"/>
      </w:pPr>
      <w:r>
        <w:rPr>
          <w:sz w:val="20"/>
        </w:rPr>
        <w:t>Used as an external yardstick, the Bank supports the Project 1 benchmark where the benchmark is meant to be read. Gene calls by two different pipelines agreed almost perfectly. The benchmark's breakpoint rules reproduced CDC's reference interpretations. And the quantities that describe the gene itself (how often a gene-positive isolate is resistant, and to which carbapenem) behaved the same way in reference broth microdilution data from one laboratory as in submitted results from many.</w:t>
      </w:r>
    </w:p>
    <w:p>
      <w:pPr>
        <w:keepNext/>
        <w:spacing w:before="160" w:after="80"/>
        <w:jc w:val="center"/>
        <w:outlineLvl w:val="1"/>
      </w:pPr>
      <w:r>
        <w:rPr>
          <w:b/>
          <w:sz w:val="18"/>
        </w:rPr>
        <w:t>B. Using the crosswalk for verification</w:t>
      </w:r>
    </w:p>
    <w:p>
      <w:pPr>
        <w:spacing w:before="0" w:after="0"/>
        <w:ind w:firstLine="245"/>
        <w:jc w:val="both"/>
      </w:pPr>
      <w:r>
        <w:rPr>
          <w:sz w:val="20"/>
        </w:rPr>
        <w:t xml:space="preserve">A laboratory verifying a panel can filter the released isolate table by the panel's </w:t>
      </w:r>
      <w:r>
        <w:rPr>
          <w:rFonts w:ascii="Courier New" w:hAnsi="Courier New"/>
          <w:sz w:val="20"/>
        </w:rPr>
        <w:t>expected_positive</w:t>
      </w:r>
      <w:r>
        <w:rPr>
          <w:sz w:val="20"/>
        </w:rPr>
        <w:t xml:space="preserve"> column to see every candidate positive, by </w:t>
      </w:r>
      <w:r>
        <w:rPr>
          <w:rFonts w:ascii="Courier New" w:hAnsi="Courier New"/>
          <w:sz w:val="20"/>
        </w:rPr>
        <w:t>hard_case_types</w:t>
      </w:r>
      <w:r>
        <w:rPr>
          <w:sz w:val="20"/>
        </w:rPr>
        <w:t xml:space="preserve"> to find challenge organisms, and by organism to find negative controls of the right species. The covering sets in Table V show that coverage is cheap; the hard-case list is where the crosswalk adds most. A KPC-producing </w:t>
      </w:r>
      <w:r>
        <w:rPr>
          <w:i/>
          <w:sz w:val="20"/>
        </w:rPr>
        <w:t>E. coli</w:t>
      </w:r>
      <w:r>
        <w:rPr>
          <w:sz w:val="20"/>
        </w:rPr>
        <w:t xml:space="preserve"> with a meropenem MIC of 0.5 mg/L, a </w:t>
      </w:r>
      <w:r>
        <w:rPr>
          <w:i/>
          <w:sz w:val="20"/>
        </w:rPr>
        <w:t>mecA</w:t>
      </w:r>
      <w:r>
        <w:rPr>
          <w:sz w:val="20"/>
        </w:rPr>
        <w:t xml:space="preserve">-positive </w:t>
      </w:r>
      <w:r>
        <w:rPr>
          <w:i/>
          <w:sz w:val="20"/>
        </w:rPr>
        <w:t>S. aureus</w:t>
      </w:r>
      <w:r>
        <w:rPr>
          <w:sz w:val="20"/>
        </w:rPr>
        <w:t xml:space="preserve"> susceptible by oxacillin and cefoxitin MIC, or a vancomycin-susceptible </w:t>
      </w:r>
      <w:r>
        <w:rPr>
          <w:i/>
          <w:sz w:val="20"/>
        </w:rPr>
        <w:t>E. faecium</w:t>
      </w:r>
      <w:r>
        <w:rPr>
          <w:sz w:val="20"/>
        </w:rPr>
        <w:t xml:space="preserve"> carrying </w:t>
      </w:r>
      <w:r>
        <w:rPr>
          <w:i/>
          <w:sz w:val="20"/>
        </w:rPr>
        <w:t>vanA</w:t>
      </w:r>
      <w:r>
        <w:rPr>
          <w:sz w:val="20"/>
        </w:rPr>
        <w:t xml:space="preserve"> will each produce a positive panel result and a susceptible AST result. Including them in a verification shows the laboratory and its stewardship program what such a result looks like before it happens on a patient isolate, and tests whether the laboratory's reporting rules (for example, reporting </w:t>
      </w:r>
      <w:r>
        <w:rPr>
          <w:i/>
          <w:sz w:val="20"/>
        </w:rPr>
        <w:t>mecA</w:t>
      </w:r>
      <w:r>
        <w:rPr>
          <w:sz w:val="20"/>
        </w:rPr>
        <w:t xml:space="preserve">-positive </w:t>
      </w:r>
      <w:r>
        <w:rPr>
          <w:i/>
          <w:sz w:val="20"/>
        </w:rPr>
        <w:t>S. aureus</w:t>
      </w:r>
      <w:r>
        <w:rPr>
          <w:sz w:val="20"/>
        </w:rPr>
        <w:t xml:space="preserve"> as oxacillin resistant [25]) are applied. Conversely, the carbapenem-resistant isolates without a panel carbapenemase, and especially the NMC-A, OXA-237 and porin-loss isolates, show the limits of a negative carbapenemase result [42, 43].</w:t>
      </w:r>
    </w:p>
    <w:p>
      <w:pPr>
        <w:keepNext/>
        <w:spacing w:before="160" w:after="80"/>
        <w:jc w:val="center"/>
        <w:outlineLvl w:val="1"/>
      </w:pPr>
      <w:r>
        <w:rPr>
          <w:b/>
          <w:sz w:val="18"/>
        </w:rPr>
        <w:t>C. What the external check shows</w:t>
      </w:r>
    </w:p>
    <w:p>
      <w:pPr>
        <w:spacing w:before="0" w:after="0"/>
        <w:ind w:firstLine="245"/>
        <w:jc w:val="both"/>
      </w:pPr>
      <w:r>
        <w:rPr>
          <w:sz w:val="20"/>
        </w:rPr>
        <w:t xml:space="preserve">The check separates measures that describe a gene from measures that describe a population. PPV for KPC, NDM and OXA-48-like against any carbapenem, and for CTX-M against ceftriaxone, had overlapping 95% ranges in the Bank and in Project 1, and the low meropenem PPV of OXA-48-like producers reappeared in reference broth microdilution data [39]. Specificity for </w:t>
      </w:r>
      <w:r>
        <w:rPr>
          <w:i/>
          <w:sz w:val="20"/>
        </w:rPr>
        <w:t>mecA</w:t>
      </w:r>
      <w:r>
        <w:rPr>
          <w:sz w:val="20"/>
        </w:rPr>
        <w:t xml:space="preserve"> and single-gene sensitivities, in contrast, were lower in the Bank because the Bank was built to contain the exceptions: borderline and difficult-to-detect staphylococci, and carbapenem-resistant Enterobacterales with every mechanism CDC could collect. These differences are therefore not evidence against Project 1's estimates for U.S. clinical isolates; they show what those estimates look like in a challenge set. The higher CTX-M PPV for ceftazidime in the Bank than in Project 1 may reflect the Bank's many multi-mechanism isolates; we did not test this.</w:t>
      </w:r>
    </w:p>
    <w:p>
      <w:pPr>
        <w:keepNext/>
        <w:spacing w:before="160" w:after="80"/>
        <w:jc w:val="center"/>
        <w:outlineLvl w:val="1"/>
      </w:pPr>
      <w:r>
        <w:rPr>
          <w:b/>
          <w:sz w:val="18"/>
        </w:rPr>
        <w:t>D. Limitations</w:t>
      </w:r>
    </w:p>
    <w:p>
      <w:pPr>
        <w:spacing w:before="0" w:after="0"/>
        <w:ind w:firstLine="245"/>
        <w:jc w:val="both"/>
      </w:pPr>
      <w:r>
        <w:rPr>
          <w:sz w:val="20"/>
        </w:rPr>
        <w:t>The crosswalk records which targets an isolate carries, not whether a particular assay detects that allele; detection is defined by each manufacturer's instructions for use. The MRSA result of BCID2 depends on the MREJ junction, which a gene list cannot show, so its expected positives are an assumption. The Verigene BC-GN OXA groups are not named by FDA and were taken from its analytical studies. CDC's gene lists came from several methods between 2016 and 2022, and older calls can miss genes added to databases later; the gene-call comparison is only partly independent of NCBI, although agreement was as high in the independent subset. Hard cases rest on CDC's posted interpretations, which cite four CLSI M100 editions, while the external check uses a single breakpoint table. The Bank is not a patient population, so its prevalence-dependent measures should not be compared directly with clinical estimates. Some targets are represented by few isolates (</w:t>
      </w:r>
      <w:r>
        <w:rPr>
          <w:i/>
          <w:sz w:val="20"/>
        </w:rPr>
        <w:t>mecC</w:t>
      </w:r>
      <w:r>
        <w:rPr>
          <w:sz w:val="20"/>
        </w:rPr>
        <w:t xml:space="preserve"> by two, OXA-58-like by three) and OXA-143-like by none. Thirty-one Bank isolates in Project 1's organisms had no NCBI AMRFinderPlus result and 112 isolates list no BioSample. The release reflects the Bank's pages on 24 October 2026; CDC adds isolates and revises MICs, so the crosswalk will need yearly refresh. No isolates were tested.</w:t>
      </w:r>
    </w:p>
    <w:p>
      <w:pPr>
        <w:keepNext/>
        <w:spacing w:before="200" w:after="100"/>
        <w:jc w:val="center"/>
        <w:outlineLvl w:val="0"/>
      </w:pPr>
      <w:r>
        <w:rPr>
          <w:b/>
          <w:sz w:val="18"/>
        </w:rPr>
        <w:t>V. CONCLUSIONS</w:t>
      </w:r>
    </w:p>
    <w:p>
      <w:pPr>
        <w:spacing w:before="0" w:after="0"/>
        <w:ind w:firstLine="245"/>
        <w:jc w:val="both"/>
      </w:pPr>
      <w:r>
        <w:rPr>
          <w:sz w:val="20"/>
        </w:rPr>
        <w:t>An open, versioned crosswalk turns the CDC &amp; FDA AR Isolate Bank into a target-by-target, device-by-device catalog for verifying rapid blood culture panels: 529 isolates carry a panel target, every target but one is represented, a handful of isolates covers each panel, and 94 isolates are flagged as hard cases outside the expected-negative groups. Used as an external reference-method check, the Bank confirmed the gene calls, interpretation rules and gene-level estimates of a U.S. genotype–phenotype benchmark. Both resources are released for reuse and will be refreshed as the Bank grows.</w:t>
      </w:r>
    </w:p>
    <w:p>
      <w:pPr>
        <w:keepNext/>
        <w:spacing w:before="200" w:after="100"/>
        <w:jc w:val="center"/>
        <w:outlineLvl w:val="0"/>
      </w:pPr>
      <w:r>
        <w:rPr>
          <w:b/>
          <w:sz w:val="18"/>
        </w:rPr>
        <w:t>DATA AND CODE AVAILABILITY</w:t>
      </w:r>
    </w:p>
    <w:p>
      <w:pPr>
        <w:spacing w:before="0" w:after="0"/>
        <w:ind w:firstLine="245"/>
        <w:jc w:val="both"/>
      </w:pPr>
      <w:r>
        <w:rPr>
          <w:sz w:val="20"/>
        </w:rPr>
        <w:t xml:space="preserve">All data, code and documentation are available at </w:t>
      </w:r>
      <w:hyperlink r:id="rId20">
        <w:r>
          <w:rPr>
            <w:color w:val="0000B3"/>
          </w:rPr>
          <w:t xml:space="preserve">https://github.com/FatimaAbdulwahab/ar-isolate-bank-panel-crosswalk</w:t>
        </w:r>
      </w:hyperlink>
      <w:r>
        <w:rPr>
          <w:sz w:val="20"/>
        </w:rPr>
        <w:t xml:space="preserve"> [15]: the isolate-level crosswalk, the panel-by-target grid, panel target coverage, the hard-case list, the CDC gene-name map, the rapid panel target table with FDA sources, the external-check outputs, a codebook, a limitations file, the quality-control report and a provenance log with source URLs, access dates, sizes and SHA-256 fingerprints. The CDC pages, NCBI rows and FDA documents used are archived in the repository, and </w:t>
      </w:r>
      <w:r>
        <w:rPr>
          <w:rFonts w:ascii="Courier New" w:hAnsi="Courier New"/>
          <w:sz w:val="20"/>
        </w:rPr>
        <w:t>run_all.sh</w:t>
      </w:r>
      <w:r>
        <w:rPr>
          <w:sz w:val="20"/>
        </w:rPr>
        <w:t xml:space="preserve"> rebuilds every result from them. Data and documents are released under CC BY 4.0 and code under the MIT license. The Project 1 benchmark is at </w:t>
      </w:r>
      <w:hyperlink r:id="rId21">
        <w:r>
          <w:rPr>
            <w:color w:val="0000B3"/>
          </w:rPr>
          <w:t xml:space="preserve">https://github.com/FatimaAbdulwahab/us-rapid-panel-amr-concordance</w:t>
        </w:r>
      </w:hyperlink>
      <w:r>
        <w:rPr>
          <w:sz w:val="20"/>
        </w:rPr>
        <w:t xml:space="preserve"> [14].</w:t>
      </w:r>
    </w:p>
    <w:p>
      <w:pPr>
        <w:keepNext/>
        <w:spacing w:before="200" w:after="100"/>
        <w:jc w:val="center"/>
        <w:outlineLvl w:val="0"/>
      </w:pPr>
      <w:r>
        <w:rPr>
          <w:b/>
          <w:sz w:val="18"/>
        </w:rPr>
        <w:t>AUTHOR CONTRIBUTIONS</w:t>
      </w:r>
    </w:p>
    <w:p>
      <w:pPr>
        <w:spacing w:before="0" w:after="0"/>
        <w:ind w:firstLine="245"/>
        <w:jc w:val="both"/>
      </w:pPr>
      <w:r>
        <w:rPr>
          <w:sz w:val="20"/>
        </w:rPr>
        <w:t>F.A.: conceptualization, methodology, data curation, formal analysis, validation, visualization, writing (original draft, review and editing).</w:t>
      </w:r>
    </w:p>
    <w:p>
      <w:pPr>
        <w:keepNext/>
        <w:spacing w:before="200" w:after="100"/>
        <w:jc w:val="center"/>
        <w:outlineLvl w:val="0"/>
      </w:pPr>
      <w:r>
        <w:rPr>
          <w:b/>
          <w:sz w:val="18"/>
        </w:rPr>
        <w:t>COMPETING INTERESTS</w:t>
      </w:r>
    </w:p>
    <w:p>
      <w:pPr>
        <w:spacing w:before="0" w:after="0"/>
        <w:ind w:firstLine="245"/>
        <w:jc w:val="both"/>
      </w:pPr>
      <w:r>
        <w:rPr>
          <w:sz w:val="20"/>
        </w:rPr>
        <w:t>The author declares no competing interests and no relationship with CDC, FDA or any manufacturer of rapid diagnostic panels. This work is not affiliated with or endorsed by CDC or FDA.</w:t>
      </w:r>
    </w:p>
    <w:p>
      <w:pPr>
        <w:keepNext/>
        <w:spacing w:before="200" w:after="100"/>
        <w:jc w:val="center"/>
        <w:outlineLvl w:val="0"/>
      </w:pPr>
      <w:r>
        <w:rPr>
          <w:b/>
          <w:sz w:val="18"/>
        </w:rPr>
        <w:t>FUNDING</w:t>
      </w:r>
    </w:p>
    <w:p>
      <w:pPr>
        <w:spacing w:before="0" w:after="0"/>
        <w:ind w:firstLine="245"/>
        <w:jc w:val="both"/>
      </w:pPr>
      <w:r>
        <w:rPr>
          <w:sz w:val="20"/>
        </w:rPr>
        <w:t>This work received no specific funding.</w:t>
      </w:r>
    </w:p>
    <w:p>
      <w:pPr>
        <w:keepNext/>
        <w:spacing w:before="200" w:after="100"/>
        <w:jc w:val="center"/>
        <w:outlineLvl w:val="0"/>
      </w:pPr>
      <w:r>
        <w:rPr>
          <w:b/>
          <w:sz w:val="18"/>
        </w:rPr>
        <w:t>USE OF AI TOOLS</w:t>
      </w:r>
    </w:p>
    <w:p>
      <w:pPr>
        <w:spacing w:before="0" w:after="0"/>
        <w:ind w:firstLine="245"/>
        <w:jc w:val="both"/>
      </w:pPr>
      <w:r>
        <w:rPr>
          <w:sz w:val="20"/>
        </w:rPr>
        <w:t>Claude (Anthropic) assisted with code, data processing, figure generation and drafting of this manuscript. The author made the analytic decisions and rulings, verified the outputs against the CDC, FDA and NCBI records, and takes responsibility for the content.</w:t>
      </w:r>
    </w:p>
    <w:p>
      <w:pPr>
        <w:keepNext/>
        <w:spacing w:before="200" w:after="100"/>
        <w:jc w:val="center"/>
        <w:outlineLvl w:val="0"/>
      </w:pPr>
      <w:r>
        <w:rPr>
          <w:b/>
          <w:sz w:val="18"/>
        </w:rPr>
        <w:t>ACKNOWLEDGMENTS</w:t>
      </w:r>
    </w:p>
    <w:p>
      <w:pPr>
        <w:spacing w:before="0" w:after="0"/>
        <w:ind w:firstLine="245"/>
        <w:jc w:val="both"/>
      </w:pPr>
      <w:r>
        <w:rPr>
          <w:sz w:val="20"/>
        </w:rPr>
        <w:t>The author thanks CDC's Division of Healthcare Quality Promotion and FDA for building and maintaining the Antimicrobial Resistance Isolate Bank and publishing its characterization data, and the NCBI Pathogen Detection team for AMRFinderPlus and the Reference Gene Catalog.</w:t>
      </w:r>
    </w:p>
    <w:p>
      <w:pPr>
        <w:keepNext/>
        <w:spacing w:before="200" w:after="100"/>
        <w:jc w:val="center"/>
        <w:outlineLvl w:val="0"/>
      </w:pPr>
      <w:r>
        <w:rPr>
          <w:b/>
          <w:sz w:val="18"/>
        </w:rPr>
        <w:t>REFERENCES</w:t>
      </w:r>
    </w:p>
    <w:p>
      <w:pPr>
        <w:spacing w:after="40"/>
        <w:ind w:left="360" w:hanging="360"/>
        <w:jc w:val="left"/>
      </w:pPr>
      <w:r>
        <w:rPr>
          <w:sz w:val="17"/>
        </w:rPr>
        <w:t xml:space="preserve">[1] </w:t>
      </w:r>
      <w:r>
        <w:rPr>
          <w:sz w:val="17"/>
        </w:rPr>
        <w:t xml:space="preserve">Anna Maria Peri et al. Performance of BioFire Blood Culture Identification 2 Panel (BCID2) for the detection of bloodstream pathogens and their associated resistance markers: a systematic review and meta-analysis of diagnostic test accuracy studies. </w:t>
      </w:r>
      <w:r>
        <w:rPr>
          <w:i/>
          <w:sz w:val="17"/>
        </w:rPr>
        <w:t>BMC Infect Dis</w:t>
      </w:r>
      <w:r>
        <w:rPr>
          <w:sz w:val="17"/>
        </w:rPr>
        <w:t xml:space="preserve">, 22(1):794, 2022. </w:t>
      </w:r>
      <w:hyperlink r:id="rId22">
        <w:r>
          <w:rPr>
            <w:color w:val="0000B3"/>
          </w:rPr>
          <w:t xml:space="preserve">doi:10.1186/s12879-022-07772-x</w:t>
        </w:r>
      </w:hyperlink>
    </w:p>
    <w:p>
      <w:pPr>
        <w:spacing w:after="40"/>
        <w:ind w:left="360" w:hanging="360"/>
        <w:jc w:val="left"/>
      </w:pPr>
      <w:r>
        <w:rPr>
          <w:sz w:val="17"/>
        </w:rPr>
        <w:t xml:space="preserve">[2] </w:t>
      </w:r>
      <w:r>
        <w:rPr>
          <w:sz w:val="17"/>
        </w:rPr>
        <w:t xml:space="preserve">Naoki Uno et al. Multicenter evaluation of the Verigene Gram-negative blood culture nucleic acid test for rapid detection of bacteria and resistance determinants in positive blood cultures. </w:t>
      </w:r>
      <w:r>
        <w:rPr>
          <w:i/>
          <w:sz w:val="17"/>
        </w:rPr>
        <w:t>Diagnostic Microbiology and Infectious Disease</w:t>
      </w:r>
      <w:r>
        <w:rPr>
          <w:sz w:val="17"/>
        </w:rPr>
        <w:t xml:space="preserve">, 83(4):344-348, 2015. </w:t>
      </w:r>
      <w:hyperlink r:id="rId23">
        <w:r>
          <w:rPr>
            <w:color w:val="0000B3"/>
          </w:rPr>
          <w:t xml:space="preserve">doi:10.1016/j.diagmicrobio.2015.08.004</w:t>
        </w:r>
      </w:hyperlink>
    </w:p>
    <w:p>
      <w:pPr>
        <w:spacing w:after="40"/>
        <w:ind w:left="360" w:hanging="360"/>
        <w:jc w:val="left"/>
      </w:pPr>
      <w:r>
        <w:rPr>
          <w:sz w:val="17"/>
        </w:rPr>
        <w:t xml:space="preserve">[3] </w:t>
      </w:r>
      <w:r>
        <w:rPr>
          <w:sz w:val="17"/>
        </w:rPr>
        <w:t xml:space="preserve">Laura García-Álvarez et al. Meticillin-resistant </w:t>
      </w:r>
      <w:r>
        <w:rPr>
          <w:i/>
          <w:sz w:val="17"/>
        </w:rPr>
        <w:t>Staphylococcus aureus</w:t>
      </w:r>
      <w:r>
        <w:rPr>
          <w:sz w:val="17"/>
        </w:rPr>
        <w:t xml:space="preserve"> with a novel mecA homologue in human and bovine populations in the UK and Denmark: a descriptive study. </w:t>
      </w:r>
      <w:r>
        <w:rPr>
          <w:i/>
          <w:sz w:val="17"/>
        </w:rPr>
        <w:t>The Lancet Infectious Diseases</w:t>
      </w:r>
      <w:r>
        <w:rPr>
          <w:sz w:val="17"/>
        </w:rPr>
        <w:t xml:space="preserve">, 11(8):595-603, 2011. </w:t>
      </w:r>
      <w:hyperlink r:id="rId24">
        <w:r>
          <w:rPr>
            <w:color w:val="0000B3"/>
          </w:rPr>
          <w:t xml:space="preserve">doi:10.1016/s1473-3099(11)70126-8</w:t>
        </w:r>
      </w:hyperlink>
    </w:p>
    <w:p>
      <w:pPr>
        <w:spacing w:after="40"/>
        <w:ind w:left="360" w:hanging="360"/>
        <w:jc w:val="left"/>
      </w:pPr>
      <w:r>
        <w:rPr>
          <w:sz w:val="17"/>
        </w:rPr>
        <w:t xml:space="preserve">[4] </w:t>
      </w:r>
      <w:r>
        <w:rPr>
          <w:sz w:val="17"/>
        </w:rPr>
        <w:t xml:space="preserve">Patrice Courvalin. Vancomycin Resistance in Gram-Positive Cocci. </w:t>
      </w:r>
      <w:r>
        <w:rPr>
          <w:i/>
          <w:sz w:val="17"/>
        </w:rPr>
        <w:t>Clinical Infectious Diseases</w:t>
      </w:r>
      <w:r>
        <w:rPr>
          <w:sz w:val="17"/>
        </w:rPr>
        <w:t xml:space="preserve">, 42(Suppl. 1):S25-S34, 2006. </w:t>
      </w:r>
      <w:hyperlink r:id="rId25">
        <w:r>
          <w:rPr>
            <w:color w:val="0000B3"/>
          </w:rPr>
          <w:t xml:space="preserve">doi:10.1086/491711</w:t>
        </w:r>
      </w:hyperlink>
    </w:p>
    <w:p>
      <w:pPr>
        <w:spacing w:after="40"/>
        <w:ind w:left="360" w:hanging="360"/>
        <w:jc w:val="left"/>
      </w:pPr>
      <w:r>
        <w:rPr>
          <w:sz w:val="17"/>
        </w:rPr>
        <w:t xml:space="preserve">[5] </w:t>
      </w:r>
      <w:r>
        <w:rPr>
          <w:sz w:val="17"/>
        </w:rPr>
        <w:t xml:space="preserve">Edward R. Bevan, Annie M. Jones, and Peter M. Hawkey. Global epidemiology of CTX-M </w:t>
      </w:r>
      <w:r>
        <w:rPr>
          <w:sz w:val="17"/>
        </w:rPr>
        <w:t>β</w:t>
      </w:r>
      <w:r>
        <w:rPr>
          <w:sz w:val="17"/>
        </w:rPr>
        <w:t xml:space="preserve">-lactamases: temporal and geographical shifts in genotype. </w:t>
      </w:r>
      <w:r>
        <w:rPr>
          <w:i/>
          <w:sz w:val="17"/>
        </w:rPr>
        <w:t>Journal of Antimicrobial Chemotherapy</w:t>
      </w:r>
      <w:r>
        <w:rPr>
          <w:sz w:val="17"/>
        </w:rPr>
        <w:t xml:space="preserve">, 72(8):2145-2155, 2017. </w:t>
      </w:r>
      <w:hyperlink r:id="rId26">
        <w:r>
          <w:rPr>
            <w:color w:val="0000B3"/>
          </w:rPr>
          <w:t xml:space="preserve">doi:10.1093/jac/dkx146</w:t>
        </w:r>
      </w:hyperlink>
    </w:p>
    <w:p>
      <w:pPr>
        <w:spacing w:after="40"/>
        <w:ind w:left="360" w:hanging="360"/>
        <w:jc w:val="left"/>
      </w:pPr>
      <w:r>
        <w:rPr>
          <w:sz w:val="17"/>
        </w:rPr>
        <w:t xml:space="preserve">[6] </w:t>
      </w:r>
      <w:r>
        <w:rPr>
          <w:sz w:val="17"/>
        </w:rPr>
        <w:t xml:space="preserve">Karen Bush and Patricia A. Bradford. Epidemiology of </w:t>
      </w:r>
      <w:r>
        <w:rPr>
          <w:sz w:val="17"/>
        </w:rPr>
        <w:t>β</w:t>
      </w:r>
      <w:r>
        <w:rPr>
          <w:sz w:val="17"/>
        </w:rPr>
        <w:t xml:space="preserve">-Lactamase-Producing Pathogens. </w:t>
      </w:r>
      <w:r>
        <w:rPr>
          <w:i/>
          <w:sz w:val="17"/>
        </w:rPr>
        <w:t>Clin Microbiol Rev</w:t>
      </w:r>
      <w:r>
        <w:rPr>
          <w:sz w:val="17"/>
        </w:rPr>
        <w:t xml:space="preserve">, 33(2):e00047-19, 2020. </w:t>
      </w:r>
      <w:hyperlink r:id="rId27">
        <w:r>
          <w:rPr>
            <w:color w:val="0000B3"/>
          </w:rPr>
          <w:t xml:space="preserve">doi:10.1128/cmr.00047-19</w:t>
        </w:r>
      </w:hyperlink>
    </w:p>
    <w:p>
      <w:pPr>
        <w:spacing w:after="40"/>
        <w:ind w:left="360" w:hanging="360"/>
        <w:jc w:val="left"/>
      </w:pPr>
      <w:r>
        <w:rPr>
          <w:sz w:val="17"/>
        </w:rPr>
        <w:t xml:space="preserve">[7] </w:t>
      </w:r>
      <w:r>
        <w:rPr>
          <w:sz w:val="17"/>
        </w:rPr>
        <w:t xml:space="preserve">Tristan T. Timbrook et al. The Effect of Molecular Rapid Diagnostic Testing on Clinical Outcomes in Bloodstream Infections: A Systematic Review and Meta-analysis. </w:t>
      </w:r>
      <w:r>
        <w:rPr>
          <w:i/>
          <w:sz w:val="17"/>
        </w:rPr>
        <w:t>Clin Infect Dis.</w:t>
      </w:r>
      <w:r>
        <w:rPr>
          <w:sz w:val="17"/>
        </w:rPr>
        <w:t xml:space="preserve">, 64(1):15-23, 2017. </w:t>
      </w:r>
      <w:hyperlink r:id="rId28">
        <w:r>
          <w:rPr>
            <w:color w:val="0000B3"/>
          </w:rPr>
          <w:t xml:space="preserve">doi:10.1093/cid/ciw649</w:t>
        </w:r>
      </w:hyperlink>
    </w:p>
    <w:p>
      <w:pPr>
        <w:spacing w:after="40"/>
        <w:ind w:left="360" w:hanging="360"/>
        <w:jc w:val="left"/>
      </w:pPr>
      <w:r>
        <w:rPr>
          <w:sz w:val="17"/>
        </w:rPr>
        <w:t xml:space="preserve">[8] </w:t>
      </w:r>
      <w:r>
        <w:rPr>
          <w:sz w:val="17"/>
        </w:rPr>
        <w:t xml:space="preserve">Ritu Banerjee and Romney Humphries. Rapid Antimicrobial Susceptibility Testing Methods for Blood Cultures and Their Clinical Impact. </w:t>
      </w:r>
      <w:r>
        <w:rPr>
          <w:i/>
          <w:sz w:val="17"/>
        </w:rPr>
        <w:t>Front. Med.</w:t>
      </w:r>
      <w:r>
        <w:rPr>
          <w:sz w:val="17"/>
        </w:rPr>
        <w:t xml:space="preserve">, 8:635831, 2021. </w:t>
      </w:r>
      <w:hyperlink r:id="rId29">
        <w:r>
          <w:rPr>
            <w:color w:val="0000B3"/>
          </w:rPr>
          <w:t xml:space="preserve">doi:10.3389/fmed.2021.635831</w:t>
        </w:r>
      </w:hyperlink>
    </w:p>
    <w:p>
      <w:pPr>
        <w:spacing w:after="40"/>
        <w:ind w:left="360" w:hanging="360"/>
        <w:jc w:val="left"/>
      </w:pPr>
      <w:r>
        <w:rPr>
          <w:sz w:val="17"/>
        </w:rPr>
        <w:t xml:space="preserve">[9] </w:t>
      </w:r>
      <w:r>
        <w:rPr>
          <w:sz w:val="17"/>
        </w:rPr>
        <w:t xml:space="preserve">Code of Federal Regulations. Title 42, § 493.1253, Standard: Establishment and verification of performance specifications. </w:t>
      </w:r>
      <w:hyperlink r:id="rId30">
        <w:r>
          <w:rPr>
            <w:color w:val="0000B3"/>
          </w:rPr>
          <w:t xml:space="preserve">https://www.ecfr.gov/current/title-42/section-493.1253</w:t>
        </w:r>
      </w:hyperlink>
      <w:r>
        <w:rPr>
          <w:sz w:val="17"/>
        </w:rPr>
        <w:t>.</w:t>
      </w:r>
    </w:p>
    <w:p>
      <w:pPr>
        <w:spacing w:after="40"/>
        <w:ind w:left="360" w:hanging="360"/>
        <w:jc w:val="left"/>
      </w:pPr>
      <w:r>
        <w:rPr>
          <w:sz w:val="17"/>
        </w:rPr>
        <w:t xml:space="preserve">[10] </w:t>
      </w:r>
      <w:r>
        <w:rPr>
          <w:sz w:val="17"/>
        </w:rPr>
        <w:t xml:space="preserve">Clinical and Laboratory Standards Institute. </w:t>
      </w:r>
      <w:r>
        <w:rPr>
          <w:i/>
          <w:sz w:val="17"/>
        </w:rPr>
        <w:t>Verification of Commercial Microbial Identification and Antimicrobial Susceptibility Testing Systems</w:t>
      </w:r>
      <w:r>
        <w:rPr>
          <w:sz w:val="17"/>
        </w:rPr>
        <w:t>. CLSI guideline M52, 1st edition. Clinical and Laboratory Standards Institute, Wayne, PA, 2015.</w:t>
      </w:r>
    </w:p>
    <w:p>
      <w:pPr>
        <w:spacing w:after="40"/>
        <w:ind w:left="360" w:hanging="360"/>
        <w:jc w:val="left"/>
      </w:pPr>
      <w:r>
        <w:rPr>
          <w:sz w:val="17"/>
        </w:rPr>
        <w:t xml:space="preserve">[11] </w:t>
      </w:r>
      <w:r>
        <w:rPr>
          <w:sz w:val="17"/>
        </w:rPr>
        <w:t xml:space="preserve">Joseph D. Lutgring et al. FDA-CDC Antimicrobial Resistance Isolate Bank: a Publicly Available Resource To Support Research, Development, and Regulatory Requirements. </w:t>
      </w:r>
      <w:r>
        <w:rPr>
          <w:i/>
          <w:sz w:val="17"/>
        </w:rPr>
        <w:t>J Clin Microbiol</w:t>
      </w:r>
      <w:r>
        <w:rPr>
          <w:sz w:val="17"/>
        </w:rPr>
        <w:t xml:space="preserve">, 56(2):e01415-17, 2018. </w:t>
      </w:r>
      <w:hyperlink r:id="rId31">
        <w:r>
          <w:rPr>
            <w:color w:val="0000B3"/>
          </w:rPr>
          <w:t xml:space="preserve">doi:10.1128/jcm.01415-17</w:t>
        </w:r>
      </w:hyperlink>
    </w:p>
    <w:p>
      <w:pPr>
        <w:spacing w:after="40"/>
        <w:ind w:left="360" w:hanging="360"/>
        <w:jc w:val="left"/>
      </w:pPr>
      <w:r>
        <w:rPr>
          <w:sz w:val="17"/>
        </w:rPr>
        <w:t xml:space="preserve">[12] </w:t>
      </w:r>
      <w:r>
        <w:rPr>
          <w:sz w:val="17"/>
        </w:rPr>
        <w:t xml:space="preserve">Centers for Disease Control and Prevention and U.S. Food and Drug Administration. CDC &amp; FDA Antimicrobial Resistance Isolate Bank. </w:t>
      </w:r>
      <w:hyperlink r:id="rId32">
        <w:r>
          <w:rPr>
            <w:color w:val="0000B3"/>
          </w:rPr>
          <w:t xml:space="preserve">https://wwwn.cdc.gov/ARIsolateBank/</w:t>
        </w:r>
      </w:hyperlink>
      <w:r>
        <w:rPr>
          <w:sz w:val="17"/>
        </w:rPr>
        <w:t>. Accessed 24 October 2026.</w:t>
      </w:r>
    </w:p>
    <w:p>
      <w:pPr>
        <w:spacing w:after="40"/>
        <w:ind w:left="360" w:hanging="360"/>
        <w:jc w:val="left"/>
      </w:pPr>
      <w:r>
        <w:rPr>
          <w:sz w:val="17"/>
        </w:rPr>
        <w:t xml:space="preserve">[13] </w:t>
      </w:r>
      <w:r>
        <w:rPr>
          <w:sz w:val="17"/>
        </w:rPr>
        <w:t xml:space="preserve">Centers for Disease Control and Prevention. </w:t>
      </w:r>
      <w:r>
        <w:rPr>
          <w:i/>
          <w:sz w:val="17"/>
        </w:rPr>
        <w:t>CDC &amp; FDA Antimicrobial Resistance Isolate Bank: 10 Facts for 10 Years</w:t>
      </w:r>
      <w:r>
        <w:rPr>
          <w:sz w:val="17"/>
        </w:rPr>
        <w:t xml:space="preserve">. CDC, Atlanta, GA, revised January 2026. </w:t>
      </w:r>
      <w:hyperlink r:id="rId33">
        <w:r>
          <w:rPr>
            <w:color w:val="0000B3"/>
          </w:rPr>
          <w:t xml:space="preserve">https://www.cdc.gov/antimicrobial-resistance/media/pdfs/10-Facts-for-10-Years-508.pdf</w:t>
        </w:r>
      </w:hyperlink>
      <w:r>
        <w:rPr>
          <w:sz w:val="17"/>
        </w:rPr>
        <w:t>.</w:t>
      </w:r>
    </w:p>
    <w:p>
      <w:pPr>
        <w:spacing w:after="40"/>
        <w:ind w:left="360" w:hanging="360"/>
        <w:jc w:val="left"/>
      </w:pPr>
      <w:r>
        <w:rPr>
          <w:sz w:val="17"/>
        </w:rPr>
        <w:t xml:space="preserve">[14] </w:t>
      </w:r>
      <w:r>
        <w:rPr>
          <w:sz w:val="17"/>
        </w:rPr>
        <w:t xml:space="preserve">Fatima Abdulwahab. U.S. Rapid Panel Resistance Marker Concordance Benchmark, version 1.0.0. </w:t>
      </w:r>
      <w:hyperlink r:id="rId21">
        <w:r>
          <w:rPr>
            <w:color w:val="0000B3"/>
          </w:rPr>
          <w:t xml:space="preserve">https://github.com/FatimaAbdulwahab/us-rapid-panel-amr-concordance</w:t>
        </w:r>
      </w:hyperlink>
      <w:r>
        <w:rPr>
          <w:sz w:val="17"/>
        </w:rPr>
        <w:t>, 2026.</w:t>
      </w:r>
    </w:p>
    <w:p>
      <w:pPr>
        <w:spacing w:after="40"/>
        <w:ind w:left="360" w:hanging="360"/>
        <w:jc w:val="left"/>
      </w:pPr>
      <w:r>
        <w:rPr>
          <w:sz w:val="17"/>
        </w:rPr>
        <w:t xml:space="preserve">[15] </w:t>
      </w:r>
      <w:r>
        <w:rPr>
          <w:sz w:val="17"/>
        </w:rPr>
        <w:t xml:space="preserve">Fatima Abdulwahab. CDC &amp; FDA Antimicrobial Resistance Isolate Bank: Rapid Panel Target Crosswalk, version 1.0.0. </w:t>
      </w:r>
      <w:hyperlink r:id="rId20">
        <w:r>
          <w:rPr>
            <w:color w:val="0000B3"/>
          </w:rPr>
          <w:t xml:space="preserve">https://github.com/FatimaAbdulwahab/ar-isolate-bank-panel-crosswalk</w:t>
        </w:r>
      </w:hyperlink>
      <w:r>
        <w:rPr>
          <w:sz w:val="17"/>
        </w:rPr>
        <w:t>, 2026. Archived on Zenodo.</w:t>
      </w:r>
    </w:p>
    <w:p>
      <w:pPr>
        <w:spacing w:after="40"/>
        <w:ind w:left="360" w:hanging="360"/>
        <w:jc w:val="left"/>
      </w:pPr>
      <w:r>
        <w:rPr>
          <w:sz w:val="17"/>
        </w:rPr>
        <w:t xml:space="preserve">[16] </w:t>
      </w:r>
      <w:r>
        <w:rPr>
          <w:sz w:val="17"/>
        </w:rPr>
        <w:t xml:space="preserve">U.S. Food and Drug Administration. 510(k) decision summaries K193519 and K243759, BIOFIRE Blood Culture Identification 2 (BCID2) Panel. </w:t>
      </w:r>
      <w:hyperlink r:id="rId34">
        <w:r>
          <w:rPr>
            <w:color w:val="0000B3"/>
          </w:rPr>
          <w:t xml:space="preserve">https://www.accessdata.fda.gov/cdrh_docs/reviews/K193519.pdf</w:t>
        </w:r>
      </w:hyperlink>
      <w:r>
        <w:rPr>
          <w:sz w:val="17"/>
        </w:rPr>
        <w:t>.</w:t>
      </w:r>
    </w:p>
    <w:p>
      <w:pPr>
        <w:spacing w:after="40"/>
        <w:ind w:left="360" w:hanging="360"/>
        <w:jc w:val="left"/>
      </w:pPr>
      <w:r>
        <w:rPr>
          <w:sz w:val="17"/>
        </w:rPr>
        <w:t xml:space="preserve">[17] </w:t>
      </w:r>
      <w:r>
        <w:rPr>
          <w:sz w:val="17"/>
        </w:rPr>
        <w:t xml:space="preserve">U.S. Food and Drug Administration. 510(k) decision summary K181663, ePlex Blood Culture Identification Gram-Positive (BCID-GP) Panel. </w:t>
      </w:r>
      <w:hyperlink r:id="rId35">
        <w:r>
          <w:rPr>
            <w:color w:val="0000B3"/>
          </w:rPr>
          <w:t xml:space="preserve">https://www.accessdata.fda.gov/cdrh_docs/reviews/K181663.pdf</w:t>
        </w:r>
      </w:hyperlink>
      <w:r>
        <w:rPr>
          <w:sz w:val="17"/>
        </w:rPr>
        <w:t>.</w:t>
      </w:r>
    </w:p>
    <w:p>
      <w:pPr>
        <w:spacing w:after="40"/>
        <w:ind w:left="360" w:hanging="360"/>
        <w:jc w:val="left"/>
      </w:pPr>
      <w:r>
        <w:rPr>
          <w:sz w:val="17"/>
        </w:rPr>
        <w:t xml:space="preserve">[18] </w:t>
      </w:r>
      <w:r>
        <w:rPr>
          <w:sz w:val="17"/>
        </w:rPr>
        <w:t xml:space="preserve">U.S. Food and Drug Administration. 510(k) decision summaries K182619 and K213236, ePlex Blood Culture Identification Gram-Negative (BCID-GN) Panel. </w:t>
      </w:r>
      <w:hyperlink r:id="rId36">
        <w:r>
          <w:rPr>
            <w:color w:val="0000B3"/>
          </w:rPr>
          <w:t xml:space="preserve">https://www.accessdata.fda.gov/cdrh_docs/reviews/K182619.pdf</w:t>
        </w:r>
      </w:hyperlink>
      <w:r>
        <w:rPr>
          <w:sz w:val="17"/>
        </w:rPr>
        <w:t>.</w:t>
      </w:r>
    </w:p>
    <w:p>
      <w:pPr>
        <w:spacing w:after="40"/>
        <w:ind w:left="360" w:hanging="360"/>
        <w:jc w:val="left"/>
      </w:pPr>
      <w:r>
        <w:rPr>
          <w:sz w:val="17"/>
        </w:rPr>
        <w:t xml:space="preserve">[19] </w:t>
      </w:r>
      <w:r>
        <w:rPr>
          <w:sz w:val="17"/>
        </w:rPr>
        <w:t xml:space="preserve">U.S. Food and Drug Administration. 510(k) summary K122514, Verigene Gram-Positive Blood Culture Nucleic Acid Test (BC-GP). </w:t>
      </w:r>
      <w:hyperlink r:id="rId37">
        <w:r>
          <w:rPr>
            <w:color w:val="0000B3"/>
          </w:rPr>
          <w:t xml:space="preserve">https://www.accessdata.fda.gov/cdrh_docs/pdf12/K122514.pdf</w:t>
        </w:r>
      </w:hyperlink>
      <w:r>
        <w:rPr>
          <w:sz w:val="17"/>
        </w:rPr>
        <w:t>.</w:t>
      </w:r>
    </w:p>
    <w:p>
      <w:pPr>
        <w:spacing w:after="40"/>
        <w:ind w:left="360" w:hanging="360"/>
        <w:jc w:val="left"/>
      </w:pPr>
      <w:r>
        <w:rPr>
          <w:sz w:val="17"/>
        </w:rPr>
        <w:t xml:space="preserve">[20] </w:t>
      </w:r>
      <w:r>
        <w:rPr>
          <w:sz w:val="17"/>
        </w:rPr>
        <w:t xml:space="preserve">U.S. Food and Drug Administration. 510(k) decision summary K132843, Verigene Gram-Negative Blood Culture Nucleic Acid Test (BC-GN). </w:t>
      </w:r>
      <w:hyperlink r:id="rId38">
        <w:r>
          <w:rPr>
            <w:color w:val="0000B3"/>
          </w:rPr>
          <w:t xml:space="preserve">https://www.accessdata.fda.gov/cdrh_docs/reviews/K132843.pdf</w:t>
        </w:r>
      </w:hyperlink>
      <w:r>
        <w:rPr>
          <w:sz w:val="17"/>
        </w:rPr>
        <w:t>.</w:t>
      </w:r>
    </w:p>
    <w:p>
      <w:pPr>
        <w:spacing w:after="40"/>
        <w:ind w:left="360" w:hanging="360"/>
        <w:jc w:val="left"/>
      </w:pPr>
      <w:r>
        <w:rPr>
          <w:sz w:val="17"/>
        </w:rPr>
        <w:t xml:space="preserve">[21] </w:t>
      </w:r>
      <w:r>
        <w:rPr>
          <w:sz w:val="17"/>
        </w:rPr>
        <w:t xml:space="preserve">U.S. Food and Drug Administration. 510(k) decision summary K243490, LIAISON PLEX Gram-Positive Blood Culture Assay. </w:t>
      </w:r>
      <w:hyperlink r:id="rId39">
        <w:r>
          <w:rPr>
            <w:color w:val="0000B3"/>
          </w:rPr>
          <w:t xml:space="preserve">https://www.accessdata.fda.gov/cdrh_docs/reviews/K243490.pdf</w:t>
        </w:r>
      </w:hyperlink>
      <w:r>
        <w:rPr>
          <w:sz w:val="17"/>
        </w:rPr>
        <w:t>.</w:t>
      </w:r>
    </w:p>
    <w:p>
      <w:pPr>
        <w:spacing w:after="40"/>
        <w:ind w:left="360" w:hanging="360"/>
        <w:jc w:val="left"/>
      </w:pPr>
      <w:r>
        <w:rPr>
          <w:sz w:val="17"/>
        </w:rPr>
        <w:t xml:space="preserve">[22] </w:t>
      </w:r>
      <w:r>
        <w:rPr>
          <w:sz w:val="17"/>
        </w:rPr>
        <w:t xml:space="preserve">U.S. Food and Drug Administration. 510(k) decision summary K243013, LIAISON PLEX Gram-Negative Blood Culture Assay. </w:t>
      </w:r>
      <w:hyperlink r:id="rId40">
        <w:r>
          <w:rPr>
            <w:color w:val="0000B3"/>
          </w:rPr>
          <w:t xml:space="preserve">https://www.accessdata.fda.gov/cdrh_docs/reviews/K243013.pdf</w:t>
        </w:r>
      </w:hyperlink>
      <w:r>
        <w:rPr>
          <w:sz w:val="17"/>
        </w:rPr>
        <w:t>.</w:t>
      </w:r>
    </w:p>
    <w:p>
      <w:pPr>
        <w:spacing w:after="40"/>
        <w:ind w:left="360" w:hanging="360"/>
        <w:jc w:val="left"/>
      </w:pPr>
      <w:r>
        <w:rPr>
          <w:sz w:val="17"/>
        </w:rPr>
        <w:t xml:space="preserve">[23] </w:t>
      </w:r>
      <w:r>
        <w:rPr>
          <w:sz w:val="17"/>
        </w:rPr>
        <w:t xml:space="preserve">National Center for Biotechnology Information. Pathogen Detection. </w:t>
      </w:r>
      <w:hyperlink r:id="rId41">
        <w:r>
          <w:rPr>
            <w:color w:val="0000B3"/>
          </w:rPr>
          <w:t xml:space="preserve">https://www.ncbi.nlm.nih.gov/pathogens/</w:t>
        </w:r>
      </w:hyperlink>
      <w:r>
        <w:rPr>
          <w:sz w:val="17"/>
        </w:rPr>
        <w:t>. Data accessed 24 October 2026.</w:t>
      </w:r>
    </w:p>
    <w:p>
      <w:pPr>
        <w:spacing w:after="40"/>
        <w:ind w:left="360" w:hanging="360"/>
        <w:jc w:val="left"/>
      </w:pPr>
      <w:r>
        <w:rPr>
          <w:sz w:val="17"/>
        </w:rPr>
        <w:t xml:space="preserve">[24] </w:t>
      </w:r>
      <w:r>
        <w:rPr>
          <w:sz w:val="17"/>
        </w:rPr>
        <w:t xml:space="preserve">Michael Feldgarden et al. AMRFinderPlus and the Reference Gene Catalog facilitate examination of the genomic links among antimicrobial resistance, stress response, and virulence. </w:t>
      </w:r>
      <w:r>
        <w:rPr>
          <w:i/>
          <w:sz w:val="17"/>
        </w:rPr>
        <w:t>Sci Rep</w:t>
      </w:r>
      <w:r>
        <w:rPr>
          <w:sz w:val="17"/>
        </w:rPr>
        <w:t xml:space="preserve">, 11(1):12728, 2021. </w:t>
      </w:r>
      <w:hyperlink r:id="rId42">
        <w:r>
          <w:rPr>
            <w:color w:val="0000B3"/>
          </w:rPr>
          <w:t xml:space="preserve">doi:10.1038/s41598-021-91456-0</w:t>
        </w:r>
      </w:hyperlink>
    </w:p>
    <w:p>
      <w:pPr>
        <w:spacing w:after="40"/>
        <w:ind w:left="360" w:hanging="360"/>
        <w:jc w:val="left"/>
      </w:pPr>
      <w:r>
        <w:rPr>
          <w:sz w:val="17"/>
        </w:rPr>
        <w:t xml:space="preserve">[25] </w:t>
      </w:r>
      <w:r>
        <w:rPr>
          <w:sz w:val="17"/>
        </w:rPr>
        <w:t xml:space="preserve">Clinical and Laboratory Standards Institute. </w:t>
      </w:r>
      <w:r>
        <w:rPr>
          <w:i/>
          <w:sz w:val="17"/>
        </w:rPr>
        <w:t>Performance Standards for Antimicrobial Susceptibility Testing</w:t>
      </w:r>
      <w:r>
        <w:rPr>
          <w:sz w:val="17"/>
        </w:rPr>
        <w:t>. CLSI supplement M100, 35th edition. Clinical and Laboratory Standards Institute, Wayne, PA, 2025.</w:t>
      </w:r>
    </w:p>
    <w:p>
      <w:pPr>
        <w:spacing w:after="40"/>
        <w:ind w:left="360" w:hanging="360"/>
        <w:jc w:val="left"/>
      </w:pPr>
      <w:r>
        <w:rPr>
          <w:sz w:val="17"/>
        </w:rPr>
        <w:t xml:space="preserve">[26] </w:t>
      </w:r>
      <w:r>
        <w:rPr>
          <w:sz w:val="17"/>
        </w:rPr>
        <w:t xml:space="preserve">U.S. Food and Drug Administration. Antibacterial Susceptibility Test Interpretive Criteria. </w:t>
      </w:r>
      <w:hyperlink r:id="rId43">
        <w:r>
          <w:rPr>
            <w:color w:val="0000B3"/>
          </w:rPr>
          <w:t xml:space="preserve">https://www.fda.gov/drugs/development-resources/antibacterial-susceptibility-test-interpretive-criteria</w:t>
        </w:r>
      </w:hyperlink>
      <w:r>
        <w:rPr>
          <w:sz w:val="17"/>
        </w:rPr>
        <w:t>. Accessed 24 October 2026.</w:t>
      </w:r>
    </w:p>
    <w:p>
      <w:pPr>
        <w:spacing w:after="40"/>
        <w:ind w:left="360" w:hanging="360"/>
        <w:jc w:val="left"/>
      </w:pPr>
      <w:r>
        <w:rPr>
          <w:sz w:val="17"/>
        </w:rPr>
        <w:t xml:space="preserve">[27] </w:t>
      </w:r>
      <w:r>
        <w:rPr>
          <w:sz w:val="17"/>
        </w:rPr>
        <w:t xml:space="preserve">Philip D. Lister, Daniel J. Wolter, and Nancy D. Hanson. Antibacterial-Resistant </w:t>
      </w:r>
      <w:r>
        <w:rPr>
          <w:i/>
          <w:sz w:val="17"/>
        </w:rPr>
        <w:t>Pseudomonas aeruginosa</w:t>
      </w:r>
      <w:r>
        <w:rPr>
          <w:sz w:val="17"/>
        </w:rPr>
        <w:t xml:space="preserve"> : Clinical Impact and Complex Regulation of Chromosomally Encoded Resistance Mechanisms. </w:t>
      </w:r>
      <w:r>
        <w:rPr>
          <w:i/>
          <w:sz w:val="17"/>
        </w:rPr>
        <w:t>Clin Microbiol Rev</w:t>
      </w:r>
      <w:r>
        <w:rPr>
          <w:sz w:val="17"/>
        </w:rPr>
        <w:t xml:space="preserve">, 22(4):582-610, 2009. </w:t>
      </w:r>
      <w:hyperlink r:id="rId44">
        <w:r>
          <w:rPr>
            <w:color w:val="0000B3"/>
          </w:rPr>
          <w:t xml:space="preserve">doi:10.1128/cmr.00040-09</w:t>
        </w:r>
      </w:hyperlink>
    </w:p>
    <w:p>
      <w:pPr>
        <w:spacing w:after="40"/>
        <w:ind w:left="360" w:hanging="360"/>
        <w:jc w:val="left"/>
      </w:pPr>
      <w:r>
        <w:rPr>
          <w:sz w:val="17"/>
        </w:rPr>
        <w:t xml:space="preserve">[28] </w:t>
      </w:r>
      <w:r>
        <w:rPr>
          <w:sz w:val="17"/>
        </w:rPr>
        <w:t xml:space="preserve">Yesim Cetinkaya, Pamela Falk, and C. Glen Mayhall. Vancomycin-Resistant Enterococci. </w:t>
      </w:r>
      <w:r>
        <w:rPr>
          <w:i/>
          <w:sz w:val="17"/>
        </w:rPr>
        <w:t>Clin Microbiol Rev</w:t>
      </w:r>
      <w:r>
        <w:rPr>
          <w:sz w:val="17"/>
        </w:rPr>
        <w:t xml:space="preserve">, 13(4):686-707, 2000. </w:t>
      </w:r>
      <w:hyperlink r:id="rId45">
        <w:r>
          <w:rPr>
            <w:color w:val="0000B3"/>
          </w:rPr>
          <w:t xml:space="preserve">doi:10.1128/cmr.13.4.686</w:t>
        </w:r>
      </w:hyperlink>
    </w:p>
    <w:p>
      <w:pPr>
        <w:spacing w:after="40"/>
        <w:ind w:left="360" w:hanging="360"/>
        <w:jc w:val="left"/>
      </w:pPr>
      <w:r>
        <w:rPr>
          <w:sz w:val="17"/>
        </w:rPr>
        <w:t xml:space="preserve">[29] </w:t>
      </w:r>
      <w:r>
        <w:rPr>
          <w:sz w:val="17"/>
        </w:rPr>
        <w:t xml:space="preserve">Jacob Cohen. A Coefficient of Agreement for Nominal Scales. </w:t>
      </w:r>
      <w:r>
        <w:rPr>
          <w:i/>
          <w:sz w:val="17"/>
        </w:rPr>
        <w:t>Educational and Psychological Measurement</w:t>
      </w:r>
      <w:r>
        <w:rPr>
          <w:sz w:val="17"/>
        </w:rPr>
        <w:t xml:space="preserve">, 20(1):37-46, 1960. </w:t>
      </w:r>
      <w:hyperlink r:id="rId46">
        <w:r>
          <w:rPr>
            <w:color w:val="0000B3"/>
          </w:rPr>
          <w:t xml:space="preserve">doi:10.1177/001316446002000104</w:t>
        </w:r>
      </w:hyperlink>
    </w:p>
    <w:p>
      <w:pPr>
        <w:spacing w:after="40"/>
        <w:ind w:left="360" w:hanging="360"/>
        <w:jc w:val="left"/>
      </w:pPr>
      <w:r>
        <w:rPr>
          <w:sz w:val="17"/>
        </w:rPr>
        <w:t xml:space="preserve">[30] </w:t>
      </w:r>
      <w:r>
        <w:rPr>
          <w:sz w:val="17"/>
        </w:rPr>
        <w:t xml:space="preserve">E. Zankari et al. Identification of acquired antimicrobial resistance genes. </w:t>
      </w:r>
      <w:r>
        <w:rPr>
          <w:i/>
          <w:sz w:val="17"/>
        </w:rPr>
        <w:t>Journal of Antimicrobial Chemotherapy</w:t>
      </w:r>
      <w:r>
        <w:rPr>
          <w:sz w:val="17"/>
        </w:rPr>
        <w:t xml:space="preserve">, 67(11):2640-2644, 2012. </w:t>
      </w:r>
      <w:hyperlink r:id="rId47">
        <w:r>
          <w:rPr>
            <w:color w:val="0000B3"/>
          </w:rPr>
          <w:t xml:space="preserve">doi:10.1093/jac/dks261</w:t>
        </w:r>
      </w:hyperlink>
    </w:p>
    <w:p>
      <w:pPr>
        <w:spacing w:after="40"/>
        <w:ind w:left="360" w:hanging="360"/>
        <w:jc w:val="left"/>
      </w:pPr>
      <w:r>
        <w:rPr>
          <w:sz w:val="17"/>
        </w:rPr>
        <w:t xml:space="preserve">[31] </w:t>
      </w:r>
      <w:r>
        <w:rPr>
          <w:sz w:val="17"/>
        </w:rPr>
        <w:t xml:space="preserve">Sushim Kumar Gupta et al. ARG-ANNOT, a New Bioinformatic Tool To Discover Antibiotic Resistance Genes in Bacterial Genomes. </w:t>
      </w:r>
      <w:r>
        <w:rPr>
          <w:i/>
          <w:sz w:val="17"/>
        </w:rPr>
        <w:t>Antimicrob Agents Chemother</w:t>
      </w:r>
      <w:r>
        <w:rPr>
          <w:sz w:val="17"/>
        </w:rPr>
        <w:t xml:space="preserve">, 58(1):212-220, 2014. </w:t>
      </w:r>
      <w:hyperlink r:id="rId48">
        <w:r>
          <w:rPr>
            <w:color w:val="0000B3"/>
          </w:rPr>
          <w:t xml:space="preserve">doi:10.1128/aac.01310-13</w:t>
        </w:r>
      </w:hyperlink>
    </w:p>
    <w:p>
      <w:pPr>
        <w:spacing w:after="40"/>
        <w:ind w:left="360" w:hanging="360"/>
        <w:jc w:val="left"/>
      </w:pPr>
      <w:r>
        <w:rPr>
          <w:sz w:val="17"/>
        </w:rPr>
        <w:t xml:space="preserve">[32] </w:t>
      </w:r>
      <w:r>
        <w:rPr>
          <w:sz w:val="17"/>
        </w:rPr>
        <w:t xml:space="preserve">Edwin B. Wilson. Probable Inference, the Law of Succession, and Statistical Inference. </w:t>
      </w:r>
      <w:r>
        <w:rPr>
          <w:i/>
          <w:sz w:val="17"/>
        </w:rPr>
        <w:t>Journal of the American Statistical Association</w:t>
      </w:r>
      <w:r>
        <w:rPr>
          <w:sz w:val="17"/>
        </w:rPr>
        <w:t xml:space="preserve">, 22(158):209-212, 1927. </w:t>
      </w:r>
      <w:hyperlink r:id="rId49">
        <w:r>
          <w:rPr>
            <w:color w:val="0000B3"/>
          </w:rPr>
          <w:t xml:space="preserve">doi:10.1080/01621459.1927.10502953</w:t>
        </w:r>
      </w:hyperlink>
    </w:p>
    <w:p>
      <w:pPr>
        <w:spacing w:after="40"/>
        <w:ind w:left="360" w:hanging="360"/>
        <w:jc w:val="left"/>
      </w:pPr>
      <w:r>
        <w:rPr>
          <w:sz w:val="17"/>
        </w:rPr>
        <w:t xml:space="preserve">[33] </w:t>
      </w:r>
      <w:r>
        <w:rPr>
          <w:sz w:val="17"/>
        </w:rPr>
        <w:t xml:space="preserve">Wes McKinney. Data Structures for Statistical Computing in Python. </w:t>
      </w:r>
      <w:r>
        <w:rPr>
          <w:i/>
          <w:sz w:val="17"/>
        </w:rPr>
        <w:t>Proceedings of the Python in Science Conference</w:t>
      </w:r>
      <w:r>
        <w:rPr>
          <w:sz w:val="17"/>
        </w:rPr>
        <w:t xml:space="preserve">, 56–61, 2010. </w:t>
      </w:r>
      <w:hyperlink r:id="rId50">
        <w:r>
          <w:rPr>
            <w:color w:val="0000B3"/>
          </w:rPr>
          <w:t xml:space="preserve">doi:10.25080/majora-92bf1922-00a</w:t>
        </w:r>
      </w:hyperlink>
    </w:p>
    <w:p>
      <w:pPr>
        <w:spacing w:after="40"/>
        <w:ind w:left="360" w:hanging="360"/>
        <w:jc w:val="left"/>
      </w:pPr>
      <w:r>
        <w:rPr>
          <w:sz w:val="17"/>
        </w:rPr>
        <w:t xml:space="preserve">[34] </w:t>
      </w:r>
      <w:r>
        <w:rPr>
          <w:sz w:val="17"/>
        </w:rPr>
        <w:t xml:space="preserve">John D. Hunter. Matplotlib: A 2D Graphics Environment. </w:t>
      </w:r>
      <w:r>
        <w:rPr>
          <w:i/>
          <w:sz w:val="17"/>
        </w:rPr>
        <w:t>Comput. Sci. Eng.</w:t>
      </w:r>
      <w:r>
        <w:rPr>
          <w:sz w:val="17"/>
        </w:rPr>
        <w:t xml:space="preserve">, 9(3):90-95, 2007. </w:t>
      </w:r>
      <w:hyperlink r:id="rId51">
        <w:r>
          <w:rPr>
            <w:color w:val="0000B3"/>
          </w:rPr>
          <w:t xml:space="preserve">doi:10.1109/mcse.2007.55</w:t>
        </w:r>
      </w:hyperlink>
    </w:p>
    <w:p>
      <w:pPr>
        <w:spacing w:after="40"/>
        <w:ind w:left="360" w:hanging="360"/>
        <w:jc w:val="left"/>
      </w:pPr>
      <w:r>
        <w:rPr>
          <w:sz w:val="17"/>
        </w:rPr>
        <w:t xml:space="preserve">[35] </w:t>
      </w:r>
      <w:r>
        <w:rPr>
          <w:sz w:val="17"/>
        </w:rPr>
        <w:t xml:space="preserve">Michael Waskom. seaborn: statistical data visualization. </w:t>
      </w:r>
      <w:r>
        <w:rPr>
          <w:i/>
          <w:sz w:val="17"/>
        </w:rPr>
        <w:t>JOSS</w:t>
      </w:r>
      <w:r>
        <w:rPr>
          <w:sz w:val="17"/>
        </w:rPr>
        <w:t xml:space="preserve">, 6(60):3021, 2021. </w:t>
      </w:r>
      <w:hyperlink r:id="rId52">
        <w:r>
          <w:rPr>
            <w:color w:val="0000B3"/>
          </w:rPr>
          <w:t xml:space="preserve">doi:10.21105/joss.03021</w:t>
        </w:r>
      </w:hyperlink>
    </w:p>
    <w:p>
      <w:pPr>
        <w:spacing w:after="40"/>
        <w:ind w:left="360" w:hanging="360"/>
        <w:jc w:val="left"/>
      </w:pPr>
      <w:r>
        <w:rPr>
          <w:sz w:val="17"/>
        </w:rPr>
        <w:t xml:space="preserve">[36] </w:t>
      </w:r>
      <w:r>
        <w:rPr>
          <w:sz w:val="17"/>
        </w:rPr>
        <w:t xml:space="preserve">E. Petinaki. Emergence of two oxacillin-susceptible mecA-positive </w:t>
      </w:r>
      <w:r>
        <w:rPr>
          <w:i/>
          <w:sz w:val="17"/>
        </w:rPr>
        <w:t>Staphylococcus aureus</w:t>
      </w:r>
      <w:r>
        <w:rPr>
          <w:sz w:val="17"/>
        </w:rPr>
        <w:t xml:space="preserve"> clones in a Greek hospital. </w:t>
      </w:r>
      <w:r>
        <w:rPr>
          <w:i/>
          <w:sz w:val="17"/>
        </w:rPr>
        <w:t>Journal of Antimicrobial Chemotherapy</w:t>
      </w:r>
      <w:r>
        <w:rPr>
          <w:sz w:val="17"/>
        </w:rPr>
        <w:t xml:space="preserve">, 50(6):1090-1091, 2002. </w:t>
      </w:r>
      <w:hyperlink r:id="rId53">
        <w:r>
          <w:rPr>
            <w:color w:val="0000B3"/>
          </w:rPr>
          <w:t xml:space="preserve">doi:10.1093/jac/dkf235</w:t>
        </w:r>
      </w:hyperlink>
    </w:p>
    <w:p>
      <w:pPr>
        <w:spacing w:after="40"/>
        <w:ind w:left="360" w:hanging="360"/>
        <w:jc w:val="left"/>
      </w:pPr>
      <w:r>
        <w:rPr>
          <w:sz w:val="17"/>
        </w:rPr>
        <w:t xml:space="preserve">[37] </w:t>
      </w:r>
      <w:r>
        <w:rPr>
          <w:sz w:val="17"/>
        </w:rPr>
        <w:t xml:space="preserve">Tom A. Szakacs et al. Outbreak of Vancomycin-Susceptible </w:t>
      </w:r>
      <w:r>
        <w:rPr>
          <w:i/>
          <w:sz w:val="17"/>
        </w:rPr>
        <w:t>Enterococcus faecium</w:t>
      </w:r>
      <w:r>
        <w:rPr>
          <w:sz w:val="17"/>
        </w:rPr>
        <w:t xml:space="preserve"> Containing the Wild-Type </w:t>
      </w:r>
      <w:r>
        <w:rPr>
          <w:i/>
          <w:sz w:val="17"/>
        </w:rPr>
        <w:t>vanA</w:t>
      </w:r>
      <w:r>
        <w:rPr>
          <w:sz w:val="17"/>
        </w:rPr>
        <w:t xml:space="preserve"> Gene. </w:t>
      </w:r>
      <w:r>
        <w:rPr>
          <w:i/>
          <w:sz w:val="17"/>
        </w:rPr>
        <w:t>J Clin Microbiol</w:t>
      </w:r>
      <w:r>
        <w:rPr>
          <w:sz w:val="17"/>
        </w:rPr>
        <w:t xml:space="preserve">, 52(5):1682-1686, 2014. </w:t>
      </w:r>
      <w:hyperlink r:id="rId54">
        <w:r>
          <w:rPr>
            <w:color w:val="0000B3"/>
          </w:rPr>
          <w:t xml:space="preserve">doi:10.1128/jcm.03563-13</w:t>
        </w:r>
      </w:hyperlink>
    </w:p>
    <w:p>
      <w:pPr>
        <w:spacing w:after="40"/>
        <w:ind w:left="360" w:hanging="360"/>
        <w:jc w:val="left"/>
      </w:pPr>
      <w:r>
        <w:rPr>
          <w:sz w:val="17"/>
        </w:rPr>
        <w:t xml:space="preserve">[38] </w:t>
      </w:r>
      <w:r>
        <w:rPr>
          <w:sz w:val="17"/>
        </w:rPr>
        <w:t xml:space="preserve">Victoria Jordan and Hemalatha Varadhan. Detection of </w:t>
      </w:r>
      <w:r>
        <w:rPr>
          <w:i/>
          <w:sz w:val="17"/>
        </w:rPr>
        <w:t>vanA</w:t>
      </w:r>
      <w:r>
        <w:rPr>
          <w:sz w:val="17"/>
        </w:rPr>
        <w:t xml:space="preserve"> genes in vancomycin-susceptible </w:t>
      </w:r>
      <w:r>
        <w:rPr>
          <w:i/>
          <w:sz w:val="17"/>
        </w:rPr>
        <w:t>Enterococcus faecium</w:t>
      </w:r>
      <w:r>
        <w:rPr>
          <w:sz w:val="17"/>
        </w:rPr>
        <w:t xml:space="preserve"> isolates: implications for additional testing. </w:t>
      </w:r>
      <w:r>
        <w:rPr>
          <w:i/>
          <w:sz w:val="17"/>
        </w:rPr>
        <w:t>Access Microbiology</w:t>
      </w:r>
      <w:r>
        <w:rPr>
          <w:sz w:val="17"/>
        </w:rPr>
        <w:t xml:space="preserve">, 7(4), 2025. </w:t>
      </w:r>
      <w:hyperlink r:id="rId55">
        <w:r>
          <w:rPr>
            <w:color w:val="0000B3"/>
          </w:rPr>
          <w:t xml:space="preserve">doi:10.1099/acmi.0.000959.v4</w:t>
        </w:r>
      </w:hyperlink>
    </w:p>
    <w:p>
      <w:pPr>
        <w:spacing w:after="40"/>
        <w:ind w:left="360" w:hanging="360"/>
        <w:jc w:val="left"/>
      </w:pPr>
      <w:r>
        <w:rPr>
          <w:sz w:val="17"/>
        </w:rPr>
        <w:t xml:space="preserve">[39] </w:t>
      </w:r>
      <w:r>
        <w:rPr>
          <w:sz w:val="17"/>
        </w:rPr>
        <w:t xml:space="preserve">L. Poirel, A. Potron, and P. Nordmann. OXA-48-like carbapenemases: the phantom menace. </w:t>
      </w:r>
      <w:r>
        <w:rPr>
          <w:i/>
          <w:sz w:val="17"/>
        </w:rPr>
        <w:t>Journal of Antimicrobial Chemotherapy</w:t>
      </w:r>
      <w:r>
        <w:rPr>
          <w:sz w:val="17"/>
        </w:rPr>
        <w:t xml:space="preserve">, 67(7):1597-1606, 2012. </w:t>
      </w:r>
      <w:hyperlink r:id="rId56">
        <w:r>
          <w:rPr>
            <w:color w:val="0000B3"/>
          </w:rPr>
          <w:t xml:space="preserve">doi:10.1093/jac/dks121</w:t>
        </w:r>
      </w:hyperlink>
    </w:p>
    <w:p>
      <w:pPr>
        <w:spacing w:after="40"/>
        <w:ind w:left="360" w:hanging="360"/>
        <w:jc w:val="left"/>
      </w:pPr>
      <w:r>
        <w:rPr>
          <w:sz w:val="17"/>
        </w:rPr>
        <w:t xml:space="preserve">[40] </w:t>
      </w:r>
      <w:r>
        <w:rPr>
          <w:sz w:val="17"/>
        </w:rPr>
        <w:t xml:space="preserve">George A. Jacoby. AmpC </w:t>
      </w:r>
      <w:r>
        <w:rPr>
          <w:sz w:val="17"/>
        </w:rPr>
        <w:t>β</w:t>
      </w:r>
      <w:r>
        <w:rPr>
          <w:sz w:val="17"/>
        </w:rPr>
        <w:t xml:space="preserve">-Lactamases. </w:t>
      </w:r>
      <w:r>
        <w:rPr>
          <w:i/>
          <w:sz w:val="17"/>
        </w:rPr>
        <w:t>Clin Microbiol Rev</w:t>
      </w:r>
      <w:r>
        <w:rPr>
          <w:sz w:val="17"/>
        </w:rPr>
        <w:t xml:space="preserve">, 22(1):161-182, 2009. </w:t>
      </w:r>
      <w:hyperlink r:id="rId57">
        <w:r>
          <w:rPr>
            <w:color w:val="0000B3"/>
          </w:rPr>
          <w:t xml:space="preserve">doi:10.1128/cmr.00036-08</w:t>
        </w:r>
      </w:hyperlink>
    </w:p>
    <w:p>
      <w:pPr>
        <w:spacing w:after="40"/>
        <w:ind w:left="360" w:hanging="360"/>
        <w:jc w:val="left"/>
      </w:pPr>
      <w:r>
        <w:rPr>
          <w:sz w:val="17"/>
        </w:rPr>
        <w:t xml:space="preserve">[41] </w:t>
      </w:r>
      <w:r>
        <w:rPr>
          <w:sz w:val="17"/>
        </w:rPr>
        <w:t xml:space="preserve">Anaïs Potron et al. Genetic and biochemical characterisation of OXA-232, a carbapenem-hydrolysing class D </w:t>
      </w:r>
      <w:r>
        <w:rPr>
          <w:sz w:val="17"/>
        </w:rPr>
        <w:t>β</w:t>
      </w:r>
      <w:r>
        <w:rPr>
          <w:sz w:val="17"/>
        </w:rPr>
        <w:t xml:space="preserve">-lactamase from Enterobacteriaceae. </w:t>
      </w:r>
      <w:r>
        <w:rPr>
          <w:i/>
          <w:sz w:val="17"/>
        </w:rPr>
        <w:t>International Journal of Antimicrobial Agents</w:t>
      </w:r>
      <w:r>
        <w:rPr>
          <w:sz w:val="17"/>
        </w:rPr>
        <w:t xml:space="preserve">, 41(4):325-329, 2013. </w:t>
      </w:r>
      <w:hyperlink r:id="rId58">
        <w:r>
          <w:rPr>
            <w:color w:val="0000B3"/>
          </w:rPr>
          <w:t xml:space="preserve">doi:10.1016/j.ijantimicag.2012.11.007</w:t>
        </w:r>
      </w:hyperlink>
    </w:p>
    <w:p>
      <w:pPr>
        <w:spacing w:after="40"/>
        <w:ind w:left="360" w:hanging="360"/>
        <w:jc w:val="left"/>
      </w:pPr>
      <w:r>
        <w:rPr>
          <w:sz w:val="17"/>
        </w:rPr>
        <w:t xml:space="preserve">[42] </w:t>
      </w:r>
      <w:r>
        <w:rPr>
          <w:sz w:val="17"/>
        </w:rPr>
        <w:t xml:space="preserve">Pranita D. Tamma et al. Comparing the Outcomes of Patients With Carbapenemase-Producing and Non-Carbapenemase-Producing Carbapenem-Resistant Enterobacteriaceae Bacteremia. </w:t>
      </w:r>
      <w:r>
        <w:rPr>
          <w:i/>
          <w:sz w:val="17"/>
        </w:rPr>
        <w:t>Clinical Infectious Diseases</w:t>
      </w:r>
      <w:r>
        <w:rPr>
          <w:sz w:val="17"/>
        </w:rPr>
        <w:t xml:space="preserve">, 64(3):257-264, 2017. </w:t>
      </w:r>
      <w:hyperlink r:id="rId59">
        <w:r>
          <w:rPr>
            <w:color w:val="0000B3"/>
          </w:rPr>
          <w:t xml:space="preserve">doi:10.1093/cid/ciw741</w:t>
        </w:r>
      </w:hyperlink>
    </w:p>
    <w:p>
      <w:pPr>
        <w:spacing w:after="40"/>
        <w:ind w:left="360" w:hanging="360"/>
        <w:jc w:val="left"/>
      </w:pPr>
      <w:r>
        <w:rPr>
          <w:sz w:val="17"/>
        </w:rPr>
        <w:t xml:space="preserve">[43] </w:t>
      </w:r>
      <w:r>
        <w:rPr>
          <w:sz w:val="17"/>
        </w:rPr>
        <w:t xml:space="preserve">Johann D. D. Pitout, Patrice Nordmann, and Laurent Poirel. Carbapenemase-Producing </w:t>
      </w:r>
      <w:r>
        <w:rPr>
          <w:i/>
          <w:sz w:val="17"/>
        </w:rPr>
        <w:t>Klebsiella pneumoniae</w:t>
      </w:r>
      <w:r>
        <w:rPr>
          <w:sz w:val="17"/>
        </w:rPr>
        <w:t xml:space="preserve">, a Key Pathogen Set for Global Nosocomial Dominance. </w:t>
      </w:r>
      <w:r>
        <w:rPr>
          <w:i/>
          <w:sz w:val="17"/>
        </w:rPr>
        <w:t>Antimicrob Agents Chemother</w:t>
      </w:r>
      <w:r>
        <w:rPr>
          <w:sz w:val="17"/>
        </w:rPr>
        <w:t xml:space="preserve">, 59(10):5873-5884, 2015. </w:t>
      </w:r>
      <w:hyperlink r:id="rId60">
        <w:r>
          <w:rPr>
            <w:color w:val="0000B3"/>
          </w:rPr>
          <w:t xml:space="preserve">doi:10.1128/aac.01019-15</w:t>
        </w:r>
      </w:hyperlink>
    </w:p>
    <w:sectPr w:rsidR="00FC693F" w:rsidRPr="0006063C" w:rsidSect="00034616">
      <w:type w:val="continuous"/>
      <w:pgSz w:w="12240" w:h="15840"/>
      <w:pgMar w:top="1224" w:right="1037" w:bottom="1296" w:left="1037" w:header="720" w:footer="720" w:gutter="0"/>
      <w:cols w:space="37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hyphenationZone w:val="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Palatino Linotype" w:hAnsi="Palatino Linotype" w:cs="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mailto:abdulwahabfatima43@gmail.com" TargetMode="External"/><Relationship Id="rId11" Type="http://schemas.openxmlformats.org/officeDocument/2006/relationships/hyperlink" Target="https://orcid.org/0009-0008-2298-8386"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github.com/FatimaAbdulwahab/ar-isolate-bank-panel-crosswalk" TargetMode="External"/><Relationship Id="rId21" Type="http://schemas.openxmlformats.org/officeDocument/2006/relationships/hyperlink" Target="https://github.com/FatimaAbdulwahab/us-rapid-panel-amr-concordance" TargetMode="External"/><Relationship Id="rId22" Type="http://schemas.openxmlformats.org/officeDocument/2006/relationships/hyperlink" Target="https://doi.org/10.1186/s12879-022-07772-x" TargetMode="External"/><Relationship Id="rId23" Type="http://schemas.openxmlformats.org/officeDocument/2006/relationships/hyperlink" Target="https://doi.org/10.1016/j.diagmicrobio.2015.08.004" TargetMode="External"/><Relationship Id="rId24" Type="http://schemas.openxmlformats.org/officeDocument/2006/relationships/hyperlink" Target="https://doi.org/10.1016/s1473-3099(11)70126-8" TargetMode="External"/><Relationship Id="rId25" Type="http://schemas.openxmlformats.org/officeDocument/2006/relationships/hyperlink" Target="https://doi.org/10.1086/491711" TargetMode="External"/><Relationship Id="rId26" Type="http://schemas.openxmlformats.org/officeDocument/2006/relationships/hyperlink" Target="https://doi.org/10.1093/jac/dkx146" TargetMode="External"/><Relationship Id="rId27" Type="http://schemas.openxmlformats.org/officeDocument/2006/relationships/hyperlink" Target="https://doi.org/10.1128/cmr.00047-19" TargetMode="External"/><Relationship Id="rId28" Type="http://schemas.openxmlformats.org/officeDocument/2006/relationships/hyperlink" Target="https://doi.org/10.1093/cid/ciw649" TargetMode="External"/><Relationship Id="rId29" Type="http://schemas.openxmlformats.org/officeDocument/2006/relationships/hyperlink" Target="https://doi.org/10.3389/fmed.2021.635831" TargetMode="External"/><Relationship Id="rId30" Type="http://schemas.openxmlformats.org/officeDocument/2006/relationships/hyperlink" Target="https://www.ecfr.gov/current/title-42/section-493.1253" TargetMode="External"/><Relationship Id="rId31" Type="http://schemas.openxmlformats.org/officeDocument/2006/relationships/hyperlink" Target="https://doi.org/10.1128/jcm.01415-17" TargetMode="External"/><Relationship Id="rId32" Type="http://schemas.openxmlformats.org/officeDocument/2006/relationships/hyperlink" Target="https://wwwn.cdc.gov/ARIsolateBank/" TargetMode="External"/><Relationship Id="rId33" Type="http://schemas.openxmlformats.org/officeDocument/2006/relationships/hyperlink" Target="https://www.cdc.gov/antimicrobial-resistance/media/pdfs/10-Facts-for-10-Years-508.pdf" TargetMode="External"/><Relationship Id="rId34" Type="http://schemas.openxmlformats.org/officeDocument/2006/relationships/hyperlink" Target="https://www.accessdata.fda.gov/cdrh_docs/reviews/K193519.pdf" TargetMode="External"/><Relationship Id="rId35" Type="http://schemas.openxmlformats.org/officeDocument/2006/relationships/hyperlink" Target="https://www.accessdata.fda.gov/cdrh_docs/reviews/K181663.pdf" TargetMode="External"/><Relationship Id="rId36" Type="http://schemas.openxmlformats.org/officeDocument/2006/relationships/hyperlink" Target="https://www.accessdata.fda.gov/cdrh_docs/reviews/K182619.pdf" TargetMode="External"/><Relationship Id="rId37" Type="http://schemas.openxmlformats.org/officeDocument/2006/relationships/hyperlink" Target="https://www.accessdata.fda.gov/cdrh_docs/pdf12/K122514.pdf" TargetMode="External"/><Relationship Id="rId38" Type="http://schemas.openxmlformats.org/officeDocument/2006/relationships/hyperlink" Target="https://www.accessdata.fda.gov/cdrh_docs/reviews/K132843.pdf" TargetMode="External"/><Relationship Id="rId39" Type="http://schemas.openxmlformats.org/officeDocument/2006/relationships/hyperlink" Target="https://www.accessdata.fda.gov/cdrh_docs/reviews/K243490.pdf" TargetMode="External"/><Relationship Id="rId40" Type="http://schemas.openxmlformats.org/officeDocument/2006/relationships/hyperlink" Target="https://www.accessdata.fda.gov/cdrh_docs/reviews/K243013.pdf" TargetMode="External"/><Relationship Id="rId41" Type="http://schemas.openxmlformats.org/officeDocument/2006/relationships/hyperlink" Target="https://www.ncbi.nlm.nih.gov/pathogens/" TargetMode="External"/><Relationship Id="rId42" Type="http://schemas.openxmlformats.org/officeDocument/2006/relationships/hyperlink" Target="https://doi.org/10.1038/s41598-021-91456-0" TargetMode="External"/><Relationship Id="rId43" Type="http://schemas.openxmlformats.org/officeDocument/2006/relationships/hyperlink" Target="https://www.fda.gov/drugs/development-resources/antibacterial-susceptibility-test-interpretive-criteria" TargetMode="External"/><Relationship Id="rId44" Type="http://schemas.openxmlformats.org/officeDocument/2006/relationships/hyperlink" Target="https://doi.org/10.1128/cmr.00040-09" TargetMode="External"/><Relationship Id="rId45" Type="http://schemas.openxmlformats.org/officeDocument/2006/relationships/hyperlink" Target="https://doi.org/10.1128/cmr.13.4.686" TargetMode="External"/><Relationship Id="rId46" Type="http://schemas.openxmlformats.org/officeDocument/2006/relationships/hyperlink" Target="https://doi.org/10.1177/001316446002000104" TargetMode="External"/><Relationship Id="rId47" Type="http://schemas.openxmlformats.org/officeDocument/2006/relationships/hyperlink" Target="https://doi.org/10.1093/jac/dks261" TargetMode="External"/><Relationship Id="rId48" Type="http://schemas.openxmlformats.org/officeDocument/2006/relationships/hyperlink" Target="https://doi.org/10.1128/aac.01310-13" TargetMode="External"/><Relationship Id="rId49" Type="http://schemas.openxmlformats.org/officeDocument/2006/relationships/hyperlink" Target="https://doi.org/10.1080/01621459.1927.10502953" TargetMode="External"/><Relationship Id="rId50" Type="http://schemas.openxmlformats.org/officeDocument/2006/relationships/hyperlink" Target="https://doi.org/10.25080/majora-92bf1922-00a" TargetMode="External"/><Relationship Id="rId51" Type="http://schemas.openxmlformats.org/officeDocument/2006/relationships/hyperlink" Target="https://doi.org/10.1109/mcse.2007.55" TargetMode="External"/><Relationship Id="rId52" Type="http://schemas.openxmlformats.org/officeDocument/2006/relationships/hyperlink" Target="https://doi.org/10.21105/joss.03021" TargetMode="External"/><Relationship Id="rId53" Type="http://schemas.openxmlformats.org/officeDocument/2006/relationships/hyperlink" Target="https://doi.org/10.1093/jac/dkf235" TargetMode="External"/><Relationship Id="rId54" Type="http://schemas.openxmlformats.org/officeDocument/2006/relationships/hyperlink" Target="https://doi.org/10.1128/jcm.03563-13" TargetMode="External"/><Relationship Id="rId55" Type="http://schemas.openxmlformats.org/officeDocument/2006/relationships/hyperlink" Target="https://doi.org/10.1099/acmi.0.000959.v4" TargetMode="External"/><Relationship Id="rId56" Type="http://schemas.openxmlformats.org/officeDocument/2006/relationships/hyperlink" Target="https://doi.org/10.1093/jac/dks121" TargetMode="External"/><Relationship Id="rId57" Type="http://schemas.openxmlformats.org/officeDocument/2006/relationships/hyperlink" Target="https://doi.org/10.1128/cmr.00036-08" TargetMode="External"/><Relationship Id="rId58" Type="http://schemas.openxmlformats.org/officeDocument/2006/relationships/hyperlink" Target="https://doi.org/10.1016/j.ijantimicag.2012.11.007" TargetMode="External"/><Relationship Id="rId59" Type="http://schemas.openxmlformats.org/officeDocument/2006/relationships/hyperlink" Target="https://doi.org/10.1093/cid/ciw741" TargetMode="External"/><Relationship Id="rId60" Type="http://schemas.openxmlformats.org/officeDocument/2006/relationships/hyperlink" Target="https://doi.org/10.1128/aac.01019-15" TargetMode="External"/><Relationship Id="rId6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reference organisms exercise which rapid panel targets? An open crosswalk of the CDC &amp; FDA Antimicrobial Resistance Isolate Bank to FDA-cleared blood culture identification panels, with an external reference-method check of a U.S. benchmark</dc:title>
  <dc:subject>Preprint</dc:subject>
  <dc:creator>Fatima Abdulwahab</dc:creator>
  <cp:keywords>test verification; CLIA; reference isolates; AR Isolate Bank; rapid diagnostics</cp:keywords>
  <dc:description>generated by python-docx</dc:description>
  <cp:lastModifiedBy/>
  <cp:revision>1</cp:revision>
  <dcterms:created xsi:type="dcterms:W3CDTF">2013-12-23T23:15:00Z</dcterms:created>
  <dcterms:modified xsi:type="dcterms:W3CDTF">2013-12-23T23:15:00Z</dcterms:modified>
  <cp:category/>
</cp:coreProperties>
</file>