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well do rapid blood culture panel resistance targets predict laboratory susceptibility?</w:t>
      </w:r>
      <w:r>
        <w:br/>
      </w:r>
      <w:r>
        <w:t xml:space="preserve">An open, gene-by-gene concordance benchmark of U.S. clinical isolates in NCBI Pathogen Detection</w:t>
      </w:r>
    </w:p>
    <w:p>
      <w:pPr>
        <w:pStyle w:val="Author"/>
      </w:pPr>
      <w:r>
        <w:t xml:space="preserve">Fatima Abdulwahab </w:t>
      </w:r>
      <w:hyperlink r:id="rId11">
        <w:r>
          <w:drawing>
            <wp:inline>
              <wp:extent cx="101600" cy="101600"/>
              <wp:docPr id="86" name="Picture 86"/>
              <wp:cNvGraphicFramePr>
                <a:graphicFrameLocks noChangeAspect="1"/>
              </wp:cNvGraphicFramePr>
              <a:graphic>
                <a:graphicData uri="http://schemas.openxmlformats.org/drawingml/2006/picture">
                  <pic:pic>
                    <pic:nvPicPr>
                      <pic:cNvPr id="0" name="orcid_icon.png"/>
                      <pic:cNvPicPr/>
                    </pic:nvPicPr>
                    <pic:blipFill>
                      <a:blip r:embed="rId10"/>
                      <a:stretch>
                        <a:fillRect/>
                      </a:stretch>
                    </pic:blipFill>
                    <pic:spPr>
                      <a:xfrm>
                        <a:off x="0" y="0"/>
                        <a:ext cx="101600" cy="101600"/>
                      </a:xfrm>
                      <a:prstGeom prst="rect"/>
                    </pic:spPr>
                  </pic:pic>
                </a:graphicData>
              </a:graphic>
            </wp:inline>
          </w:drawing>
        </w:r>
      </w:hyperlink>
      <w:r>
        <w:t xml:space="preserve"> </w:t>
      </w:r>
      <w:r>
        <w:rPr>
          <w:vertAlign w:val="superscript"/>
        </w:rPr>
        <w:t xml:space="preserve">1,</w:t>
      </w:r>
      <w:r>
        <w:rPr>
          <w:rStyle w:val="FootnoteReference"/>
        </w:rPr>
        <w:footnoteReference w:id="20" w:customMarkFollows="1"/>
        <w:t>*</w:t>
      </w:r>
    </w:p>
    <w:p>
      <w:pPr>
        <w:pStyle w:val="Affiliation"/>
      </w:pPr>
      <w:r>
        <w:rPr>
          <w:vertAlign w:val="superscript"/>
        </w:rPr>
        <w:t xml:space="preserve">1</w:t>
      </w:r>
      <w:r>
        <w:t xml:space="preserve">Independent Researcher, Dallas, Texas, USA</w:t>
      </w:r>
    </w:p>
    <w:p>
      <w:pPr>
        <w:pStyle w:val="Abstract"/>
      </w:pPr>
      <w:r>
        <w:t xml:space="preserve">Rapid blood culture identification panels report resistance genes (</w:t>
      </w:r>
      <w:r>
        <w:rPr>
          <w:i/>
          <w:iCs/>
        </w:rPr>
        <w:t xml:space="preserve">mecA</w:t>
      </w:r>
      <w:r>
        <w:t xml:space="preserve">/</w:t>
      </w:r>
      <w:r>
        <w:rPr>
          <w:i/>
          <w:iCs/>
        </w:rPr>
        <w:t xml:space="preserve">mecC</w:t>
      </w:r>
      <w:r>
        <w:t xml:space="preserve">,</w:t>
      </w:r>
      <w:r>
        <w:t xml:space="preserve"> </w:t>
      </w:r>
      <w:r>
        <w:rPr>
          <w:i/>
          <w:iCs/>
        </w:rPr>
        <w:t xml:space="preserve">vanA</w:t>
      </w:r>
      <w:r>
        <w:t xml:space="preserve">/</w:t>
      </w:r>
      <w:r>
        <w:rPr>
          <w:i/>
          <w:iCs/>
        </w:rPr>
        <w:t xml:space="preserve">vanB</w:t>
      </w:r>
      <w:r>
        <w:t xml:space="preserve">, KPC, NDM, OXA-48-like, VIM, IMP and CTX-M) hours to days before growth-based antimicrobial susceptibility testing (AST) is complete, and laboratories and prescribers act on that early result. We built an open, versioned, isolate-level benchmark that measures how often each panel target predicts the AST result that follows, using public data only. From 26,886 NCBI BioSample records carrying a submitted antibiogram for</w:t>
      </w:r>
      <w:r>
        <w:t xml:space="preserve"> </w:t>
      </w:r>
      <w:r>
        <w:rPr>
          <w:i/>
          <w:iCs/>
        </w:rPr>
        <w:t xml:space="preserve">Staphylococcus aureus</w:t>
      </w:r>
      <w:r>
        <w:t xml:space="preserve">,</w:t>
      </w:r>
      <w:r>
        <w:t xml:space="preserve"> </w:t>
      </w:r>
      <w:r>
        <w:rPr>
          <w:i/>
          <w:iCs/>
        </w:rPr>
        <w:t xml:space="preserve">Enterococcus faecalis</w:t>
      </w:r>
      <w:r>
        <w:t xml:space="preserve">,</w:t>
      </w:r>
      <w:r>
        <w:t xml:space="preserve"> </w:t>
      </w:r>
      <w:r>
        <w:rPr>
          <w:i/>
          <w:iCs/>
        </w:rPr>
        <w:t xml:space="preserve">Enterococcus faecium</w:t>
      </w:r>
      <w:r>
        <w:t xml:space="preserve"> </w:t>
      </w:r>
      <w:r>
        <w:t xml:space="preserve">and the Enterobacterales, we joined AMRFinderPlus gene calls from NCBI Pathogen Detection, kept U.S. human clinical isolates, mapped genes to panel targets through NCBI’s Reference Gene Hierarchy, and reinterpreted 19,741 isolate-drug MICs and zone diameters against CLSI M100 (35th edition) breakpoints. The benchmark contains 5,168 isolates (731 from blood or other sterile sites).</w:t>
      </w:r>
      <w:r>
        <w:t xml:space="preserve"> </w:t>
      </w:r>
      <w:r>
        <w:rPr>
          <w:i/>
          <w:iCs/>
        </w:rPr>
        <w:t xml:space="preserve">mecA</w:t>
      </w:r>
      <w:r>
        <w:t xml:space="preserve"> </w:t>
      </w:r>
      <w:r>
        <w:t xml:space="preserve">predicted oxacillin or cefoxitin resistance in 215/220</w:t>
      </w:r>
      <w:r>
        <w:t xml:space="preserve"> </w:t>
      </w:r>
      <w:r>
        <w:rPr>
          <w:i/>
          <w:iCs/>
        </w:rPr>
        <w:t xml:space="preserve">S. aureus</w:t>
      </w:r>
      <w:r>
        <w:t xml:space="preserve"> </w:t>
      </w:r>
      <w:r>
        <w:t xml:space="preserve">(positive predictive value, PPV, 97.7%; 95% CI 94.8%–99.0%), and its absence predicted susceptibility in 329/330 (NPV 99.7%). Any panel carbapenemase predicted resistance to at least one carbapenem in 272/278 Enterobacterales (PPV 97.8%) but to meropenem in only 241/275 (PPV 87.6%), with OXA-48-like and IMP enzymes most often leaving meropenem susceptible. CTX-M predicted ceftriaxone resistance with PPV 97.7% across Enterobacterales, but a CTX-M-negative result was a weak predictor of susceptibility outside</w:t>
      </w:r>
      <w:r>
        <w:t xml:space="preserve"> </w:t>
      </w:r>
      <w:r>
        <w:rPr>
          <w:i/>
          <w:iCs/>
        </w:rPr>
        <w:t xml:space="preserve">E. coli</w:t>
      </w:r>
      <w:r>
        <w:t xml:space="preserve"> </w:t>
      </w:r>
      <w:r>
        <w:t xml:space="preserve">(NPV 94.2% in</w:t>
      </w:r>
      <w:r>
        <w:t xml:space="preserve"> </w:t>
      </w:r>
      <w:r>
        <w:rPr>
          <w:i/>
          <w:iCs/>
        </w:rPr>
        <w:t xml:space="preserve">E. coli</w:t>
      </w:r>
      <w:r>
        <w:t xml:space="preserve">, 37.3% in</w:t>
      </w:r>
      <w:r>
        <w:t xml:space="preserve"> </w:t>
      </w:r>
      <w:r>
        <w:rPr>
          <w:i/>
          <w:iCs/>
        </w:rPr>
        <w:t xml:space="preserve">K. pneumoniae</w:t>
      </w:r>
      <w:r>
        <w:t xml:space="preserve"> </w:t>
      </w:r>
      <w:r>
        <w:t xml:space="preserve">complex, and below 10% in chromosomal AmpC species). In a secondary analysis, CTX-M-1-group enzymes conferred ceftazidime resistance in 64.2% of</w:t>
      </w:r>
      <w:r>
        <w:t xml:space="preserve"> </w:t>
      </w:r>
      <w:r>
        <w:rPr>
          <w:i/>
          <w:iCs/>
        </w:rPr>
        <w:t xml:space="preserve">E. coli</w:t>
      </w:r>
      <w:r>
        <w:t xml:space="preserve"> </w:t>
      </w:r>
      <w:r>
        <w:t xml:space="preserve">versus 14.5% for CTX-M-9-group enzymes.</w:t>
      </w:r>
      <w:r>
        <w:t xml:space="preserve"> </w:t>
      </w:r>
      <w:r>
        <w:rPr>
          <w:i/>
          <w:iCs/>
        </w:rPr>
        <w:t xml:space="preserve">vanA</w:t>
      </w:r>
      <w:r>
        <w:t xml:space="preserve"> </w:t>
      </w:r>
      <w:r>
        <w:t xml:space="preserve">predicted vancomycin resistance in 26/29 enterococci; no</w:t>
      </w:r>
      <w:r>
        <w:t xml:space="preserve"> </w:t>
      </w:r>
      <w:r>
        <w:rPr>
          <w:i/>
          <w:iCs/>
        </w:rPr>
        <w:t xml:space="preserve">vanB</w:t>
      </w:r>
      <w:r>
        <w:t xml:space="preserve"> </w:t>
      </w:r>
      <w:r>
        <w:t xml:space="preserve">or</w:t>
      </w:r>
      <w:r>
        <w:t xml:space="preserve"> </w:t>
      </w:r>
      <w:r>
        <w:rPr>
          <w:i/>
          <w:iCs/>
        </w:rPr>
        <w:t xml:space="preserve">mecC</w:t>
      </w:r>
      <w:r>
        <w:t xml:space="preserve"> </w:t>
      </w:r>
      <w:r>
        <w:t xml:space="preserve">was present. All 970 discordant isolate-target pairs are released with a rule-based likely cause; most gene-negative resistant isolates carried a non-panel ESBL or AmpC, a panel carbapenemase, or belonged to a chromosomal AmpC species. The data, gene-to-target crosswalk, discordance collection, code and a public lookup page are openly released for reuse and annual update.</w:t>
      </w:r>
    </w:p>
    <w:p>
      <w:pPr>
        <w:pStyle w:val="Keywords"/>
        <w:sectPr>
          <w:footerReference w:type="default" r:id="rId9"/>
          <w:pgSz w:w="12240" w:h="15840"/>
          <w:pgMar w:top="1224" w:right="1037" w:bottom="1296" w:left="1037" w:header="720" w:footer="560" w:gutter="0"/>
          <w:cols w:num="1" w:space="374"/>
        </w:sectPr>
      </w:pPr>
      <w:r>
        <w:rPr>
          <w:b/>
          <w:bCs/>
        </w:rPr>
        <w:t xml:space="preserve">Keywords:</w:t>
      </w:r>
      <w:r>
        <w:t xml:space="preserve"> </w:t>
      </w:r>
      <w:r>
        <w:t xml:space="preserve">antimicrobial resistance, rapid diagnostics, blood culture identification panel, AMRFinderPlus, genotype–phenotype concordance, carbapenemase, CTX-M,</w:t>
      </w:r>
      <w:r>
        <w:t xml:space="preserve"> </w:t>
      </w:r>
      <w:r>
        <w:rPr>
          <w:i/>
          <w:iCs/>
        </w:rPr>
        <w:t xml:space="preserve">mecA</w:t>
      </w:r>
      <w:r>
        <w:t xml:space="preserve">,</w:t>
      </w:r>
      <w:r>
        <w:t xml:space="preserve"> </w:t>
      </w:r>
      <w:r>
        <w:rPr>
          <w:i/>
          <w:iCs/>
        </w:rPr>
        <w:t xml:space="preserve">vanA</w:t>
      </w:r>
    </w:p>
    <w:bookmarkStart w:id="22" w:name="sec-I"/>
    <w:p>
      <w:pPr>
        <w:pStyle w:val="Heading2"/>
      </w:pPr>
      <w:r>
        <w:t xml:space="preserve">I. Introduction</w:t>
      </w:r>
    </w:p>
    <w:p>
      <w:pPr>
        <w:pStyle w:val="FirstParagraph"/>
      </w:pPr>
      <w:r>
        <w:t xml:space="preserve">Antimicrobial resistance (AMR) is a leading cause of preventable death. The U.S. Centers for Disease Control and Prevention (CDC) estimates more than 2.8 million antimicrobial-resistant infections and more than 35,000 deaths in the United States each year [</w:t>
      </w:r>
      <w:hyperlink w:anchor="ref-1">
        <w:r>
          <w:rPr>
            <w:rStyle w:val="Hyperlink"/>
            <w:color w:val="0000B3"/>
            <w:u w:val="none"/>
          </w:rPr>
          <w:t xml:space="preserve">1</w:t>
        </w:r>
      </w:hyperlink>
      <w:r>
        <w:t xml:space="preserve">], and a global analysis attributed 1.14 million deaths in 2021 directly to bacterial AMR [</w:t>
      </w:r>
      <w:hyperlink w:anchor="ref-2">
        <w:r>
          <w:rPr>
            <w:rStyle w:val="Hyperlink"/>
            <w:color w:val="0000B3"/>
            <w:u w:val="none"/>
          </w:rPr>
          <w:t xml:space="preserve">2</w:t>
        </w:r>
      </w:hyperlink>
      <w:r>
        <w:t xml:space="preserve">]. For bloodstream infection in particular, the interval between a positive blood culture and an optimized antimicrobial regimen matters: prescribers must choose therapy before the organism’s susceptibility is known. Rapid diagnostics are named as a goal of the U.S. National Action Plan for Combating Antibiotic-Resistant Bacteria, 2020–2025 [</w:t>
      </w:r>
      <w:hyperlink w:anchor="ref-3">
        <w:r>
          <w:rPr>
            <w:rStyle w:val="Hyperlink"/>
            <w:color w:val="0000B3"/>
            <w:u w:val="none"/>
          </w:rPr>
          <w:t xml:space="preserve">3</w:t>
        </w:r>
      </w:hyperlink>
      <w:r>
        <w:t xml:space="preserve">], and molecular rapid diagnostic tests on positive blood cultures have been associated with lower mortality and shorter time to effective therapy, especially when paired with antimicrobial stewardship [</w:t>
      </w:r>
      <w:hyperlink w:anchor="ref-4">
        <w:r>
          <w:rPr>
            <w:rStyle w:val="Hyperlink"/>
            <w:color w:val="0000B3"/>
            <w:u w:val="none"/>
          </w:rPr>
          <w:t xml:space="preserve">4</w:t>
        </w:r>
      </w:hyperlink>
      <w:r>
        <w:t xml:space="preserve">,</w:t>
      </w:r>
      <w:r>
        <w:t xml:space="preserve"> </w:t>
      </w:r>
      <w:hyperlink w:anchor="ref-5">
        <w:r>
          <w:rPr>
            <w:rStyle w:val="Hyperlink"/>
            <w:color w:val="0000B3"/>
            <w:u w:val="none"/>
          </w:rPr>
          <w:t xml:space="preserve">5</w:t>
        </w:r>
      </w:hyperlink>
      <w:r>
        <w:t xml:space="preserve">].</w:t>
      </w:r>
    </w:p>
    <w:p>
      <w:pPr>
        <w:pStyle w:val="BodyText"/>
      </w:pPr>
      <w:r>
        <w:t xml:space="preserve">Multiplex blood culture identification panels such as the BioFire FilmArray Blood Culture Identification 2 (BCID2) panel and the Verigene Gram-positive and Gram-negative blood culture tests identify the organism and a small set of resistance genes within hours of blood culture positivity [</w:t>
      </w:r>
      <w:hyperlink w:anchor="ref-6">
        <w:r>
          <w:rPr>
            <w:rStyle w:val="Hyperlink"/>
            <w:color w:val="0000B3"/>
            <w:u w:val="none"/>
          </w:rPr>
          <w:t xml:space="preserve">6</w:t>
        </w:r>
      </w:hyperlink>
      <w:r>
        <w:t xml:space="preserve">,</w:t>
      </w:r>
      <w:r>
        <w:t xml:space="preserve"> </w:t>
      </w:r>
      <w:hyperlink w:anchor="ref-7">
        <w:r>
          <w:rPr>
            <w:rStyle w:val="Hyperlink"/>
            <w:color w:val="0000B3"/>
            <w:u w:val="none"/>
          </w:rPr>
          <w:t xml:space="preserve">7</w:t>
        </w:r>
      </w:hyperlink>
      <w:r>
        <w:t xml:space="preserve">]. The genes they report were chosen because each is tightly linked to a treatment decision:</w:t>
      </w:r>
      <w:r>
        <w:t xml:space="preserve"> </w:t>
      </w:r>
      <w:r>
        <w:rPr>
          <w:i/>
          <w:iCs/>
        </w:rPr>
        <w:t xml:space="preserve">mecA</w:t>
      </w:r>
      <w:r>
        <w:t xml:space="preserve"> </w:t>
      </w:r>
      <w:r>
        <w:t xml:space="preserve">and</w:t>
      </w:r>
      <w:r>
        <w:t xml:space="preserve"> </w:t>
      </w:r>
      <w:r>
        <w:rPr>
          <w:i/>
          <w:iCs/>
        </w:rPr>
        <w:t xml:space="preserve">mecC</w:t>
      </w:r>
      <w:r>
        <w:t xml:space="preserve"> </w:t>
      </w:r>
      <w:r>
        <w:t xml:space="preserve">for methicillin resistance in</w:t>
      </w:r>
      <w:r>
        <w:t xml:space="preserve"> </w:t>
      </w:r>
      <w:r>
        <w:rPr>
          <w:i/>
          <w:iCs/>
        </w:rPr>
        <w:t xml:space="preserve">S. aureus</w:t>
      </w:r>
      <w:r>
        <w:t xml:space="preserve">;</w:t>
      </w:r>
      <w:r>
        <w:t xml:space="preserve"> </w:t>
      </w:r>
      <w:r>
        <w:rPr>
          <w:i/>
          <w:iCs/>
        </w:rPr>
        <w:t xml:space="preserve">vanA</w:t>
      </w:r>
      <w:r>
        <w:t xml:space="preserve"> </w:t>
      </w:r>
      <w:r>
        <w:t xml:space="preserve">and</w:t>
      </w:r>
      <w:r>
        <w:t xml:space="preserve"> </w:t>
      </w:r>
      <w:r>
        <w:rPr>
          <w:i/>
          <w:iCs/>
        </w:rPr>
        <w:t xml:space="preserve">vanB</w:t>
      </w:r>
      <w:r>
        <w:t xml:space="preserve"> </w:t>
      </w:r>
      <w:r>
        <w:t xml:space="preserve">for vancomycin resistance in enterococci; the carbapenemases KPC, NDM, OXA-48-like, VIM and IMP for carbapenem resistance in Enterobacterales; and CTX-M, the dominant extended-spectrum β-lactamase (ESBL) family worldwide [</w:t>
      </w:r>
      <w:hyperlink w:anchor="ref-8">
        <w:r>
          <w:rPr>
            <w:rStyle w:val="Hyperlink"/>
            <w:color w:val="0000B3"/>
            <w:u w:val="none"/>
          </w:rPr>
          <w:t xml:space="preserve">8</w:t>
        </w:r>
      </w:hyperlink>
      <w:r>
        <w:t xml:space="preserve">,</w:t>
      </w:r>
      <w:r>
        <w:t xml:space="preserve"> </w:t>
      </w:r>
      <w:hyperlink w:anchor="ref-9">
        <w:r>
          <w:rPr>
            <w:rStyle w:val="Hyperlink"/>
            <w:color w:val="0000B3"/>
            <w:u w:val="none"/>
          </w:rPr>
          <w:t xml:space="preserve">9</w:t>
        </w:r>
      </w:hyperlink>
      <w:r>
        <w:t xml:space="preserve">], for resistance to third-generation cephalosporins. Laboratories translate these results into reports and comments, and stewardship programs translate them into escalation and de-escalation rules, before the AST result arrives.</w:t>
      </w:r>
    </w:p>
    <w:p>
      <w:pPr>
        <w:pStyle w:val="BodyText"/>
      </w:pPr>
      <w:r>
        <w:t xml:space="preserve">That translation rests on an assumption that is rarely measured directly: that the presence of the gene predicts resistance, and its absence predicts susceptibility, for the organisms and drugs that matter. Panel evaluations have mostly asked whether the panel detects the gene that a reference molecular method detects, or whether the panel identifies the organism correctly [</w:t>
      </w:r>
      <w:hyperlink w:anchor="ref-6">
        <w:r>
          <w:rPr>
            <w:rStyle w:val="Hyperlink"/>
            <w:color w:val="0000B3"/>
            <w:u w:val="none"/>
          </w:rPr>
          <w:t xml:space="preserve">6</w:t>
        </w:r>
      </w:hyperlink>
      <w:r>
        <w:t xml:space="preserve">,</w:t>
      </w:r>
      <w:r>
        <w:t xml:space="preserve"> </w:t>
      </w:r>
      <w:hyperlink w:anchor="ref-7">
        <w:r>
          <w:rPr>
            <w:rStyle w:val="Hyperlink"/>
            <w:color w:val="0000B3"/>
            <w:u w:val="none"/>
          </w:rPr>
          <w:t xml:space="preserve">7</w:t>
        </w:r>
      </w:hyperlink>
      <w:r>
        <w:t xml:space="preserve">]. The question that a clinician faces is different. A positive KPC result is acted on as</w:t>
      </w:r>
      <w:r>
        <w:t xml:space="preserve"> </w:t>
      </w:r>
      <w:r>
        <w:t xml:space="preserve">“</w:t>
      </w:r>
      <w:r>
        <w:t xml:space="preserve">carbapenem resistant</w:t>
      </w:r>
      <w:r>
        <w:t xml:space="preserve">”</w:t>
      </w:r>
      <w:r>
        <w:t xml:space="preserve">; a negative CTX-M result is often read as</w:t>
      </w:r>
      <w:r>
        <w:t xml:space="preserve"> </w:t>
      </w:r>
      <w:r>
        <w:t xml:space="preserve">“</w:t>
      </w:r>
      <w:r>
        <w:t xml:space="preserve">no ESBL</w:t>
      </w:r>
      <w:r>
        <w:t xml:space="preserve">”</w:t>
      </w:r>
      <w:r>
        <w:t xml:space="preserve">. Both readings depend on biology the panel does not see: other β-lactamases, chromosomal AmpC enzymes [</w:t>
      </w:r>
      <w:hyperlink w:anchor="ref-10">
        <w:r>
          <w:rPr>
            <w:rStyle w:val="Hyperlink"/>
            <w:color w:val="0000B3"/>
            <w:u w:val="none"/>
          </w:rPr>
          <w:t xml:space="preserve">10</w:t>
        </w:r>
      </w:hyperlink>
      <w:r>
        <w:t xml:space="preserve">], porin loss [</w:t>
      </w:r>
      <w:hyperlink w:anchor="ref-11">
        <w:r>
          <w:rPr>
            <w:rStyle w:val="Hyperlink"/>
            <w:color w:val="0000B3"/>
            <w:u w:val="none"/>
          </w:rPr>
          <w:t xml:space="preserve">11</w:t>
        </w:r>
      </w:hyperlink>
      <w:r>
        <w:t xml:space="preserve">,</w:t>
      </w:r>
      <w:r>
        <w:t xml:space="preserve"> </w:t>
      </w:r>
      <w:hyperlink w:anchor="ref-12">
        <w:r>
          <w:rPr>
            <w:rStyle w:val="Hyperlink"/>
            <w:color w:val="0000B3"/>
            <w:u w:val="none"/>
          </w:rPr>
          <w:t xml:space="preserve">12</w:t>
        </w:r>
      </w:hyperlink>
      <w:r>
        <w:t xml:space="preserve">], weakly hydrolyzing enzymes such as OXA-48 [</w:t>
      </w:r>
      <w:hyperlink w:anchor="ref-13">
        <w:r>
          <w:rPr>
            <w:rStyle w:val="Hyperlink"/>
            <w:color w:val="0000B3"/>
            <w:u w:val="none"/>
          </w:rPr>
          <w:t xml:space="preserve">13</w:t>
        </w:r>
      </w:hyperlink>
      <w:r>
        <w:t xml:space="preserve">], or silent resistance genes [</w:t>
      </w:r>
      <w:hyperlink w:anchor="ref-14">
        <w:r>
          <w:rPr>
            <w:rStyle w:val="Hyperlink"/>
            <w:color w:val="0000B3"/>
            <w:u w:val="none"/>
          </w:rPr>
          <w:t xml:space="preserve">14</w:t>
        </w:r>
      </w:hyperlink>
      <w:r>
        <w:t xml:space="preserve">,</w:t>
      </w:r>
      <w:r>
        <w:t xml:space="preserve"> </w:t>
      </w:r>
      <w:hyperlink w:anchor="ref-15">
        <w:r>
          <w:rPr>
            <w:rStyle w:val="Hyperlink"/>
            <w:color w:val="0000B3"/>
            <w:u w:val="none"/>
          </w:rPr>
          <w:t xml:space="preserve">15</w:t>
        </w:r>
      </w:hyperlink>
      <w:r>
        <w:t xml:space="preserve">]. The answer also differs by organism, which panels report together with the resistance target.</w:t>
      </w:r>
    </w:p>
    <w:p>
      <w:pPr>
        <w:pStyle w:val="BodyText"/>
      </w:pPr>
      <w:r>
        <w:t xml:space="preserve">Whole-genome sequencing offers a way to study this at scale. Genotype–phenotype concordance of genome-based resistance prediction has been studied extensively for individual species and collections [</w:t>
      </w:r>
      <w:hyperlink w:anchor="ref-16">
        <w:r>
          <w:rPr>
            <w:rStyle w:val="Hyperlink"/>
            <w:color w:val="0000B3"/>
            <w:u w:val="none"/>
          </w:rPr>
          <w:t xml:space="preserve">16</w:t>
        </w:r>
      </w:hyperlink>
      <w:r>
        <w:t xml:space="preserve">,</w:t>
      </w:r>
      <w:r>
        <w:t xml:space="preserve"> </w:t>
      </w:r>
      <w:hyperlink w:anchor="ref-17">
        <w:r>
          <w:rPr>
            <w:rStyle w:val="Hyperlink"/>
            <w:color w:val="0000B3"/>
            <w:u w:val="none"/>
          </w:rPr>
          <w:t xml:space="preserve">17</w:t>
        </w:r>
      </w:hyperlink>
      <w:r>
        <w:t xml:space="preserve">,</w:t>
      </w:r>
      <w:r>
        <w:t xml:space="preserve"> </w:t>
      </w:r>
      <w:hyperlink w:anchor="ref-18">
        <w:r>
          <w:rPr>
            <w:rStyle w:val="Hyperlink"/>
            <w:color w:val="0000B3"/>
            <w:u w:val="none"/>
          </w:rPr>
          <w:t xml:space="preserve">18</w:t>
        </w:r>
      </w:hyperlink>
      <w:r>
        <w:t xml:space="preserve">,</w:t>
      </w:r>
      <w:r>
        <w:t xml:space="preserve"> </w:t>
      </w:r>
      <w:hyperlink w:anchor="ref-19">
        <w:r>
          <w:rPr>
            <w:rStyle w:val="Hyperlink"/>
            <w:color w:val="0000B3"/>
            <w:u w:val="none"/>
          </w:rPr>
          <w:t xml:space="preserve">19</w:t>
        </w:r>
      </w:hyperlink>
      <w:r>
        <w:t xml:space="preserve">], and the EUCAST subcommittee on whole-genome sequencing reviewed the evidence and its limits [</w:t>
      </w:r>
      <w:hyperlink w:anchor="ref-20">
        <w:r>
          <w:rPr>
            <w:rStyle w:val="Hyperlink"/>
            <w:color w:val="0000B3"/>
            <w:u w:val="none"/>
          </w:rPr>
          <w:t xml:space="preserve">20</w:t>
        </w:r>
      </w:hyperlink>
      <w:r>
        <w:t xml:space="preserve">]. NCBI Pathogen Detection now runs AMRFinderPlus [</w:t>
      </w:r>
      <w:hyperlink w:anchor="ref-21">
        <w:r>
          <w:rPr>
            <w:rStyle w:val="Hyperlink"/>
            <w:color w:val="0000B3"/>
            <w:u w:val="none"/>
          </w:rPr>
          <w:t xml:space="preserve">21</w:t>
        </w:r>
      </w:hyperlink>
      <w:r>
        <w:t xml:space="preserve">] on every bacterial genome submitted to NCBI and links submitted laboratory antibiograms to the same isolates [</w:t>
      </w:r>
      <w:hyperlink w:anchor="ref-22">
        <w:r>
          <w:rPr>
            <w:rStyle w:val="Hyperlink"/>
            <w:color w:val="0000B3"/>
            <w:u w:val="none"/>
          </w:rPr>
          <w:t xml:space="preserve">22</w:t>
        </w:r>
      </w:hyperlink>
      <w:r>
        <w:t xml:space="preserve">,</w:t>
      </w:r>
      <w:r>
        <w:t xml:space="preserve"> </w:t>
      </w:r>
      <w:hyperlink w:anchor="ref-23">
        <w:r>
          <w:rPr>
            <w:rStyle w:val="Hyperlink"/>
            <w:color w:val="0000B3"/>
            <w:u w:val="none"/>
          </w:rPr>
          <w:t xml:space="preserve">23</w:t>
        </w:r>
      </w:hyperlink>
      <w:r>
        <w:t xml:space="preserve">]. Together these resources make it possible to ask the panel question directly, for U.S. isolates, without new laboratory work, and to repeat the measurement as new genomes are deposited. To our knowledge no openly maintained, U.S.-focused table currently reports this figure gene by gene, drug by drug and organism by organism.</w:t>
      </w:r>
    </w:p>
    <w:p>
      <w:pPr>
        <w:pStyle w:val="BodyText"/>
      </w:pPr>
      <w:r>
        <w:t xml:space="preserve">Here we describe the</w:t>
      </w:r>
      <w:r>
        <w:t xml:space="preserve"> </w:t>
      </w:r>
      <w:r>
        <w:rPr>
          <w:i/>
          <w:iCs/>
        </w:rPr>
        <w:t xml:space="preserve">U.S. Rapid Panel Resistance Marker Concordance Benchmark</w:t>
      </w:r>
      <w:r>
        <w:t xml:space="preserve">, version 1.0.0 [</w:t>
      </w:r>
      <w:hyperlink w:anchor="ref-24">
        <w:r>
          <w:rPr>
            <w:rStyle w:val="Hyperlink"/>
            <w:color w:val="0000B3"/>
            <w:u w:val="none"/>
          </w:rPr>
          <w:t xml:space="preserve">24</w:t>
        </w:r>
      </w:hyperlink>
      <w:r>
        <w:t xml:space="preserve">]. The benchmark (i) pairs AMRFinderPlus calls with submitted susceptibility results for U.S. human clinical isolates; (ii) reinterprets every available MIC and zone diameter against one breakpoint edition; (iii) maps each gene to the panel target it represents through a released crosswalk; (iv) reports PPV, negative predictive value (NPV), sensitivity and specificity with confidence intervals for every target, drug and organism; and (v) releases every discordant isolate with a documented, rule-based likely cause. Section II describes the data and methods, Sec.</w:t>
      </w:r>
      <w:r>
        <w:t xml:space="preserve"> </w:t>
      </w:r>
      <w:hyperlink w:anchor="sec-III">
        <w:r>
          <w:rPr>
            <w:rStyle w:val="Hyperlink"/>
            <w:color w:val="BF0000"/>
            <w:u w:val="none"/>
          </w:rPr>
          <w:t xml:space="preserve">III</w:t>
        </w:r>
      </w:hyperlink>
      <w:r>
        <w:t xml:space="preserve"> </w:t>
      </w:r>
      <w:r>
        <w:t xml:space="preserve">the results, Sec.</w:t>
      </w:r>
      <w:r>
        <w:t xml:space="preserve"> </w:t>
      </w:r>
      <w:hyperlink w:anchor="sec-IV">
        <w:r>
          <w:rPr>
            <w:rStyle w:val="Hyperlink"/>
            <w:color w:val="BF0000"/>
            <w:u w:val="none"/>
          </w:rPr>
          <w:t xml:space="preserve">IV</w:t>
        </w:r>
      </w:hyperlink>
      <w:r>
        <w:t xml:space="preserve"> </w:t>
      </w:r>
      <w:r>
        <w:t xml:space="preserve">their interpretation and limits, and Sec.</w:t>
      </w:r>
      <w:r>
        <w:t xml:space="preserve"> </w:t>
      </w:r>
      <w:hyperlink w:anchor="sec-V">
        <w:r>
          <w:rPr>
            <w:rStyle w:val="Hyperlink"/>
            <w:color w:val="BF0000"/>
            <w:u w:val="none"/>
          </w:rPr>
          <w:t xml:space="preserve">V</w:t>
        </w:r>
      </w:hyperlink>
      <w:r>
        <w:t xml:space="preserve"> </w:t>
      </w:r>
      <w:r>
        <w:t xml:space="preserve">our conclusions.</w:t>
      </w:r>
    </w:p>
    <w:bookmarkEnd w:id="22"/>
    <w:bookmarkStart w:id="37" w:name="sec-II"/>
    <w:p>
      <w:pPr>
        <w:pStyle w:val="Heading2"/>
      </w:pPr>
      <w:r>
        <w:t xml:space="preserve">II. Materials and methods</w:t>
      </w:r>
    </w:p>
    <w:bookmarkStart w:id="26" w:name="data-sources"/>
    <w:p>
      <w:pPr>
        <w:pStyle w:val="Heading3"/>
      </w:pPr>
      <w:r>
        <w:t xml:space="preserve">A. </w:t>
      </w:r>
      <w:r>
        <w:t xml:space="preserve">Data sources</w:t>
      </w:r>
    </w:p>
    <w:p>
      <w:pPr>
        <w:pStyle w:val="FirstParagraph"/>
      </w:pPr>
      <w:r>
        <w:t xml:space="preserve">All inputs are public NCBI resources released without restrictions on use. Files were downloaded on 2026-10-24; every file was logged with its source URL, access date, size and SHA-256 fingerprint, both for the full source stream and for the file as committed to the repository.</w:t>
      </w:r>
    </w:p>
    <w:bookmarkStart w:id="23" w:name="susceptibility-results"/>
    <w:p>
      <w:pPr>
        <w:pStyle w:val="FirstParagraph"/>
      </w:pPr>
      <w:r>
        <w:rPr>
          <w:i/>
          <w:sz w:val="18"/>
        </w:rPr>
        <w:t xml:space="preserve">1. </w:t>
      </w:r>
      <w:r>
        <w:rPr>
          <w:i/>
          <w:sz w:val="18"/>
        </w:rPr>
        <w:t xml:space="preserve">Susceptibility results</w:t>
      </w:r>
      <w:r>
        <w:rPr>
          <w:i/>
          <w:sz w:val="18"/>
        </w:rPr>
        <w:t xml:space="preserve">. </w:t>
      </w:r>
      <w:r>
        <w:t xml:space="preserve">Laboratories that submit a bacterial genome to NCBI can attach an antibiogram to the BioSample record: one row per drug with the submitted resistance phenotype, a measurement sign (for example ≤, =, &gt;), the measured value and units, the laboratory typing method and platform, and the testing standard. We retrieved every BioSample record matching</w:t>
      </w:r>
      <w:r>
        <w:t xml:space="preserve"> </w:t>
      </w:r>
      <w:r>
        <w:rPr>
          <w:rStyle w:val="VerbatimChar"/>
        </w:rPr>
        <w:t xml:space="preserve">antibiogram[filter]</w:t>
      </w:r>
      <w:r>
        <w:t xml:space="preserve"> </w:t>
      </w:r>
      <w:r>
        <w:t xml:space="preserve">for</w:t>
      </w:r>
      <w:r>
        <w:t xml:space="preserve"> </w:t>
      </w:r>
      <w:r>
        <w:rPr>
          <w:i/>
          <w:iCs/>
        </w:rPr>
        <w:t xml:space="preserve">Staphylococcus aureus</w:t>
      </w:r>
      <w:r>
        <w:t xml:space="preserve">,</w:t>
      </w:r>
      <w:r>
        <w:t xml:space="preserve"> </w:t>
      </w:r>
      <w:r>
        <w:rPr>
          <w:i/>
          <w:iCs/>
        </w:rPr>
        <w:t xml:space="preserve">Enterococcus faecalis</w:t>
      </w:r>
      <w:r>
        <w:t xml:space="preserve">,</w:t>
      </w:r>
      <w:r>
        <w:t xml:space="preserve"> </w:t>
      </w:r>
      <w:r>
        <w:rPr>
          <w:i/>
          <w:iCs/>
        </w:rPr>
        <w:t xml:space="preserve">Enterococcus faecium</w:t>
      </w:r>
      <w:r>
        <w:t xml:space="preserve"> </w:t>
      </w:r>
      <w:r>
        <w:t xml:space="preserve">or the order Enterobacterales through the NCBI E-utilities [</w:t>
      </w:r>
      <w:hyperlink w:anchor="ref-25">
        <w:r>
          <w:rPr>
            <w:rStyle w:val="Hyperlink"/>
            <w:color w:val="0000B3"/>
            <w:u w:val="none"/>
          </w:rPr>
          <w:t xml:space="preserve">25</w:t>
        </w:r>
      </w:hyperlink>
      <w:r>
        <w:t xml:space="preserve">], yielding 26,886 records. Records were parsed into one row per isolate and drug without interpretation.</w:t>
      </w:r>
    </w:p>
    <w:bookmarkEnd w:id="23"/>
    <w:bookmarkStart w:id="24" w:name="gene-calls"/>
    <w:p>
      <w:pPr>
        <w:pStyle w:val="FirstParagraph"/>
      </w:pPr>
      <w:r>
        <w:rPr>
          <w:i/>
          <w:sz w:val="18"/>
        </w:rPr>
        <w:t xml:space="preserve">2. </w:t>
      </w:r>
      <w:r>
        <w:rPr>
          <w:i/>
          <w:sz w:val="18"/>
        </w:rPr>
        <w:t xml:space="preserve">Gene calls</w:t>
      </w:r>
      <w:r>
        <w:rPr>
          <w:i/>
          <w:sz w:val="18"/>
        </w:rPr>
        <w:t xml:space="preserve">. </w:t>
      </w:r>
      <w:r>
        <w:t xml:space="preserve">NCBI Pathogen Detection publishes, for each organism group, an isolate table with the AMRFinderPlus genotype of every genome (</w:t>
      </w:r>
      <w:r>
        <w:rPr>
          <w:rStyle w:val="VerbatimChar"/>
        </w:rPr>
        <w:t xml:space="preserve">latest_snps/AMR/*.amr.metadata.tsv</w:t>
      </w:r>
      <w:r>
        <w:t xml:space="preserve">) [</w:t>
      </w:r>
      <w:hyperlink w:anchor="ref-23">
        <w:r>
          <w:rPr>
            <w:rStyle w:val="Hyperlink"/>
            <w:color w:val="0000B3"/>
            <w:u w:val="none"/>
          </w:rPr>
          <w:t xml:space="preserve">23</w:t>
        </w:r>
      </w:hyperlink>
      <w:r>
        <w:t xml:space="preserve">]. We streamed these tables for</w:t>
      </w:r>
      <w:r>
        <w:t xml:space="preserve"> </w:t>
      </w:r>
      <w:r>
        <w:rPr>
          <w:i/>
          <w:iCs/>
        </w:rPr>
        <w:t xml:space="preserve">S. aureus</w:t>
      </w:r>
      <w:r>
        <w:t xml:space="preserve">,</w:t>
      </w:r>
      <w:r>
        <w:t xml:space="preserve"> </w:t>
      </w:r>
      <w:r>
        <w:rPr>
          <w:i/>
          <w:iCs/>
        </w:rPr>
        <w:t xml:space="preserve">E. faecalis</w:t>
      </w:r>
      <w:r>
        <w:t xml:space="preserve">,</w:t>
      </w:r>
      <w:r>
        <w:t xml:space="preserve"> </w:t>
      </w:r>
      <w:r>
        <w:rPr>
          <w:i/>
          <w:iCs/>
        </w:rPr>
        <w:t xml:space="preserve">E. faecium</w:t>
      </w:r>
      <w:r>
        <w:t xml:space="preserve"> </w:t>
      </w:r>
      <w:r>
        <w:t xml:space="preserve">and every Enterobacterales group available (</w:t>
      </w:r>
      <w:r>
        <w:rPr>
          <w:i/>
          <w:iCs/>
        </w:rPr>
        <w:t xml:space="preserve">Escherichia coli</w:t>
      </w:r>
      <w:r>
        <w:t xml:space="preserve">/</w:t>
      </w:r>
      <w:r>
        <w:rPr>
          <w:i/>
          <w:iCs/>
        </w:rPr>
        <w:t xml:space="preserve">Shigella</w:t>
      </w:r>
      <w:r>
        <w:t xml:space="preserve">,</w:t>
      </w:r>
      <w:r>
        <w:t xml:space="preserve"> </w:t>
      </w:r>
      <w:r>
        <w:rPr>
          <w:i/>
          <w:iCs/>
        </w:rPr>
        <w:t xml:space="preserve">Klebsiella</w:t>
      </w:r>
      <w:r>
        <w:t xml:space="preserve">,</w:t>
      </w:r>
      <w:r>
        <w:t xml:space="preserve"> </w:t>
      </w:r>
      <w:r>
        <w:rPr>
          <w:i/>
          <w:iCs/>
        </w:rPr>
        <w:t xml:space="preserve">Klebsiella oxytoca</w:t>
      </w:r>
      <w:r>
        <w:t xml:space="preserve">, 16</w:t>
      </w:r>
      <w:r>
        <w:t xml:space="preserve"> </w:t>
      </w:r>
      <w:r>
        <w:rPr>
          <w:i/>
          <w:iCs/>
        </w:rPr>
        <w:t xml:space="preserve">Enterobacter</w:t>
      </w:r>
      <w:r>
        <w:t xml:space="preserve"> </w:t>
      </w:r>
      <w:r>
        <w:t xml:space="preserve">groups,</w:t>
      </w:r>
      <w:r>
        <w:t xml:space="preserve"> </w:t>
      </w:r>
      <w:r>
        <w:rPr>
          <w:i/>
          <w:iCs/>
        </w:rPr>
        <w:t xml:space="preserve">Citrobacter</w:t>
      </w:r>
      <w:r>
        <w:t xml:space="preserve">,</w:t>
      </w:r>
      <w:r>
        <w:t xml:space="preserve"> </w:t>
      </w:r>
      <w:r>
        <w:rPr>
          <w:i/>
          <w:iCs/>
        </w:rPr>
        <w:t xml:space="preserve">Serratia</w:t>
      </w:r>
      <w:r>
        <w:t xml:space="preserve">,</w:t>
      </w:r>
      <w:r>
        <w:t xml:space="preserve"> </w:t>
      </w:r>
      <w:r>
        <w:rPr>
          <w:i/>
          <w:iCs/>
        </w:rPr>
        <w:t xml:space="preserve">Morganella</w:t>
      </w:r>
      <w:r>
        <w:t xml:space="preserve">,</w:t>
      </w:r>
      <w:r>
        <w:t xml:space="preserve"> </w:t>
      </w:r>
      <w:r>
        <w:rPr>
          <w:i/>
          <w:iCs/>
        </w:rPr>
        <w:t xml:space="preserve">Providencia</w:t>
      </w:r>
      <w:r>
        <w:t xml:space="preserve">,</w:t>
      </w:r>
      <w:r>
        <w:t xml:space="preserve"> </w:t>
      </w:r>
      <w:r>
        <w:rPr>
          <w:i/>
          <w:iCs/>
        </w:rPr>
        <w:t xml:space="preserve">Kluyvera</w:t>
      </w:r>
      <w:r>
        <w:t xml:space="preserve">,</w:t>
      </w:r>
      <w:r>
        <w:t xml:space="preserve"> </w:t>
      </w:r>
      <w:r>
        <w:rPr>
          <w:i/>
          <w:iCs/>
        </w:rPr>
        <w:t xml:space="preserve">Pluralibacter</w:t>
      </w:r>
      <w:r>
        <w:t xml:space="preserve">,</w:t>
      </w:r>
      <w:r>
        <w:t xml:space="preserve"> </w:t>
      </w:r>
      <w:r>
        <w:rPr>
          <w:i/>
          <w:iCs/>
        </w:rPr>
        <w:t xml:space="preserve">Cronobacter</w:t>
      </w:r>
      <w:r>
        <w:t xml:space="preserve"> </w:t>
      </w:r>
      <w:r>
        <w:t xml:space="preserve">and</w:t>
      </w:r>
      <w:r>
        <w:t xml:space="preserve"> </w:t>
      </w:r>
      <w:r>
        <w:rPr>
          <w:i/>
          <w:iCs/>
        </w:rPr>
        <w:t xml:space="preserve">Salmonella</w:t>
      </w:r>
      <w:r>
        <w:t xml:space="preserve">), keeping rows whose BioSample carried an antibiogram. Isolates in this release were analyzed by NCBI with AMRFinderPlus versions 4.2.5, 4.2.7 and 5 database versions (2025-12-03.1, 2026-01-21.1, 2026-03-24.1, 2026-05-15.1, 2026-08-07.1).</w:t>
      </w:r>
    </w:p>
    <w:bookmarkEnd w:id="24"/>
    <w:bookmarkStart w:id="25" w:name="reference-gene-hierarchy"/>
    <w:p>
      <w:pPr>
        <w:pStyle w:val="FirstParagraph"/>
      </w:pPr>
      <w:r>
        <w:rPr>
          <w:i/>
          <w:sz w:val="18"/>
        </w:rPr>
        <w:t xml:space="preserve">3. </w:t>
      </w:r>
      <w:r>
        <w:rPr>
          <w:i/>
          <w:sz w:val="18"/>
        </w:rPr>
        <w:t xml:space="preserve">Reference gene hierarchy</w:t>
      </w:r>
      <w:r>
        <w:rPr>
          <w:i/>
          <w:sz w:val="18"/>
        </w:rPr>
        <w:t xml:space="preserve">. </w:t>
      </w:r>
      <w:r>
        <w:t xml:space="preserve">The AMRFinderPlus Reference Gene Hierarchy, Reference Gene Catalog and point-mutation table (database 2026-08-07.1) were downloaded to map genes to panel targets and to drug classes [</w:t>
      </w:r>
      <w:hyperlink w:anchor="ref-21">
        <w:r>
          <w:rPr>
            <w:rStyle w:val="Hyperlink"/>
            <w:color w:val="0000B3"/>
            <w:u w:val="none"/>
          </w:rPr>
          <w:t xml:space="preserve">21</w:t>
        </w:r>
      </w:hyperlink>
      <w:r>
        <w:t xml:space="preserve">].</w:t>
      </w:r>
    </w:p>
    <w:bookmarkEnd w:id="25"/>
    <w:bookmarkEnd w:id="26"/>
    <w:bookmarkStart w:id="27" w:name="cohort-definition"/>
    <w:p>
      <w:pPr>
        <w:pStyle w:val="Heading3"/>
      </w:pPr>
      <w:r>
        <w:t xml:space="preserve">B. </w:t>
      </w:r>
      <w:r>
        <w:t xml:space="preserve">Cohort definition</w:t>
      </w:r>
    </w:p>
    <w:p>
      <w:pPr>
        <w:pStyle w:val="FirstParagraph"/>
      </w:pPr>
      <w:r>
        <w:t xml:space="preserve">Isolates were linked by BioSample accession; when a BioSample had more than one genome, the most recently created analysis target was kept. An isolate was classified as U.S. if its</w:t>
      </w:r>
      <w:r>
        <w:t xml:space="preserve"> </w:t>
      </w:r>
      <w:r>
        <w:rPr>
          <w:rStyle w:val="VerbatimChar"/>
        </w:rPr>
        <w:t xml:space="preserve">geo_loc_name</w:t>
      </w:r>
      <w:r>
        <w:t xml:space="preserve"> </w:t>
      </w:r>
      <w:r>
        <w:t xml:space="preserve">began with</w:t>
      </w:r>
      <w:r>
        <w:t xml:space="preserve"> </w:t>
      </w:r>
      <w:r>
        <w:t xml:space="preserve">“</w:t>
      </w:r>
      <w:r>
        <w:t xml:space="preserve">USA</w:t>
      </w:r>
      <w:r>
        <w:t xml:space="preserve">”</w:t>
      </w:r>
      <w:r>
        <w:t xml:space="preserve">. It was classified as human clinical if NCBI’s epidemiological type was</w:t>
      </w:r>
      <w:r>
        <w:t xml:space="preserve"> </w:t>
      </w:r>
      <w:r>
        <w:t xml:space="preserve">“</w:t>
      </w:r>
      <w:r>
        <w:t xml:space="preserve">clinical</w:t>
      </w:r>
      <w:r>
        <w:t xml:space="preserve">”</w:t>
      </w:r>
      <w:r>
        <w:t xml:space="preserve"> </w:t>
      </w:r>
      <w:r>
        <w:t xml:space="preserve">and the host was human, or the host was blank and the isolation source named a human specimen and no food, animal or environmental source. Submitted locations mixed state names, postal codes, cities and misspellings; these were resolved to states with a fixed table. Two laboratory reference strains submitted with clinical metadata (JE2 (SAMN06677988), LAC (SAMN08391108)) were removed by name. The benchmark contains isolates with at least one interpretable result for a drug paired with a panel target in their organism (Table</w:t>
      </w:r>
      <w:r>
        <w:t xml:space="preserve"> </w:t>
      </w:r>
      <w:hyperlink w:anchor="tab-II">
        <w:r>
          <w:rPr>
            <w:rStyle w:val="Hyperlink"/>
            <w:color w:val="BF0000"/>
            <w:u w:val="none"/>
          </w:rPr>
          <w:t xml:space="preserve">II</w:t>
        </w:r>
      </w:hyperlink>
      <w:r>
        <w:t xml:space="preserve">). Specimen categories (blood, other sterile site, urine, respiratory, wound/tissue, screening swab, stool, other) were assigned from the free-text isolation source by keyword rules.</w:t>
      </w:r>
    </w:p>
    <w:bookmarkEnd w:id="27"/>
    <w:bookmarkStart w:id="29" w:name="phenotype-interpretation"/>
    <w:p>
      <w:pPr>
        <w:pStyle w:val="Heading3"/>
      </w:pPr>
      <w:r>
        <w:t xml:space="preserve">C. </w:t>
      </w:r>
      <w:r>
        <w:t xml:space="preserve">Phenotype interpretation</w:t>
      </w:r>
    </w:p>
    <w:p>
      <w:pPr>
        <w:pStyle w:val="FirstParagraph"/>
      </w:pPr>
      <w:r>
        <w:t xml:space="preserve">Results were reinterpreted against CLSI M100, 35th edition (2025) [</w:t>
      </w:r>
      <w:hyperlink w:anchor="ref-26">
        <w:r>
          <w:rPr>
            <w:rStyle w:val="Hyperlink"/>
            <w:color w:val="0000B3"/>
            <w:u w:val="none"/>
          </w:rPr>
          <w:t xml:space="preserve">26</w:t>
        </w:r>
      </w:hyperlink>
      <w:r>
        <w:t xml:space="preserve">], which the U.S. Food and Drug Administration (FDA) recognizes for these organism–drug pairs [</w:t>
      </w:r>
      <w:hyperlink w:anchor="ref-27">
        <w:r>
          <w:rPr>
            <w:rStyle w:val="Hyperlink"/>
            <w:color w:val="0000B3"/>
            <w:u w:val="none"/>
          </w:rPr>
          <w:t xml:space="preserve">27</w:t>
        </w:r>
      </w:hyperlink>
      <w:r>
        <w:t xml:space="preserve">] (Table</w:t>
      </w:r>
      <w:r>
        <w:t xml:space="preserve"> </w:t>
      </w:r>
      <w:hyperlink w:anchor="tab-I">
        <w:r>
          <w:rPr>
            <w:rStyle w:val="Hyperlink"/>
            <w:color w:val="BF0000"/>
            <w:u w:val="none"/>
          </w:rPr>
          <w:t xml:space="preserve">I</w:t>
        </w:r>
      </w:hyperlink>
      <w:r>
        <w:t xml:space="preserve">); the breakpoint values were checked by the author against the published standard and the FDA Susceptibility Test Interpretive Criteria pages before release. A censored MIC was interpreted only when every value it allows falls in one category: ≤x allows (0, x], &lt;x allows (0, x/2], ≥x allows [x, ∞) and &gt;x allows [2x, ∞). Readings from gradient strips that fall between two-fold dilutions (for example 1.5 mg/L) were rounded up to the next two-fold dilution before interpretation, as CLSI directs. MIC values not on the two-fold or gradient series (for example</w:t>
      </w:r>
      <w:r>
        <w:t xml:space="preserve"> </w:t>
      </w:r>
      <w:r>
        <w:t xml:space="preserve">“</w:t>
      </w:r>
      <w:r>
        <w:t xml:space="preserve">oxacillin 23 mg/L</w:t>
      </w:r>
      <w:r>
        <w:t xml:space="preserve">”</w:t>
      </w:r>
      <w:r>
        <w:t xml:space="preserve">, most likely a zone diameter filed with MIC units; 170 results) were not reinterpreted. When a value could not be interpreted, the submitter’s S/I/R call was used and flagged. When an isolate had several results for one drug, a reinterpreted MIC was preferred to a reinterpreted zone and both to a submitter call; ties kept the most resistant category. Imipenem was not used for</w:t>
      </w:r>
      <w:r>
        <w:t xml:space="preserve"> </w:t>
      </w:r>
      <w:r>
        <w:rPr>
          <w:i/>
          <w:iCs/>
        </w:rPr>
        <w:t xml:space="preserve">Morganella</w:t>
      </w:r>
      <w:r>
        <w:t xml:space="preserve"> </w:t>
      </w:r>
      <w:r>
        <w:t xml:space="preserve">or</w:t>
      </w:r>
      <w:r>
        <w:t xml:space="preserve"> </w:t>
      </w:r>
      <w:r>
        <w:rPr>
          <w:i/>
          <w:iCs/>
        </w:rPr>
        <w:t xml:space="preserve">Providencia</w:t>
      </w:r>
      <w:r>
        <w:t xml:space="preserve">, whose imipenem MICs are intrinsically elevated.</w:t>
      </w:r>
    </w:p>
    <w:p>
      <w:pPr>
        <w:pStyle w:val="BodyText"/>
      </w:pPr>
      <w:r>
        <w:t xml:space="preserve">For</w:t>
      </w:r>
      <w:r>
        <w:t xml:space="preserve"> </w:t>
      </w:r>
      <w:r>
        <w:rPr>
          <w:i/>
          <w:iCs/>
        </w:rPr>
        <w:t xml:space="preserve">S. aureus</w:t>
      </w:r>
      <w:r>
        <w:t xml:space="preserve">, oxacillin resistance was judged from the oxacillin MIC or the cefoxitin screen, not from the submitter’s call. This keeps the phenotype independent of the genotype: laboratories may report oxacillin resistance on the basis of a</w:t>
      </w:r>
      <w:r>
        <w:t xml:space="preserve"> </w:t>
      </w:r>
      <w:r>
        <w:rPr>
          <w:i/>
          <w:iCs/>
        </w:rPr>
        <w:t xml:space="preserve">mecA</w:t>
      </w:r>
      <w:r>
        <w:t xml:space="preserve"> </w:t>
      </w:r>
      <w:r>
        <w:t xml:space="preserve">or PBP2a result, which would make the comparison partly circular. The alternative rule is reported as a sensitivity analysis.</w:t>
      </w:r>
    </w:p>
    <w:tbl>
      <w:tblPr>
        <w:tblW w:w="489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4896"/>
      </w:tblGrid>
      <w:tr>
        <w:trPr>
          <w:cantSplit/>
        </w:trPr>
        <w:tc>
          <w:tcPr>
            <w:tcW w:w="4896" w:type="dxa"/>
          </w:tcPr>
          <w:p>
            <w:pPr>
              <w:pStyle w:val="TabCaption"/>
            </w:pPr>
            <w:bookmarkStart w:id="28" w:name="tab-I"/>
            <w:bookmarkEnd w:id="28"/>
            <w:r>
              <w:t xml:space="preserve">TABLE I: Breakpoints applied (CLSI M100, 35th ed., 2025).</w:t>
            </w:r>
            <w:r>
              <w:t xml:space="preserve"> </w:t>
            </w:r>
            <w:r>
              <w:t xml:space="preserve">“</w:t>
            </w:r>
            <w:r>
              <w:t xml:space="preserve">Between</w:t>
            </w:r>
            <w:r>
              <w:t xml:space="preserve">”</w:t>
            </w:r>
            <w:r>
              <w:t xml:space="preserve"> </w:t>
            </w:r>
            <w:r>
              <w:t xml:space="preserve">gives the category assigned between the S and R breakpoints;</w:t>
            </w:r>
            <w:r>
              <w:t xml:space="preserve"> </w:t>
            </w:r>
            <w:r>
              <w:t xml:space="preserve">“</w:t>
            </w:r>
            <w:r>
              <w:t xml:space="preserve">–</w:t>
            </w:r>
            <w:r>
              <w:t xml:space="preserve">”</w:t>
            </w:r>
            <w:r>
              <w:t xml:space="preserve"> </w:t>
            </w:r>
            <w:r>
              <w:t xml:space="preserve">means none is defined.</w:t>
            </w:r>
          </w:p>
          <w:tbl>
            <w:tblPr>
              <w:tblStyle w:val="Table"/>
              <w:tblW w:w="4896" w:type="dxa"/>
              <w:jc w:val="center"/>
              <w:tblLayout w:type="fixed"/>
              <w:tblCellMar>
                <w:top w:w="0" w:type="dxa"/>
                <w:left w:w="60" w:type="dxa"/>
                <w:bottom w:w="0" w:type="dxa"/>
                <w:right w:w="60" w:type="dxa"/>
              </w:tblCellMar>
              <w:tblLook w:firstRow="1" w:lastRow="0" w:firstColumn="0" w:lastColumn="0" w:noHBand="0" w:noVBand="0" w:val="0020"/>
            </w:tblPr>
            <w:tblGrid>
              <w:gridCol w:w="1344"/>
              <w:gridCol w:w="1128"/>
              <w:gridCol w:w="840"/>
              <w:gridCol w:w="480"/>
              <w:gridCol w:w="408"/>
              <w:gridCol w:w="696"/>
            </w:tblGrid>
            <w:tr>
              <w:trPr>
                <w:cantSplit/>
                <w:tblHeader w:val="true"/>
              </w:trPr>
              <w:tc>
                <w:tcPr>
                  <w:tcW w:w="1344" w:type="dxa"/>
                  <w:tcBorders>
                    <w:top w:val="double" w:sz="4" w:space="0" w:color="000000"/>
                    <w:bottom w:val="single" w:sz="4" w:space="0" w:color="000000"/>
                  </w:tcBorders>
                </w:tcPr>
                <w:p>
                  <w:pPr>
                    <w:pStyle w:val="Compact"/>
                    <w:keepNext/>
                    <w:spacing w:after="0" w:before="0" w:line="240" w:lineRule="auto"/>
                    <w:ind w:firstLine="0"/>
                    <w:jc w:val="left"/>
                  </w:pPr>
                  <w:r>
                    <w:rPr>
                      <w:sz w:val="14"/>
                    </w:rPr>
                    <w:t xml:space="preserve">Organism group</w:t>
                  </w:r>
                </w:p>
              </w:tc>
              <w:tc>
                <w:tcPr>
                  <w:tcW w:w="1128" w:type="dxa"/>
                  <w:tcBorders>
                    <w:top w:val="double" w:sz="4" w:space="0" w:color="000000"/>
                    <w:bottom w:val="single" w:sz="4" w:space="0" w:color="000000"/>
                  </w:tcBorders>
                </w:tcPr>
                <w:p>
                  <w:pPr>
                    <w:pStyle w:val="Compact"/>
                    <w:keepNext/>
                    <w:spacing w:after="0" w:before="0" w:line="240" w:lineRule="auto"/>
                    <w:ind w:firstLine="0"/>
                    <w:jc w:val="left"/>
                  </w:pPr>
                  <w:r>
                    <w:rPr>
                      <w:sz w:val="14"/>
                    </w:rPr>
                    <w:t xml:space="preserve">Agent</w:t>
                  </w:r>
                </w:p>
              </w:tc>
              <w:tc>
                <w:tcPr>
                  <w:tcW w:w="840" w:type="dxa"/>
                  <w:tcBorders>
                    <w:top w:val="double" w:sz="4" w:space="0" w:color="000000"/>
                    <w:bottom w:val="single" w:sz="4" w:space="0" w:color="000000"/>
                  </w:tcBorders>
                </w:tcPr>
                <w:p>
                  <w:pPr>
                    <w:pStyle w:val="Compact"/>
                    <w:keepNext/>
                    <w:spacing w:after="0" w:before="0" w:line="240" w:lineRule="auto"/>
                    <w:ind w:firstLine="0"/>
                    <w:jc w:val="left"/>
                  </w:pPr>
                  <w:r>
                    <w:rPr>
                      <w:sz w:val="14"/>
                    </w:rPr>
                    <w:t xml:space="preserve">Method</w:t>
                  </w:r>
                </w:p>
              </w:tc>
              <w:tc>
                <w:tcPr>
                  <w:tcW w:w="480"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S</w:t>
                  </w:r>
                </w:p>
              </w:tc>
              <w:tc>
                <w:tcPr>
                  <w:tcW w:w="408"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R</w:t>
                  </w:r>
                </w:p>
              </w:tc>
              <w:tc>
                <w:tcPr>
                  <w:tcW w:w="696" w:type="dxa"/>
                  <w:tcBorders>
                    <w:top w:val="double" w:sz="4" w:space="0" w:color="000000"/>
                    <w:bottom w:val="single" w:sz="4" w:space="0" w:color="000000"/>
                  </w:tcBorders>
                </w:tcPr>
                <w:p>
                  <w:pPr>
                    <w:pStyle w:val="Compact"/>
                    <w:keepNext/>
                    <w:spacing w:after="0" w:before="0" w:line="240" w:lineRule="auto"/>
                    <w:ind w:firstLine="0"/>
                    <w:jc w:val="left"/>
                  </w:pPr>
                  <w:r>
                    <w:rPr>
                      <w:sz w:val="14"/>
                    </w:rPr>
                    <w:t xml:space="preserve">Between</w:t>
                  </w:r>
                </w:p>
              </w:tc>
            </w:tr>
            <w:tr>
              <w:trPr>
                <w:cantSplit/>
              </w:trPr>
              <w:tc>
                <w:tcPr>
                  <w:tcW w:w="1344" w:type="dxa"/>
                </w:tcPr>
                <w:p>
                  <w:pPr>
                    <w:pStyle w:val="Compact"/>
                    <w:keepNext/>
                    <w:spacing w:after="0" w:before="0" w:line="240" w:lineRule="auto"/>
                    <w:ind w:firstLine="0"/>
                    <w:jc w:val="left"/>
                  </w:pPr>
                  <w:r>
                    <w:rPr>
                      <w:sz w:val="14"/>
                    </w:rPr>
                    <w:t xml:space="preserve">Enterobacterales</w:t>
                  </w:r>
                </w:p>
              </w:tc>
              <w:tc>
                <w:tcPr>
                  <w:tcW w:w="1128" w:type="dxa"/>
                </w:tcPr>
                <w:p>
                  <w:pPr>
                    <w:pStyle w:val="Compact"/>
                    <w:keepNext/>
                    <w:spacing w:after="0" w:before="0" w:line="240" w:lineRule="auto"/>
                    <w:ind w:firstLine="0"/>
                    <w:jc w:val="left"/>
                  </w:pPr>
                  <w:r>
                    <w:rPr>
                      <w:sz w:val="14"/>
                    </w:rPr>
                    <w:t xml:space="preserve">imipenem</w:t>
                  </w:r>
                </w:p>
              </w:tc>
              <w:tc>
                <w:tcPr>
                  <w:tcW w:w="840" w:type="dxa"/>
                </w:tcPr>
                <w:p>
                  <w:pPr>
                    <w:pStyle w:val="Compact"/>
                    <w:keepNext/>
                    <w:spacing w:after="0" w:before="0" w:line="240" w:lineRule="auto"/>
                    <w:ind w:firstLine="0"/>
                    <w:jc w:val="left"/>
                  </w:pPr>
                  <w:r>
                    <w:rPr>
                      <w:sz w:val="14"/>
                    </w:rPr>
                    <w:t xml:space="preserve">MIC (mg/L)</w:t>
                  </w:r>
                </w:p>
              </w:tc>
              <w:tc>
                <w:tcPr>
                  <w:tcW w:w="480" w:type="dxa"/>
                </w:tcPr>
                <w:p>
                  <w:pPr>
                    <w:pStyle w:val="Compact"/>
                    <w:keepNext/>
                    <w:spacing w:after="0" w:before="0" w:line="240" w:lineRule="auto"/>
                    <w:ind w:firstLine="0"/>
                    <w:jc w:val="center"/>
                  </w:pPr>
                  <w:r>
                    <w:rPr>
                      <w:sz w:val="14"/>
                    </w:rPr>
                    <w:t xml:space="preserve">≤1</w:t>
                  </w:r>
                </w:p>
              </w:tc>
              <w:tc>
                <w:tcPr>
                  <w:tcW w:w="408" w:type="dxa"/>
                </w:tcPr>
                <w:p>
                  <w:pPr>
                    <w:pStyle w:val="Compact"/>
                    <w:keepNext/>
                    <w:spacing w:after="0" w:before="0" w:line="240" w:lineRule="auto"/>
                    <w:ind w:firstLine="0"/>
                    <w:jc w:val="center"/>
                  </w:pPr>
                  <w:r>
                    <w:rPr>
                      <w:sz w:val="14"/>
                    </w:rPr>
                    <w:t xml:space="preserve">≥4</w:t>
                  </w:r>
                </w:p>
              </w:tc>
              <w:tc>
                <w:tcPr>
                  <w:tcW w:w="696" w:type="dxa"/>
                </w:tcPr>
                <w:p>
                  <w:pPr>
                    <w:pStyle w:val="Compact"/>
                    <w:keepNext/>
                    <w:spacing w:after="0" w:before="0" w:line="240" w:lineRule="auto"/>
                    <w:ind w:firstLine="0"/>
                    <w:jc w:val="left"/>
                  </w:pPr>
                  <w:r>
                    <w:rPr>
                      <w:sz w:val="14"/>
                    </w:rPr>
                    <w:t xml:space="preserve">I</w:t>
                  </w:r>
                </w:p>
              </w:tc>
            </w:tr>
            <w:tr>
              <w:trPr>
                <w:cantSplit/>
              </w:trPr>
              <w:tc>
                <w:tcPr>
                  <w:tcW w:w="1344" w:type="dxa"/>
                </w:tcPr>
                <w:p>
                  <w:pPr>
                    <w:pStyle w:val="Compact"/>
                    <w:keepNext/>
                    <w:spacing w:after="0" w:before="0" w:line="240" w:lineRule="auto"/>
                    <w:ind w:firstLine="0"/>
                    <w:jc w:val="left"/>
                  </w:pPr>
                  <w:r>
                    <w:rPr>
                      <w:sz w:val="14"/>
                    </w:rPr>
                    <w:t xml:space="preserve">Enterobacterales</w:t>
                  </w:r>
                </w:p>
              </w:tc>
              <w:tc>
                <w:tcPr>
                  <w:tcW w:w="1128" w:type="dxa"/>
                </w:tcPr>
                <w:p>
                  <w:pPr>
                    <w:pStyle w:val="Compact"/>
                    <w:keepNext/>
                    <w:spacing w:after="0" w:before="0" w:line="240" w:lineRule="auto"/>
                    <w:ind w:firstLine="0"/>
                    <w:jc w:val="left"/>
                  </w:pPr>
                  <w:r>
                    <w:rPr>
                      <w:sz w:val="14"/>
                    </w:rPr>
                    <w:t xml:space="preserve">meropenem</w:t>
                  </w:r>
                </w:p>
              </w:tc>
              <w:tc>
                <w:tcPr>
                  <w:tcW w:w="840" w:type="dxa"/>
                </w:tcPr>
                <w:p>
                  <w:pPr>
                    <w:pStyle w:val="Compact"/>
                    <w:keepNext/>
                    <w:spacing w:after="0" w:before="0" w:line="240" w:lineRule="auto"/>
                    <w:ind w:firstLine="0"/>
                    <w:jc w:val="left"/>
                  </w:pPr>
                  <w:r>
                    <w:rPr>
                      <w:sz w:val="14"/>
                    </w:rPr>
                    <w:t xml:space="preserve">MIC (mg/L)</w:t>
                  </w:r>
                </w:p>
              </w:tc>
              <w:tc>
                <w:tcPr>
                  <w:tcW w:w="480" w:type="dxa"/>
                </w:tcPr>
                <w:p>
                  <w:pPr>
                    <w:pStyle w:val="Compact"/>
                    <w:keepNext/>
                    <w:spacing w:after="0" w:before="0" w:line="240" w:lineRule="auto"/>
                    <w:ind w:firstLine="0"/>
                    <w:jc w:val="center"/>
                  </w:pPr>
                  <w:r>
                    <w:rPr>
                      <w:sz w:val="14"/>
                    </w:rPr>
                    <w:t xml:space="preserve">≤1</w:t>
                  </w:r>
                </w:p>
              </w:tc>
              <w:tc>
                <w:tcPr>
                  <w:tcW w:w="408" w:type="dxa"/>
                </w:tcPr>
                <w:p>
                  <w:pPr>
                    <w:pStyle w:val="Compact"/>
                    <w:keepNext/>
                    <w:spacing w:after="0" w:before="0" w:line="240" w:lineRule="auto"/>
                    <w:ind w:firstLine="0"/>
                    <w:jc w:val="center"/>
                  </w:pPr>
                  <w:r>
                    <w:rPr>
                      <w:sz w:val="14"/>
                    </w:rPr>
                    <w:t xml:space="preserve">≥4</w:t>
                  </w:r>
                </w:p>
              </w:tc>
              <w:tc>
                <w:tcPr>
                  <w:tcW w:w="696" w:type="dxa"/>
                </w:tcPr>
                <w:p>
                  <w:pPr>
                    <w:pStyle w:val="Compact"/>
                    <w:keepNext/>
                    <w:spacing w:after="0" w:before="0" w:line="240" w:lineRule="auto"/>
                    <w:ind w:firstLine="0"/>
                    <w:jc w:val="left"/>
                  </w:pPr>
                  <w:r>
                    <w:rPr>
                      <w:sz w:val="14"/>
                    </w:rPr>
                    <w:t xml:space="preserve">I</w:t>
                  </w:r>
                </w:p>
              </w:tc>
            </w:tr>
            <w:tr>
              <w:trPr>
                <w:cantSplit/>
              </w:trPr>
              <w:tc>
                <w:tcPr>
                  <w:tcW w:w="1344" w:type="dxa"/>
                </w:tcPr>
                <w:p>
                  <w:pPr>
                    <w:pStyle w:val="Compact"/>
                    <w:keepNext/>
                    <w:spacing w:after="0" w:before="0" w:line="240" w:lineRule="auto"/>
                    <w:ind w:firstLine="0"/>
                    <w:jc w:val="left"/>
                  </w:pPr>
                  <w:r>
                    <w:rPr>
                      <w:sz w:val="14"/>
                    </w:rPr>
                    <w:t xml:space="preserve">Enterobacterales</w:t>
                  </w:r>
                </w:p>
              </w:tc>
              <w:tc>
                <w:tcPr>
                  <w:tcW w:w="1128" w:type="dxa"/>
                </w:tcPr>
                <w:p>
                  <w:pPr>
                    <w:pStyle w:val="Compact"/>
                    <w:keepNext/>
                    <w:spacing w:after="0" w:before="0" w:line="240" w:lineRule="auto"/>
                    <w:ind w:firstLine="0"/>
                    <w:jc w:val="left"/>
                  </w:pPr>
                  <w:r>
                    <w:rPr>
                      <w:sz w:val="14"/>
                    </w:rPr>
                    <w:t xml:space="preserve">ertapenem</w:t>
                  </w:r>
                </w:p>
              </w:tc>
              <w:tc>
                <w:tcPr>
                  <w:tcW w:w="840" w:type="dxa"/>
                </w:tcPr>
                <w:p>
                  <w:pPr>
                    <w:pStyle w:val="Compact"/>
                    <w:keepNext/>
                    <w:spacing w:after="0" w:before="0" w:line="240" w:lineRule="auto"/>
                    <w:ind w:firstLine="0"/>
                    <w:jc w:val="left"/>
                  </w:pPr>
                  <w:r>
                    <w:rPr>
                      <w:sz w:val="14"/>
                    </w:rPr>
                    <w:t xml:space="preserve">MIC (mg/L)</w:t>
                  </w:r>
                </w:p>
              </w:tc>
              <w:tc>
                <w:tcPr>
                  <w:tcW w:w="480" w:type="dxa"/>
                </w:tcPr>
                <w:p>
                  <w:pPr>
                    <w:pStyle w:val="Compact"/>
                    <w:keepNext/>
                    <w:spacing w:after="0" w:before="0" w:line="240" w:lineRule="auto"/>
                    <w:ind w:firstLine="0"/>
                    <w:jc w:val="center"/>
                  </w:pPr>
                  <w:r>
                    <w:rPr>
                      <w:sz w:val="14"/>
                    </w:rPr>
                    <w:t xml:space="preserve">≤0.5</w:t>
                  </w:r>
                </w:p>
              </w:tc>
              <w:tc>
                <w:tcPr>
                  <w:tcW w:w="408" w:type="dxa"/>
                </w:tcPr>
                <w:p>
                  <w:pPr>
                    <w:pStyle w:val="Compact"/>
                    <w:keepNext/>
                    <w:spacing w:after="0" w:before="0" w:line="240" w:lineRule="auto"/>
                    <w:ind w:firstLine="0"/>
                    <w:jc w:val="center"/>
                  </w:pPr>
                  <w:r>
                    <w:rPr>
                      <w:sz w:val="14"/>
                    </w:rPr>
                    <w:t xml:space="preserve">≥2</w:t>
                  </w:r>
                </w:p>
              </w:tc>
              <w:tc>
                <w:tcPr>
                  <w:tcW w:w="696" w:type="dxa"/>
                </w:tcPr>
                <w:p>
                  <w:pPr>
                    <w:pStyle w:val="Compact"/>
                    <w:keepNext/>
                    <w:spacing w:after="0" w:before="0" w:line="240" w:lineRule="auto"/>
                    <w:ind w:firstLine="0"/>
                    <w:jc w:val="left"/>
                  </w:pPr>
                  <w:r>
                    <w:rPr>
                      <w:sz w:val="14"/>
                    </w:rPr>
                    <w:t xml:space="preserve">I</w:t>
                  </w:r>
                </w:p>
              </w:tc>
            </w:tr>
            <w:tr>
              <w:trPr>
                <w:cantSplit/>
              </w:trPr>
              <w:tc>
                <w:tcPr>
                  <w:tcW w:w="1344" w:type="dxa"/>
                </w:tcPr>
                <w:p>
                  <w:pPr>
                    <w:pStyle w:val="Compact"/>
                    <w:keepNext/>
                    <w:spacing w:after="0" w:before="0" w:line="240" w:lineRule="auto"/>
                    <w:ind w:firstLine="0"/>
                    <w:jc w:val="left"/>
                  </w:pPr>
                  <w:r>
                    <w:rPr>
                      <w:sz w:val="14"/>
                    </w:rPr>
                    <w:t xml:space="preserve">Enterobacterales</w:t>
                  </w:r>
                </w:p>
              </w:tc>
              <w:tc>
                <w:tcPr>
                  <w:tcW w:w="1128" w:type="dxa"/>
                </w:tcPr>
                <w:p>
                  <w:pPr>
                    <w:pStyle w:val="Compact"/>
                    <w:keepNext/>
                    <w:spacing w:after="0" w:before="0" w:line="240" w:lineRule="auto"/>
                    <w:ind w:firstLine="0"/>
                    <w:jc w:val="left"/>
                  </w:pPr>
                  <w:r>
                    <w:rPr>
                      <w:sz w:val="14"/>
                    </w:rPr>
                    <w:t xml:space="preserve">doripenem</w:t>
                  </w:r>
                </w:p>
              </w:tc>
              <w:tc>
                <w:tcPr>
                  <w:tcW w:w="840" w:type="dxa"/>
                </w:tcPr>
                <w:p>
                  <w:pPr>
                    <w:pStyle w:val="Compact"/>
                    <w:keepNext/>
                    <w:spacing w:after="0" w:before="0" w:line="240" w:lineRule="auto"/>
                    <w:ind w:firstLine="0"/>
                    <w:jc w:val="left"/>
                  </w:pPr>
                  <w:r>
                    <w:rPr>
                      <w:sz w:val="14"/>
                    </w:rPr>
                    <w:t xml:space="preserve">MIC (mg/L)</w:t>
                  </w:r>
                </w:p>
              </w:tc>
              <w:tc>
                <w:tcPr>
                  <w:tcW w:w="480" w:type="dxa"/>
                </w:tcPr>
                <w:p>
                  <w:pPr>
                    <w:pStyle w:val="Compact"/>
                    <w:keepNext/>
                    <w:spacing w:after="0" w:before="0" w:line="240" w:lineRule="auto"/>
                    <w:ind w:firstLine="0"/>
                    <w:jc w:val="center"/>
                  </w:pPr>
                  <w:r>
                    <w:rPr>
                      <w:sz w:val="14"/>
                    </w:rPr>
                    <w:t xml:space="preserve">≤1</w:t>
                  </w:r>
                </w:p>
              </w:tc>
              <w:tc>
                <w:tcPr>
                  <w:tcW w:w="408" w:type="dxa"/>
                </w:tcPr>
                <w:p>
                  <w:pPr>
                    <w:pStyle w:val="Compact"/>
                    <w:keepNext/>
                    <w:spacing w:after="0" w:before="0" w:line="240" w:lineRule="auto"/>
                    <w:ind w:firstLine="0"/>
                    <w:jc w:val="center"/>
                  </w:pPr>
                  <w:r>
                    <w:rPr>
                      <w:sz w:val="14"/>
                    </w:rPr>
                    <w:t xml:space="preserve">≥4</w:t>
                  </w:r>
                </w:p>
              </w:tc>
              <w:tc>
                <w:tcPr>
                  <w:tcW w:w="696" w:type="dxa"/>
                </w:tcPr>
                <w:p>
                  <w:pPr>
                    <w:pStyle w:val="Compact"/>
                    <w:keepNext/>
                    <w:spacing w:after="0" w:before="0" w:line="240" w:lineRule="auto"/>
                    <w:ind w:firstLine="0"/>
                    <w:jc w:val="left"/>
                  </w:pPr>
                  <w:r>
                    <w:rPr>
                      <w:sz w:val="14"/>
                    </w:rPr>
                    <w:t xml:space="preserve">I</w:t>
                  </w:r>
                </w:p>
              </w:tc>
            </w:tr>
            <w:tr>
              <w:trPr>
                <w:cantSplit/>
              </w:trPr>
              <w:tc>
                <w:tcPr>
                  <w:tcW w:w="1344" w:type="dxa"/>
                </w:tcPr>
                <w:p>
                  <w:pPr>
                    <w:pStyle w:val="Compact"/>
                    <w:keepNext/>
                    <w:spacing w:after="0" w:before="0" w:line="240" w:lineRule="auto"/>
                    <w:ind w:firstLine="0"/>
                    <w:jc w:val="left"/>
                  </w:pPr>
                  <w:r>
                    <w:rPr>
                      <w:sz w:val="14"/>
                    </w:rPr>
                    <w:t xml:space="preserve">Enterobacterales</w:t>
                  </w:r>
                </w:p>
              </w:tc>
              <w:tc>
                <w:tcPr>
                  <w:tcW w:w="1128" w:type="dxa"/>
                </w:tcPr>
                <w:p>
                  <w:pPr>
                    <w:pStyle w:val="Compact"/>
                    <w:keepNext/>
                    <w:spacing w:after="0" w:before="0" w:line="240" w:lineRule="auto"/>
                    <w:ind w:firstLine="0"/>
                    <w:jc w:val="left"/>
                  </w:pPr>
                  <w:r>
                    <w:rPr>
                      <w:sz w:val="14"/>
                    </w:rPr>
                    <w:t xml:space="preserve">ceftriaxone</w:t>
                  </w:r>
                </w:p>
              </w:tc>
              <w:tc>
                <w:tcPr>
                  <w:tcW w:w="840" w:type="dxa"/>
                </w:tcPr>
                <w:p>
                  <w:pPr>
                    <w:pStyle w:val="Compact"/>
                    <w:keepNext/>
                    <w:spacing w:after="0" w:before="0" w:line="240" w:lineRule="auto"/>
                    <w:ind w:firstLine="0"/>
                    <w:jc w:val="left"/>
                  </w:pPr>
                  <w:r>
                    <w:rPr>
                      <w:sz w:val="14"/>
                    </w:rPr>
                    <w:t xml:space="preserve">MIC (mg/L)</w:t>
                  </w:r>
                </w:p>
              </w:tc>
              <w:tc>
                <w:tcPr>
                  <w:tcW w:w="480" w:type="dxa"/>
                </w:tcPr>
                <w:p>
                  <w:pPr>
                    <w:pStyle w:val="Compact"/>
                    <w:keepNext/>
                    <w:spacing w:after="0" w:before="0" w:line="240" w:lineRule="auto"/>
                    <w:ind w:firstLine="0"/>
                    <w:jc w:val="center"/>
                  </w:pPr>
                  <w:r>
                    <w:rPr>
                      <w:sz w:val="14"/>
                    </w:rPr>
                    <w:t xml:space="preserve">≤1</w:t>
                  </w:r>
                </w:p>
              </w:tc>
              <w:tc>
                <w:tcPr>
                  <w:tcW w:w="408" w:type="dxa"/>
                </w:tcPr>
                <w:p>
                  <w:pPr>
                    <w:pStyle w:val="Compact"/>
                    <w:keepNext/>
                    <w:spacing w:after="0" w:before="0" w:line="240" w:lineRule="auto"/>
                    <w:ind w:firstLine="0"/>
                    <w:jc w:val="center"/>
                  </w:pPr>
                  <w:r>
                    <w:rPr>
                      <w:sz w:val="14"/>
                    </w:rPr>
                    <w:t xml:space="preserve">≥4</w:t>
                  </w:r>
                </w:p>
              </w:tc>
              <w:tc>
                <w:tcPr>
                  <w:tcW w:w="696" w:type="dxa"/>
                </w:tcPr>
                <w:p>
                  <w:pPr>
                    <w:pStyle w:val="Compact"/>
                    <w:keepNext/>
                    <w:spacing w:after="0" w:before="0" w:line="240" w:lineRule="auto"/>
                    <w:ind w:firstLine="0"/>
                    <w:jc w:val="left"/>
                  </w:pPr>
                  <w:r>
                    <w:rPr>
                      <w:sz w:val="14"/>
                    </w:rPr>
                    <w:t xml:space="preserve">I</w:t>
                  </w:r>
                </w:p>
              </w:tc>
            </w:tr>
            <w:tr>
              <w:trPr>
                <w:cantSplit/>
              </w:trPr>
              <w:tc>
                <w:tcPr>
                  <w:tcW w:w="1344" w:type="dxa"/>
                </w:tcPr>
                <w:p>
                  <w:pPr>
                    <w:pStyle w:val="Compact"/>
                    <w:keepNext/>
                    <w:spacing w:after="0" w:before="0" w:line="240" w:lineRule="auto"/>
                    <w:ind w:firstLine="0"/>
                    <w:jc w:val="left"/>
                  </w:pPr>
                  <w:r>
                    <w:rPr>
                      <w:sz w:val="14"/>
                    </w:rPr>
                    <w:t xml:space="preserve">Enterobacterales</w:t>
                  </w:r>
                </w:p>
              </w:tc>
              <w:tc>
                <w:tcPr>
                  <w:tcW w:w="1128" w:type="dxa"/>
                </w:tcPr>
                <w:p>
                  <w:pPr>
                    <w:pStyle w:val="Compact"/>
                    <w:keepNext/>
                    <w:spacing w:after="0" w:before="0" w:line="240" w:lineRule="auto"/>
                    <w:ind w:firstLine="0"/>
                    <w:jc w:val="left"/>
                  </w:pPr>
                  <w:r>
                    <w:rPr>
                      <w:sz w:val="14"/>
                    </w:rPr>
                    <w:t xml:space="preserve">cefotaxime</w:t>
                  </w:r>
                </w:p>
              </w:tc>
              <w:tc>
                <w:tcPr>
                  <w:tcW w:w="840" w:type="dxa"/>
                </w:tcPr>
                <w:p>
                  <w:pPr>
                    <w:pStyle w:val="Compact"/>
                    <w:keepNext/>
                    <w:spacing w:after="0" w:before="0" w:line="240" w:lineRule="auto"/>
                    <w:ind w:firstLine="0"/>
                    <w:jc w:val="left"/>
                  </w:pPr>
                  <w:r>
                    <w:rPr>
                      <w:sz w:val="14"/>
                    </w:rPr>
                    <w:t xml:space="preserve">MIC (mg/L)</w:t>
                  </w:r>
                </w:p>
              </w:tc>
              <w:tc>
                <w:tcPr>
                  <w:tcW w:w="480" w:type="dxa"/>
                </w:tcPr>
                <w:p>
                  <w:pPr>
                    <w:pStyle w:val="Compact"/>
                    <w:keepNext/>
                    <w:spacing w:after="0" w:before="0" w:line="240" w:lineRule="auto"/>
                    <w:ind w:firstLine="0"/>
                    <w:jc w:val="center"/>
                  </w:pPr>
                  <w:r>
                    <w:rPr>
                      <w:sz w:val="14"/>
                    </w:rPr>
                    <w:t xml:space="preserve">≤1</w:t>
                  </w:r>
                </w:p>
              </w:tc>
              <w:tc>
                <w:tcPr>
                  <w:tcW w:w="408" w:type="dxa"/>
                </w:tcPr>
                <w:p>
                  <w:pPr>
                    <w:pStyle w:val="Compact"/>
                    <w:keepNext/>
                    <w:spacing w:after="0" w:before="0" w:line="240" w:lineRule="auto"/>
                    <w:ind w:firstLine="0"/>
                    <w:jc w:val="center"/>
                  </w:pPr>
                  <w:r>
                    <w:rPr>
                      <w:sz w:val="14"/>
                    </w:rPr>
                    <w:t xml:space="preserve">≥4</w:t>
                  </w:r>
                </w:p>
              </w:tc>
              <w:tc>
                <w:tcPr>
                  <w:tcW w:w="696" w:type="dxa"/>
                </w:tcPr>
                <w:p>
                  <w:pPr>
                    <w:pStyle w:val="Compact"/>
                    <w:keepNext/>
                    <w:spacing w:after="0" w:before="0" w:line="240" w:lineRule="auto"/>
                    <w:ind w:firstLine="0"/>
                    <w:jc w:val="left"/>
                  </w:pPr>
                  <w:r>
                    <w:rPr>
                      <w:sz w:val="14"/>
                    </w:rPr>
                    <w:t xml:space="preserve">I</w:t>
                  </w:r>
                </w:p>
              </w:tc>
            </w:tr>
            <w:tr>
              <w:trPr>
                <w:cantSplit/>
              </w:trPr>
              <w:tc>
                <w:tcPr>
                  <w:tcW w:w="1344" w:type="dxa"/>
                </w:tcPr>
                <w:p>
                  <w:pPr>
                    <w:pStyle w:val="Compact"/>
                    <w:keepNext/>
                    <w:spacing w:after="0" w:before="0" w:line="240" w:lineRule="auto"/>
                    <w:ind w:firstLine="0"/>
                    <w:jc w:val="left"/>
                  </w:pPr>
                  <w:r>
                    <w:rPr>
                      <w:sz w:val="14"/>
                    </w:rPr>
                    <w:t xml:space="preserve">Enterobacterales</w:t>
                  </w:r>
                </w:p>
              </w:tc>
              <w:tc>
                <w:tcPr>
                  <w:tcW w:w="1128" w:type="dxa"/>
                </w:tcPr>
                <w:p>
                  <w:pPr>
                    <w:pStyle w:val="Compact"/>
                    <w:keepNext/>
                    <w:spacing w:after="0" w:before="0" w:line="240" w:lineRule="auto"/>
                    <w:ind w:firstLine="0"/>
                    <w:jc w:val="left"/>
                  </w:pPr>
                  <w:r>
                    <w:rPr>
                      <w:sz w:val="14"/>
                    </w:rPr>
                    <w:t xml:space="preserve">ceftazidime</w:t>
                  </w:r>
                </w:p>
              </w:tc>
              <w:tc>
                <w:tcPr>
                  <w:tcW w:w="840" w:type="dxa"/>
                </w:tcPr>
                <w:p>
                  <w:pPr>
                    <w:pStyle w:val="Compact"/>
                    <w:keepNext/>
                    <w:spacing w:after="0" w:before="0" w:line="240" w:lineRule="auto"/>
                    <w:ind w:firstLine="0"/>
                    <w:jc w:val="left"/>
                  </w:pPr>
                  <w:r>
                    <w:rPr>
                      <w:sz w:val="14"/>
                    </w:rPr>
                    <w:t xml:space="preserve">MIC (mg/L)</w:t>
                  </w:r>
                </w:p>
              </w:tc>
              <w:tc>
                <w:tcPr>
                  <w:tcW w:w="480" w:type="dxa"/>
                </w:tcPr>
                <w:p>
                  <w:pPr>
                    <w:pStyle w:val="Compact"/>
                    <w:keepNext/>
                    <w:spacing w:after="0" w:before="0" w:line="240" w:lineRule="auto"/>
                    <w:ind w:firstLine="0"/>
                    <w:jc w:val="center"/>
                  </w:pPr>
                  <w:r>
                    <w:rPr>
                      <w:sz w:val="14"/>
                    </w:rPr>
                    <w:t xml:space="preserve">≤4</w:t>
                  </w:r>
                </w:p>
              </w:tc>
              <w:tc>
                <w:tcPr>
                  <w:tcW w:w="408" w:type="dxa"/>
                </w:tcPr>
                <w:p>
                  <w:pPr>
                    <w:pStyle w:val="Compact"/>
                    <w:keepNext/>
                    <w:spacing w:after="0" w:before="0" w:line="240" w:lineRule="auto"/>
                    <w:ind w:firstLine="0"/>
                    <w:jc w:val="center"/>
                  </w:pPr>
                  <w:r>
                    <w:rPr>
                      <w:sz w:val="14"/>
                    </w:rPr>
                    <w:t xml:space="preserve">≥16</w:t>
                  </w:r>
                </w:p>
              </w:tc>
              <w:tc>
                <w:tcPr>
                  <w:tcW w:w="696" w:type="dxa"/>
                </w:tcPr>
                <w:p>
                  <w:pPr>
                    <w:pStyle w:val="Compact"/>
                    <w:keepNext/>
                    <w:spacing w:after="0" w:before="0" w:line="240" w:lineRule="auto"/>
                    <w:ind w:firstLine="0"/>
                    <w:jc w:val="left"/>
                  </w:pPr>
                  <w:r>
                    <w:rPr>
                      <w:sz w:val="14"/>
                    </w:rPr>
                    <w:t xml:space="preserve">I</w:t>
                  </w:r>
                </w:p>
              </w:tc>
            </w:tr>
            <w:tr>
              <w:trPr>
                <w:cantSplit/>
              </w:trPr>
              <w:tc>
                <w:tcPr>
                  <w:tcW w:w="1344" w:type="dxa"/>
                </w:tcPr>
                <w:p>
                  <w:pPr>
                    <w:pStyle w:val="Compact"/>
                    <w:keepNext/>
                    <w:spacing w:after="0" w:before="0" w:line="240" w:lineRule="auto"/>
                    <w:ind w:firstLine="0"/>
                    <w:jc w:val="left"/>
                  </w:pPr>
                  <w:r>
                    <w:rPr>
                      <w:sz w:val="14"/>
                    </w:rPr>
                    <w:t xml:space="preserve">Enterobacterales</w:t>
                  </w:r>
                </w:p>
              </w:tc>
              <w:tc>
                <w:tcPr>
                  <w:tcW w:w="1128" w:type="dxa"/>
                </w:tcPr>
                <w:p>
                  <w:pPr>
                    <w:pStyle w:val="Compact"/>
                    <w:keepNext/>
                    <w:spacing w:after="0" w:before="0" w:line="240" w:lineRule="auto"/>
                    <w:ind w:firstLine="0"/>
                    <w:jc w:val="left"/>
                  </w:pPr>
                  <w:r>
                    <w:rPr>
                      <w:sz w:val="14"/>
                    </w:rPr>
                    <w:t xml:space="preserve">imipenem</w:t>
                  </w:r>
                </w:p>
              </w:tc>
              <w:tc>
                <w:tcPr>
                  <w:tcW w:w="840" w:type="dxa"/>
                </w:tcPr>
                <w:p>
                  <w:pPr>
                    <w:pStyle w:val="Compact"/>
                    <w:keepNext/>
                    <w:spacing w:after="0" w:before="0" w:line="240" w:lineRule="auto"/>
                    <w:ind w:firstLine="0"/>
                    <w:jc w:val="left"/>
                  </w:pPr>
                  <w:r>
                    <w:rPr>
                      <w:sz w:val="14"/>
                    </w:rPr>
                    <w:t xml:space="preserve">Disk (mm)</w:t>
                  </w:r>
                </w:p>
              </w:tc>
              <w:tc>
                <w:tcPr>
                  <w:tcW w:w="480" w:type="dxa"/>
                </w:tcPr>
                <w:p>
                  <w:pPr>
                    <w:pStyle w:val="Compact"/>
                    <w:keepNext/>
                    <w:spacing w:after="0" w:before="0" w:line="240" w:lineRule="auto"/>
                    <w:ind w:firstLine="0"/>
                    <w:jc w:val="center"/>
                  </w:pPr>
                  <w:r>
                    <w:rPr>
                      <w:sz w:val="14"/>
                    </w:rPr>
                    <w:t xml:space="preserve">≥23</w:t>
                  </w:r>
                </w:p>
              </w:tc>
              <w:tc>
                <w:tcPr>
                  <w:tcW w:w="408" w:type="dxa"/>
                </w:tcPr>
                <w:p>
                  <w:pPr>
                    <w:pStyle w:val="Compact"/>
                    <w:keepNext/>
                    <w:spacing w:after="0" w:before="0" w:line="240" w:lineRule="auto"/>
                    <w:ind w:firstLine="0"/>
                    <w:jc w:val="center"/>
                  </w:pPr>
                  <w:r>
                    <w:rPr>
                      <w:sz w:val="14"/>
                    </w:rPr>
                    <w:t xml:space="preserve">≤19</w:t>
                  </w:r>
                </w:p>
              </w:tc>
              <w:tc>
                <w:tcPr>
                  <w:tcW w:w="696" w:type="dxa"/>
                </w:tcPr>
                <w:p>
                  <w:pPr>
                    <w:pStyle w:val="Compact"/>
                    <w:keepNext/>
                    <w:spacing w:after="0" w:before="0" w:line="240" w:lineRule="auto"/>
                    <w:ind w:firstLine="0"/>
                    <w:jc w:val="left"/>
                  </w:pPr>
                  <w:r>
                    <w:rPr>
                      <w:sz w:val="14"/>
                    </w:rPr>
                    <w:t xml:space="preserve">I</w:t>
                  </w:r>
                </w:p>
              </w:tc>
            </w:tr>
            <w:tr>
              <w:trPr>
                <w:cantSplit/>
              </w:trPr>
              <w:tc>
                <w:tcPr>
                  <w:tcW w:w="1344" w:type="dxa"/>
                </w:tcPr>
                <w:p>
                  <w:pPr>
                    <w:pStyle w:val="Compact"/>
                    <w:keepNext/>
                    <w:spacing w:after="0" w:before="0" w:line="240" w:lineRule="auto"/>
                    <w:ind w:firstLine="0"/>
                    <w:jc w:val="left"/>
                  </w:pPr>
                  <w:r>
                    <w:rPr>
                      <w:sz w:val="14"/>
                    </w:rPr>
                    <w:t xml:space="preserve">Enterobacterales</w:t>
                  </w:r>
                </w:p>
              </w:tc>
              <w:tc>
                <w:tcPr>
                  <w:tcW w:w="1128" w:type="dxa"/>
                </w:tcPr>
                <w:p>
                  <w:pPr>
                    <w:pStyle w:val="Compact"/>
                    <w:keepNext/>
                    <w:spacing w:after="0" w:before="0" w:line="240" w:lineRule="auto"/>
                    <w:ind w:firstLine="0"/>
                    <w:jc w:val="left"/>
                  </w:pPr>
                  <w:r>
                    <w:rPr>
                      <w:sz w:val="14"/>
                    </w:rPr>
                    <w:t xml:space="preserve">meropenem</w:t>
                  </w:r>
                </w:p>
              </w:tc>
              <w:tc>
                <w:tcPr>
                  <w:tcW w:w="840" w:type="dxa"/>
                </w:tcPr>
                <w:p>
                  <w:pPr>
                    <w:pStyle w:val="Compact"/>
                    <w:keepNext/>
                    <w:spacing w:after="0" w:before="0" w:line="240" w:lineRule="auto"/>
                    <w:ind w:firstLine="0"/>
                    <w:jc w:val="left"/>
                  </w:pPr>
                  <w:r>
                    <w:rPr>
                      <w:sz w:val="14"/>
                    </w:rPr>
                    <w:t xml:space="preserve">Disk (mm)</w:t>
                  </w:r>
                </w:p>
              </w:tc>
              <w:tc>
                <w:tcPr>
                  <w:tcW w:w="480" w:type="dxa"/>
                </w:tcPr>
                <w:p>
                  <w:pPr>
                    <w:pStyle w:val="Compact"/>
                    <w:keepNext/>
                    <w:spacing w:after="0" w:before="0" w:line="240" w:lineRule="auto"/>
                    <w:ind w:firstLine="0"/>
                    <w:jc w:val="center"/>
                  </w:pPr>
                  <w:r>
                    <w:rPr>
                      <w:sz w:val="14"/>
                    </w:rPr>
                    <w:t xml:space="preserve">≥23</w:t>
                  </w:r>
                </w:p>
              </w:tc>
              <w:tc>
                <w:tcPr>
                  <w:tcW w:w="408" w:type="dxa"/>
                </w:tcPr>
                <w:p>
                  <w:pPr>
                    <w:pStyle w:val="Compact"/>
                    <w:keepNext/>
                    <w:spacing w:after="0" w:before="0" w:line="240" w:lineRule="auto"/>
                    <w:ind w:firstLine="0"/>
                    <w:jc w:val="center"/>
                  </w:pPr>
                  <w:r>
                    <w:rPr>
                      <w:sz w:val="14"/>
                    </w:rPr>
                    <w:t xml:space="preserve">≤19</w:t>
                  </w:r>
                </w:p>
              </w:tc>
              <w:tc>
                <w:tcPr>
                  <w:tcW w:w="696" w:type="dxa"/>
                </w:tcPr>
                <w:p>
                  <w:pPr>
                    <w:pStyle w:val="Compact"/>
                    <w:keepNext/>
                    <w:spacing w:after="0" w:before="0" w:line="240" w:lineRule="auto"/>
                    <w:ind w:firstLine="0"/>
                    <w:jc w:val="left"/>
                  </w:pPr>
                  <w:r>
                    <w:rPr>
                      <w:sz w:val="14"/>
                    </w:rPr>
                    <w:t xml:space="preserve">I</w:t>
                  </w:r>
                </w:p>
              </w:tc>
            </w:tr>
            <w:tr>
              <w:trPr>
                <w:cantSplit/>
              </w:trPr>
              <w:tc>
                <w:tcPr>
                  <w:tcW w:w="1344" w:type="dxa"/>
                </w:tcPr>
                <w:p>
                  <w:pPr>
                    <w:pStyle w:val="Compact"/>
                    <w:keepNext/>
                    <w:spacing w:after="0" w:before="0" w:line="240" w:lineRule="auto"/>
                    <w:ind w:firstLine="0"/>
                    <w:jc w:val="left"/>
                  </w:pPr>
                  <w:r>
                    <w:rPr>
                      <w:sz w:val="14"/>
                    </w:rPr>
                    <w:t xml:space="preserve">Enterobacterales</w:t>
                  </w:r>
                </w:p>
              </w:tc>
              <w:tc>
                <w:tcPr>
                  <w:tcW w:w="1128" w:type="dxa"/>
                </w:tcPr>
                <w:p>
                  <w:pPr>
                    <w:pStyle w:val="Compact"/>
                    <w:keepNext/>
                    <w:spacing w:after="0" w:before="0" w:line="240" w:lineRule="auto"/>
                    <w:ind w:firstLine="0"/>
                    <w:jc w:val="left"/>
                  </w:pPr>
                  <w:r>
                    <w:rPr>
                      <w:sz w:val="14"/>
                    </w:rPr>
                    <w:t xml:space="preserve">ertapenem</w:t>
                  </w:r>
                </w:p>
              </w:tc>
              <w:tc>
                <w:tcPr>
                  <w:tcW w:w="840" w:type="dxa"/>
                </w:tcPr>
                <w:p>
                  <w:pPr>
                    <w:pStyle w:val="Compact"/>
                    <w:keepNext/>
                    <w:spacing w:after="0" w:before="0" w:line="240" w:lineRule="auto"/>
                    <w:ind w:firstLine="0"/>
                    <w:jc w:val="left"/>
                  </w:pPr>
                  <w:r>
                    <w:rPr>
                      <w:sz w:val="14"/>
                    </w:rPr>
                    <w:t xml:space="preserve">Disk (mm)</w:t>
                  </w:r>
                </w:p>
              </w:tc>
              <w:tc>
                <w:tcPr>
                  <w:tcW w:w="480" w:type="dxa"/>
                </w:tcPr>
                <w:p>
                  <w:pPr>
                    <w:pStyle w:val="Compact"/>
                    <w:keepNext/>
                    <w:spacing w:after="0" w:before="0" w:line="240" w:lineRule="auto"/>
                    <w:ind w:firstLine="0"/>
                    <w:jc w:val="center"/>
                  </w:pPr>
                  <w:r>
                    <w:rPr>
                      <w:sz w:val="14"/>
                    </w:rPr>
                    <w:t xml:space="preserve">≥22</w:t>
                  </w:r>
                </w:p>
              </w:tc>
              <w:tc>
                <w:tcPr>
                  <w:tcW w:w="408" w:type="dxa"/>
                </w:tcPr>
                <w:p>
                  <w:pPr>
                    <w:pStyle w:val="Compact"/>
                    <w:keepNext/>
                    <w:spacing w:after="0" w:before="0" w:line="240" w:lineRule="auto"/>
                    <w:ind w:firstLine="0"/>
                    <w:jc w:val="center"/>
                  </w:pPr>
                  <w:r>
                    <w:rPr>
                      <w:sz w:val="14"/>
                    </w:rPr>
                    <w:t xml:space="preserve">≤18</w:t>
                  </w:r>
                </w:p>
              </w:tc>
              <w:tc>
                <w:tcPr>
                  <w:tcW w:w="696" w:type="dxa"/>
                </w:tcPr>
                <w:p>
                  <w:pPr>
                    <w:pStyle w:val="Compact"/>
                    <w:keepNext/>
                    <w:spacing w:after="0" w:before="0" w:line="240" w:lineRule="auto"/>
                    <w:ind w:firstLine="0"/>
                    <w:jc w:val="left"/>
                  </w:pPr>
                  <w:r>
                    <w:rPr>
                      <w:sz w:val="14"/>
                    </w:rPr>
                    <w:t xml:space="preserve">I</w:t>
                  </w:r>
                </w:p>
              </w:tc>
            </w:tr>
            <w:tr>
              <w:trPr>
                <w:cantSplit/>
              </w:trPr>
              <w:tc>
                <w:tcPr>
                  <w:tcW w:w="1344" w:type="dxa"/>
                </w:tcPr>
                <w:p>
                  <w:pPr>
                    <w:pStyle w:val="Compact"/>
                    <w:keepNext/>
                    <w:spacing w:after="0" w:before="0" w:line="240" w:lineRule="auto"/>
                    <w:ind w:firstLine="0"/>
                    <w:jc w:val="left"/>
                  </w:pPr>
                  <w:r>
                    <w:rPr>
                      <w:sz w:val="14"/>
                    </w:rPr>
                    <w:t xml:space="preserve">Enterobacterales</w:t>
                  </w:r>
                </w:p>
              </w:tc>
              <w:tc>
                <w:tcPr>
                  <w:tcW w:w="1128" w:type="dxa"/>
                </w:tcPr>
                <w:p>
                  <w:pPr>
                    <w:pStyle w:val="Compact"/>
                    <w:keepNext/>
                    <w:spacing w:after="0" w:before="0" w:line="240" w:lineRule="auto"/>
                    <w:ind w:firstLine="0"/>
                    <w:jc w:val="left"/>
                  </w:pPr>
                  <w:r>
                    <w:rPr>
                      <w:sz w:val="14"/>
                    </w:rPr>
                    <w:t xml:space="preserve">doripenem</w:t>
                  </w:r>
                </w:p>
              </w:tc>
              <w:tc>
                <w:tcPr>
                  <w:tcW w:w="840" w:type="dxa"/>
                </w:tcPr>
                <w:p>
                  <w:pPr>
                    <w:pStyle w:val="Compact"/>
                    <w:keepNext/>
                    <w:spacing w:after="0" w:before="0" w:line="240" w:lineRule="auto"/>
                    <w:ind w:firstLine="0"/>
                    <w:jc w:val="left"/>
                  </w:pPr>
                  <w:r>
                    <w:rPr>
                      <w:sz w:val="14"/>
                    </w:rPr>
                    <w:t xml:space="preserve">Disk (mm)</w:t>
                  </w:r>
                </w:p>
              </w:tc>
              <w:tc>
                <w:tcPr>
                  <w:tcW w:w="480" w:type="dxa"/>
                </w:tcPr>
                <w:p>
                  <w:pPr>
                    <w:pStyle w:val="Compact"/>
                    <w:keepNext/>
                    <w:spacing w:after="0" w:before="0" w:line="240" w:lineRule="auto"/>
                    <w:ind w:firstLine="0"/>
                    <w:jc w:val="center"/>
                  </w:pPr>
                  <w:r>
                    <w:rPr>
                      <w:sz w:val="14"/>
                    </w:rPr>
                    <w:t xml:space="preserve">≥23</w:t>
                  </w:r>
                </w:p>
              </w:tc>
              <w:tc>
                <w:tcPr>
                  <w:tcW w:w="408" w:type="dxa"/>
                </w:tcPr>
                <w:p>
                  <w:pPr>
                    <w:pStyle w:val="Compact"/>
                    <w:keepNext/>
                    <w:spacing w:after="0" w:before="0" w:line="240" w:lineRule="auto"/>
                    <w:ind w:firstLine="0"/>
                    <w:jc w:val="center"/>
                  </w:pPr>
                  <w:r>
                    <w:rPr>
                      <w:sz w:val="14"/>
                    </w:rPr>
                    <w:t xml:space="preserve">≤19</w:t>
                  </w:r>
                </w:p>
              </w:tc>
              <w:tc>
                <w:tcPr>
                  <w:tcW w:w="696" w:type="dxa"/>
                </w:tcPr>
                <w:p>
                  <w:pPr>
                    <w:pStyle w:val="Compact"/>
                    <w:keepNext/>
                    <w:spacing w:after="0" w:before="0" w:line="240" w:lineRule="auto"/>
                    <w:ind w:firstLine="0"/>
                    <w:jc w:val="left"/>
                  </w:pPr>
                  <w:r>
                    <w:rPr>
                      <w:sz w:val="14"/>
                    </w:rPr>
                    <w:t xml:space="preserve">I</w:t>
                  </w:r>
                </w:p>
              </w:tc>
            </w:tr>
            <w:tr>
              <w:trPr>
                <w:cantSplit/>
              </w:trPr>
              <w:tc>
                <w:tcPr>
                  <w:tcW w:w="1344" w:type="dxa"/>
                </w:tcPr>
                <w:p>
                  <w:pPr>
                    <w:pStyle w:val="Compact"/>
                    <w:keepNext/>
                    <w:spacing w:after="0" w:before="0" w:line="240" w:lineRule="auto"/>
                    <w:ind w:firstLine="0"/>
                    <w:jc w:val="left"/>
                  </w:pPr>
                  <w:r>
                    <w:rPr>
                      <w:sz w:val="14"/>
                    </w:rPr>
                    <w:t xml:space="preserve">Enterobacterales</w:t>
                  </w:r>
                </w:p>
              </w:tc>
              <w:tc>
                <w:tcPr>
                  <w:tcW w:w="1128" w:type="dxa"/>
                </w:tcPr>
                <w:p>
                  <w:pPr>
                    <w:pStyle w:val="Compact"/>
                    <w:keepNext/>
                    <w:spacing w:after="0" w:before="0" w:line="240" w:lineRule="auto"/>
                    <w:ind w:firstLine="0"/>
                    <w:jc w:val="left"/>
                  </w:pPr>
                  <w:r>
                    <w:rPr>
                      <w:sz w:val="14"/>
                    </w:rPr>
                    <w:t xml:space="preserve">ceftriaxone</w:t>
                  </w:r>
                </w:p>
              </w:tc>
              <w:tc>
                <w:tcPr>
                  <w:tcW w:w="840" w:type="dxa"/>
                </w:tcPr>
                <w:p>
                  <w:pPr>
                    <w:pStyle w:val="Compact"/>
                    <w:keepNext/>
                    <w:spacing w:after="0" w:before="0" w:line="240" w:lineRule="auto"/>
                    <w:ind w:firstLine="0"/>
                    <w:jc w:val="left"/>
                  </w:pPr>
                  <w:r>
                    <w:rPr>
                      <w:sz w:val="14"/>
                    </w:rPr>
                    <w:t xml:space="preserve">Disk (mm)</w:t>
                  </w:r>
                </w:p>
              </w:tc>
              <w:tc>
                <w:tcPr>
                  <w:tcW w:w="480" w:type="dxa"/>
                </w:tcPr>
                <w:p>
                  <w:pPr>
                    <w:pStyle w:val="Compact"/>
                    <w:keepNext/>
                    <w:spacing w:after="0" w:before="0" w:line="240" w:lineRule="auto"/>
                    <w:ind w:firstLine="0"/>
                    <w:jc w:val="center"/>
                  </w:pPr>
                  <w:r>
                    <w:rPr>
                      <w:sz w:val="14"/>
                    </w:rPr>
                    <w:t xml:space="preserve">≥23</w:t>
                  </w:r>
                </w:p>
              </w:tc>
              <w:tc>
                <w:tcPr>
                  <w:tcW w:w="408" w:type="dxa"/>
                </w:tcPr>
                <w:p>
                  <w:pPr>
                    <w:pStyle w:val="Compact"/>
                    <w:keepNext/>
                    <w:spacing w:after="0" w:before="0" w:line="240" w:lineRule="auto"/>
                    <w:ind w:firstLine="0"/>
                    <w:jc w:val="center"/>
                  </w:pPr>
                  <w:r>
                    <w:rPr>
                      <w:sz w:val="14"/>
                    </w:rPr>
                    <w:t xml:space="preserve">≤19</w:t>
                  </w:r>
                </w:p>
              </w:tc>
              <w:tc>
                <w:tcPr>
                  <w:tcW w:w="696" w:type="dxa"/>
                </w:tcPr>
                <w:p>
                  <w:pPr>
                    <w:pStyle w:val="Compact"/>
                    <w:keepNext/>
                    <w:spacing w:after="0" w:before="0" w:line="240" w:lineRule="auto"/>
                    <w:ind w:firstLine="0"/>
                    <w:jc w:val="left"/>
                  </w:pPr>
                  <w:r>
                    <w:rPr>
                      <w:sz w:val="14"/>
                    </w:rPr>
                    <w:t xml:space="preserve">I</w:t>
                  </w:r>
                </w:p>
              </w:tc>
            </w:tr>
            <w:tr>
              <w:trPr>
                <w:cantSplit/>
              </w:trPr>
              <w:tc>
                <w:tcPr>
                  <w:tcW w:w="1344" w:type="dxa"/>
                </w:tcPr>
                <w:p>
                  <w:pPr>
                    <w:pStyle w:val="Compact"/>
                    <w:keepNext/>
                    <w:spacing w:after="0" w:before="0" w:line="240" w:lineRule="auto"/>
                    <w:ind w:firstLine="0"/>
                    <w:jc w:val="left"/>
                  </w:pPr>
                  <w:r>
                    <w:rPr>
                      <w:sz w:val="14"/>
                    </w:rPr>
                    <w:t xml:space="preserve">Enterobacterales</w:t>
                  </w:r>
                </w:p>
              </w:tc>
              <w:tc>
                <w:tcPr>
                  <w:tcW w:w="1128" w:type="dxa"/>
                </w:tcPr>
                <w:p>
                  <w:pPr>
                    <w:pStyle w:val="Compact"/>
                    <w:keepNext/>
                    <w:spacing w:after="0" w:before="0" w:line="240" w:lineRule="auto"/>
                    <w:ind w:firstLine="0"/>
                    <w:jc w:val="left"/>
                  </w:pPr>
                  <w:r>
                    <w:rPr>
                      <w:sz w:val="14"/>
                    </w:rPr>
                    <w:t xml:space="preserve">cefotaxime</w:t>
                  </w:r>
                </w:p>
              </w:tc>
              <w:tc>
                <w:tcPr>
                  <w:tcW w:w="840" w:type="dxa"/>
                </w:tcPr>
                <w:p>
                  <w:pPr>
                    <w:pStyle w:val="Compact"/>
                    <w:keepNext/>
                    <w:spacing w:after="0" w:before="0" w:line="240" w:lineRule="auto"/>
                    <w:ind w:firstLine="0"/>
                    <w:jc w:val="left"/>
                  </w:pPr>
                  <w:r>
                    <w:rPr>
                      <w:sz w:val="14"/>
                    </w:rPr>
                    <w:t xml:space="preserve">Disk (mm)</w:t>
                  </w:r>
                </w:p>
              </w:tc>
              <w:tc>
                <w:tcPr>
                  <w:tcW w:w="480" w:type="dxa"/>
                </w:tcPr>
                <w:p>
                  <w:pPr>
                    <w:pStyle w:val="Compact"/>
                    <w:keepNext/>
                    <w:spacing w:after="0" w:before="0" w:line="240" w:lineRule="auto"/>
                    <w:ind w:firstLine="0"/>
                    <w:jc w:val="center"/>
                  </w:pPr>
                  <w:r>
                    <w:rPr>
                      <w:sz w:val="14"/>
                    </w:rPr>
                    <w:t xml:space="preserve">≥26</w:t>
                  </w:r>
                </w:p>
              </w:tc>
              <w:tc>
                <w:tcPr>
                  <w:tcW w:w="408" w:type="dxa"/>
                </w:tcPr>
                <w:p>
                  <w:pPr>
                    <w:pStyle w:val="Compact"/>
                    <w:keepNext/>
                    <w:spacing w:after="0" w:before="0" w:line="240" w:lineRule="auto"/>
                    <w:ind w:firstLine="0"/>
                    <w:jc w:val="center"/>
                  </w:pPr>
                  <w:r>
                    <w:rPr>
                      <w:sz w:val="14"/>
                    </w:rPr>
                    <w:t xml:space="preserve">≤22</w:t>
                  </w:r>
                </w:p>
              </w:tc>
              <w:tc>
                <w:tcPr>
                  <w:tcW w:w="696" w:type="dxa"/>
                </w:tcPr>
                <w:p>
                  <w:pPr>
                    <w:pStyle w:val="Compact"/>
                    <w:keepNext/>
                    <w:spacing w:after="0" w:before="0" w:line="240" w:lineRule="auto"/>
                    <w:ind w:firstLine="0"/>
                    <w:jc w:val="left"/>
                  </w:pPr>
                  <w:r>
                    <w:rPr>
                      <w:sz w:val="14"/>
                    </w:rPr>
                    <w:t xml:space="preserve">I</w:t>
                  </w:r>
                </w:p>
              </w:tc>
            </w:tr>
            <w:tr>
              <w:trPr>
                <w:cantSplit/>
              </w:trPr>
              <w:tc>
                <w:tcPr>
                  <w:tcW w:w="1344" w:type="dxa"/>
                </w:tcPr>
                <w:p>
                  <w:pPr>
                    <w:pStyle w:val="Compact"/>
                    <w:keepNext/>
                    <w:spacing w:after="0" w:before="0" w:line="240" w:lineRule="auto"/>
                    <w:ind w:firstLine="0"/>
                    <w:jc w:val="left"/>
                  </w:pPr>
                  <w:r>
                    <w:rPr>
                      <w:sz w:val="14"/>
                    </w:rPr>
                    <w:t xml:space="preserve">Enterobacterales</w:t>
                  </w:r>
                </w:p>
              </w:tc>
              <w:tc>
                <w:tcPr>
                  <w:tcW w:w="1128" w:type="dxa"/>
                </w:tcPr>
                <w:p>
                  <w:pPr>
                    <w:pStyle w:val="Compact"/>
                    <w:keepNext/>
                    <w:spacing w:after="0" w:before="0" w:line="240" w:lineRule="auto"/>
                    <w:ind w:firstLine="0"/>
                    <w:jc w:val="left"/>
                  </w:pPr>
                  <w:r>
                    <w:rPr>
                      <w:sz w:val="14"/>
                    </w:rPr>
                    <w:t xml:space="preserve">ceftazidime</w:t>
                  </w:r>
                </w:p>
              </w:tc>
              <w:tc>
                <w:tcPr>
                  <w:tcW w:w="840" w:type="dxa"/>
                </w:tcPr>
                <w:p>
                  <w:pPr>
                    <w:pStyle w:val="Compact"/>
                    <w:keepNext/>
                    <w:spacing w:after="0" w:before="0" w:line="240" w:lineRule="auto"/>
                    <w:ind w:firstLine="0"/>
                    <w:jc w:val="left"/>
                  </w:pPr>
                  <w:r>
                    <w:rPr>
                      <w:sz w:val="14"/>
                    </w:rPr>
                    <w:t xml:space="preserve">Disk (mm)</w:t>
                  </w:r>
                </w:p>
              </w:tc>
              <w:tc>
                <w:tcPr>
                  <w:tcW w:w="480" w:type="dxa"/>
                </w:tcPr>
                <w:p>
                  <w:pPr>
                    <w:pStyle w:val="Compact"/>
                    <w:keepNext/>
                    <w:spacing w:after="0" w:before="0" w:line="240" w:lineRule="auto"/>
                    <w:ind w:firstLine="0"/>
                    <w:jc w:val="center"/>
                  </w:pPr>
                  <w:r>
                    <w:rPr>
                      <w:sz w:val="14"/>
                    </w:rPr>
                    <w:t xml:space="preserve">≥21</w:t>
                  </w:r>
                </w:p>
              </w:tc>
              <w:tc>
                <w:tcPr>
                  <w:tcW w:w="408" w:type="dxa"/>
                </w:tcPr>
                <w:p>
                  <w:pPr>
                    <w:pStyle w:val="Compact"/>
                    <w:keepNext/>
                    <w:spacing w:after="0" w:before="0" w:line="240" w:lineRule="auto"/>
                    <w:ind w:firstLine="0"/>
                    <w:jc w:val="center"/>
                  </w:pPr>
                  <w:r>
                    <w:rPr>
                      <w:sz w:val="14"/>
                    </w:rPr>
                    <w:t xml:space="preserve">≤17</w:t>
                  </w:r>
                </w:p>
              </w:tc>
              <w:tc>
                <w:tcPr>
                  <w:tcW w:w="696" w:type="dxa"/>
                </w:tcPr>
                <w:p>
                  <w:pPr>
                    <w:pStyle w:val="Compact"/>
                    <w:keepNext/>
                    <w:spacing w:after="0" w:before="0" w:line="240" w:lineRule="auto"/>
                    <w:ind w:firstLine="0"/>
                    <w:jc w:val="left"/>
                  </w:pPr>
                  <w:r>
                    <w:rPr>
                      <w:sz w:val="14"/>
                    </w:rPr>
                    <w:t xml:space="preserve">I</w:t>
                  </w:r>
                </w:p>
              </w:tc>
            </w:tr>
            <w:tr>
              <w:trPr>
                <w:cantSplit/>
              </w:trPr>
              <w:tc>
                <w:tcPr>
                  <w:tcW w:w="1344" w:type="dxa"/>
                </w:tcPr>
                <w:p>
                  <w:pPr>
                    <w:pStyle w:val="Compact"/>
                    <w:keepNext/>
                    <w:spacing w:after="0" w:before="0" w:line="240" w:lineRule="auto"/>
                    <w:ind w:firstLine="0"/>
                    <w:jc w:val="left"/>
                  </w:pPr>
                  <w:r>
                    <w:rPr>
                      <w:i/>
                      <w:iCs/>
                      <w:sz w:val="14"/>
                    </w:rPr>
                    <w:t xml:space="preserve">S. aureus</w:t>
                  </w:r>
                </w:p>
              </w:tc>
              <w:tc>
                <w:tcPr>
                  <w:tcW w:w="1128" w:type="dxa"/>
                </w:tcPr>
                <w:p>
                  <w:pPr>
                    <w:pStyle w:val="Compact"/>
                    <w:keepNext/>
                    <w:spacing w:after="0" w:before="0" w:line="240" w:lineRule="auto"/>
                    <w:ind w:firstLine="0"/>
                    <w:jc w:val="left"/>
                  </w:pPr>
                  <w:r>
                    <w:rPr>
                      <w:sz w:val="14"/>
                    </w:rPr>
                    <w:t xml:space="preserve">oxacillin</w:t>
                  </w:r>
                </w:p>
              </w:tc>
              <w:tc>
                <w:tcPr>
                  <w:tcW w:w="840" w:type="dxa"/>
                </w:tcPr>
                <w:p>
                  <w:pPr>
                    <w:pStyle w:val="Compact"/>
                    <w:keepNext/>
                    <w:spacing w:after="0" w:before="0" w:line="240" w:lineRule="auto"/>
                    <w:ind w:firstLine="0"/>
                    <w:jc w:val="left"/>
                  </w:pPr>
                  <w:r>
                    <w:rPr>
                      <w:sz w:val="14"/>
                    </w:rPr>
                    <w:t xml:space="preserve">MIC (mg/L)</w:t>
                  </w:r>
                </w:p>
              </w:tc>
              <w:tc>
                <w:tcPr>
                  <w:tcW w:w="480" w:type="dxa"/>
                </w:tcPr>
                <w:p>
                  <w:pPr>
                    <w:pStyle w:val="Compact"/>
                    <w:keepNext/>
                    <w:spacing w:after="0" w:before="0" w:line="240" w:lineRule="auto"/>
                    <w:ind w:firstLine="0"/>
                    <w:jc w:val="center"/>
                  </w:pPr>
                  <w:r>
                    <w:rPr>
                      <w:sz w:val="14"/>
                    </w:rPr>
                    <w:t xml:space="preserve">≤2</w:t>
                  </w:r>
                </w:p>
              </w:tc>
              <w:tc>
                <w:tcPr>
                  <w:tcW w:w="408" w:type="dxa"/>
                </w:tcPr>
                <w:p>
                  <w:pPr>
                    <w:pStyle w:val="Compact"/>
                    <w:keepNext/>
                    <w:spacing w:after="0" w:before="0" w:line="240" w:lineRule="auto"/>
                    <w:ind w:firstLine="0"/>
                    <w:jc w:val="center"/>
                  </w:pPr>
                  <w:r>
                    <w:rPr>
                      <w:sz w:val="14"/>
                    </w:rPr>
                    <w:t xml:space="preserve">≥4</w:t>
                  </w:r>
                </w:p>
              </w:tc>
              <w:tc>
                <w:tcPr>
                  <w:tcW w:w="696" w:type="dxa"/>
                </w:tcPr>
                <w:p>
                  <w:pPr>
                    <w:pStyle w:val="Compact"/>
                    <w:keepNext/>
                    <w:spacing w:after="0" w:before="0" w:line="240" w:lineRule="auto"/>
                    <w:ind w:firstLine="0"/>
                    <w:jc w:val="left"/>
                  </w:pPr>
                  <w:r>
                    <w:rPr>
                      <w:sz w:val="14"/>
                    </w:rPr>
                    <w:t xml:space="preserve">–</w:t>
                  </w:r>
                </w:p>
              </w:tc>
            </w:tr>
            <w:tr>
              <w:trPr>
                <w:cantSplit/>
              </w:trPr>
              <w:tc>
                <w:tcPr>
                  <w:tcW w:w="1344" w:type="dxa"/>
                </w:tcPr>
                <w:p>
                  <w:pPr>
                    <w:pStyle w:val="Compact"/>
                    <w:keepNext/>
                    <w:spacing w:after="0" w:before="0" w:line="240" w:lineRule="auto"/>
                    <w:ind w:firstLine="0"/>
                    <w:jc w:val="left"/>
                  </w:pPr>
                  <w:r>
                    <w:rPr>
                      <w:i/>
                      <w:iCs/>
                      <w:sz w:val="14"/>
                    </w:rPr>
                    <w:t xml:space="preserve">S. aureus</w:t>
                  </w:r>
                </w:p>
              </w:tc>
              <w:tc>
                <w:tcPr>
                  <w:tcW w:w="1128" w:type="dxa"/>
                </w:tcPr>
                <w:p>
                  <w:pPr>
                    <w:pStyle w:val="Compact"/>
                    <w:keepNext/>
                    <w:spacing w:after="0" w:before="0" w:line="240" w:lineRule="auto"/>
                    <w:ind w:firstLine="0"/>
                    <w:jc w:val="left"/>
                  </w:pPr>
                  <w:r>
                    <w:rPr>
                      <w:sz w:val="14"/>
                    </w:rPr>
                    <w:t xml:space="preserve">cefoxitin</w:t>
                  </w:r>
                </w:p>
              </w:tc>
              <w:tc>
                <w:tcPr>
                  <w:tcW w:w="840" w:type="dxa"/>
                </w:tcPr>
                <w:p>
                  <w:pPr>
                    <w:pStyle w:val="Compact"/>
                    <w:keepNext/>
                    <w:spacing w:after="0" w:before="0" w:line="240" w:lineRule="auto"/>
                    <w:ind w:firstLine="0"/>
                    <w:jc w:val="left"/>
                  </w:pPr>
                  <w:r>
                    <w:rPr>
                      <w:sz w:val="14"/>
                    </w:rPr>
                    <w:t xml:space="preserve">MIC (mg/L)</w:t>
                  </w:r>
                </w:p>
              </w:tc>
              <w:tc>
                <w:tcPr>
                  <w:tcW w:w="480" w:type="dxa"/>
                </w:tcPr>
                <w:p>
                  <w:pPr>
                    <w:pStyle w:val="Compact"/>
                    <w:keepNext/>
                    <w:spacing w:after="0" w:before="0" w:line="240" w:lineRule="auto"/>
                    <w:ind w:firstLine="0"/>
                    <w:jc w:val="center"/>
                  </w:pPr>
                  <w:r>
                    <w:rPr>
                      <w:sz w:val="14"/>
                    </w:rPr>
                    <w:t xml:space="preserve">≤4</w:t>
                  </w:r>
                </w:p>
              </w:tc>
              <w:tc>
                <w:tcPr>
                  <w:tcW w:w="408" w:type="dxa"/>
                </w:tcPr>
                <w:p>
                  <w:pPr>
                    <w:pStyle w:val="Compact"/>
                    <w:keepNext/>
                    <w:spacing w:after="0" w:before="0" w:line="240" w:lineRule="auto"/>
                    <w:ind w:firstLine="0"/>
                    <w:jc w:val="center"/>
                  </w:pPr>
                  <w:r>
                    <w:rPr>
                      <w:sz w:val="14"/>
                    </w:rPr>
                    <w:t xml:space="preserve">≥8</w:t>
                  </w:r>
                </w:p>
              </w:tc>
              <w:tc>
                <w:tcPr>
                  <w:tcW w:w="696" w:type="dxa"/>
                </w:tcPr>
                <w:p>
                  <w:pPr>
                    <w:pStyle w:val="Compact"/>
                    <w:keepNext/>
                    <w:spacing w:after="0" w:before="0" w:line="240" w:lineRule="auto"/>
                    <w:ind w:firstLine="0"/>
                    <w:jc w:val="left"/>
                  </w:pPr>
                  <w:r>
                    <w:rPr>
                      <w:sz w:val="14"/>
                    </w:rPr>
                    <w:t xml:space="preserve">–</w:t>
                  </w:r>
                </w:p>
              </w:tc>
            </w:tr>
            <w:tr>
              <w:trPr>
                <w:cantSplit/>
              </w:trPr>
              <w:tc>
                <w:tcPr>
                  <w:tcW w:w="1344" w:type="dxa"/>
                </w:tcPr>
                <w:p>
                  <w:pPr>
                    <w:pStyle w:val="Compact"/>
                    <w:keepNext/>
                    <w:spacing w:after="0" w:before="0" w:line="240" w:lineRule="auto"/>
                    <w:ind w:firstLine="0"/>
                    <w:jc w:val="left"/>
                  </w:pPr>
                  <w:r>
                    <w:rPr>
                      <w:i/>
                      <w:iCs/>
                      <w:sz w:val="14"/>
                    </w:rPr>
                    <w:t xml:space="preserve">S. aureus</w:t>
                  </w:r>
                </w:p>
              </w:tc>
              <w:tc>
                <w:tcPr>
                  <w:tcW w:w="1128" w:type="dxa"/>
                </w:tcPr>
                <w:p>
                  <w:pPr>
                    <w:pStyle w:val="Compact"/>
                    <w:keepNext/>
                    <w:spacing w:after="0" w:before="0" w:line="240" w:lineRule="auto"/>
                    <w:ind w:firstLine="0"/>
                    <w:jc w:val="left"/>
                  </w:pPr>
                  <w:r>
                    <w:rPr>
                      <w:sz w:val="14"/>
                    </w:rPr>
                    <w:t xml:space="preserve">cefoxitin</w:t>
                  </w:r>
                </w:p>
              </w:tc>
              <w:tc>
                <w:tcPr>
                  <w:tcW w:w="840" w:type="dxa"/>
                </w:tcPr>
                <w:p>
                  <w:pPr>
                    <w:pStyle w:val="Compact"/>
                    <w:keepNext/>
                    <w:spacing w:after="0" w:before="0" w:line="240" w:lineRule="auto"/>
                    <w:ind w:firstLine="0"/>
                    <w:jc w:val="left"/>
                  </w:pPr>
                  <w:r>
                    <w:rPr>
                      <w:sz w:val="14"/>
                    </w:rPr>
                    <w:t xml:space="preserve">Disk (mm)</w:t>
                  </w:r>
                </w:p>
              </w:tc>
              <w:tc>
                <w:tcPr>
                  <w:tcW w:w="480" w:type="dxa"/>
                </w:tcPr>
                <w:p>
                  <w:pPr>
                    <w:pStyle w:val="Compact"/>
                    <w:keepNext/>
                    <w:spacing w:after="0" w:before="0" w:line="240" w:lineRule="auto"/>
                    <w:ind w:firstLine="0"/>
                    <w:jc w:val="center"/>
                  </w:pPr>
                  <w:r>
                    <w:rPr>
                      <w:sz w:val="14"/>
                    </w:rPr>
                    <w:t xml:space="preserve">≥22</w:t>
                  </w:r>
                </w:p>
              </w:tc>
              <w:tc>
                <w:tcPr>
                  <w:tcW w:w="408" w:type="dxa"/>
                </w:tcPr>
                <w:p>
                  <w:pPr>
                    <w:pStyle w:val="Compact"/>
                    <w:keepNext/>
                    <w:spacing w:after="0" w:before="0" w:line="240" w:lineRule="auto"/>
                    <w:ind w:firstLine="0"/>
                    <w:jc w:val="center"/>
                  </w:pPr>
                  <w:r>
                    <w:rPr>
                      <w:sz w:val="14"/>
                    </w:rPr>
                    <w:t xml:space="preserve">≤21</w:t>
                  </w:r>
                </w:p>
              </w:tc>
              <w:tc>
                <w:tcPr>
                  <w:tcW w:w="696" w:type="dxa"/>
                </w:tcPr>
                <w:p>
                  <w:pPr>
                    <w:pStyle w:val="Compact"/>
                    <w:keepNext/>
                    <w:spacing w:after="0" w:before="0" w:line="240" w:lineRule="auto"/>
                    <w:ind w:firstLine="0"/>
                    <w:jc w:val="left"/>
                  </w:pPr>
                  <w:r>
                    <w:rPr>
                      <w:sz w:val="14"/>
                    </w:rPr>
                    <w:t xml:space="preserve">–</w:t>
                  </w:r>
                </w:p>
              </w:tc>
            </w:tr>
            <w:tr>
              <w:trPr>
                <w:cantSplit/>
              </w:trPr>
              <w:tc>
                <w:tcPr>
                  <w:tcW w:w="1344" w:type="dxa"/>
                </w:tcPr>
                <w:p>
                  <w:pPr>
                    <w:pStyle w:val="Compact"/>
                    <w:keepNext/>
                    <w:spacing w:after="0" w:before="0" w:line="240" w:lineRule="auto"/>
                    <w:ind w:firstLine="0"/>
                    <w:jc w:val="left"/>
                  </w:pPr>
                  <w:r>
                    <w:rPr>
                      <w:i/>
                      <w:iCs/>
                      <w:sz w:val="14"/>
                    </w:rPr>
                    <w:t xml:space="preserve">Enterococcus</w:t>
                  </w:r>
                  <w:r>
                    <w:rPr>
                      <w:sz w:val="14"/>
                    </w:rPr>
                    <w:t xml:space="preserve"> </w:t>
                  </w:r>
                  <w:r>
                    <w:rPr>
                      <w:sz w:val="14"/>
                    </w:rPr>
                    <w:t xml:space="preserve">spp.</w:t>
                  </w:r>
                </w:p>
              </w:tc>
              <w:tc>
                <w:tcPr>
                  <w:tcW w:w="1128" w:type="dxa"/>
                </w:tcPr>
                <w:p>
                  <w:pPr>
                    <w:pStyle w:val="Compact"/>
                    <w:keepNext/>
                    <w:spacing w:after="0" w:before="0" w:line="240" w:lineRule="auto"/>
                    <w:ind w:firstLine="0"/>
                    <w:jc w:val="left"/>
                  </w:pPr>
                  <w:r>
                    <w:rPr>
                      <w:sz w:val="14"/>
                    </w:rPr>
                    <w:t xml:space="preserve">vancomycin</w:t>
                  </w:r>
                </w:p>
              </w:tc>
              <w:tc>
                <w:tcPr>
                  <w:tcW w:w="840" w:type="dxa"/>
                </w:tcPr>
                <w:p>
                  <w:pPr>
                    <w:pStyle w:val="Compact"/>
                    <w:keepNext/>
                    <w:spacing w:after="0" w:before="0" w:line="240" w:lineRule="auto"/>
                    <w:ind w:firstLine="0"/>
                    <w:jc w:val="left"/>
                  </w:pPr>
                  <w:r>
                    <w:rPr>
                      <w:sz w:val="14"/>
                    </w:rPr>
                    <w:t xml:space="preserve">MIC (mg/L)</w:t>
                  </w:r>
                </w:p>
              </w:tc>
              <w:tc>
                <w:tcPr>
                  <w:tcW w:w="480" w:type="dxa"/>
                </w:tcPr>
                <w:p>
                  <w:pPr>
                    <w:pStyle w:val="Compact"/>
                    <w:keepNext/>
                    <w:spacing w:after="0" w:before="0" w:line="240" w:lineRule="auto"/>
                    <w:ind w:firstLine="0"/>
                    <w:jc w:val="center"/>
                  </w:pPr>
                  <w:r>
                    <w:rPr>
                      <w:sz w:val="14"/>
                    </w:rPr>
                    <w:t xml:space="preserve">≤4</w:t>
                  </w:r>
                </w:p>
              </w:tc>
              <w:tc>
                <w:tcPr>
                  <w:tcW w:w="408" w:type="dxa"/>
                </w:tcPr>
                <w:p>
                  <w:pPr>
                    <w:pStyle w:val="Compact"/>
                    <w:keepNext/>
                    <w:spacing w:after="0" w:before="0" w:line="240" w:lineRule="auto"/>
                    <w:ind w:firstLine="0"/>
                    <w:jc w:val="center"/>
                  </w:pPr>
                  <w:r>
                    <w:rPr>
                      <w:sz w:val="14"/>
                    </w:rPr>
                    <w:t xml:space="preserve">≥32</w:t>
                  </w:r>
                </w:p>
              </w:tc>
              <w:tc>
                <w:tcPr>
                  <w:tcW w:w="696" w:type="dxa"/>
                </w:tcPr>
                <w:p>
                  <w:pPr>
                    <w:pStyle w:val="Compact"/>
                    <w:keepNext/>
                    <w:spacing w:after="0" w:before="0" w:line="240" w:lineRule="auto"/>
                    <w:ind w:firstLine="0"/>
                    <w:jc w:val="left"/>
                  </w:pPr>
                  <w:r>
                    <w:rPr>
                      <w:sz w:val="14"/>
                    </w:rPr>
                    <w:t xml:space="preserve">I</w:t>
                  </w:r>
                </w:p>
              </w:tc>
            </w:tr>
            <w:tr>
              <w:trPr>
                <w:cantSplit/>
              </w:trPr>
              <w:tc>
                <w:tcPr>
                  <w:tcW w:w="1344" w:type="dxa"/>
                  <w:tcBorders>
                    <w:bottom w:val="double" w:sz="4" w:space="0" w:color="000000"/>
                  </w:tcBorders>
                </w:tcPr>
                <w:p>
                  <w:pPr>
                    <w:pStyle w:val="Compact"/>
                    <w:spacing w:after="0" w:before="0" w:line="240" w:lineRule="auto"/>
                    <w:ind w:firstLine="0"/>
                    <w:jc w:val="left"/>
                  </w:pPr>
                  <w:r>
                    <w:rPr>
                      <w:i/>
                      <w:iCs/>
                      <w:sz w:val="14"/>
                    </w:rPr>
                    <w:t xml:space="preserve">Enterococcus</w:t>
                  </w:r>
                  <w:r>
                    <w:rPr>
                      <w:sz w:val="14"/>
                    </w:rPr>
                    <w:t xml:space="preserve"> </w:t>
                  </w:r>
                  <w:r>
                    <w:rPr>
                      <w:sz w:val="14"/>
                    </w:rPr>
                    <w:t xml:space="preserve">spp.</w:t>
                  </w:r>
                </w:p>
              </w:tc>
              <w:tc>
                <w:tcPr>
                  <w:tcW w:w="1128" w:type="dxa"/>
                  <w:tcBorders>
                    <w:bottom w:val="double" w:sz="4" w:space="0" w:color="000000"/>
                  </w:tcBorders>
                </w:tcPr>
                <w:p>
                  <w:pPr>
                    <w:pStyle w:val="Compact"/>
                    <w:spacing w:after="0" w:before="0" w:line="240" w:lineRule="auto"/>
                    <w:ind w:firstLine="0"/>
                    <w:jc w:val="left"/>
                  </w:pPr>
                  <w:r>
                    <w:rPr>
                      <w:sz w:val="14"/>
                    </w:rPr>
                    <w:t xml:space="preserve">vancomycin</w:t>
                  </w:r>
                </w:p>
              </w:tc>
              <w:tc>
                <w:tcPr>
                  <w:tcW w:w="840" w:type="dxa"/>
                  <w:tcBorders>
                    <w:bottom w:val="double" w:sz="4" w:space="0" w:color="000000"/>
                  </w:tcBorders>
                </w:tcPr>
                <w:p>
                  <w:pPr>
                    <w:pStyle w:val="Compact"/>
                    <w:spacing w:after="0" w:before="0" w:line="240" w:lineRule="auto"/>
                    <w:ind w:firstLine="0"/>
                    <w:jc w:val="left"/>
                  </w:pPr>
                  <w:r>
                    <w:rPr>
                      <w:sz w:val="14"/>
                    </w:rPr>
                    <w:t xml:space="preserve">Disk (mm)</w:t>
                  </w:r>
                </w:p>
              </w:tc>
              <w:tc>
                <w:tcPr>
                  <w:tcW w:w="480" w:type="dxa"/>
                  <w:tcBorders>
                    <w:bottom w:val="double" w:sz="4" w:space="0" w:color="000000"/>
                  </w:tcBorders>
                </w:tcPr>
                <w:p>
                  <w:pPr>
                    <w:pStyle w:val="Compact"/>
                    <w:spacing w:after="0" w:before="0" w:line="240" w:lineRule="auto"/>
                    <w:ind w:firstLine="0"/>
                    <w:jc w:val="center"/>
                  </w:pPr>
                  <w:r>
                    <w:rPr>
                      <w:sz w:val="14"/>
                    </w:rPr>
                    <w:t xml:space="preserve">≥17</w:t>
                  </w:r>
                </w:p>
              </w:tc>
              <w:tc>
                <w:tcPr>
                  <w:tcW w:w="408" w:type="dxa"/>
                  <w:tcBorders>
                    <w:bottom w:val="double" w:sz="4" w:space="0" w:color="000000"/>
                  </w:tcBorders>
                </w:tcPr>
                <w:p>
                  <w:pPr>
                    <w:pStyle w:val="Compact"/>
                    <w:spacing w:after="0" w:before="0" w:line="240" w:lineRule="auto"/>
                    <w:ind w:firstLine="0"/>
                    <w:jc w:val="center"/>
                  </w:pPr>
                  <w:r>
                    <w:rPr>
                      <w:sz w:val="14"/>
                    </w:rPr>
                    <w:t xml:space="preserve">≤14</w:t>
                  </w:r>
                </w:p>
              </w:tc>
              <w:tc>
                <w:tcPr>
                  <w:tcW w:w="696" w:type="dxa"/>
                  <w:tcBorders>
                    <w:bottom w:val="double" w:sz="4" w:space="0" w:color="000000"/>
                  </w:tcBorders>
                </w:tcPr>
                <w:p>
                  <w:pPr>
                    <w:pStyle w:val="Compact"/>
                    <w:spacing w:after="0" w:before="0" w:line="240" w:lineRule="auto"/>
                    <w:ind w:firstLine="0"/>
                    <w:jc w:val="left"/>
                  </w:pPr>
                  <w:r>
                    <w:rPr>
                      <w:sz w:val="14"/>
                    </w:rPr>
                    <w:t xml:space="preserve">I</w:t>
                  </w:r>
                </w:p>
              </w:tc>
            </w:tr>
          </w:tbl>
          <w:p/>
        </w:tc>
      </w:tr>
    </w:tbl>
    <w:bookmarkEnd w:id="29"/>
    <w:bookmarkStart w:id="31" w:name="gene-to-panel-target-crosswalk"/>
    <w:p>
      <w:pPr>
        <w:pStyle w:val="Heading3"/>
      </w:pPr>
      <w:r>
        <w:t xml:space="preserve">D. </w:t>
      </w:r>
      <w:r>
        <w:t xml:space="preserve">Gene-to-panel target crosswalk</w:t>
      </w:r>
    </w:p>
    <w:p>
      <w:pPr>
        <w:pStyle w:val="FirstParagraph"/>
      </w:pPr>
      <w:r>
        <w:t xml:space="preserve">Each AMRFinderPlus symbol was assigned to a panel target when the corresponding family node appeared among its ancestors in the Reference Gene Hierarchy (</w:t>
      </w:r>
      <w:r>
        <w:rPr>
          <w:i/>
          <w:iCs/>
        </w:rPr>
        <w:t xml:space="preserve">mecA</w:t>
      </w:r>
      <w:r>
        <w:t xml:space="preserve">,</w:t>
      </w:r>
      <w:r>
        <w:t xml:space="preserve"> </w:t>
      </w:r>
      <w:r>
        <w:rPr>
          <w:i/>
          <w:iCs/>
        </w:rPr>
        <w:t xml:space="preserve">mecC</w:t>
      </w:r>
      <w:r>
        <w:t xml:space="preserve">,</w:t>
      </w:r>
      <w:r>
        <w:t xml:space="preserve"> </w:t>
      </w:r>
      <w:r>
        <w:rPr>
          <w:i/>
          <w:iCs/>
        </w:rPr>
        <w:t xml:space="preserve">vanA</w:t>
      </w:r>
      <w:r>
        <w:t xml:space="preserve">,</w:t>
      </w:r>
      <w:r>
        <w:t xml:space="preserve"> </w:t>
      </w:r>
      <w:r>
        <w:rPr>
          <w:i/>
          <w:iCs/>
        </w:rPr>
        <w:t xml:space="preserve">vanB</w:t>
      </w:r>
      <w:r>
        <w:t xml:space="preserve">,</w:t>
      </w:r>
      <w:r>
        <w:t xml:space="preserve"> </w:t>
      </w:r>
      <w:r>
        <w:rPr>
          <w:rStyle w:val="VerbatimChar"/>
        </w:rPr>
        <w:t xml:space="preserve">blaKPC</w:t>
      </w:r>
      <w:r>
        <w:t xml:space="preserve">,</w:t>
      </w:r>
      <w:r>
        <w:t xml:space="preserve"> </w:t>
      </w:r>
      <w:r>
        <w:rPr>
          <w:rStyle w:val="VerbatimChar"/>
        </w:rPr>
        <w:t xml:space="preserve">blaNDM</w:t>
      </w:r>
      <w:r>
        <w:t xml:space="preserve">,</w:t>
      </w:r>
      <w:r>
        <w:t xml:space="preserve"> </w:t>
      </w:r>
      <w:r>
        <w:rPr>
          <w:rStyle w:val="VerbatimChar"/>
        </w:rPr>
        <w:t xml:space="preserve">blaOXA-48_fam</w:t>
      </w:r>
      <w:r>
        <w:t xml:space="preserve">,</w:t>
      </w:r>
      <w:r>
        <w:t xml:space="preserve"> </w:t>
      </w:r>
      <w:r>
        <w:rPr>
          <w:rStyle w:val="VerbatimChar"/>
        </w:rPr>
        <w:t xml:space="preserve">blaVIM</w:t>
      </w:r>
      <w:r>
        <w:t xml:space="preserve">,</w:t>
      </w:r>
      <w:r>
        <w:t xml:space="preserve"> </w:t>
      </w:r>
      <w:r>
        <w:rPr>
          <w:rStyle w:val="VerbatimChar"/>
        </w:rPr>
        <w:t xml:space="preserve">blaIMP</w:t>
      </w:r>
      <w:r>
        <w:t xml:space="preserve">,</w:t>
      </w:r>
      <w:r>
        <w:t xml:space="preserve"> </w:t>
      </w:r>
      <w:r>
        <w:rPr>
          <w:rStyle w:val="VerbatimChar"/>
        </w:rPr>
        <w:t xml:space="preserve">blaCTX-M</w:t>
      </w:r>
      <w:r>
        <w:t xml:space="preserve">). The released crosswalk has 964 rows, each with a match flag: the target itself, a family member, an untyped family call, a functional variant (</w:t>
      </w:r>
      <w:r>
        <w:rPr>
          <w:i/>
          <w:iCs/>
        </w:rPr>
        <w:t xml:space="preserve">mecA</w:t>
      </w:r>
      <w:r>
        <w:t xml:space="preserve">-ceftaroline), or an OXA-48 family allele that NCBI does not catalogue as carbapenem-hydrolyzing (54 alleles, for example OXA-163 and OXA-405, versus 28 carbapenem-hydrolyzing alleles including OXA-48, -181, -232 and -244) [</w:t>
      </w:r>
      <w:hyperlink w:anchor="ref-13">
        <w:r>
          <w:rPr>
            <w:rStyle w:val="Hyperlink"/>
            <w:color w:val="0000B3"/>
            <w:u w:val="none"/>
          </w:rPr>
          <w:t xml:space="preserve">13</w:t>
        </w:r>
      </w:hyperlink>
      <w:r>
        <w:t xml:space="preserve">]. A target was</w:t>
      </w:r>
      <w:r>
        <w:t xml:space="preserve"> </w:t>
      </w:r>
      <w:r>
        <w:t xml:space="preserve">“</w:t>
      </w:r>
      <w:r>
        <w:t xml:space="preserve">detected</w:t>
      </w:r>
      <w:r>
        <w:t xml:space="preserve">”</w:t>
      </w:r>
      <w:r>
        <w:t xml:space="preserve"> </w:t>
      </w:r>
      <w:r>
        <w:t xml:space="preserve">when any matching call was present, whether complete or partial, since a PCR target region can be detected in a gene that the assembly reports as partial. Whether a given commercial panel detects a given rare allele depends on the manufacturer’s instructions for use and is not asserted.</w:t>
      </w:r>
    </w:p>
    <w:p>
      <w:pPr>
        <w:pStyle w:val="BodyText"/>
        <w:sectPr>
          <w:footerReference w:type="default" r:id="rId9"/>
          <w:type w:val="continuous"/>
          <w:pgSz w:w="12240" w:h="15840"/>
          <w:pgMar w:top="1224" w:right="1037" w:bottom="1296" w:left="1037" w:header="720" w:footer="560" w:gutter="0"/>
          <w:cols w:num="2" w:space="374"/>
        </w:sectPr>
      </w:pPr>
      <w:r>
        <w:t xml:space="preserve">Non-panel mechanisms were tabulated for each isolate from the catalog’s drug-class annotation: other carbapenemase genes; porin and other point mutations annotated to carbapenems, including frameshift and truncation calls mapped by gene; non-CTX-M cephalosporinases, split into acquired ESBL or AmpC genes, chromosomal enzymes intrinsic to the organism (</w:t>
      </w:r>
      <w:r>
        <w:rPr>
          <w:i/>
          <w:iCs/>
        </w:rPr>
        <w:t xml:space="preserve">E. coli</w:t>
      </w:r>
      <w:r>
        <w:t xml:space="preserve"> </w:t>
      </w:r>
      <w:r>
        <w:rPr>
          <w:rStyle w:val="VerbatimChar"/>
        </w:rPr>
        <w:t xml:space="preserve">blaEC</w:t>
      </w:r>
      <w:r>
        <w:t xml:space="preserve">,</w:t>
      </w:r>
      <w:r>
        <w:t xml:space="preserve"> </w:t>
      </w:r>
      <w:r>
        <w:rPr>
          <w:i/>
          <w:iCs/>
        </w:rPr>
        <w:t xml:space="preserve">Enterobacter</w:t>
      </w:r>
      <w:r>
        <w:t xml:space="preserve"> </w:t>
      </w:r>
      <w:r>
        <w:rPr>
          <w:rStyle w:val="VerbatimChar"/>
        </w:rPr>
        <w:t xml:space="preserve">blaACT</w:t>
      </w:r>
      <w:r>
        <w:t xml:space="preserve">/</w:t>
      </w:r>
      <w:r>
        <w:rPr>
          <w:rStyle w:val="VerbatimChar"/>
        </w:rPr>
        <w:t xml:space="preserve">blaMIR</w:t>
      </w:r>
      <w:r>
        <w:t xml:space="preserve">,</w:t>
      </w:r>
      <w:r>
        <w:t xml:space="preserve"> </w:t>
      </w:r>
      <w:r>
        <w:rPr>
          <w:i/>
          <w:iCs/>
        </w:rPr>
        <w:t xml:space="preserve">Citrobacter freundii</w:t>
      </w:r>
      <w:r>
        <w:t xml:space="preserve"> </w:t>
      </w:r>
      <w:r>
        <w:rPr>
          <w:rStyle w:val="VerbatimChar"/>
        </w:rPr>
        <w:t xml:space="preserve">blaCMY</w:t>
      </w:r>
      <w:r>
        <w:t xml:space="preserve">,</w:t>
      </w:r>
      <w:r>
        <w:t xml:space="preserve"> </w:t>
      </w:r>
      <w:r>
        <w:rPr>
          <w:i/>
          <w:iCs/>
        </w:rPr>
        <w:t xml:space="preserve">Serratia</w:t>
      </w:r>
      <w:r>
        <w:t xml:space="preserve"> </w:t>
      </w:r>
      <w:r>
        <w:rPr>
          <w:rStyle w:val="VerbatimChar"/>
        </w:rPr>
        <w:t xml:space="preserve">blaSRT</w:t>
      </w:r>
      <w:r>
        <w:t xml:space="preserve">,</w:t>
      </w:r>
      <w:r>
        <w:t xml:space="preserve"> </w:t>
      </w:r>
      <w:r>
        <w:rPr>
          <w:i/>
          <w:iCs/>
        </w:rPr>
        <w:t xml:space="preserve">K. oxytoca</w:t>
      </w:r>
      <w:r>
        <w:t xml:space="preserve"> </w:t>
      </w:r>
      <w:r>
        <w:rPr>
          <w:rStyle w:val="VerbatimChar"/>
        </w:rPr>
        <w:t xml:space="preserve">blaOXY</w:t>
      </w:r>
      <w:r>
        <w:t xml:space="preserve"> </w:t>
      </w:r>
      <w:r>
        <w:t xml:space="preserve">and others) and narrow-spectrum OXA-1 and OXA-10 family enzymes;</w:t>
      </w:r>
      <w:r>
        <w:t xml:space="preserve"> </w:t>
      </w:r>
      <w:r>
        <w:rPr>
          <w:i/>
          <w:iCs/>
        </w:rPr>
        <w:t xml:space="preserve">E. coli</w:t>
      </w:r>
      <w:r>
        <w:t xml:space="preserve"> </w:t>
      </w:r>
      <w:r>
        <w:rPr>
          <w:i/>
          <w:iCs/>
        </w:rPr>
        <w:t xml:space="preserve">ampC</w:t>
      </w:r>
      <w:r>
        <w:t xml:space="preserve"> </w:t>
      </w:r>
      <w:r>
        <w:t xml:space="preserve">promoter mutations [</w:t>
      </w:r>
      <w:hyperlink w:anchor="ref-28">
        <w:r>
          <w:rPr>
            <w:rStyle w:val="Hyperlink"/>
            <w:color w:val="0000B3"/>
            <w:u w:val="none"/>
          </w:rPr>
          <w:t xml:space="preserve">28</w:t>
        </w:r>
      </w:hyperlink>
      <w:r>
        <w:t xml:space="preserve">]; and non-panel methicillin and glycopeptide genes.</w:t>
      </w:r>
    </w:p>
    <w:tbl>
      <w:tblPr>
        <w:tblW w:w="1016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10166"/>
      </w:tblGrid>
      <w:tr>
        <w:trPr>
          <w:cantSplit/>
        </w:trPr>
        <w:tc>
          <w:tcPr>
            <w:tcW w:w="10166" w:type="dxa"/>
          </w:tcPr>
          <w:p>
            <w:pPr>
              <w:pStyle w:val="TabCaption"/>
            </w:pPr>
            <w:bookmarkStart w:id="30" w:name="tab-II"/>
            <w:bookmarkEnd w:id="30"/>
            <w:r>
              <w:t xml:space="preserve">TABLE II: Panel targets, drugs scored and analysis groups. Composite drugs count an isolate as resistant if it is resistant to any tested member, and as not resistant if at least one member was tested and none was resistant.</w:t>
            </w:r>
          </w:p>
          <w:tbl>
            <w:tblPr>
              <w:tblStyle w:val="Table"/>
              <w:tblW w:w="10166" w:type="dxa"/>
              <w:jc w:val="center"/>
              <w:tblLayout w:type="fixed"/>
              <w:tblCellMar>
                <w:top w:w="0" w:type="dxa"/>
                <w:left w:w="60" w:type="dxa"/>
                <w:bottom w:w="0" w:type="dxa"/>
                <w:right w:w="60" w:type="dxa"/>
              </w:tblCellMar>
              <w:tblLook w:firstRow="1" w:lastRow="0" w:firstColumn="0" w:lastColumn="0" w:noHBand="0" w:noVBand="0" w:val="0020"/>
            </w:tblPr>
            <w:tblGrid>
              <w:gridCol w:w="2718"/>
              <w:gridCol w:w="2416"/>
              <w:gridCol w:w="2716"/>
              <w:gridCol w:w="2316"/>
            </w:tblGrid>
            <w:tr>
              <w:trPr>
                <w:tblHeader w:val="true"/>
              </w:trPr>
              <w:tc>
                <w:tcPr>
                  <w:tcW w:w="2718" w:type="dxa"/>
                  <w:tcBorders>
                    <w:top w:val="double" w:sz="4" w:space="0" w:color="000000"/>
                    <w:bottom w:val="single" w:sz="4" w:space="0" w:color="000000"/>
                  </w:tcBorders>
                </w:tcPr>
                <w:p>
                  <w:pPr>
                    <w:pStyle w:val="Compact"/>
                    <w:spacing w:after="0" w:before="0" w:line="240" w:lineRule="auto"/>
                    <w:ind w:firstLine="0"/>
                    <w:jc w:val="left"/>
                  </w:pPr>
                  <w:r>
                    <w:rPr>
                      <w:sz w:val="16"/>
                    </w:rPr>
                    <w:t xml:space="preserve">Panel target(s)</w:t>
                  </w:r>
                </w:p>
              </w:tc>
              <w:tc>
                <w:tcPr>
                  <w:tcW w:w="2416" w:type="dxa"/>
                  <w:tcBorders>
                    <w:top w:val="double" w:sz="4" w:space="0" w:color="000000"/>
                    <w:bottom w:val="single" w:sz="4" w:space="0" w:color="000000"/>
                  </w:tcBorders>
                </w:tcPr>
                <w:p>
                  <w:pPr>
                    <w:pStyle w:val="Compact"/>
                    <w:spacing w:after="0" w:before="0" w:line="240" w:lineRule="auto"/>
                    <w:ind w:firstLine="0"/>
                    <w:jc w:val="left"/>
                  </w:pPr>
                  <w:r>
                    <w:rPr>
                      <w:sz w:val="16"/>
                    </w:rPr>
                    <w:t xml:space="preserve">Organisms</w:t>
                  </w:r>
                </w:p>
              </w:tc>
              <w:tc>
                <w:tcPr>
                  <w:tcW w:w="2716" w:type="dxa"/>
                  <w:tcBorders>
                    <w:top w:val="double" w:sz="4" w:space="0" w:color="000000"/>
                    <w:bottom w:val="single" w:sz="4" w:space="0" w:color="000000"/>
                  </w:tcBorders>
                </w:tcPr>
                <w:p>
                  <w:pPr>
                    <w:pStyle w:val="Compact"/>
                    <w:spacing w:after="0" w:before="0" w:line="240" w:lineRule="auto"/>
                    <w:ind w:firstLine="0"/>
                    <w:jc w:val="left"/>
                  </w:pPr>
                  <w:r>
                    <w:rPr>
                      <w:sz w:val="16"/>
                    </w:rPr>
                    <w:t xml:space="preserve">Drugs scored individually</w:t>
                  </w:r>
                </w:p>
              </w:tc>
              <w:tc>
                <w:tcPr>
                  <w:tcW w:w="2316" w:type="dxa"/>
                  <w:tcBorders>
                    <w:top w:val="double" w:sz="4" w:space="0" w:color="000000"/>
                    <w:bottom w:val="single" w:sz="4" w:space="0" w:color="000000"/>
                  </w:tcBorders>
                </w:tcPr>
                <w:p>
                  <w:pPr>
                    <w:pStyle w:val="Compact"/>
                    <w:spacing w:after="0" w:before="0" w:line="240" w:lineRule="auto"/>
                    <w:ind w:firstLine="0"/>
                    <w:jc w:val="left"/>
                  </w:pPr>
                  <w:r>
                    <w:rPr>
                      <w:sz w:val="16"/>
                    </w:rPr>
                    <w:t xml:space="preserve">Composite</w:t>
                  </w:r>
                </w:p>
              </w:tc>
            </w:tr>
            <w:tr>
              <w:tc>
                <w:tcPr>
                  <w:tcW w:w="2718" w:type="dxa"/>
                </w:tcPr>
                <w:p>
                  <w:pPr>
                    <w:pStyle w:val="Compact"/>
                    <w:spacing w:after="0" w:before="0" w:line="240" w:lineRule="auto"/>
                    <w:ind w:firstLine="0"/>
                    <w:jc w:val="left"/>
                  </w:pPr>
                  <w:r>
                    <w:rPr>
                      <w:i/>
                      <w:iCs/>
                      <w:sz w:val="16"/>
                    </w:rPr>
                    <w:t xml:space="preserve">mecA</w:t>
                  </w:r>
                  <w:r>
                    <w:rPr>
                      <w:sz w:val="16"/>
                    </w:rPr>
                    <w:t xml:space="preserve">,</w:t>
                  </w:r>
                  <w:r>
                    <w:rPr>
                      <w:sz w:val="16"/>
                    </w:rPr>
                    <w:t xml:space="preserve"> </w:t>
                  </w:r>
                  <w:r>
                    <w:rPr>
                      <w:i/>
                      <w:iCs/>
                      <w:sz w:val="16"/>
                    </w:rPr>
                    <w:t xml:space="preserve">mecC</w:t>
                  </w:r>
                </w:p>
              </w:tc>
              <w:tc>
                <w:tcPr>
                  <w:tcW w:w="2416" w:type="dxa"/>
                </w:tcPr>
                <w:p>
                  <w:pPr>
                    <w:pStyle w:val="Compact"/>
                    <w:spacing w:after="0" w:before="0" w:line="240" w:lineRule="auto"/>
                    <w:ind w:firstLine="0"/>
                    <w:jc w:val="left"/>
                  </w:pPr>
                  <w:r>
                    <w:rPr>
                      <w:i/>
                      <w:iCs/>
                      <w:sz w:val="16"/>
                    </w:rPr>
                    <w:t xml:space="preserve">S. aureus</w:t>
                  </w:r>
                </w:p>
              </w:tc>
              <w:tc>
                <w:tcPr>
                  <w:tcW w:w="2716" w:type="dxa"/>
                </w:tcPr>
                <w:p>
                  <w:pPr>
                    <w:pStyle w:val="Compact"/>
                    <w:spacing w:after="0" w:before="0" w:line="240" w:lineRule="auto"/>
                    <w:ind w:firstLine="0"/>
                    <w:jc w:val="left"/>
                  </w:pPr>
                  <w:r>
                    <w:rPr>
                      <w:sz w:val="16"/>
                    </w:rPr>
                    <w:t xml:space="preserve">oxacillin (MIC), cefoxitin (screen)</w:t>
                  </w:r>
                </w:p>
              </w:tc>
              <w:tc>
                <w:tcPr>
                  <w:tcW w:w="2316" w:type="dxa"/>
                </w:tcPr>
                <w:p>
                  <w:pPr>
                    <w:pStyle w:val="Compact"/>
                    <w:spacing w:after="0" w:before="0" w:line="240" w:lineRule="auto"/>
                    <w:ind w:firstLine="0"/>
                    <w:jc w:val="left"/>
                  </w:pPr>
                  <w:r>
                    <w:rPr>
                      <w:sz w:val="16"/>
                    </w:rPr>
                    <w:t xml:space="preserve">oxacillin or cefoxitin</w:t>
                  </w:r>
                </w:p>
              </w:tc>
            </w:tr>
            <w:tr>
              <w:tc>
                <w:tcPr>
                  <w:tcW w:w="2718" w:type="dxa"/>
                </w:tcPr>
                <w:p>
                  <w:pPr>
                    <w:pStyle w:val="Compact"/>
                    <w:spacing w:after="0" w:before="0" w:line="240" w:lineRule="auto"/>
                    <w:ind w:firstLine="0"/>
                    <w:jc w:val="left"/>
                  </w:pPr>
                  <w:r>
                    <w:rPr>
                      <w:i/>
                      <w:iCs/>
                      <w:sz w:val="16"/>
                    </w:rPr>
                    <w:t xml:space="preserve">vanA</w:t>
                  </w:r>
                  <w:r>
                    <w:rPr>
                      <w:sz w:val="16"/>
                    </w:rPr>
                    <w:t xml:space="preserve">,</w:t>
                  </w:r>
                  <w:r>
                    <w:rPr>
                      <w:sz w:val="16"/>
                    </w:rPr>
                    <w:t xml:space="preserve"> </w:t>
                  </w:r>
                  <w:r>
                    <w:rPr>
                      <w:i/>
                      <w:iCs/>
                      <w:sz w:val="16"/>
                    </w:rPr>
                    <w:t xml:space="preserve">vanB</w:t>
                  </w:r>
                </w:p>
              </w:tc>
              <w:tc>
                <w:tcPr>
                  <w:tcW w:w="2416" w:type="dxa"/>
                </w:tcPr>
                <w:p>
                  <w:pPr>
                    <w:pStyle w:val="Compact"/>
                    <w:spacing w:after="0" w:before="0" w:line="240" w:lineRule="auto"/>
                    <w:ind w:firstLine="0"/>
                    <w:jc w:val="left"/>
                  </w:pPr>
                  <w:r>
                    <w:rPr>
                      <w:i/>
                      <w:iCs/>
                      <w:sz w:val="16"/>
                    </w:rPr>
                    <w:t xml:space="preserve">E. faecalis</w:t>
                  </w:r>
                  <w:r>
                    <w:rPr>
                      <w:sz w:val="16"/>
                    </w:rPr>
                    <w:t xml:space="preserve">,</w:t>
                  </w:r>
                  <w:r>
                    <w:rPr>
                      <w:sz w:val="16"/>
                    </w:rPr>
                    <w:t xml:space="preserve"> </w:t>
                  </w:r>
                  <w:r>
                    <w:rPr>
                      <w:i/>
                      <w:iCs/>
                      <w:sz w:val="16"/>
                    </w:rPr>
                    <w:t xml:space="preserve">E. faecium</w:t>
                  </w:r>
                </w:p>
              </w:tc>
              <w:tc>
                <w:tcPr>
                  <w:tcW w:w="2716" w:type="dxa"/>
                </w:tcPr>
                <w:p>
                  <w:pPr>
                    <w:pStyle w:val="Compact"/>
                    <w:spacing w:after="0" w:before="0" w:line="240" w:lineRule="auto"/>
                    <w:ind w:firstLine="0"/>
                    <w:jc w:val="left"/>
                  </w:pPr>
                  <w:r>
                    <w:rPr>
                      <w:sz w:val="16"/>
                    </w:rPr>
                    <w:t xml:space="preserve">vancomycin</w:t>
                  </w:r>
                </w:p>
              </w:tc>
              <w:tc>
                <w:tcPr>
                  <w:tcW w:w="2316" w:type="dxa"/>
                </w:tcPr>
                <w:p>
                  <w:pPr>
                    <w:pStyle w:val="Compact"/>
                    <w:spacing w:after="0" w:before="0" w:line="240" w:lineRule="auto"/>
                    <w:ind w:firstLine="0"/>
                    <w:jc w:val="left"/>
                  </w:pPr>
                  <w:r>
                    <w:rPr>
                      <w:sz w:val="16"/>
                    </w:rPr>
                    <w:t xml:space="preserve">–</w:t>
                  </w:r>
                </w:p>
              </w:tc>
            </w:tr>
            <w:tr>
              <w:tc>
                <w:tcPr>
                  <w:tcW w:w="2718" w:type="dxa"/>
                </w:tcPr>
                <w:p>
                  <w:pPr>
                    <w:pStyle w:val="Compact"/>
                    <w:spacing w:after="0" w:before="0" w:line="240" w:lineRule="auto"/>
                    <w:ind w:firstLine="0"/>
                    <w:jc w:val="left"/>
                  </w:pPr>
                  <w:r>
                    <w:rPr>
                      <w:sz w:val="16"/>
                    </w:rPr>
                    <w:t xml:space="preserve">KPC, NDM, OXA-48-like, VIM, IMP</w:t>
                  </w:r>
                </w:p>
              </w:tc>
              <w:tc>
                <w:tcPr>
                  <w:tcW w:w="2416" w:type="dxa"/>
                </w:tcPr>
                <w:p>
                  <w:pPr>
                    <w:pStyle w:val="Compact"/>
                    <w:spacing w:after="0" w:before="0" w:line="240" w:lineRule="auto"/>
                    <w:ind w:firstLine="0"/>
                    <w:jc w:val="left"/>
                  </w:pPr>
                  <w:r>
                    <w:rPr>
                      <w:sz w:val="16"/>
                    </w:rPr>
                    <w:t xml:space="preserve">Enterobacterales</w:t>
                  </w:r>
                </w:p>
              </w:tc>
              <w:tc>
                <w:tcPr>
                  <w:tcW w:w="2716" w:type="dxa"/>
                </w:tcPr>
                <w:p>
                  <w:pPr>
                    <w:pStyle w:val="Compact"/>
                    <w:spacing w:after="0" w:before="0" w:line="240" w:lineRule="auto"/>
                    <w:ind w:firstLine="0"/>
                    <w:jc w:val="left"/>
                  </w:pPr>
                  <w:r>
                    <w:rPr>
                      <w:sz w:val="16"/>
                    </w:rPr>
                    <w:t xml:space="preserve">meropenem, imipenem, ertapenem, doripenem</w:t>
                  </w:r>
                </w:p>
              </w:tc>
              <w:tc>
                <w:tcPr>
                  <w:tcW w:w="2316" w:type="dxa"/>
                </w:tcPr>
                <w:p>
                  <w:pPr>
                    <w:pStyle w:val="Compact"/>
                    <w:spacing w:after="0" w:before="0" w:line="240" w:lineRule="auto"/>
                    <w:ind w:firstLine="0"/>
                    <w:jc w:val="left"/>
                  </w:pPr>
                  <w:r>
                    <w:rPr>
                      <w:sz w:val="16"/>
                    </w:rPr>
                    <w:t xml:space="preserve">any carbapenem</w:t>
                  </w:r>
                </w:p>
              </w:tc>
            </w:tr>
            <w:tr>
              <w:tc>
                <w:tcPr>
                  <w:tcW w:w="2718" w:type="dxa"/>
                  <w:tcBorders>
                    <w:bottom w:val="double" w:sz="4" w:space="0" w:color="000000"/>
                  </w:tcBorders>
                </w:tcPr>
                <w:p>
                  <w:pPr>
                    <w:pStyle w:val="Compact"/>
                    <w:spacing w:after="0" w:before="0" w:line="240" w:lineRule="auto"/>
                    <w:ind w:firstLine="0"/>
                    <w:jc w:val="left"/>
                  </w:pPr>
                  <w:r>
                    <w:rPr>
                      <w:sz w:val="16"/>
                    </w:rPr>
                    <w:t xml:space="preserve">CTX-M</w:t>
                  </w:r>
                </w:p>
              </w:tc>
              <w:tc>
                <w:tcPr>
                  <w:tcW w:w="2416" w:type="dxa"/>
                  <w:tcBorders>
                    <w:bottom w:val="double" w:sz="4" w:space="0" w:color="000000"/>
                  </w:tcBorders>
                </w:tcPr>
                <w:p>
                  <w:pPr>
                    <w:pStyle w:val="Compact"/>
                    <w:spacing w:after="0" w:before="0" w:line="240" w:lineRule="auto"/>
                    <w:ind w:firstLine="0"/>
                    <w:jc w:val="left"/>
                  </w:pPr>
                  <w:r>
                    <w:rPr>
                      <w:sz w:val="16"/>
                    </w:rPr>
                    <w:t xml:space="preserve">Enterobacterales</w:t>
                  </w:r>
                </w:p>
              </w:tc>
              <w:tc>
                <w:tcPr>
                  <w:tcW w:w="2716" w:type="dxa"/>
                  <w:tcBorders>
                    <w:bottom w:val="double" w:sz="4" w:space="0" w:color="000000"/>
                  </w:tcBorders>
                </w:tcPr>
                <w:p>
                  <w:pPr>
                    <w:pStyle w:val="Compact"/>
                    <w:spacing w:after="0" w:before="0" w:line="240" w:lineRule="auto"/>
                    <w:ind w:firstLine="0"/>
                    <w:jc w:val="left"/>
                  </w:pPr>
                  <w:r>
                    <w:rPr>
                      <w:sz w:val="16"/>
                    </w:rPr>
                    <w:t xml:space="preserve">ceftriaxone, cefotaxime, ceftazidime</w:t>
                  </w:r>
                </w:p>
              </w:tc>
              <w:tc>
                <w:tcPr>
                  <w:tcW w:w="2316" w:type="dxa"/>
                  <w:tcBorders>
                    <w:bottom w:val="double" w:sz="4" w:space="0" w:color="000000"/>
                  </w:tcBorders>
                </w:tcPr>
                <w:p>
                  <w:pPr>
                    <w:pStyle w:val="Compact"/>
                    <w:spacing w:after="0" w:before="0" w:line="240" w:lineRule="auto"/>
                    <w:ind w:firstLine="0"/>
                    <w:jc w:val="left"/>
                  </w:pPr>
                  <w:r>
                    <w:rPr>
                      <w:sz w:val="16"/>
                    </w:rPr>
                    <w:t xml:space="preserve">any of the three</w:t>
                  </w:r>
                </w:p>
              </w:tc>
            </w:tr>
          </w:tbl>
          <w:p>
            <w:pPr>
              <w:pStyle w:val="TableNote"/>
            </w:pPr>
            <w:r>
              <w:t xml:space="preserve">Note: Class-level targets:</w:t>
            </w:r>
            <w:r>
              <w:t xml:space="preserve"> </w:t>
            </w:r>
            <w:r>
              <w:rPr>
                <w:i/>
                <w:iCs/>
              </w:rPr>
              <w:t xml:space="preserve">mecA</w:t>
            </w:r>
            <w:r>
              <w:t xml:space="preserve"> </w:t>
            </w:r>
            <w:r>
              <w:t xml:space="preserve">or</w:t>
            </w:r>
            <w:r>
              <w:t xml:space="preserve"> </w:t>
            </w:r>
            <w:r>
              <w:rPr>
                <w:i/>
                <w:iCs/>
              </w:rPr>
              <w:t xml:space="preserve">mecC</w:t>
            </w:r>
            <w:r>
              <w:t xml:space="preserve">;</w:t>
            </w:r>
            <w:r>
              <w:t xml:space="preserve"> </w:t>
            </w:r>
            <w:r>
              <w:rPr>
                <w:i/>
                <w:iCs/>
              </w:rPr>
              <w:t xml:space="preserve">vanA</w:t>
            </w:r>
            <w:r>
              <w:t xml:space="preserve"> </w:t>
            </w:r>
            <w:r>
              <w:t xml:space="preserve">or</w:t>
            </w:r>
            <w:r>
              <w:t xml:space="preserve"> </w:t>
            </w:r>
            <w:r>
              <w:rPr>
                <w:i/>
                <w:iCs/>
              </w:rPr>
              <w:t xml:space="preserve">vanB</w:t>
            </w:r>
            <w:r>
              <w:t xml:space="preserve">; any panel carbapenemase (KPC, NDM, OXA-48-like, VIM or IMP).</w:t>
            </w:r>
          </w:p>
          <w:p>
            <w:pPr>
              <w:pStyle w:val="TableNote"/>
            </w:pPr>
            <w:r>
              <w:t xml:space="preserve">Note: Enterobacterales are reported by organism group and pooled;</w:t>
            </w:r>
            <w:r>
              <w:t xml:space="preserve"> </w:t>
            </w:r>
            <w:r>
              <w:rPr>
                <w:i/>
                <w:iCs/>
              </w:rPr>
              <w:t xml:space="preserve">Salmonella</w:t>
            </w:r>
            <w:r>
              <w:t xml:space="preserve"> </w:t>
            </w:r>
            <w:r>
              <w:t xml:space="preserve">is reported separately and excluded from the pooled row.</w:t>
            </w:r>
          </w:p>
        </w:tc>
      </w:tr>
    </w:tbl>
    <w:p>
      <w:pPr>
        <w:spacing w:before="0" w:after="0" w:line="20" w:lineRule="exact"/>
        <w:rPr>
          <w:sz w:val="2"/>
        </w:rPr>
        <w:sectPr>
          <w:footerReference w:type="default" r:id="rId9"/>
          <w:type w:val="continuous"/>
          <w:pgSz w:w="12240" w:h="15840"/>
          <w:pgMar w:top="1224" w:right="1037" w:bottom="1296" w:left="1037" w:header="720" w:footer="560" w:gutter="0"/>
          <w:cols w:num="1" w:space="374"/>
        </w:sectPr>
      </w:pPr>
    </w:p>
    <w:bookmarkEnd w:id="31"/>
    <w:bookmarkStart w:id="32" w:name="concordance-measures"/>
    <w:p>
      <w:pPr>
        <w:pStyle w:val="Heading3"/>
      </w:pPr>
      <w:r>
        <w:t xml:space="preserve">E. </w:t>
      </w:r>
      <w:r>
        <w:t xml:space="preserve">Concordance measures</w:t>
      </w:r>
    </w:p>
    <w:p>
      <w:pPr>
        <w:pStyle w:val="FirstParagraph"/>
      </w:pPr>
      <w:r>
        <w:t xml:space="preserve">For each panel target t, drug (or composite) d and organism group o, isolates with a usable result for d form a 2×2 table of gene status (G⁺, G⁻) against phenotype (R, R̄). Resistant (R) means a final category of R; not resistant (R̄) means S, I or susceptible-dose dependent (SDD) in the main analysis. We report</w:t>
      </w:r>
    </w:p>
    <w:tbl>
      <w:tblPr>
        <w:tblW w:w="4896" w:type="dxa"/>
        <w:tblLayout w:type="fixed"/>
        <w:tblCellMar>
          <w:left w:w="0" w:type="dxa"/>
          <w:right w:w="0" w:type="dxa"/>
        </w:tblCellMar>
        <w:tblLook w:firstColumn="1" w:firstRow="1" w:lastColumn="0" w:lastRow="0" w:noHBand="0" w:noVBand="1" w:val="04A0"/>
      </w:tblPr>
      <w:tblGrid>
        <w:gridCol w:w="700"/>
        <w:gridCol w:w="3496"/>
        <w:gridCol w:w="700"/>
      </w:tblGrid>
      <w:tr>
        <w:tc>
          <w:tcPr>
            <w:tcW w:type="dxa" w:w="700"/>
            <w:vAlign w:val="center"/>
          </w:tcPr>
          <w:p>
            <w:pPr>
              <w:ind w:firstLine="0"/>
            </w:pPr>
          </w:p>
        </w:tc>
        <w:tc>
          <w:tcPr>
            <w:tcW w:type="dxa" w:w="3496"/>
            <w:vAlign w:val="center"/>
          </w:tcPr>
          <w:p>
            <w:pPr>
              <w:pStyle w:val="BodyText"/>
              <w:spacing w:before="60" w:after="60" w:line="240" w:lineRule="auto"/>
              <w:ind w:firstLine="0"/>
            </w:pPr>
            <m:oMathPara>
              <m:oMathParaPr>
                <m:jc m:val="center"/>
              </m:oMathParaPr>
              <m:oMath>
                <m:r>
                  <m:rPr>
                    <m:sty m:val="p"/>
                  </m:rPr>
                  <m:t>PPV</m:t>
                </m:r>
                <m:r>
                  <m:rPr>
                    <m:sty m:val="p"/>
                  </m:rPr>
                  <m:t>=</m:t>
                </m:r>
                <m:f>
                  <m:fPr>
                    <m:type m:val="bar"/>
                  </m:fPr>
                  <m:num>
                    <m:r>
                      <m:t>n</m:t>
                    </m:r>
                    <m:d>
                      <m:dPr>
                        <m:begChr m:val="("/>
                        <m:endChr m:val=")"/>
                        <m:grow/>
                      </m:dPr>
                      <m:e>
                        <m:sSup>
                          <m:e>
                            <m:r>
                              <m:t>G</m:t>
                            </m:r>
                          </m:e>
                          <m:sup>
                            <m:r>
                              <m:rPr>
                                <m:nor/>
                              </m:rPr>
                              <m:t>+</m:t>
                            </m:r>
                          </m:sup>
                        </m:sSup>
                        <m:r>
                          <m:t>R</m:t>
                        </m:r>
                      </m:e>
                    </m:d>
                  </m:num>
                  <m:den>
                    <m:r>
                      <m:t>n</m:t>
                    </m:r>
                    <m:d>
                      <m:dPr>
                        <m:begChr m:val="("/>
                        <m:endChr m:val=")"/>
                        <m:grow/>
                      </m:dPr>
                      <m:e>
                        <m:sSup>
                          <m:e>
                            <m:r>
                              <m:t>G</m:t>
                            </m:r>
                          </m:e>
                          <m:sup>
                            <m:r>
                              <m:rPr>
                                <m:nor/>
                              </m:rPr>
                              <m:t>+</m:t>
                            </m:r>
                          </m:sup>
                        </m:sSup>
                      </m:e>
                    </m:d>
                  </m:den>
                </m:f>
                <m:r>
                  <m:rPr>
                    <m:sty m:val="p"/>
                  </m:rPr>
                  <m:t>,</m:t>
                </m:r>
                <m:r>
                  <m:t>  </m:t>
                </m:r>
                <m:r>
                  <m:rPr>
                    <m:sty m:val="p"/>
                  </m:rPr>
                  <m:t>NPV</m:t>
                </m:r>
                <m:r>
                  <m:rPr>
                    <m:sty m:val="p"/>
                  </m:rPr>
                  <m:t>=</m:t>
                </m:r>
                <m:f>
                  <m:fPr>
                    <m:type m:val="bar"/>
                  </m:fPr>
                  <m:num>
                    <m:r>
                      <m:t>n</m:t>
                    </m:r>
                    <m:d>
                      <m:dPr>
                        <m:begChr m:val="("/>
                        <m:endChr m:val=")"/>
                        <m:grow/>
                      </m:dPr>
                      <m:e>
                        <m:sSup>
                          <m:e>
                            <m:r>
                              <m:t>G</m:t>
                            </m:r>
                          </m:e>
                          <m:sup>
                            <m:r>
                              <m:rPr>
                                <m:sty m:val="p"/>
                              </m:rPr>
                              <m:t>−</m:t>
                            </m:r>
                          </m:sup>
                        </m:sSup>
                        <m:acc>
                          <m:accPr>
                            <m:chr m:val="‾"/>
                          </m:accPr>
                          <m:e>
                            <m:r>
                              <m:t>R</m:t>
                            </m:r>
                          </m:e>
                        </m:acc>
                      </m:e>
                    </m:d>
                  </m:num>
                  <m:den>
                    <m:r>
                      <m:t>n</m:t>
                    </m:r>
                    <m:d>
                      <m:dPr>
                        <m:begChr m:val="("/>
                        <m:endChr m:val=")"/>
                        <m:grow/>
                      </m:dPr>
                      <m:e>
                        <m:sSup>
                          <m:e>
                            <m:r>
                              <m:t>G</m:t>
                            </m:r>
                          </m:e>
                          <m:sup>
                            <m:r>
                              <m:rPr>
                                <m:sty m:val="p"/>
                              </m:rPr>
                              <m:t>−</m:t>
                            </m:r>
                          </m:sup>
                        </m:sSup>
                      </m:e>
                    </m:d>
                  </m:den>
                </m:f>
                <m:r>
                  <m:rPr>
                    <m:sty m:val="p"/>
                  </m:rPr>
                  <m:t>,</m:t>
                </m:r>
              </m:oMath>
            </m:oMathPara>
          </w:p>
        </w:tc>
        <w:tc>
          <w:tcPr>
            <w:tcW w:type="dxa" w:w="700"/>
            <w:vAlign w:val="center"/>
          </w:tcPr>
          <w:p>
            <w:pPr>
              <w:ind w:firstLine="0"/>
              <w:jc w:val="right"/>
            </w:pPr>
            <w:r>
              <w:rPr>
                <w:sz w:val="20"/>
              </w:rPr>
              <w:t>(1)</w:t>
            </w:r>
          </w:p>
        </w:tc>
      </w:tr>
    </w:tbl>
    <w:tbl>
      <w:tblPr>
        <w:tblW w:w="4896" w:type="dxa"/>
        <w:tblLayout w:type="fixed"/>
        <w:tblCellMar>
          <w:left w:w="0" w:type="dxa"/>
          <w:right w:w="0" w:type="dxa"/>
        </w:tblCellMar>
        <w:tblLook w:firstColumn="1" w:firstRow="1" w:lastColumn="0" w:lastRow="0" w:noHBand="0" w:noVBand="1" w:val="04A0"/>
      </w:tblPr>
      <w:tblGrid>
        <w:gridCol w:w="700"/>
        <w:gridCol w:w="3496"/>
        <w:gridCol w:w="700"/>
      </w:tblGrid>
      <w:tr>
        <w:tc>
          <w:tcPr>
            <w:tcW w:type="dxa" w:w="700"/>
            <w:vAlign w:val="center"/>
          </w:tcPr>
          <w:p>
            <w:pPr>
              <w:ind w:firstLine="0"/>
            </w:pPr>
          </w:p>
        </w:tc>
        <w:tc>
          <w:tcPr>
            <w:tcW w:type="dxa" w:w="3496"/>
            <w:vAlign w:val="center"/>
          </w:tcPr>
          <w:p>
            <w:pPr>
              <w:pStyle w:val="FirstParagraph"/>
              <w:spacing w:before="60" w:after="60" w:line="240" w:lineRule="auto"/>
              <w:ind w:firstLine="0"/>
            </w:pPr>
            <m:oMathPara>
              <m:oMathParaPr>
                <m:jc m:val="center"/>
              </m:oMathParaPr>
              <m:oMath>
                <m:r>
                  <m:rPr>
                    <m:sty m:val="p"/>
                  </m:rPr>
                  <m:t>Sens</m:t>
                </m:r>
                <m:r>
                  <m:rPr>
                    <m:sty m:val="p"/>
                  </m:rPr>
                  <m:t>=</m:t>
                </m:r>
                <m:f>
                  <m:fPr>
                    <m:type m:val="bar"/>
                  </m:fPr>
                  <m:num>
                    <m:r>
                      <m:t>n</m:t>
                    </m:r>
                    <m:d>
                      <m:dPr>
                        <m:begChr m:val="("/>
                        <m:endChr m:val=")"/>
                        <m:grow/>
                      </m:dPr>
                      <m:e>
                        <m:sSup>
                          <m:e>
                            <m:r>
                              <m:t>G</m:t>
                            </m:r>
                          </m:e>
                          <m:sup>
                            <m:r>
                              <m:rPr>
                                <m:nor/>
                              </m:rPr>
                              <m:t>+</m:t>
                            </m:r>
                          </m:sup>
                        </m:sSup>
                        <m:r>
                          <m:t>R</m:t>
                        </m:r>
                      </m:e>
                    </m:d>
                  </m:num>
                  <m:den>
                    <m:r>
                      <m:t>n</m:t>
                    </m:r>
                    <m:d>
                      <m:dPr>
                        <m:begChr m:val="("/>
                        <m:endChr m:val=")"/>
                        <m:grow/>
                      </m:dPr>
                      <m:e>
                        <m:r>
                          <m:t>R</m:t>
                        </m:r>
                      </m:e>
                    </m:d>
                  </m:den>
                </m:f>
                <m:r>
                  <m:rPr>
                    <m:sty m:val="p"/>
                  </m:rPr>
                  <m:t>,</m:t>
                </m:r>
                <m:r>
                  <m:t>  </m:t>
                </m:r>
                <m:r>
                  <m:rPr>
                    <m:sty m:val="p"/>
                  </m:rPr>
                  <m:t>Spec</m:t>
                </m:r>
                <m:r>
                  <m:rPr>
                    <m:sty m:val="p"/>
                  </m:rPr>
                  <m:t>=</m:t>
                </m:r>
                <m:f>
                  <m:fPr>
                    <m:type m:val="bar"/>
                  </m:fPr>
                  <m:num>
                    <m:r>
                      <m:t>n</m:t>
                    </m:r>
                    <m:d>
                      <m:dPr>
                        <m:begChr m:val="("/>
                        <m:endChr m:val=")"/>
                        <m:grow/>
                      </m:dPr>
                      <m:e>
                        <m:sSup>
                          <m:e>
                            <m:r>
                              <m:t>G</m:t>
                            </m:r>
                          </m:e>
                          <m:sup>
                            <m:r>
                              <m:rPr>
                                <m:sty m:val="p"/>
                              </m:rPr>
                              <m:t>−</m:t>
                            </m:r>
                          </m:sup>
                        </m:sSup>
                        <m:acc>
                          <m:accPr>
                            <m:chr m:val="‾"/>
                          </m:accPr>
                          <m:e>
                            <m:r>
                              <m:t>R</m:t>
                            </m:r>
                          </m:e>
                        </m:acc>
                      </m:e>
                    </m:d>
                  </m:num>
                  <m:den>
                    <m:r>
                      <m:t>n</m:t>
                    </m:r>
                    <m:d>
                      <m:dPr>
                        <m:begChr m:val="("/>
                        <m:endChr m:val=")"/>
                        <m:grow/>
                      </m:dPr>
                      <m:e>
                        <m:acc>
                          <m:accPr>
                            <m:chr m:val="‾"/>
                          </m:accPr>
                          <m:e>
                            <m:r>
                              <m:t>R</m:t>
                            </m:r>
                          </m:e>
                        </m:acc>
                      </m:e>
                    </m:d>
                  </m:den>
                </m:f>
                <m:r>
                  <m:rPr>
                    <m:sty m:val="p"/>
                  </m:rPr>
                  <m:t>,</m:t>
                </m:r>
              </m:oMath>
            </m:oMathPara>
          </w:p>
        </w:tc>
        <w:tc>
          <w:tcPr>
            <w:tcW w:type="dxa" w:w="700"/>
            <w:vAlign w:val="center"/>
          </w:tcPr>
          <w:p>
            <w:pPr>
              <w:ind w:firstLine="0"/>
              <w:jc w:val="right"/>
            </w:pPr>
            <w:r>
              <w:rPr>
                <w:sz w:val="20"/>
              </w:rPr>
              <w:t>(2)</w:t>
            </w:r>
          </w:p>
        </w:tc>
      </w:tr>
    </w:tbl>
    <w:p>
      <w:pPr>
        <w:pStyle w:val="FirstParagraph"/>
      </w:pPr>
      <w:r>
        <w:t xml:space="preserve">and categorical agreement [n(G⁺R) + n(G⁻R̄)]/n. PPV answers</w:t>
      </w:r>
      <w:r>
        <w:t xml:space="preserve"> </w:t>
      </w:r>
      <w:r>
        <w:t xml:space="preserve">“</w:t>
      </w:r>
      <w:r>
        <w:t xml:space="preserve">when the panel reports this gene, how often is the isolate resistant?</w:t>
      </w:r>
      <w:r>
        <w:t xml:space="preserve">”</w:t>
      </w:r>
      <w:r>
        <w:t xml:space="preserve"> </w:t>
      </w:r>
      <w:r>
        <w:t xml:space="preserve">and NPV answers</w:t>
      </w:r>
      <w:r>
        <w:t xml:space="preserve"> </w:t>
      </w:r>
      <w:r>
        <w:t xml:space="preserve">“</w:t>
      </w:r>
      <w:r>
        <w:t xml:space="preserve">when the panel does not report it, how often is the isolate not resistant?</w:t>
      </w:r>
      <w:r>
        <w:t xml:space="preserve">”</w:t>
      </w:r>
      <w:r>
        <w:t xml:space="preserve">; these are the quantities a laboratory acts on. Confidence intervals are Wilson score intervals [</w:t>
      </w:r>
      <w:hyperlink w:anchor="ref-29">
        <w:r>
          <w:rPr>
            <w:rStyle w:val="Hyperlink"/>
            <w:color w:val="0000B3"/>
            <w:u w:val="none"/>
          </w:rPr>
          <w:t xml:space="preserve">29</w:t>
        </w:r>
      </w:hyperlink>
      <w:r>
        <w:t xml:space="preserve">],</w:t>
      </w:r>
    </w:p>
    <w:tbl>
      <w:tblPr>
        <w:tblW w:w="4896" w:type="dxa"/>
        <w:tblLayout w:type="fixed"/>
        <w:tblCellMar>
          <w:left w:w="0" w:type="dxa"/>
          <w:right w:w="0" w:type="dxa"/>
        </w:tblCellMar>
        <w:tblLook w:firstColumn="1" w:firstRow="1" w:lastColumn="0" w:lastRow="0" w:noHBand="0" w:noVBand="1" w:val="04A0"/>
      </w:tblPr>
      <w:tblGrid>
        <w:gridCol w:w="700"/>
        <w:gridCol w:w="3496"/>
        <w:gridCol w:w="700"/>
      </w:tblGrid>
      <w:tr>
        <w:tc>
          <w:tcPr>
            <w:tcW w:type="dxa" w:w="700"/>
            <w:vAlign w:val="center"/>
          </w:tcPr>
          <w:p>
            <w:pPr>
              <w:ind w:firstLine="0"/>
            </w:pPr>
          </w:p>
        </w:tc>
        <w:tc>
          <w:tcPr>
            <w:tcW w:type="dxa" w:w="3496"/>
            <w:vAlign w:val="center"/>
          </w:tcPr>
          <w:p>
            <w:pPr>
              <w:pStyle w:val="BodyText"/>
              <w:spacing w:before="60" w:after="60" w:line="240" w:lineRule="auto"/>
              <w:ind w:firstLine="0"/>
            </w:pPr>
            <m:oMathPara>
              <m:oMathParaPr>
                <m:jc m:val="center"/>
              </m:oMathParaPr>
              <m:oMath>
                <m:f>
                  <m:fPr>
                    <m:type m:val="bar"/>
                  </m:fPr>
                  <m:num>
                    <m:acc>
                      <m:accPr>
                        <m:chr m:val="̂"/>
                      </m:accPr>
                      <m:e>
                        <m:r>
                          <m:t>p</m:t>
                        </m:r>
                      </m:e>
                    </m:acc>
                    <m:r>
                      <m:rPr>
                        <m:sty m:val="p"/>
                      </m:rPr>
                      <m:t>+</m:t>
                    </m:r>
                    <m:f>
                      <m:fPr>
                        <m:type m:val="bar"/>
                      </m:fPr>
                      <m:num>
                        <m:sSup>
                          <m:e>
                            <m:r>
                              <m:t>z</m:t>
                            </m:r>
                          </m:e>
                          <m:sup>
                            <m:r>
                              <m:t>2</m:t>
                            </m:r>
                          </m:sup>
                        </m:sSup>
                      </m:num>
                      <m:den>
                        <m:r>
                          <m:t>2</m:t>
                        </m:r>
                        <m:r>
                          <m:t>n</m:t>
                        </m:r>
                      </m:den>
                    </m:f>
                    <m:r>
                      <m:rPr>
                        <m:sty m:val="p"/>
                      </m:rPr>
                      <m:t>±</m:t>
                    </m:r>
                    <m:r>
                      <m:t>z</m:t>
                    </m:r>
                    <m:rad>
                      <m:radPr>
                        <m:degHide m:val="on"/>
                      </m:radPr>
                      <m:deg/>
                      <m:e>
                        <m:f>
                          <m:fPr>
                            <m:type m:val="bar"/>
                          </m:fPr>
                          <m:num>
                            <m:acc>
                              <m:accPr>
                                <m:chr m:val="̂"/>
                              </m:accPr>
                              <m:e>
                                <m:r>
                                  <m:t>p</m:t>
                                </m:r>
                              </m:e>
                            </m:acc>
                            <m:d>
                              <m:dPr>
                                <m:begChr m:val="("/>
                                <m:endChr m:val=")"/>
                                <m:grow/>
                              </m:dPr>
                              <m:e>
                                <m:r>
                                  <m:t>1</m:t>
                                </m:r>
                                <m:r>
                                  <m:rPr>
                                    <m:sty m:val="p"/>
                                  </m:rPr>
                                  <m:t>−</m:t>
                                </m:r>
                                <m:acc>
                                  <m:accPr>
                                    <m:chr m:val="̂"/>
                                  </m:accPr>
                                  <m:e>
                                    <m:r>
                                      <m:t>p</m:t>
                                    </m:r>
                                  </m:e>
                                </m:acc>
                              </m:e>
                            </m:d>
                          </m:num>
                          <m:den>
                            <m:r>
                              <m:t>n</m:t>
                            </m:r>
                          </m:den>
                        </m:f>
                        <m:r>
                          <m:rPr>
                            <m:sty m:val="p"/>
                          </m:rPr>
                          <m:t>+</m:t>
                        </m:r>
                        <m:f>
                          <m:fPr>
                            <m:type m:val="bar"/>
                          </m:fPr>
                          <m:num>
                            <m:sSup>
                              <m:e>
                                <m:r>
                                  <m:t>z</m:t>
                                </m:r>
                              </m:e>
                              <m:sup>
                                <m:r>
                                  <m:t>2</m:t>
                                </m:r>
                              </m:sup>
                            </m:sSup>
                          </m:num>
                          <m:den>
                            <m:r>
                              <m:t>4</m:t>
                            </m:r>
                            <m:sSup>
                              <m:e>
                                <m:r>
                                  <m:t>n</m:t>
                                </m:r>
                              </m:e>
                              <m:sup>
                                <m:r>
                                  <m:t>2</m:t>
                                </m:r>
                              </m:sup>
                            </m:sSup>
                          </m:den>
                        </m:f>
                      </m:e>
                    </m:rad>
                  </m:num>
                  <m:den>
                    <m:r>
                      <m:t>1</m:t>
                    </m:r>
                    <m:r>
                      <m:rPr>
                        <m:sty m:val="p"/>
                      </m:rPr>
                      <m:t>+</m:t>
                    </m:r>
                    <m:f>
                      <m:fPr>
                        <m:type m:val="bar"/>
                      </m:fPr>
                      <m:num>
                        <m:sSup>
                          <m:e>
                            <m:r>
                              <m:t>z</m:t>
                            </m:r>
                          </m:e>
                          <m:sup>
                            <m:r>
                              <m:t>2</m:t>
                            </m:r>
                          </m:sup>
                        </m:sSup>
                      </m:num>
                      <m:den>
                        <m:r>
                          <m:t>n</m:t>
                        </m:r>
                      </m:den>
                    </m:f>
                  </m:den>
                </m:f>
                <m:r>
                  <m:rPr>
                    <m:sty m:val="p"/>
                  </m:rPr>
                  <m:t>,</m:t>
                </m:r>
                <m:r>
                  <m:t>  </m:t>
                </m:r>
                <m:r>
                  <m:t>z</m:t>
                </m:r>
                <m:r>
                  <m:rPr>
                    <m:sty m:val="p"/>
                  </m:rPr>
                  <m:t>=</m:t>
                </m:r>
                <m:r>
                  <m:t>1.96</m:t>
                </m:r>
                <m:r>
                  <m:rPr>
                    <m:sty m:val="p"/>
                  </m:rPr>
                  <m:t>,</m:t>
                </m:r>
              </m:oMath>
            </m:oMathPara>
          </w:p>
        </w:tc>
        <w:tc>
          <w:tcPr>
            <w:tcW w:type="dxa" w:w="700"/>
            <w:vAlign w:val="center"/>
          </w:tcPr>
          <w:p>
            <w:pPr>
              <w:ind w:firstLine="0"/>
              <w:jc w:val="right"/>
            </w:pPr>
            <w:r>
              <w:rPr>
                <w:sz w:val="20"/>
              </w:rPr>
              <w:t>(3)</w:t>
            </w:r>
          </w:p>
        </w:tc>
      </w:tr>
    </w:tbl>
    <w:p>
      <w:pPr>
        <w:pStyle w:val="FirstParagraph"/>
      </w:pPr>
      <w:r>
        <w:t xml:space="preserve">which behave well when proportions are near 0 or 1 and counts are small. For a single carbapenemase, isolates carrying a different carbapenemase count as gene-negative; the class-level</w:t>
      </w:r>
      <w:r>
        <w:t xml:space="preserve"> </w:t>
      </w:r>
      <w:r>
        <w:t xml:space="preserve">“</w:t>
      </w:r>
      <w:r>
        <w:t xml:space="preserve">any panel carbapenemase</w:t>
      </w:r>
      <w:r>
        <w:t xml:space="preserve">”</w:t>
      </w:r>
      <w:r>
        <w:t xml:space="preserve"> </w:t>
      </w:r>
      <w:r>
        <w:t xml:space="preserve">row describes what a fully negative carbapenemase result means. Predictive values depend on prevalence, and prevalence in this collection reflects what laboratories chose to sequence (Sec.</w:t>
      </w:r>
      <w:r>
        <w:t xml:space="preserve"> </w:t>
      </w:r>
      <w:hyperlink w:anchor="sec-IV">
        <w:r>
          <w:rPr>
            <w:rStyle w:val="Hyperlink"/>
            <w:color w:val="BF0000"/>
            <w:u w:val="none"/>
          </w:rPr>
          <w:t xml:space="preserve">IV</w:t>
        </w:r>
      </w:hyperlink>
      <w:r>
        <w:t xml:space="preserve">, Limitations).</w:t>
      </w:r>
    </w:p>
    <w:bookmarkEnd w:id="32"/>
    <w:bookmarkStart w:id="33" w:name="discordance-classification"/>
    <w:p>
      <w:pPr>
        <w:pStyle w:val="Heading3"/>
      </w:pPr>
      <w:r>
        <w:t xml:space="preserve">F. </w:t>
      </w:r>
      <w:r>
        <w:t xml:space="preserve">Discordance classification</w:t>
      </w:r>
    </w:p>
    <w:p>
      <w:pPr>
        <w:pStyle w:val="FirstParagraph"/>
      </w:pPr>
      <w:r>
        <w:t xml:space="preserve">Every discordant isolate was recorded once per target (gene detected, not resistant) or per drug class (gene not detected, resistant), using the composite drug where one exists. Causes were assigned by fixed rules in a fixed order, and all applicable causes were retained alongside the primary one. For gene-detected, not-resistant isolates the order was: partial or interrupted gene call; non-carbapenemase OXA-48 family allele; measured value at or within one two-fold dilution of the resistant breakpoint (or within 2 mm for zones); submitter interpretation differing from M100-Ed35; submitter call only; otherwise</w:t>
      </w:r>
      <w:r>
        <w:t xml:space="preserve"> </w:t>
      </w:r>
      <w:r>
        <w:t xml:space="preserve">“</w:t>
      </w:r>
      <w:r>
        <w:t xml:space="preserve">unexplained by available data</w:t>
      </w:r>
      <w:r>
        <w:t xml:space="preserve">”</w:t>
      </w:r>
      <w:r>
        <w:t xml:space="preserve">. For gene-negative resistant isolates the order was class-specific: non-panel carbapenemase, ESBL or AmpC with a porin change, ESBL or AmpC without a called porin change, or porin change alone (carbapenems); panel carbapenemase present, acquired non-CTX-M ESBL or AmpC, chromosomal AmpC species, or</w:t>
      </w:r>
      <w:r>
        <w:t xml:space="preserve"> </w:t>
      </w:r>
      <w:r>
        <w:rPr>
          <w:i/>
          <w:iCs/>
        </w:rPr>
        <w:t xml:space="preserve">ampC</w:t>
      </w:r>
      <w:r>
        <w:t xml:space="preserve"> </w:t>
      </w:r>
      <w:r>
        <w:t xml:space="preserve">promoter mutation (third-generation cephalosporins);</w:t>
      </w:r>
      <w:r>
        <w:t xml:space="preserve"> </w:t>
      </w:r>
      <w:r>
        <w:rPr>
          <w:i/>
          <w:iCs/>
        </w:rPr>
        <w:t xml:space="preserve">vanA</w:t>
      </w:r>
      <w:r>
        <w:t xml:space="preserve"> </w:t>
      </w:r>
      <w:r>
        <w:t xml:space="preserve">operon genes without a ligase call, or a non-panel</w:t>
      </w:r>
      <w:r>
        <w:t xml:space="preserve"> </w:t>
      </w:r>
      <w:r>
        <w:rPr>
          <w:i/>
          <w:iCs/>
        </w:rPr>
        <w:t xml:space="preserve">van</w:t>
      </w:r>
      <w:r>
        <w:t xml:space="preserve"> </w:t>
      </w:r>
      <w:r>
        <w:t xml:space="preserve">gene (vancomycin);</w:t>
      </w:r>
      <w:r>
        <w:t xml:space="preserve"> </w:t>
      </w:r>
      <w:r>
        <w:rPr>
          <w:i/>
          <w:iCs/>
        </w:rPr>
        <w:t xml:space="preserve">mec</w:t>
      </w:r>
      <w:r>
        <w:t xml:space="preserve"> </w:t>
      </w:r>
      <w:r>
        <w:t xml:space="preserve">regulators without</w:t>
      </w:r>
      <w:r>
        <w:t xml:space="preserve"> </w:t>
      </w:r>
      <w:r>
        <w:rPr>
          <w:i/>
          <w:iCs/>
        </w:rPr>
        <w:t xml:space="preserve">mecA</w:t>
      </w:r>
      <w:r>
        <w:t xml:space="preserve">, or a non-panel</w:t>
      </w:r>
      <w:r>
        <w:t xml:space="preserve"> </w:t>
      </w:r>
      <w:r>
        <w:rPr>
          <w:i/>
          <w:iCs/>
        </w:rPr>
        <w:t xml:space="preserve">mec</w:t>
      </w:r>
      <w:r>
        <w:t xml:space="preserve"> </w:t>
      </w:r>
      <w:r>
        <w:t xml:space="preserve">gene (methicillin); then the measurement and interpretation causes above. Cause labels identify likely mechanisms and do not prove them.</w:t>
      </w:r>
    </w:p>
    <w:bookmarkEnd w:id="33"/>
    <w:bookmarkStart w:id="34" w:name="sensitivity-and-secondary-analyses"/>
    <w:p>
      <w:pPr>
        <w:pStyle w:val="Heading3"/>
      </w:pPr>
      <w:r>
        <w:t xml:space="preserve">G. </w:t>
      </w:r>
      <w:r>
        <w:t xml:space="preserve">Sensitivity and secondary analyses</w:t>
      </w:r>
    </w:p>
    <w:p>
      <w:pPr>
        <w:pStyle w:val="FirstParagraph"/>
      </w:pPr>
      <w:r>
        <w:t xml:space="preserve">Pre-specified sensitivity analyses (i) excluded I and SDD results instead of counting them as not resistant, (ii) restricted the cohort to blood and other sterile-site isolates, the specimens panels are used on, and (iii) for</w:t>
      </w:r>
      <w:r>
        <w:t xml:space="preserve"> </w:t>
      </w:r>
      <w:r>
        <w:rPr>
          <w:i/>
          <w:iCs/>
        </w:rPr>
        <w:t xml:space="preserve">S. aureus</w:t>
      </w:r>
      <w:r>
        <w:t xml:space="preserve">, accepted the submitting laboratory’s</w:t>
      </w:r>
      <w:r>
        <w:t xml:space="preserve"> </w:t>
      </w:r>
      <w:r>
        <w:t xml:space="preserve">“</w:t>
      </w:r>
      <w:r>
        <w:t xml:space="preserve">resistant</w:t>
      </w:r>
      <w:r>
        <w:t xml:space="preserve">”</w:t>
      </w:r>
      <w:r>
        <w:t xml:space="preserve"> </w:t>
      </w:r>
      <w:r>
        <w:t xml:space="preserve">call for oxacillin when it disagreed with the MIC. A secondary analysis, motivated by the CTX-M results, compared third-generation cephalosporin resistance between CTX-M-1-group (for example CTX-M-15, -55) and CTX-M-9-group (for example CTX-M-14, -27) enzymes [</w:t>
      </w:r>
      <w:hyperlink w:anchor="ref-8">
        <w:r>
          <w:rPr>
            <w:rStyle w:val="Hyperlink"/>
            <w:color w:val="0000B3"/>
            <w:u w:val="none"/>
          </w:rPr>
          <w:t xml:space="preserve">8</w:t>
        </w:r>
      </w:hyperlink>
      <w:r>
        <w:t xml:space="preserve">] with a two-sided Fisher exact test.</w:t>
      </w:r>
    </w:p>
    <w:bookmarkEnd w:id="34"/>
    <w:bookmarkStart w:id="35" w:name="X840d3232147d75d210233d2dfa104e656b826ca"/>
    <w:p>
      <w:pPr>
        <w:pStyle w:val="Heading3"/>
      </w:pPr>
      <w:r>
        <w:t xml:space="preserve">H. </w:t>
      </w:r>
      <w:r>
        <w:t xml:space="preserve">Reproducibility, provenance and quality control</w:t>
      </w:r>
    </w:p>
    <w:p>
      <w:pPr>
        <w:pStyle w:val="FirstParagraph"/>
      </w:pPr>
      <w:r>
        <w:t xml:space="preserve">The pipeline is a set of numbered Python scripts (pandas [</w:t>
      </w:r>
      <w:hyperlink w:anchor="ref-30">
        <w:r>
          <w:rPr>
            <w:rStyle w:val="Hyperlink"/>
            <w:color w:val="0000B3"/>
            <w:u w:val="none"/>
          </w:rPr>
          <w:t xml:space="preserve">30</w:t>
        </w:r>
      </w:hyperlink>
      <w:r>
        <w:t xml:space="preserve">]; figures with matplotlib and seaborn [</w:t>
      </w:r>
      <w:hyperlink w:anchor="ref-31">
        <w:r>
          <w:rPr>
            <w:rStyle w:val="Hyperlink"/>
            <w:color w:val="0000B3"/>
            <w:u w:val="none"/>
          </w:rPr>
          <w:t xml:space="preserve">31</w:t>
        </w:r>
      </w:hyperlink>
      <w:r>
        <w:t xml:space="preserve">,</w:t>
      </w:r>
      <w:r>
        <w:t xml:space="preserve"> </w:t>
      </w:r>
      <w:hyperlink w:anchor="ref-32">
        <w:r>
          <w:rPr>
            <w:rStyle w:val="Hyperlink"/>
            <w:color w:val="0000B3"/>
            <w:u w:val="none"/>
          </w:rPr>
          <w:t xml:space="preserve">32</w:t>
        </w:r>
      </w:hyperlink>
      <w:r>
        <w:t xml:space="preserve">]). Every number in this manuscript is read from files the pipeline writes; none was typed by hand. Rebuilding from the committed raw files reproduces all tables byte for byte. A quality-control report records row counts at each step, interpretation unit tests, sanity checks (every 2×2 table sums to n; every proportion lies in [0,1]; no duplicate BioSamples), and named spot checks. Before release the author compared 50 laboratory values with the live NCBI BioSample records and recomputed the headline estimates with independent code.</w:t>
      </w:r>
    </w:p>
    <w:bookmarkEnd w:id="35"/>
    <w:bookmarkStart w:id="36" w:name="ethics"/>
    <w:p>
      <w:pPr>
        <w:pStyle w:val="Heading3"/>
      </w:pPr>
      <w:r>
        <w:t xml:space="preserve">I. </w:t>
      </w:r>
      <w:r>
        <w:t xml:space="preserve">Ethics</w:t>
      </w:r>
    </w:p>
    <w:p>
      <w:pPr>
        <w:pStyle w:val="FirstParagraph"/>
      </w:pPr>
      <w:r>
        <w:t xml:space="preserve">The study used only publicly released, de-identified isolate metadata and genome-derived results. No human subjects were contacted and no identifiable private information was accessed.</w:t>
      </w:r>
    </w:p>
    <w:bookmarkEnd w:id="36"/>
    <w:bookmarkEnd w:id="37"/>
    <w:bookmarkStart w:id="88" w:name="sec-III"/>
    <w:p>
      <w:pPr>
        <w:pStyle w:val="Heading2"/>
      </w:pPr>
      <w:r>
        <w:t xml:space="preserve">III. Results</w:t>
      </w:r>
    </w:p>
    <w:bookmarkStart w:id="47" w:name="cohort"/>
    <w:p>
      <w:pPr>
        <w:pStyle w:val="Heading3"/>
      </w:pPr>
      <w:r>
        <w:t xml:space="preserve">A. </w:t>
      </w:r>
      <w:r>
        <w:t xml:space="preserve">Cohort</w:t>
      </w:r>
    </w:p>
    <w:p>
      <w:pPr>
        <w:pStyle w:val="FirstParagraph"/>
      </w:pPr>
      <w:r>
        <w:t xml:space="preserve">Of the 26,886 BioSamples with an antibiogram, 26,109 had an AMRFinderPlus result and 19,587 were collected in the United States (Fig.</w:t>
      </w:r>
      <w:r>
        <w:t xml:space="preserve"> </w:t>
      </w:r>
      <w:hyperlink w:anchor="fig-1">
        <w:r>
          <w:rPr>
            <w:rStyle w:val="Hyperlink"/>
            <w:color w:val="BF0000"/>
            <w:u w:val="none"/>
          </w:rPr>
          <w:t xml:space="preserve">1</w:t>
        </w:r>
      </w:hyperlink>
      <w:r>
        <w:t xml:space="preserve">). Most U.S. isolates with antibiograms came from food, animal or environmental surveillance (14,054), leaving 5,533 human clinical isolates, of which 5,168 had at least one interpretable result for a panel-paired drug. The benchmark comprises 3,176</w:t>
      </w:r>
      <w:r>
        <w:t xml:space="preserve"> </w:t>
      </w:r>
      <w:r>
        <w:rPr>
          <w:i/>
          <w:iCs/>
        </w:rPr>
        <w:t xml:space="preserve">E. coli</w:t>
      </w:r>
      <w:r>
        <w:t xml:space="preserve">, 790</w:t>
      </w:r>
      <w:r>
        <w:t xml:space="preserve"> </w:t>
      </w:r>
      <w:r>
        <w:rPr>
          <w:i/>
          <w:iCs/>
        </w:rPr>
        <w:t xml:space="preserve">K. pneumoniae</w:t>
      </w:r>
      <w:r>
        <w:t xml:space="preserve"> </w:t>
      </w:r>
      <w:r>
        <w:t xml:space="preserve">complex, 550</w:t>
      </w:r>
      <w:r>
        <w:t xml:space="preserve"> </w:t>
      </w:r>
      <w:r>
        <w:rPr>
          <w:i/>
          <w:iCs/>
        </w:rPr>
        <w:t xml:space="preserve">S. aureus</w:t>
      </w:r>
      <w:r>
        <w:t xml:space="preserve">, 83</w:t>
      </w:r>
      <w:r>
        <w:t xml:space="preserve"> </w:t>
      </w:r>
      <w:r>
        <w:rPr>
          <w:i/>
          <w:iCs/>
        </w:rPr>
        <w:t xml:space="preserve">E. faecalis</w:t>
      </w:r>
      <w:r>
        <w:t xml:space="preserve">, 36</w:t>
      </w:r>
      <w:r>
        <w:t xml:space="preserve"> </w:t>
      </w:r>
      <w:r>
        <w:rPr>
          <w:i/>
          <w:iCs/>
        </w:rPr>
        <w:t xml:space="preserve">E. faecium</w:t>
      </w:r>
      <w:r>
        <w:t xml:space="preserve">, 109</w:t>
      </w:r>
      <w:r>
        <w:t xml:space="preserve"> </w:t>
      </w:r>
      <w:r>
        <w:rPr>
          <w:i/>
          <w:iCs/>
        </w:rPr>
        <w:t xml:space="preserve">Salmonella enterica</w:t>
      </w:r>
      <w:r>
        <w:t xml:space="preserve"> </w:t>
      </w:r>
      <w:r>
        <w:t xml:space="preserve">and smaller numbers of other Enterobacterales (Table</w:t>
      </w:r>
      <w:r>
        <w:t xml:space="preserve"> </w:t>
      </w:r>
      <w:hyperlink w:anchor="tab-III">
        <w:r>
          <w:rPr>
            <w:rStyle w:val="Hyperlink"/>
            <w:color w:val="BF0000"/>
            <w:u w:val="none"/>
          </w:rPr>
          <w:t xml:space="preserve">III</w:t>
        </w:r>
      </w:hyperlink>
      <w:r>
        <w:t xml:space="preserve">, Fig.</w:t>
      </w:r>
      <w:r>
        <w:t xml:space="preserve"> </w:t>
      </w:r>
      <w:hyperlink w:anchor="fig-2">
        <w:r>
          <w:rPr>
            <w:rStyle w:val="Hyperlink"/>
            <w:color w:val="BF0000"/>
            <w:u w:val="none"/>
          </w:rPr>
          <w:t xml:space="preserve">2</w:t>
        </w:r>
      </w:hyperlink>
      <w:r>
        <w:t xml:space="preserve">).</w:t>
      </w:r>
    </w:p>
    <w:p>
      <w:pPr>
        <w:pStyle w:val="BodyText"/>
      </w:pPr>
      <w:r>
        <w:t xml:space="preserve">Urine was the commonest specimen (3,426 isolates, 66%), followed by blood (701), wound or tissue (276) and respiratory specimens (259); 731 isolates came from blood or another sterile site. Isolates were collected from 2003 to 2024 and submitted from 23 states and the District of Columbia; 397 gave no state. One project from the Walter Reed Army Institute of Research (PRJNA809394) contributed 2,076 isolates (40%); all District of Columbia isolates came from Walter Reed projects, so that location is the submitter’s rather than necessarily the patient’s.</w:t>
      </w:r>
    </w:p>
    <w:p>
      <w:pPr>
        <w:pStyle w:val="BodyText"/>
        <w:sectPr>
          <w:footerReference w:type="default" r:id="rId9"/>
          <w:type w:val="continuous"/>
          <w:pgSz w:w="12240" w:h="15840"/>
          <w:pgMar w:top="1224" w:right="1037" w:bottom="1296" w:left="1037" w:header="720" w:footer="560" w:gutter="0"/>
          <w:cols w:num="2" w:space="374"/>
        </w:sectPr>
      </w:pPr>
      <w:r>
        <w:t xml:space="preserve">Of 21,930 isolate-drug results, 21,813 were MICs and 117 zone diameters; 51% were from BD Phoenix and 33% from Vitek 2, and 96.6% cited CLSI as the testing standard. 19,741 results were reinterpreted, 281 used the submitter’s call, and 10 could not be categorized. Where both were available, the submitter’s S/I/R call agreed with our reinterpretation in 99.7% of results.</w:t>
      </w:r>
    </w:p>
    <w:tbl>
      <w:tblPr>
        <w:tblW w:w="1016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10166"/>
      </w:tblGrid>
      <w:tr>
        <w:trPr>
          <w:cantSplit/>
        </w:trPr>
        <w:tc>
          <w:tcPr>
            <w:tcW w:w="10166" w:type="dxa"/>
          </w:tcPr>
          <w:p>
            <w:pPr>
              <w:pStyle w:val="BodyText"/>
              <w:spacing w:before="60" w:after="0" w:line="240" w:lineRule="auto"/>
              <w:ind w:firstLine="0"/>
              <w:jc w:val="center"/>
            </w:pPr>
            <w:r>
              <w:drawing>
                <wp:inline>
                  <wp:extent cx="5334000" cy="2139393"/>
                  <wp:effectExtent b="0" l="0" r="0" t="0"/>
                  <wp:docPr descr="" title="" id="39" name="Picture"/>
                  <a:graphic>
                    <a:graphicData uri="http://schemas.openxmlformats.org/drawingml/2006/picture">
                      <pic:pic>
                        <pic:nvPicPr>
                          <pic:cNvPr descr="/root/us-rapid-panel-amr-concordance/paper/manuscript/figures/fig1_flow.png" id="40" name="Picture"/>
                          <pic:cNvPicPr>
                            <a:picLocks noChangeArrowheads="1" noChangeAspect="1"/>
                          </pic:cNvPicPr>
                        </pic:nvPicPr>
                        <pic:blipFill>
                          <a:blip r:embed="rId38"/>
                          <a:stretch>
                            <a:fillRect/>
                          </a:stretch>
                        </pic:blipFill>
                        <pic:spPr bwMode="auto">
                          <a:xfrm>
                            <a:off x="0" y="0"/>
                            <a:ext cx="5334000" cy="2139393"/>
                          </a:xfrm>
                          <a:prstGeom prst="rect">
                            <a:avLst/>
                          </a:prstGeom>
                          <a:noFill/>
                          <a:ln w="9525">
                            <a:noFill/>
                            <a:headEnd/>
                            <a:tailEnd/>
                          </a:ln>
                        </pic:spPr>
                      </pic:pic>
                    </a:graphicData>
                  </a:graphic>
                </wp:inline>
              </w:drawing>
            </w:r>
          </w:p>
          <w:p>
            <w:pPr>
              <w:pStyle w:val="FigCaption"/>
            </w:pPr>
            <w:bookmarkStart w:id="41" w:name="fig-1"/>
            <w:bookmarkEnd w:id="41"/>
            <w:r>
              <w:t xml:space="preserve">FIG. 1: Construction of the benchmark from NCBI BioSample antibiograms and NCBI Pathogen Detection AMRFinderPlus results.</w:t>
            </w:r>
            <w:r>
              <w:t xml:space="preserve"> </w:t>
            </w:r>
            <w:r>
              <w:t xml:space="preserve">“</w:t>
            </w:r>
            <w:r>
              <w:t xml:space="preserve">Panel-paired drug</w:t>
            </w:r>
            <w:r>
              <w:t xml:space="preserve">”</w:t>
            </w:r>
            <w:r>
              <w:t xml:space="preserve">: a drug scored against a panel target for that organism (Table</w:t>
            </w:r>
            <w:r>
              <w:t xml:space="preserve"> </w:t>
            </w:r>
            <w:hyperlink w:anchor="tab-II">
              <w:r>
                <w:rPr>
                  <w:rStyle w:val="Hyperlink"/>
                  <w:color w:val="BF0000"/>
                  <w:u w:val="none"/>
                </w:rPr>
                <w:t xml:space="preserve">II</w:t>
              </w:r>
            </w:hyperlink>
            <w:r>
              <w:t xml:space="preserve">).</w:t>
            </w:r>
          </w:p>
        </w:tc>
      </w:tr>
    </w:tbl>
    <w:p>
      <w:pPr>
        <w:spacing w:before="0" w:after="0" w:line="20" w:lineRule="exact"/>
        <w:rPr>
          <w:sz w:val="2"/>
        </w:rPr>
        <w:sectPr>
          <w:footerReference w:type="default" r:id="rId9"/>
          <w:type w:val="continuous"/>
          <w:pgSz w:w="12240" w:h="15840"/>
          <w:pgMar w:top="1224" w:right="1037" w:bottom="1296" w:left="1037" w:header="720" w:footer="560" w:gutter="0"/>
          <w:cols w:num="1" w:space="374"/>
        </w:sectPr>
      </w:pPr>
    </w:p>
    <w:tbl>
      <w:tblPr>
        <w:tblW w:w="489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4896"/>
      </w:tblGrid>
      <w:tr>
        <w:trPr>
          <w:cantSplit/>
        </w:trPr>
        <w:tc>
          <w:tcPr>
            <w:tcW w:w="4896" w:type="dxa"/>
          </w:tcPr>
          <w:p>
            <w:pPr>
              <w:pStyle w:val="TabCaption"/>
              <w:jc w:val="center"/>
            </w:pPr>
            <w:bookmarkStart w:id="42" w:name="tab-III"/>
            <w:bookmarkEnd w:id="42"/>
            <w:r>
              <w:t xml:space="preserve">TABLE III: Benchmark isolates by organism group.</w:t>
            </w:r>
          </w:p>
          <w:tbl>
            <w:tblPr>
              <w:tblStyle w:val="Table"/>
              <w:tblW w:w="4896" w:type="dxa"/>
              <w:jc w:val="center"/>
              <w:tblLayout w:type="fixed"/>
              <w:tblCellMar>
                <w:top w:w="0" w:type="dxa"/>
                <w:left w:w="60" w:type="dxa"/>
                <w:bottom w:w="0" w:type="dxa"/>
                <w:right w:w="60" w:type="dxa"/>
              </w:tblCellMar>
              <w:tblLook w:firstRow="1" w:lastRow="0" w:firstColumn="0" w:lastColumn="0" w:noHBand="0" w:noVBand="0" w:val="0020"/>
            </w:tblPr>
            <w:tblGrid>
              <w:gridCol w:w="1261"/>
              <w:gridCol w:w="565"/>
              <w:gridCol w:w="812"/>
              <w:gridCol w:w="416"/>
              <w:gridCol w:w="614"/>
              <w:gridCol w:w="515"/>
              <w:gridCol w:w="713"/>
            </w:tblGrid>
            <w:tr>
              <w:trPr>
                <w:cantSplit/>
                <w:tblHeader w:val="true"/>
              </w:trPr>
              <w:tc>
                <w:tcPr>
                  <w:tcW w:w="1261" w:type="dxa"/>
                  <w:tcBorders>
                    <w:top w:val="double" w:sz="4" w:space="0" w:color="000000"/>
                    <w:bottom w:val="single" w:sz="4" w:space="0" w:color="000000"/>
                  </w:tcBorders>
                </w:tcPr>
                <w:p>
                  <w:pPr>
                    <w:pStyle w:val="Compact"/>
                    <w:keepNext/>
                    <w:spacing w:after="0" w:before="0" w:line="240" w:lineRule="auto"/>
                    <w:ind w:firstLine="0"/>
                    <w:jc w:val="left"/>
                  </w:pPr>
                  <w:r>
                    <w:rPr>
                      <w:sz w:val="14"/>
                    </w:rPr>
                    <w:t xml:space="preserve">Organism</w:t>
                  </w:r>
                </w:p>
              </w:tc>
              <w:tc>
                <w:tcPr>
                  <w:tcW w:w="565"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Isolates</w:t>
                  </w:r>
                </w:p>
              </w:tc>
              <w:tc>
                <w:tcPr>
                  <w:tcW w:w="812"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Blood/sterile</w:t>
                  </w:r>
                </w:p>
              </w:tc>
              <w:tc>
                <w:tcPr>
                  <w:tcW w:w="416"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Urine</w:t>
                  </w:r>
                </w:p>
              </w:tc>
              <w:tc>
                <w:tcPr>
                  <w:tcW w:w="614"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Years</w:t>
                  </w:r>
                </w:p>
              </w:tc>
              <w:tc>
                <w:tcPr>
                  <w:tcW w:w="515"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Statesᵃ</w:t>
                  </w:r>
                </w:p>
              </w:tc>
              <w:tc>
                <w:tcPr>
                  <w:tcW w:w="713"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BioProjects</w:t>
                  </w:r>
                </w:p>
              </w:tc>
            </w:tr>
            <w:tr>
              <w:trPr>
                <w:cantSplit/>
              </w:trPr>
              <w:tc>
                <w:tcPr>
                  <w:tcW w:w="1261" w:type="dxa"/>
                </w:tcPr>
                <w:p>
                  <w:pPr>
                    <w:pStyle w:val="Compact"/>
                    <w:keepNext/>
                    <w:spacing w:after="0" w:before="0" w:line="240" w:lineRule="auto"/>
                    <w:ind w:firstLine="0"/>
                    <w:jc w:val="left"/>
                  </w:pPr>
                  <w:r>
                    <w:rPr>
                      <w:i/>
                      <w:iCs/>
                      <w:sz w:val="14"/>
                    </w:rPr>
                    <w:t xml:space="preserve">E. coli</w:t>
                  </w:r>
                </w:p>
              </w:tc>
              <w:tc>
                <w:tcPr>
                  <w:tcW w:w="565" w:type="dxa"/>
                </w:tcPr>
                <w:p>
                  <w:pPr>
                    <w:pStyle w:val="Compact"/>
                    <w:keepNext/>
                    <w:spacing w:after="0" w:before="0" w:line="240" w:lineRule="auto"/>
                    <w:ind w:firstLine="0"/>
                    <w:jc w:val="center"/>
                  </w:pPr>
                  <w:r>
                    <w:rPr>
                      <w:sz w:val="14"/>
                    </w:rPr>
                    <w:t xml:space="preserve">3,176</w:t>
                  </w:r>
                </w:p>
              </w:tc>
              <w:tc>
                <w:tcPr>
                  <w:tcW w:w="812" w:type="dxa"/>
                </w:tcPr>
                <w:p>
                  <w:pPr>
                    <w:pStyle w:val="Compact"/>
                    <w:keepNext/>
                    <w:spacing w:after="0" w:before="0" w:line="240" w:lineRule="auto"/>
                    <w:ind w:firstLine="0"/>
                    <w:jc w:val="center"/>
                  </w:pPr>
                  <w:r>
                    <w:rPr>
                      <w:sz w:val="14"/>
                    </w:rPr>
                    <w:t xml:space="preserve">314</w:t>
                  </w:r>
                </w:p>
              </w:tc>
              <w:tc>
                <w:tcPr>
                  <w:tcW w:w="416" w:type="dxa"/>
                </w:tcPr>
                <w:p>
                  <w:pPr>
                    <w:pStyle w:val="Compact"/>
                    <w:keepNext/>
                    <w:spacing w:after="0" w:before="0" w:line="240" w:lineRule="auto"/>
                    <w:ind w:firstLine="0"/>
                    <w:jc w:val="center"/>
                  </w:pPr>
                  <w:r>
                    <w:rPr>
                      <w:sz w:val="14"/>
                    </w:rPr>
                    <w:t xml:space="preserve">2,636</w:t>
                  </w:r>
                </w:p>
              </w:tc>
              <w:tc>
                <w:tcPr>
                  <w:tcW w:w="614" w:type="dxa"/>
                </w:tcPr>
                <w:p>
                  <w:pPr>
                    <w:pStyle w:val="Compact"/>
                    <w:keepNext/>
                    <w:spacing w:after="0" w:before="0" w:line="240" w:lineRule="auto"/>
                    <w:ind w:firstLine="0"/>
                    <w:jc w:val="center"/>
                  </w:pPr>
                  <w:r>
                    <w:rPr>
                      <w:sz w:val="14"/>
                    </w:rPr>
                    <w:t xml:space="preserve">2012–2024</w:t>
                  </w:r>
                </w:p>
              </w:tc>
              <w:tc>
                <w:tcPr>
                  <w:tcW w:w="515" w:type="dxa"/>
                </w:tcPr>
                <w:p>
                  <w:pPr>
                    <w:pStyle w:val="Compact"/>
                    <w:keepNext/>
                    <w:spacing w:after="0" w:before="0" w:line="240" w:lineRule="auto"/>
                    <w:ind w:firstLine="0"/>
                    <w:jc w:val="center"/>
                  </w:pPr>
                  <w:r>
                    <w:rPr>
                      <w:sz w:val="14"/>
                    </w:rPr>
                    <w:t xml:space="preserve">7</w:t>
                  </w:r>
                </w:p>
              </w:tc>
              <w:tc>
                <w:tcPr>
                  <w:tcW w:w="713" w:type="dxa"/>
                </w:tcPr>
                <w:p>
                  <w:pPr>
                    <w:pStyle w:val="Compact"/>
                    <w:keepNext/>
                    <w:spacing w:after="0" w:before="0" w:line="240" w:lineRule="auto"/>
                    <w:ind w:firstLine="0"/>
                    <w:jc w:val="center"/>
                  </w:pPr>
                  <w:r>
                    <w:rPr>
                      <w:sz w:val="14"/>
                    </w:rPr>
                    <w:t xml:space="preserve">39</w:t>
                  </w:r>
                </w:p>
              </w:tc>
            </w:tr>
            <w:tr>
              <w:trPr>
                <w:cantSplit/>
              </w:trPr>
              <w:tc>
                <w:tcPr>
                  <w:tcW w:w="1261" w:type="dxa"/>
                </w:tcPr>
                <w:p>
                  <w:pPr>
                    <w:pStyle w:val="Compact"/>
                    <w:keepNext/>
                    <w:spacing w:after="0" w:before="0" w:line="240" w:lineRule="auto"/>
                    <w:ind w:firstLine="0"/>
                    <w:jc w:val="left"/>
                  </w:pPr>
                  <w:r>
                    <w:rPr>
                      <w:i/>
                      <w:iCs/>
                      <w:sz w:val="14"/>
                    </w:rPr>
                    <w:t xml:space="preserve">K. pneumoniae</w:t>
                  </w:r>
                  <w:r>
                    <w:rPr>
                      <w:sz w:val="14"/>
                    </w:rPr>
                    <w:t xml:space="preserve"> </w:t>
                  </w:r>
                  <w:r>
                    <w:rPr>
                      <w:sz w:val="14"/>
                    </w:rPr>
                    <w:t xml:space="preserve">cplx.</w:t>
                  </w:r>
                </w:p>
              </w:tc>
              <w:tc>
                <w:tcPr>
                  <w:tcW w:w="565" w:type="dxa"/>
                </w:tcPr>
                <w:p>
                  <w:pPr>
                    <w:pStyle w:val="Compact"/>
                    <w:keepNext/>
                    <w:spacing w:after="0" w:before="0" w:line="240" w:lineRule="auto"/>
                    <w:ind w:firstLine="0"/>
                    <w:jc w:val="center"/>
                  </w:pPr>
                  <w:r>
                    <w:rPr>
                      <w:sz w:val="14"/>
                    </w:rPr>
                    <w:t xml:space="preserve">790</w:t>
                  </w:r>
                </w:p>
              </w:tc>
              <w:tc>
                <w:tcPr>
                  <w:tcW w:w="812" w:type="dxa"/>
                </w:tcPr>
                <w:p>
                  <w:pPr>
                    <w:pStyle w:val="Compact"/>
                    <w:keepNext/>
                    <w:spacing w:after="0" w:before="0" w:line="240" w:lineRule="auto"/>
                    <w:ind w:firstLine="0"/>
                    <w:jc w:val="center"/>
                  </w:pPr>
                  <w:r>
                    <w:rPr>
                      <w:sz w:val="14"/>
                    </w:rPr>
                    <w:t xml:space="preserve">83</w:t>
                  </w:r>
                </w:p>
              </w:tc>
              <w:tc>
                <w:tcPr>
                  <w:tcW w:w="416" w:type="dxa"/>
                </w:tcPr>
                <w:p>
                  <w:pPr>
                    <w:pStyle w:val="Compact"/>
                    <w:keepNext/>
                    <w:spacing w:after="0" w:before="0" w:line="240" w:lineRule="auto"/>
                    <w:ind w:firstLine="0"/>
                    <w:jc w:val="center"/>
                  </w:pPr>
                  <w:r>
                    <w:rPr>
                      <w:sz w:val="14"/>
                    </w:rPr>
                    <w:t xml:space="preserve">494</w:t>
                  </w:r>
                </w:p>
              </w:tc>
              <w:tc>
                <w:tcPr>
                  <w:tcW w:w="614" w:type="dxa"/>
                </w:tcPr>
                <w:p>
                  <w:pPr>
                    <w:pStyle w:val="Compact"/>
                    <w:keepNext/>
                    <w:spacing w:after="0" w:before="0" w:line="240" w:lineRule="auto"/>
                    <w:ind w:firstLine="0"/>
                    <w:jc w:val="center"/>
                  </w:pPr>
                  <w:r>
                    <w:rPr>
                      <w:sz w:val="14"/>
                    </w:rPr>
                    <w:t xml:space="preserve">2003–2024</w:t>
                  </w:r>
                </w:p>
              </w:tc>
              <w:tc>
                <w:tcPr>
                  <w:tcW w:w="515" w:type="dxa"/>
                </w:tcPr>
                <w:p>
                  <w:pPr>
                    <w:pStyle w:val="Compact"/>
                    <w:keepNext/>
                    <w:spacing w:after="0" w:before="0" w:line="240" w:lineRule="auto"/>
                    <w:ind w:firstLine="0"/>
                    <w:jc w:val="center"/>
                  </w:pPr>
                  <w:r>
                    <w:rPr>
                      <w:sz w:val="14"/>
                    </w:rPr>
                    <w:t xml:space="preserve">22</w:t>
                  </w:r>
                </w:p>
              </w:tc>
              <w:tc>
                <w:tcPr>
                  <w:tcW w:w="713" w:type="dxa"/>
                </w:tcPr>
                <w:p>
                  <w:pPr>
                    <w:pStyle w:val="Compact"/>
                    <w:keepNext/>
                    <w:spacing w:after="0" w:before="0" w:line="240" w:lineRule="auto"/>
                    <w:ind w:firstLine="0"/>
                    <w:jc w:val="center"/>
                  </w:pPr>
                  <w:r>
                    <w:rPr>
                      <w:sz w:val="14"/>
                    </w:rPr>
                    <w:t xml:space="preserve">72</w:t>
                  </w:r>
                </w:p>
              </w:tc>
            </w:tr>
            <w:tr>
              <w:trPr>
                <w:cantSplit/>
              </w:trPr>
              <w:tc>
                <w:tcPr>
                  <w:tcW w:w="1261" w:type="dxa"/>
                </w:tcPr>
                <w:p>
                  <w:pPr>
                    <w:pStyle w:val="Compact"/>
                    <w:keepNext/>
                    <w:spacing w:after="0" w:before="0" w:line="240" w:lineRule="auto"/>
                    <w:ind w:firstLine="0"/>
                    <w:jc w:val="left"/>
                  </w:pPr>
                  <w:r>
                    <w:rPr>
                      <w:i/>
                      <w:iCs/>
                      <w:sz w:val="14"/>
                    </w:rPr>
                    <w:t xml:space="preserve">S. aureus</w:t>
                  </w:r>
                </w:p>
              </w:tc>
              <w:tc>
                <w:tcPr>
                  <w:tcW w:w="565" w:type="dxa"/>
                </w:tcPr>
                <w:p>
                  <w:pPr>
                    <w:pStyle w:val="Compact"/>
                    <w:keepNext/>
                    <w:spacing w:after="0" w:before="0" w:line="240" w:lineRule="auto"/>
                    <w:ind w:firstLine="0"/>
                    <w:jc w:val="center"/>
                  </w:pPr>
                  <w:r>
                    <w:rPr>
                      <w:sz w:val="14"/>
                    </w:rPr>
                    <w:t xml:space="preserve">550</w:t>
                  </w:r>
                </w:p>
              </w:tc>
              <w:tc>
                <w:tcPr>
                  <w:tcW w:w="812" w:type="dxa"/>
                </w:tcPr>
                <w:p>
                  <w:pPr>
                    <w:pStyle w:val="Compact"/>
                    <w:keepNext/>
                    <w:spacing w:after="0" w:before="0" w:line="240" w:lineRule="auto"/>
                    <w:ind w:firstLine="0"/>
                    <w:jc w:val="center"/>
                  </w:pPr>
                  <w:r>
                    <w:rPr>
                      <w:sz w:val="14"/>
                    </w:rPr>
                    <w:t xml:space="preserve">260</w:t>
                  </w:r>
                </w:p>
              </w:tc>
              <w:tc>
                <w:tcPr>
                  <w:tcW w:w="416" w:type="dxa"/>
                </w:tcPr>
                <w:p>
                  <w:pPr>
                    <w:pStyle w:val="Compact"/>
                    <w:keepNext/>
                    <w:spacing w:after="0" w:before="0" w:line="240" w:lineRule="auto"/>
                    <w:ind w:firstLine="0"/>
                    <w:jc w:val="center"/>
                  </w:pPr>
                  <w:r>
                    <w:rPr>
                      <w:sz w:val="14"/>
                    </w:rPr>
                    <w:t xml:space="preserve">18</w:t>
                  </w:r>
                </w:p>
              </w:tc>
              <w:tc>
                <w:tcPr>
                  <w:tcW w:w="614" w:type="dxa"/>
                </w:tcPr>
                <w:p>
                  <w:pPr>
                    <w:pStyle w:val="Compact"/>
                    <w:keepNext/>
                    <w:spacing w:after="0" w:before="0" w:line="240" w:lineRule="auto"/>
                    <w:ind w:firstLine="0"/>
                    <w:jc w:val="center"/>
                  </w:pPr>
                  <w:r>
                    <w:rPr>
                      <w:sz w:val="14"/>
                    </w:rPr>
                    <w:t xml:space="preserve">2011–2024</w:t>
                  </w:r>
                </w:p>
              </w:tc>
              <w:tc>
                <w:tcPr>
                  <w:tcW w:w="515" w:type="dxa"/>
                </w:tcPr>
                <w:p>
                  <w:pPr>
                    <w:pStyle w:val="Compact"/>
                    <w:keepNext/>
                    <w:spacing w:after="0" w:before="0" w:line="240" w:lineRule="auto"/>
                    <w:ind w:firstLine="0"/>
                    <w:jc w:val="center"/>
                  </w:pPr>
                  <w:r>
                    <w:rPr>
                      <w:sz w:val="14"/>
                    </w:rPr>
                    <w:t xml:space="preserve">5</w:t>
                  </w:r>
                </w:p>
              </w:tc>
              <w:tc>
                <w:tcPr>
                  <w:tcW w:w="713" w:type="dxa"/>
                </w:tcPr>
                <w:p>
                  <w:pPr>
                    <w:pStyle w:val="Compact"/>
                    <w:keepNext/>
                    <w:spacing w:after="0" w:before="0" w:line="240" w:lineRule="auto"/>
                    <w:ind w:firstLine="0"/>
                    <w:jc w:val="center"/>
                  </w:pPr>
                  <w:r>
                    <w:rPr>
                      <w:sz w:val="14"/>
                    </w:rPr>
                    <w:t xml:space="preserve">7</w:t>
                  </w:r>
                </w:p>
              </w:tc>
            </w:tr>
            <w:tr>
              <w:trPr>
                <w:cantSplit/>
              </w:trPr>
              <w:tc>
                <w:tcPr>
                  <w:tcW w:w="1261" w:type="dxa"/>
                </w:tcPr>
                <w:p>
                  <w:pPr>
                    <w:pStyle w:val="Compact"/>
                    <w:keepNext/>
                    <w:spacing w:after="0" w:before="0" w:line="240" w:lineRule="auto"/>
                    <w:ind w:firstLine="0"/>
                    <w:jc w:val="left"/>
                  </w:pPr>
                  <w:r>
                    <w:rPr>
                      <w:i/>
                      <w:iCs/>
                      <w:sz w:val="14"/>
                    </w:rPr>
                    <w:t xml:space="preserve">E. cloacae</w:t>
                  </w:r>
                  <w:r>
                    <w:rPr>
                      <w:sz w:val="14"/>
                    </w:rPr>
                    <w:t xml:space="preserve"> </w:t>
                  </w:r>
                  <w:r>
                    <w:rPr>
                      <w:sz w:val="14"/>
                    </w:rPr>
                    <w:t xml:space="preserve">cplx.</w:t>
                  </w:r>
                </w:p>
              </w:tc>
              <w:tc>
                <w:tcPr>
                  <w:tcW w:w="565" w:type="dxa"/>
                </w:tcPr>
                <w:p>
                  <w:pPr>
                    <w:pStyle w:val="Compact"/>
                    <w:keepNext/>
                    <w:spacing w:after="0" w:before="0" w:line="240" w:lineRule="auto"/>
                    <w:ind w:firstLine="0"/>
                    <w:jc w:val="center"/>
                  </w:pPr>
                  <w:r>
                    <w:rPr>
                      <w:sz w:val="14"/>
                    </w:rPr>
                    <w:t xml:space="preserve">166</w:t>
                  </w:r>
                </w:p>
              </w:tc>
              <w:tc>
                <w:tcPr>
                  <w:tcW w:w="812" w:type="dxa"/>
                </w:tcPr>
                <w:p>
                  <w:pPr>
                    <w:pStyle w:val="Compact"/>
                    <w:keepNext/>
                    <w:spacing w:after="0" w:before="0" w:line="240" w:lineRule="auto"/>
                    <w:ind w:firstLine="0"/>
                    <w:jc w:val="center"/>
                  </w:pPr>
                  <w:r>
                    <w:rPr>
                      <w:sz w:val="14"/>
                    </w:rPr>
                    <w:t xml:space="preserve">13</w:t>
                  </w:r>
                </w:p>
              </w:tc>
              <w:tc>
                <w:tcPr>
                  <w:tcW w:w="416" w:type="dxa"/>
                </w:tcPr>
                <w:p>
                  <w:pPr>
                    <w:pStyle w:val="Compact"/>
                    <w:keepNext/>
                    <w:spacing w:after="0" w:before="0" w:line="240" w:lineRule="auto"/>
                    <w:ind w:firstLine="0"/>
                    <w:jc w:val="center"/>
                  </w:pPr>
                  <w:r>
                    <w:rPr>
                      <w:sz w:val="14"/>
                    </w:rPr>
                    <w:t xml:space="preserve">82</w:t>
                  </w:r>
                </w:p>
              </w:tc>
              <w:tc>
                <w:tcPr>
                  <w:tcW w:w="614" w:type="dxa"/>
                </w:tcPr>
                <w:p>
                  <w:pPr>
                    <w:pStyle w:val="Compact"/>
                    <w:keepNext/>
                    <w:spacing w:after="0" w:before="0" w:line="240" w:lineRule="auto"/>
                    <w:ind w:firstLine="0"/>
                    <w:jc w:val="center"/>
                  </w:pPr>
                  <w:r>
                    <w:rPr>
                      <w:sz w:val="14"/>
                    </w:rPr>
                    <w:t xml:space="preserve">2012–2024</w:t>
                  </w:r>
                </w:p>
              </w:tc>
              <w:tc>
                <w:tcPr>
                  <w:tcW w:w="515" w:type="dxa"/>
                </w:tcPr>
                <w:p>
                  <w:pPr>
                    <w:pStyle w:val="Compact"/>
                    <w:keepNext/>
                    <w:spacing w:after="0" w:before="0" w:line="240" w:lineRule="auto"/>
                    <w:ind w:firstLine="0"/>
                    <w:jc w:val="center"/>
                  </w:pPr>
                  <w:r>
                    <w:rPr>
                      <w:sz w:val="14"/>
                    </w:rPr>
                    <w:t xml:space="preserve">2</w:t>
                  </w:r>
                </w:p>
              </w:tc>
              <w:tc>
                <w:tcPr>
                  <w:tcW w:w="713" w:type="dxa"/>
                </w:tcPr>
                <w:p>
                  <w:pPr>
                    <w:pStyle w:val="Compact"/>
                    <w:keepNext/>
                    <w:spacing w:after="0" w:before="0" w:line="240" w:lineRule="auto"/>
                    <w:ind w:firstLine="0"/>
                    <w:jc w:val="center"/>
                  </w:pPr>
                  <w:r>
                    <w:rPr>
                      <w:sz w:val="14"/>
                    </w:rPr>
                    <w:t xml:space="preserve">21</w:t>
                  </w:r>
                </w:p>
              </w:tc>
            </w:tr>
            <w:tr>
              <w:trPr>
                <w:cantSplit/>
              </w:trPr>
              <w:tc>
                <w:tcPr>
                  <w:tcW w:w="1261" w:type="dxa"/>
                </w:tcPr>
                <w:p>
                  <w:pPr>
                    <w:pStyle w:val="Compact"/>
                    <w:keepNext/>
                    <w:spacing w:after="0" w:before="0" w:line="240" w:lineRule="auto"/>
                    <w:ind w:firstLine="0"/>
                    <w:jc w:val="left"/>
                  </w:pPr>
                  <w:r>
                    <w:rPr>
                      <w:i/>
                      <w:iCs/>
                      <w:sz w:val="14"/>
                    </w:rPr>
                    <w:t xml:space="preserve">K. aerogenes</w:t>
                  </w:r>
                </w:p>
              </w:tc>
              <w:tc>
                <w:tcPr>
                  <w:tcW w:w="565" w:type="dxa"/>
                </w:tcPr>
                <w:p>
                  <w:pPr>
                    <w:pStyle w:val="Compact"/>
                    <w:keepNext/>
                    <w:spacing w:after="0" w:before="0" w:line="240" w:lineRule="auto"/>
                    <w:ind w:firstLine="0"/>
                    <w:jc w:val="center"/>
                  </w:pPr>
                  <w:r>
                    <w:rPr>
                      <w:sz w:val="14"/>
                    </w:rPr>
                    <w:t xml:space="preserve">115</w:t>
                  </w:r>
                </w:p>
              </w:tc>
              <w:tc>
                <w:tcPr>
                  <w:tcW w:w="812" w:type="dxa"/>
                </w:tcPr>
                <w:p>
                  <w:pPr>
                    <w:pStyle w:val="Compact"/>
                    <w:keepNext/>
                    <w:spacing w:after="0" w:before="0" w:line="240" w:lineRule="auto"/>
                    <w:ind w:firstLine="0"/>
                    <w:jc w:val="center"/>
                  </w:pPr>
                  <w:r>
                    <w:rPr>
                      <w:sz w:val="14"/>
                    </w:rPr>
                    <w:t xml:space="preserve">11</w:t>
                  </w:r>
                </w:p>
              </w:tc>
              <w:tc>
                <w:tcPr>
                  <w:tcW w:w="416" w:type="dxa"/>
                </w:tcPr>
                <w:p>
                  <w:pPr>
                    <w:pStyle w:val="Compact"/>
                    <w:keepNext/>
                    <w:spacing w:after="0" w:before="0" w:line="240" w:lineRule="auto"/>
                    <w:ind w:firstLine="0"/>
                    <w:jc w:val="center"/>
                  </w:pPr>
                  <w:r>
                    <w:rPr>
                      <w:sz w:val="14"/>
                    </w:rPr>
                    <w:t xml:space="preserve">64</w:t>
                  </w:r>
                </w:p>
              </w:tc>
              <w:tc>
                <w:tcPr>
                  <w:tcW w:w="614" w:type="dxa"/>
                </w:tcPr>
                <w:p>
                  <w:pPr>
                    <w:pStyle w:val="Compact"/>
                    <w:keepNext/>
                    <w:spacing w:after="0" w:before="0" w:line="240" w:lineRule="auto"/>
                    <w:ind w:firstLine="0"/>
                    <w:jc w:val="center"/>
                  </w:pPr>
                  <w:r>
                    <w:rPr>
                      <w:sz w:val="14"/>
                    </w:rPr>
                    <w:t xml:space="preserve">2011–2024</w:t>
                  </w:r>
                </w:p>
              </w:tc>
              <w:tc>
                <w:tcPr>
                  <w:tcW w:w="515" w:type="dxa"/>
                </w:tcPr>
                <w:p>
                  <w:pPr>
                    <w:pStyle w:val="Compact"/>
                    <w:keepNext/>
                    <w:spacing w:after="0" w:before="0" w:line="240" w:lineRule="auto"/>
                    <w:ind w:firstLine="0"/>
                    <w:jc w:val="center"/>
                  </w:pPr>
                  <w:r>
                    <w:rPr>
                      <w:sz w:val="14"/>
                    </w:rPr>
                    <w:t xml:space="preserve">5</w:t>
                  </w:r>
                </w:p>
              </w:tc>
              <w:tc>
                <w:tcPr>
                  <w:tcW w:w="713" w:type="dxa"/>
                </w:tcPr>
                <w:p>
                  <w:pPr>
                    <w:pStyle w:val="Compact"/>
                    <w:keepNext/>
                    <w:spacing w:after="0" w:before="0" w:line="240" w:lineRule="auto"/>
                    <w:ind w:firstLine="0"/>
                    <w:jc w:val="center"/>
                  </w:pPr>
                  <w:r>
                    <w:rPr>
                      <w:sz w:val="14"/>
                    </w:rPr>
                    <w:t xml:space="preserve">17</w:t>
                  </w:r>
                </w:p>
              </w:tc>
            </w:tr>
            <w:tr>
              <w:trPr>
                <w:cantSplit/>
              </w:trPr>
              <w:tc>
                <w:tcPr>
                  <w:tcW w:w="1261" w:type="dxa"/>
                </w:tcPr>
                <w:p>
                  <w:pPr>
                    <w:pStyle w:val="Compact"/>
                    <w:keepNext/>
                    <w:spacing w:after="0" w:before="0" w:line="240" w:lineRule="auto"/>
                    <w:ind w:firstLine="0"/>
                    <w:jc w:val="left"/>
                  </w:pPr>
                  <w:r>
                    <w:rPr>
                      <w:i/>
                      <w:iCs/>
                      <w:sz w:val="14"/>
                    </w:rPr>
                    <w:t xml:space="preserve">Salmonella enterica</w:t>
                  </w:r>
                </w:p>
              </w:tc>
              <w:tc>
                <w:tcPr>
                  <w:tcW w:w="565" w:type="dxa"/>
                </w:tcPr>
                <w:p>
                  <w:pPr>
                    <w:pStyle w:val="Compact"/>
                    <w:keepNext/>
                    <w:spacing w:after="0" w:before="0" w:line="240" w:lineRule="auto"/>
                    <w:ind w:firstLine="0"/>
                    <w:jc w:val="center"/>
                  </w:pPr>
                  <w:r>
                    <w:rPr>
                      <w:sz w:val="14"/>
                    </w:rPr>
                    <w:t xml:space="preserve">109</w:t>
                  </w:r>
                </w:p>
              </w:tc>
              <w:tc>
                <w:tcPr>
                  <w:tcW w:w="812" w:type="dxa"/>
                </w:tcPr>
                <w:p>
                  <w:pPr>
                    <w:pStyle w:val="Compact"/>
                    <w:keepNext/>
                    <w:spacing w:after="0" w:before="0" w:line="240" w:lineRule="auto"/>
                    <w:ind w:firstLine="0"/>
                    <w:jc w:val="center"/>
                  </w:pPr>
                  <w:r>
                    <w:rPr>
                      <w:sz w:val="14"/>
                    </w:rPr>
                    <w:t xml:space="preserve">9</w:t>
                  </w:r>
                </w:p>
              </w:tc>
              <w:tc>
                <w:tcPr>
                  <w:tcW w:w="416" w:type="dxa"/>
                </w:tcPr>
                <w:p>
                  <w:pPr>
                    <w:pStyle w:val="Compact"/>
                    <w:keepNext/>
                    <w:spacing w:after="0" w:before="0" w:line="240" w:lineRule="auto"/>
                    <w:ind w:firstLine="0"/>
                    <w:jc w:val="center"/>
                  </w:pPr>
                  <w:r>
                    <w:rPr>
                      <w:sz w:val="14"/>
                    </w:rPr>
                    <w:t xml:space="preserve">8</w:t>
                  </w:r>
                </w:p>
              </w:tc>
              <w:tc>
                <w:tcPr>
                  <w:tcW w:w="614" w:type="dxa"/>
                </w:tcPr>
                <w:p>
                  <w:pPr>
                    <w:pStyle w:val="Compact"/>
                    <w:keepNext/>
                    <w:spacing w:after="0" w:before="0" w:line="240" w:lineRule="auto"/>
                    <w:ind w:firstLine="0"/>
                    <w:jc w:val="center"/>
                  </w:pPr>
                  <w:r>
                    <w:rPr>
                      <w:sz w:val="14"/>
                    </w:rPr>
                    <w:t xml:space="preserve">2012–2017</w:t>
                  </w:r>
                </w:p>
              </w:tc>
              <w:tc>
                <w:tcPr>
                  <w:tcW w:w="515" w:type="dxa"/>
                </w:tcPr>
                <w:p>
                  <w:pPr>
                    <w:pStyle w:val="Compact"/>
                    <w:keepNext/>
                    <w:spacing w:after="0" w:before="0" w:line="240" w:lineRule="auto"/>
                    <w:ind w:firstLine="0"/>
                    <w:jc w:val="center"/>
                  </w:pPr>
                  <w:r>
                    <w:rPr>
                      <w:sz w:val="14"/>
                    </w:rPr>
                    <w:t xml:space="preserve">2</w:t>
                  </w:r>
                </w:p>
              </w:tc>
              <w:tc>
                <w:tcPr>
                  <w:tcW w:w="713" w:type="dxa"/>
                </w:tcPr>
                <w:p>
                  <w:pPr>
                    <w:pStyle w:val="Compact"/>
                    <w:keepNext/>
                    <w:spacing w:after="0" w:before="0" w:line="240" w:lineRule="auto"/>
                    <w:ind w:firstLine="0"/>
                    <w:jc w:val="center"/>
                  </w:pPr>
                  <w:r>
                    <w:rPr>
                      <w:sz w:val="14"/>
                    </w:rPr>
                    <w:t xml:space="preserve">4</w:t>
                  </w:r>
                </w:p>
              </w:tc>
            </w:tr>
            <w:tr>
              <w:trPr>
                <w:cantSplit/>
              </w:trPr>
              <w:tc>
                <w:tcPr>
                  <w:tcW w:w="1261" w:type="dxa"/>
                </w:tcPr>
                <w:p>
                  <w:pPr>
                    <w:pStyle w:val="Compact"/>
                    <w:keepNext/>
                    <w:spacing w:after="0" w:before="0" w:line="240" w:lineRule="auto"/>
                    <w:ind w:firstLine="0"/>
                    <w:jc w:val="left"/>
                  </w:pPr>
                  <w:r>
                    <w:rPr>
                      <w:i/>
                      <w:iCs/>
                      <w:sz w:val="14"/>
                    </w:rPr>
                    <w:t xml:space="preserve">E. faecalis</w:t>
                  </w:r>
                </w:p>
              </w:tc>
              <w:tc>
                <w:tcPr>
                  <w:tcW w:w="565" w:type="dxa"/>
                </w:tcPr>
                <w:p>
                  <w:pPr>
                    <w:pStyle w:val="Compact"/>
                    <w:keepNext/>
                    <w:spacing w:after="0" w:before="0" w:line="240" w:lineRule="auto"/>
                    <w:ind w:firstLine="0"/>
                    <w:jc w:val="center"/>
                  </w:pPr>
                  <w:r>
                    <w:rPr>
                      <w:sz w:val="14"/>
                    </w:rPr>
                    <w:t xml:space="preserve">83</w:t>
                  </w:r>
                </w:p>
              </w:tc>
              <w:tc>
                <w:tcPr>
                  <w:tcW w:w="812" w:type="dxa"/>
                </w:tcPr>
                <w:p>
                  <w:pPr>
                    <w:pStyle w:val="Compact"/>
                    <w:keepNext/>
                    <w:spacing w:after="0" w:before="0" w:line="240" w:lineRule="auto"/>
                    <w:ind w:firstLine="0"/>
                    <w:jc w:val="center"/>
                  </w:pPr>
                  <w:r>
                    <w:rPr>
                      <w:sz w:val="14"/>
                    </w:rPr>
                    <w:t xml:space="preserve">7</w:t>
                  </w:r>
                </w:p>
              </w:tc>
              <w:tc>
                <w:tcPr>
                  <w:tcW w:w="416" w:type="dxa"/>
                </w:tcPr>
                <w:p>
                  <w:pPr>
                    <w:pStyle w:val="Compact"/>
                    <w:keepNext/>
                    <w:spacing w:after="0" w:before="0" w:line="240" w:lineRule="auto"/>
                    <w:ind w:firstLine="0"/>
                    <w:jc w:val="center"/>
                  </w:pPr>
                  <w:r>
                    <w:rPr>
                      <w:sz w:val="14"/>
                    </w:rPr>
                    <w:t xml:space="preserve">55</w:t>
                  </w:r>
                </w:p>
              </w:tc>
              <w:tc>
                <w:tcPr>
                  <w:tcW w:w="614" w:type="dxa"/>
                </w:tcPr>
                <w:p>
                  <w:pPr>
                    <w:pStyle w:val="Compact"/>
                    <w:keepNext/>
                    <w:spacing w:after="0" w:before="0" w:line="240" w:lineRule="auto"/>
                    <w:ind w:firstLine="0"/>
                    <w:jc w:val="center"/>
                  </w:pPr>
                  <w:r>
                    <w:rPr>
                      <w:sz w:val="14"/>
                    </w:rPr>
                    <w:t xml:space="preserve">2016–2023</w:t>
                  </w:r>
                </w:p>
              </w:tc>
              <w:tc>
                <w:tcPr>
                  <w:tcW w:w="515" w:type="dxa"/>
                </w:tcPr>
                <w:p>
                  <w:pPr>
                    <w:pStyle w:val="Compact"/>
                    <w:keepNext/>
                    <w:spacing w:after="0" w:before="0" w:line="240" w:lineRule="auto"/>
                    <w:ind w:firstLine="0"/>
                    <w:jc w:val="center"/>
                  </w:pPr>
                  <w:r>
                    <w:rPr>
                      <w:sz w:val="14"/>
                    </w:rPr>
                    <w:t xml:space="preserve">2</w:t>
                  </w:r>
                </w:p>
              </w:tc>
              <w:tc>
                <w:tcPr>
                  <w:tcW w:w="713" w:type="dxa"/>
                </w:tcPr>
                <w:p>
                  <w:pPr>
                    <w:pStyle w:val="Compact"/>
                    <w:keepNext/>
                    <w:spacing w:after="0" w:before="0" w:line="240" w:lineRule="auto"/>
                    <w:ind w:firstLine="0"/>
                    <w:jc w:val="center"/>
                  </w:pPr>
                  <w:r>
                    <w:rPr>
                      <w:sz w:val="14"/>
                    </w:rPr>
                    <w:t xml:space="preserve">2</w:t>
                  </w:r>
                </w:p>
              </w:tc>
            </w:tr>
            <w:tr>
              <w:trPr>
                <w:cantSplit/>
              </w:trPr>
              <w:tc>
                <w:tcPr>
                  <w:tcW w:w="1261" w:type="dxa"/>
                </w:tcPr>
                <w:p>
                  <w:pPr>
                    <w:pStyle w:val="Compact"/>
                    <w:keepNext/>
                    <w:spacing w:after="0" w:before="0" w:line="240" w:lineRule="auto"/>
                    <w:ind w:firstLine="0"/>
                    <w:jc w:val="left"/>
                  </w:pPr>
                  <w:r>
                    <w:rPr>
                      <w:i/>
                      <w:iCs/>
                      <w:sz w:val="14"/>
                    </w:rPr>
                    <w:t xml:space="preserve">C. freundii</w:t>
                  </w:r>
                  <w:r>
                    <w:rPr>
                      <w:sz w:val="14"/>
                    </w:rPr>
                    <w:t xml:space="preserve"> </w:t>
                  </w:r>
                  <w:r>
                    <w:rPr>
                      <w:sz w:val="14"/>
                    </w:rPr>
                    <w:t xml:space="preserve">cplx.</w:t>
                  </w:r>
                </w:p>
              </w:tc>
              <w:tc>
                <w:tcPr>
                  <w:tcW w:w="565" w:type="dxa"/>
                </w:tcPr>
                <w:p>
                  <w:pPr>
                    <w:pStyle w:val="Compact"/>
                    <w:keepNext/>
                    <w:spacing w:after="0" w:before="0" w:line="240" w:lineRule="auto"/>
                    <w:ind w:firstLine="0"/>
                    <w:jc w:val="center"/>
                  </w:pPr>
                  <w:r>
                    <w:rPr>
                      <w:sz w:val="14"/>
                    </w:rPr>
                    <w:t xml:space="preserve">54</w:t>
                  </w:r>
                </w:p>
              </w:tc>
              <w:tc>
                <w:tcPr>
                  <w:tcW w:w="812" w:type="dxa"/>
                </w:tcPr>
                <w:p>
                  <w:pPr>
                    <w:pStyle w:val="Compact"/>
                    <w:keepNext/>
                    <w:spacing w:after="0" w:before="0" w:line="240" w:lineRule="auto"/>
                    <w:ind w:firstLine="0"/>
                    <w:jc w:val="center"/>
                  </w:pPr>
                  <w:r>
                    <w:rPr>
                      <w:sz w:val="14"/>
                    </w:rPr>
                    <w:t xml:space="preserve">9</w:t>
                  </w:r>
                </w:p>
              </w:tc>
              <w:tc>
                <w:tcPr>
                  <w:tcW w:w="416" w:type="dxa"/>
                </w:tcPr>
                <w:p>
                  <w:pPr>
                    <w:pStyle w:val="Compact"/>
                    <w:keepNext/>
                    <w:spacing w:after="0" w:before="0" w:line="240" w:lineRule="auto"/>
                    <w:ind w:firstLine="0"/>
                    <w:jc w:val="center"/>
                  </w:pPr>
                  <w:r>
                    <w:rPr>
                      <w:sz w:val="14"/>
                    </w:rPr>
                    <w:t xml:space="preserve">26</w:t>
                  </w:r>
                </w:p>
              </w:tc>
              <w:tc>
                <w:tcPr>
                  <w:tcW w:w="614" w:type="dxa"/>
                </w:tcPr>
                <w:p>
                  <w:pPr>
                    <w:pStyle w:val="Compact"/>
                    <w:keepNext/>
                    <w:spacing w:after="0" w:before="0" w:line="240" w:lineRule="auto"/>
                    <w:ind w:firstLine="0"/>
                    <w:jc w:val="center"/>
                  </w:pPr>
                  <w:r>
                    <w:rPr>
                      <w:sz w:val="14"/>
                    </w:rPr>
                    <w:t xml:space="preserve">2012–2024</w:t>
                  </w:r>
                </w:p>
              </w:tc>
              <w:tc>
                <w:tcPr>
                  <w:tcW w:w="515" w:type="dxa"/>
                </w:tcPr>
                <w:p>
                  <w:pPr>
                    <w:pStyle w:val="Compact"/>
                    <w:keepNext/>
                    <w:spacing w:after="0" w:before="0" w:line="240" w:lineRule="auto"/>
                    <w:ind w:firstLine="0"/>
                    <w:jc w:val="center"/>
                  </w:pPr>
                  <w:r>
                    <w:rPr>
                      <w:sz w:val="14"/>
                    </w:rPr>
                    <w:t xml:space="preserve">3</w:t>
                  </w:r>
                </w:p>
              </w:tc>
              <w:tc>
                <w:tcPr>
                  <w:tcW w:w="713" w:type="dxa"/>
                </w:tcPr>
                <w:p>
                  <w:pPr>
                    <w:pStyle w:val="Compact"/>
                    <w:keepNext/>
                    <w:spacing w:after="0" w:before="0" w:line="240" w:lineRule="auto"/>
                    <w:ind w:firstLine="0"/>
                    <w:jc w:val="center"/>
                  </w:pPr>
                  <w:r>
                    <w:rPr>
                      <w:sz w:val="14"/>
                    </w:rPr>
                    <w:t xml:space="preserve">5</w:t>
                  </w:r>
                </w:p>
              </w:tc>
            </w:tr>
            <w:tr>
              <w:trPr>
                <w:cantSplit/>
              </w:trPr>
              <w:tc>
                <w:tcPr>
                  <w:tcW w:w="1261" w:type="dxa"/>
                </w:tcPr>
                <w:p>
                  <w:pPr>
                    <w:pStyle w:val="Compact"/>
                    <w:keepNext/>
                    <w:spacing w:after="0" w:before="0" w:line="240" w:lineRule="auto"/>
                    <w:ind w:firstLine="0"/>
                    <w:jc w:val="left"/>
                  </w:pPr>
                  <w:r>
                    <w:rPr>
                      <w:i/>
                      <w:iCs/>
                      <w:sz w:val="14"/>
                    </w:rPr>
                    <w:t xml:space="preserve">E. faecium</w:t>
                  </w:r>
                </w:p>
              </w:tc>
              <w:tc>
                <w:tcPr>
                  <w:tcW w:w="565" w:type="dxa"/>
                </w:tcPr>
                <w:p>
                  <w:pPr>
                    <w:pStyle w:val="Compact"/>
                    <w:keepNext/>
                    <w:spacing w:after="0" w:before="0" w:line="240" w:lineRule="auto"/>
                    <w:ind w:firstLine="0"/>
                    <w:jc w:val="center"/>
                  </w:pPr>
                  <w:r>
                    <w:rPr>
                      <w:sz w:val="14"/>
                    </w:rPr>
                    <w:t xml:space="preserve">36</w:t>
                  </w:r>
                </w:p>
              </w:tc>
              <w:tc>
                <w:tcPr>
                  <w:tcW w:w="812" w:type="dxa"/>
                </w:tcPr>
                <w:p>
                  <w:pPr>
                    <w:pStyle w:val="Compact"/>
                    <w:keepNext/>
                    <w:spacing w:after="0" w:before="0" w:line="240" w:lineRule="auto"/>
                    <w:ind w:firstLine="0"/>
                    <w:jc w:val="center"/>
                  </w:pPr>
                  <w:r>
                    <w:rPr>
                      <w:sz w:val="14"/>
                    </w:rPr>
                    <w:t xml:space="preserve">12</w:t>
                  </w:r>
                </w:p>
              </w:tc>
              <w:tc>
                <w:tcPr>
                  <w:tcW w:w="416" w:type="dxa"/>
                </w:tcPr>
                <w:p>
                  <w:pPr>
                    <w:pStyle w:val="Compact"/>
                    <w:keepNext/>
                    <w:spacing w:after="0" w:before="0" w:line="240" w:lineRule="auto"/>
                    <w:ind w:firstLine="0"/>
                    <w:jc w:val="center"/>
                  </w:pPr>
                  <w:r>
                    <w:rPr>
                      <w:sz w:val="14"/>
                    </w:rPr>
                    <w:t xml:space="preserve">13</w:t>
                  </w:r>
                </w:p>
              </w:tc>
              <w:tc>
                <w:tcPr>
                  <w:tcW w:w="614" w:type="dxa"/>
                </w:tcPr>
                <w:p>
                  <w:pPr>
                    <w:pStyle w:val="Compact"/>
                    <w:keepNext/>
                    <w:spacing w:after="0" w:before="0" w:line="240" w:lineRule="auto"/>
                    <w:ind w:firstLine="0"/>
                    <w:jc w:val="center"/>
                  </w:pPr>
                  <w:r>
                    <w:rPr>
                      <w:sz w:val="14"/>
                    </w:rPr>
                    <w:t xml:space="preserve">2016–2024</w:t>
                  </w:r>
                </w:p>
              </w:tc>
              <w:tc>
                <w:tcPr>
                  <w:tcW w:w="515" w:type="dxa"/>
                </w:tcPr>
                <w:p>
                  <w:pPr>
                    <w:pStyle w:val="Compact"/>
                    <w:keepNext/>
                    <w:spacing w:after="0" w:before="0" w:line="240" w:lineRule="auto"/>
                    <w:ind w:firstLine="0"/>
                    <w:jc w:val="center"/>
                  </w:pPr>
                  <w:r>
                    <w:rPr>
                      <w:sz w:val="14"/>
                    </w:rPr>
                    <w:t xml:space="preserve">3</w:t>
                  </w:r>
                </w:p>
              </w:tc>
              <w:tc>
                <w:tcPr>
                  <w:tcW w:w="713" w:type="dxa"/>
                </w:tcPr>
                <w:p>
                  <w:pPr>
                    <w:pStyle w:val="Compact"/>
                    <w:keepNext/>
                    <w:spacing w:after="0" w:before="0" w:line="240" w:lineRule="auto"/>
                    <w:ind w:firstLine="0"/>
                    <w:jc w:val="center"/>
                  </w:pPr>
                  <w:r>
                    <w:rPr>
                      <w:sz w:val="14"/>
                    </w:rPr>
                    <w:t xml:space="preserve">3</w:t>
                  </w:r>
                </w:p>
              </w:tc>
            </w:tr>
            <w:tr>
              <w:trPr>
                <w:cantSplit/>
              </w:trPr>
              <w:tc>
                <w:tcPr>
                  <w:tcW w:w="1261" w:type="dxa"/>
                </w:tcPr>
                <w:p>
                  <w:pPr>
                    <w:pStyle w:val="Compact"/>
                    <w:keepNext/>
                    <w:spacing w:after="0" w:before="0" w:line="240" w:lineRule="auto"/>
                    <w:ind w:firstLine="0"/>
                    <w:jc w:val="left"/>
                  </w:pPr>
                  <w:r>
                    <w:rPr>
                      <w:i/>
                      <w:iCs/>
                      <w:sz w:val="14"/>
                    </w:rPr>
                    <w:t xml:space="preserve">Morganella</w:t>
                  </w:r>
                  <w:r>
                    <w:rPr>
                      <w:sz w:val="14"/>
                    </w:rPr>
                    <w:t xml:space="preserve">/</w:t>
                  </w:r>
                  <w:r>
                    <w:rPr>
                      <w:i/>
                      <w:iCs/>
                      <w:sz w:val="14"/>
                    </w:rPr>
                    <w:t xml:space="preserve">Providencia</w:t>
                  </w:r>
                </w:p>
              </w:tc>
              <w:tc>
                <w:tcPr>
                  <w:tcW w:w="565" w:type="dxa"/>
                </w:tcPr>
                <w:p>
                  <w:pPr>
                    <w:pStyle w:val="Compact"/>
                    <w:keepNext/>
                    <w:spacing w:after="0" w:before="0" w:line="240" w:lineRule="auto"/>
                    <w:ind w:firstLine="0"/>
                    <w:jc w:val="center"/>
                  </w:pPr>
                  <w:r>
                    <w:rPr>
                      <w:sz w:val="14"/>
                    </w:rPr>
                    <w:t xml:space="preserve">31</w:t>
                  </w:r>
                </w:p>
              </w:tc>
              <w:tc>
                <w:tcPr>
                  <w:tcW w:w="812" w:type="dxa"/>
                </w:tcPr>
                <w:p>
                  <w:pPr>
                    <w:pStyle w:val="Compact"/>
                    <w:keepNext/>
                    <w:spacing w:after="0" w:before="0" w:line="240" w:lineRule="auto"/>
                    <w:ind w:firstLine="0"/>
                    <w:jc w:val="center"/>
                  </w:pPr>
                  <w:r>
                    <w:rPr>
                      <w:sz w:val="14"/>
                    </w:rPr>
                    <w:t xml:space="preserve">3</w:t>
                  </w:r>
                </w:p>
              </w:tc>
              <w:tc>
                <w:tcPr>
                  <w:tcW w:w="416" w:type="dxa"/>
                </w:tcPr>
                <w:p>
                  <w:pPr>
                    <w:pStyle w:val="Compact"/>
                    <w:keepNext/>
                    <w:spacing w:after="0" w:before="0" w:line="240" w:lineRule="auto"/>
                    <w:ind w:firstLine="0"/>
                    <w:jc w:val="center"/>
                  </w:pPr>
                  <w:r>
                    <w:rPr>
                      <w:sz w:val="14"/>
                    </w:rPr>
                    <w:t xml:space="preserve">14</w:t>
                  </w:r>
                </w:p>
              </w:tc>
              <w:tc>
                <w:tcPr>
                  <w:tcW w:w="614" w:type="dxa"/>
                </w:tcPr>
                <w:p>
                  <w:pPr>
                    <w:pStyle w:val="Compact"/>
                    <w:keepNext/>
                    <w:spacing w:after="0" w:before="0" w:line="240" w:lineRule="auto"/>
                    <w:ind w:firstLine="0"/>
                    <w:jc w:val="center"/>
                  </w:pPr>
                  <w:r>
                    <w:rPr>
                      <w:sz w:val="14"/>
                    </w:rPr>
                    <w:t xml:space="preserve">2014–2024</w:t>
                  </w:r>
                </w:p>
              </w:tc>
              <w:tc>
                <w:tcPr>
                  <w:tcW w:w="515" w:type="dxa"/>
                </w:tcPr>
                <w:p>
                  <w:pPr>
                    <w:pStyle w:val="Compact"/>
                    <w:keepNext/>
                    <w:spacing w:after="0" w:before="0" w:line="240" w:lineRule="auto"/>
                    <w:ind w:firstLine="0"/>
                    <w:jc w:val="center"/>
                  </w:pPr>
                  <w:r>
                    <w:rPr>
                      <w:sz w:val="14"/>
                    </w:rPr>
                    <w:t xml:space="preserve">1</w:t>
                  </w:r>
                </w:p>
              </w:tc>
              <w:tc>
                <w:tcPr>
                  <w:tcW w:w="713" w:type="dxa"/>
                </w:tcPr>
                <w:p>
                  <w:pPr>
                    <w:pStyle w:val="Compact"/>
                    <w:keepNext/>
                    <w:spacing w:after="0" w:before="0" w:line="240" w:lineRule="auto"/>
                    <w:ind w:firstLine="0"/>
                    <w:jc w:val="center"/>
                  </w:pPr>
                  <w:r>
                    <w:rPr>
                      <w:sz w:val="14"/>
                    </w:rPr>
                    <w:t xml:space="preserve">4</w:t>
                  </w:r>
                </w:p>
              </w:tc>
            </w:tr>
            <w:tr>
              <w:trPr>
                <w:cantSplit/>
              </w:trPr>
              <w:tc>
                <w:tcPr>
                  <w:tcW w:w="1261" w:type="dxa"/>
                </w:tcPr>
                <w:p>
                  <w:pPr>
                    <w:pStyle w:val="Compact"/>
                    <w:keepNext/>
                    <w:spacing w:after="0" w:before="0" w:line="240" w:lineRule="auto"/>
                    <w:ind w:firstLine="0"/>
                    <w:jc w:val="left"/>
                  </w:pPr>
                  <w:r>
                    <w:rPr>
                      <w:i/>
                      <w:iCs/>
                      <w:sz w:val="14"/>
                    </w:rPr>
                    <w:t xml:space="preserve">Serratia</w:t>
                  </w:r>
                  <w:r>
                    <w:rPr>
                      <w:sz w:val="14"/>
                    </w:rPr>
                    <w:t xml:space="preserve"> </w:t>
                  </w:r>
                  <w:r>
                    <w:rPr>
                      <w:sz w:val="14"/>
                    </w:rPr>
                    <w:t xml:space="preserve">spp.</w:t>
                  </w:r>
                </w:p>
              </w:tc>
              <w:tc>
                <w:tcPr>
                  <w:tcW w:w="565" w:type="dxa"/>
                </w:tcPr>
                <w:p>
                  <w:pPr>
                    <w:pStyle w:val="Compact"/>
                    <w:keepNext/>
                    <w:spacing w:after="0" w:before="0" w:line="240" w:lineRule="auto"/>
                    <w:ind w:firstLine="0"/>
                    <w:jc w:val="center"/>
                  </w:pPr>
                  <w:r>
                    <w:rPr>
                      <w:sz w:val="14"/>
                    </w:rPr>
                    <w:t xml:space="preserve">30</w:t>
                  </w:r>
                </w:p>
              </w:tc>
              <w:tc>
                <w:tcPr>
                  <w:tcW w:w="812" w:type="dxa"/>
                </w:tcPr>
                <w:p>
                  <w:pPr>
                    <w:pStyle w:val="Compact"/>
                    <w:keepNext/>
                    <w:spacing w:after="0" w:before="0" w:line="240" w:lineRule="auto"/>
                    <w:ind w:firstLine="0"/>
                    <w:jc w:val="center"/>
                  </w:pPr>
                  <w:r>
                    <w:rPr>
                      <w:sz w:val="14"/>
                    </w:rPr>
                    <w:t xml:space="preserve">4</w:t>
                  </w:r>
                </w:p>
              </w:tc>
              <w:tc>
                <w:tcPr>
                  <w:tcW w:w="416" w:type="dxa"/>
                </w:tcPr>
                <w:p>
                  <w:pPr>
                    <w:pStyle w:val="Compact"/>
                    <w:keepNext/>
                    <w:spacing w:after="0" w:before="0" w:line="240" w:lineRule="auto"/>
                    <w:ind w:firstLine="0"/>
                    <w:jc w:val="center"/>
                  </w:pPr>
                  <w:r>
                    <w:rPr>
                      <w:sz w:val="14"/>
                    </w:rPr>
                    <w:t xml:space="preserve">4</w:t>
                  </w:r>
                </w:p>
              </w:tc>
              <w:tc>
                <w:tcPr>
                  <w:tcW w:w="614" w:type="dxa"/>
                </w:tcPr>
                <w:p>
                  <w:pPr>
                    <w:pStyle w:val="Compact"/>
                    <w:keepNext/>
                    <w:spacing w:after="0" w:before="0" w:line="240" w:lineRule="auto"/>
                    <w:ind w:firstLine="0"/>
                    <w:jc w:val="center"/>
                  </w:pPr>
                  <w:r>
                    <w:rPr>
                      <w:sz w:val="14"/>
                    </w:rPr>
                    <w:t xml:space="preserve">2013–2024</w:t>
                  </w:r>
                </w:p>
              </w:tc>
              <w:tc>
                <w:tcPr>
                  <w:tcW w:w="515" w:type="dxa"/>
                </w:tcPr>
                <w:p>
                  <w:pPr>
                    <w:pStyle w:val="Compact"/>
                    <w:keepNext/>
                    <w:spacing w:after="0" w:before="0" w:line="240" w:lineRule="auto"/>
                    <w:ind w:firstLine="0"/>
                    <w:jc w:val="center"/>
                  </w:pPr>
                  <w:r>
                    <w:rPr>
                      <w:sz w:val="14"/>
                    </w:rPr>
                    <w:t xml:space="preserve">1</w:t>
                  </w:r>
                </w:p>
              </w:tc>
              <w:tc>
                <w:tcPr>
                  <w:tcW w:w="713" w:type="dxa"/>
                </w:tcPr>
                <w:p>
                  <w:pPr>
                    <w:pStyle w:val="Compact"/>
                    <w:keepNext/>
                    <w:spacing w:after="0" w:before="0" w:line="240" w:lineRule="auto"/>
                    <w:ind w:firstLine="0"/>
                    <w:jc w:val="center"/>
                  </w:pPr>
                  <w:r>
                    <w:rPr>
                      <w:sz w:val="14"/>
                    </w:rPr>
                    <w:t xml:space="preserve">3</w:t>
                  </w:r>
                </w:p>
              </w:tc>
            </w:tr>
            <w:tr>
              <w:trPr>
                <w:cantSplit/>
              </w:trPr>
              <w:tc>
                <w:tcPr>
                  <w:tcW w:w="1261" w:type="dxa"/>
                </w:tcPr>
                <w:p>
                  <w:pPr>
                    <w:pStyle w:val="Compact"/>
                    <w:keepNext/>
                    <w:spacing w:after="0" w:before="0" w:line="240" w:lineRule="auto"/>
                    <w:ind w:firstLine="0"/>
                    <w:jc w:val="left"/>
                  </w:pPr>
                  <w:r>
                    <w:rPr>
                      <w:i/>
                      <w:iCs/>
                      <w:sz w:val="14"/>
                    </w:rPr>
                    <w:t xml:space="preserve">K. oxytoca</w:t>
                  </w:r>
                  <w:r>
                    <w:rPr>
                      <w:sz w:val="14"/>
                    </w:rPr>
                    <w:t xml:space="preserve"> </w:t>
                  </w:r>
                  <w:r>
                    <w:rPr>
                      <w:sz w:val="14"/>
                    </w:rPr>
                    <w:t xml:space="preserve">cplx.</w:t>
                  </w:r>
                </w:p>
              </w:tc>
              <w:tc>
                <w:tcPr>
                  <w:tcW w:w="565" w:type="dxa"/>
                </w:tcPr>
                <w:p>
                  <w:pPr>
                    <w:pStyle w:val="Compact"/>
                    <w:keepNext/>
                    <w:spacing w:after="0" w:before="0" w:line="240" w:lineRule="auto"/>
                    <w:ind w:firstLine="0"/>
                    <w:jc w:val="center"/>
                  </w:pPr>
                  <w:r>
                    <w:rPr>
                      <w:sz w:val="14"/>
                    </w:rPr>
                    <w:t xml:space="preserve">18</w:t>
                  </w:r>
                </w:p>
              </w:tc>
              <w:tc>
                <w:tcPr>
                  <w:tcW w:w="812" w:type="dxa"/>
                </w:tcPr>
                <w:p>
                  <w:pPr>
                    <w:pStyle w:val="Compact"/>
                    <w:keepNext/>
                    <w:spacing w:after="0" w:before="0" w:line="240" w:lineRule="auto"/>
                    <w:ind w:firstLine="0"/>
                    <w:jc w:val="center"/>
                  </w:pPr>
                  <w:r>
                    <w:rPr>
                      <w:sz w:val="14"/>
                    </w:rPr>
                    <w:t xml:space="preserve">6</w:t>
                  </w:r>
                </w:p>
              </w:tc>
              <w:tc>
                <w:tcPr>
                  <w:tcW w:w="416" w:type="dxa"/>
                </w:tcPr>
                <w:p>
                  <w:pPr>
                    <w:pStyle w:val="Compact"/>
                    <w:keepNext/>
                    <w:spacing w:after="0" w:before="0" w:line="240" w:lineRule="auto"/>
                    <w:ind w:firstLine="0"/>
                    <w:jc w:val="center"/>
                  </w:pPr>
                  <w:r>
                    <w:rPr>
                      <w:sz w:val="14"/>
                    </w:rPr>
                    <w:t xml:space="preserve">6</w:t>
                  </w:r>
                </w:p>
              </w:tc>
              <w:tc>
                <w:tcPr>
                  <w:tcW w:w="614" w:type="dxa"/>
                </w:tcPr>
                <w:p>
                  <w:pPr>
                    <w:pStyle w:val="Compact"/>
                    <w:keepNext/>
                    <w:spacing w:after="0" w:before="0" w:line="240" w:lineRule="auto"/>
                    <w:ind w:firstLine="0"/>
                    <w:jc w:val="center"/>
                  </w:pPr>
                  <w:r>
                    <w:rPr>
                      <w:sz w:val="14"/>
                    </w:rPr>
                    <w:t xml:space="preserve">2017–2024</w:t>
                  </w:r>
                </w:p>
              </w:tc>
              <w:tc>
                <w:tcPr>
                  <w:tcW w:w="515" w:type="dxa"/>
                </w:tcPr>
                <w:p>
                  <w:pPr>
                    <w:pStyle w:val="Compact"/>
                    <w:keepNext/>
                    <w:spacing w:after="0" w:before="0" w:line="240" w:lineRule="auto"/>
                    <w:ind w:firstLine="0"/>
                    <w:jc w:val="center"/>
                  </w:pPr>
                  <w:r>
                    <w:rPr>
                      <w:sz w:val="14"/>
                    </w:rPr>
                    <w:t xml:space="preserve">2</w:t>
                  </w:r>
                </w:p>
              </w:tc>
              <w:tc>
                <w:tcPr>
                  <w:tcW w:w="713" w:type="dxa"/>
                </w:tcPr>
                <w:p>
                  <w:pPr>
                    <w:pStyle w:val="Compact"/>
                    <w:keepNext/>
                    <w:spacing w:after="0" w:before="0" w:line="240" w:lineRule="auto"/>
                    <w:ind w:firstLine="0"/>
                    <w:jc w:val="center"/>
                  </w:pPr>
                  <w:r>
                    <w:rPr>
                      <w:sz w:val="14"/>
                    </w:rPr>
                    <w:t xml:space="preserve">2</w:t>
                  </w:r>
                </w:p>
              </w:tc>
            </w:tr>
            <w:tr>
              <w:trPr>
                <w:cantSplit/>
              </w:trPr>
              <w:tc>
                <w:tcPr>
                  <w:tcW w:w="1261" w:type="dxa"/>
                </w:tcPr>
                <w:p>
                  <w:pPr>
                    <w:pStyle w:val="Compact"/>
                    <w:keepNext/>
                    <w:spacing w:after="0" w:before="0" w:line="240" w:lineRule="auto"/>
                    <w:ind w:firstLine="0"/>
                    <w:jc w:val="left"/>
                  </w:pPr>
                  <w:r>
                    <w:rPr>
                      <w:sz w:val="14"/>
                    </w:rPr>
                    <w:t xml:space="preserve">Other Enterobacterales</w:t>
                  </w:r>
                </w:p>
              </w:tc>
              <w:tc>
                <w:tcPr>
                  <w:tcW w:w="565" w:type="dxa"/>
                </w:tcPr>
                <w:p>
                  <w:pPr>
                    <w:pStyle w:val="Compact"/>
                    <w:keepNext/>
                    <w:spacing w:after="0" w:before="0" w:line="240" w:lineRule="auto"/>
                    <w:ind w:firstLine="0"/>
                    <w:jc w:val="center"/>
                  </w:pPr>
                  <w:r>
                    <w:rPr>
                      <w:sz w:val="14"/>
                    </w:rPr>
                    <w:t xml:space="preserve">7</w:t>
                  </w:r>
                </w:p>
              </w:tc>
              <w:tc>
                <w:tcPr>
                  <w:tcW w:w="812" w:type="dxa"/>
                </w:tcPr>
                <w:p>
                  <w:pPr>
                    <w:pStyle w:val="Compact"/>
                    <w:keepNext/>
                    <w:spacing w:after="0" w:before="0" w:line="240" w:lineRule="auto"/>
                    <w:ind w:firstLine="0"/>
                    <w:jc w:val="center"/>
                  </w:pPr>
                  <w:r>
                    <w:rPr>
                      <w:sz w:val="14"/>
                    </w:rPr>
                    <w:t xml:space="preserve">0</w:t>
                  </w:r>
                </w:p>
              </w:tc>
              <w:tc>
                <w:tcPr>
                  <w:tcW w:w="416" w:type="dxa"/>
                </w:tcPr>
                <w:p>
                  <w:pPr>
                    <w:pStyle w:val="Compact"/>
                    <w:keepNext/>
                    <w:spacing w:after="0" w:before="0" w:line="240" w:lineRule="auto"/>
                    <w:ind w:firstLine="0"/>
                    <w:jc w:val="center"/>
                  </w:pPr>
                  <w:r>
                    <w:rPr>
                      <w:sz w:val="14"/>
                    </w:rPr>
                    <w:t xml:space="preserve">3</w:t>
                  </w:r>
                </w:p>
              </w:tc>
              <w:tc>
                <w:tcPr>
                  <w:tcW w:w="614" w:type="dxa"/>
                </w:tcPr>
                <w:p>
                  <w:pPr>
                    <w:pStyle w:val="Compact"/>
                    <w:keepNext/>
                    <w:spacing w:after="0" w:before="0" w:line="240" w:lineRule="auto"/>
                    <w:ind w:firstLine="0"/>
                    <w:jc w:val="center"/>
                  </w:pPr>
                  <w:r>
                    <w:rPr>
                      <w:sz w:val="14"/>
                    </w:rPr>
                    <w:t xml:space="preserve">2021–2023</w:t>
                  </w:r>
                </w:p>
              </w:tc>
              <w:tc>
                <w:tcPr>
                  <w:tcW w:w="515" w:type="dxa"/>
                </w:tcPr>
                <w:p>
                  <w:pPr>
                    <w:pStyle w:val="Compact"/>
                    <w:keepNext/>
                    <w:spacing w:after="0" w:before="0" w:line="240" w:lineRule="auto"/>
                    <w:ind w:firstLine="0"/>
                    <w:jc w:val="center"/>
                  </w:pPr>
                  <w:r>
                    <w:rPr>
                      <w:sz w:val="14"/>
                    </w:rPr>
                    <w:t xml:space="preserve">1</w:t>
                  </w:r>
                </w:p>
              </w:tc>
              <w:tc>
                <w:tcPr>
                  <w:tcW w:w="713" w:type="dxa"/>
                </w:tcPr>
                <w:p>
                  <w:pPr>
                    <w:pStyle w:val="Compact"/>
                    <w:keepNext/>
                    <w:spacing w:after="0" w:before="0" w:line="240" w:lineRule="auto"/>
                    <w:ind w:firstLine="0"/>
                    <w:jc w:val="center"/>
                  </w:pPr>
                  <w:r>
                    <w:rPr>
                      <w:sz w:val="14"/>
                    </w:rPr>
                    <w:t xml:space="preserve">1</w:t>
                  </w:r>
                </w:p>
              </w:tc>
            </w:tr>
            <w:tr>
              <w:trPr>
                <w:cantSplit/>
              </w:trPr>
              <w:tc>
                <w:tcPr>
                  <w:tcW w:w="1261" w:type="dxa"/>
                </w:tcPr>
                <w:p>
                  <w:pPr>
                    <w:pStyle w:val="Compact"/>
                    <w:keepNext/>
                    <w:spacing w:after="0" w:before="0" w:line="240" w:lineRule="auto"/>
                    <w:ind w:firstLine="0"/>
                    <w:jc w:val="left"/>
                  </w:pPr>
                  <w:r>
                    <w:rPr>
                      <w:i/>
                      <w:iCs/>
                      <w:sz w:val="14"/>
                    </w:rPr>
                    <w:t xml:space="preserve">Klebsiella</w:t>
                  </w:r>
                  <w:r>
                    <w:rPr>
                      <w:sz w:val="14"/>
                    </w:rPr>
                    <w:t xml:space="preserve">, other</w:t>
                  </w:r>
                </w:p>
              </w:tc>
              <w:tc>
                <w:tcPr>
                  <w:tcW w:w="565" w:type="dxa"/>
                </w:tcPr>
                <w:p>
                  <w:pPr>
                    <w:pStyle w:val="Compact"/>
                    <w:keepNext/>
                    <w:spacing w:after="0" w:before="0" w:line="240" w:lineRule="auto"/>
                    <w:ind w:firstLine="0"/>
                    <w:jc w:val="center"/>
                  </w:pPr>
                  <w:r>
                    <w:rPr>
                      <w:sz w:val="14"/>
                    </w:rPr>
                    <w:t xml:space="preserve">3</w:t>
                  </w:r>
                </w:p>
              </w:tc>
              <w:tc>
                <w:tcPr>
                  <w:tcW w:w="812" w:type="dxa"/>
                </w:tcPr>
                <w:p>
                  <w:pPr>
                    <w:pStyle w:val="Compact"/>
                    <w:keepNext/>
                    <w:spacing w:after="0" w:before="0" w:line="240" w:lineRule="auto"/>
                    <w:ind w:firstLine="0"/>
                    <w:jc w:val="center"/>
                  </w:pPr>
                  <w:r>
                    <w:rPr>
                      <w:sz w:val="14"/>
                    </w:rPr>
                    <w:t xml:space="preserve">0</w:t>
                  </w:r>
                </w:p>
              </w:tc>
              <w:tc>
                <w:tcPr>
                  <w:tcW w:w="416" w:type="dxa"/>
                </w:tcPr>
                <w:p>
                  <w:pPr>
                    <w:pStyle w:val="Compact"/>
                    <w:keepNext/>
                    <w:spacing w:after="0" w:before="0" w:line="240" w:lineRule="auto"/>
                    <w:ind w:firstLine="0"/>
                    <w:jc w:val="center"/>
                  </w:pPr>
                  <w:r>
                    <w:rPr>
                      <w:sz w:val="14"/>
                    </w:rPr>
                    <w:t xml:space="preserve">3</w:t>
                  </w:r>
                </w:p>
              </w:tc>
              <w:tc>
                <w:tcPr>
                  <w:tcW w:w="614" w:type="dxa"/>
                </w:tcPr>
                <w:p>
                  <w:pPr>
                    <w:pStyle w:val="Compact"/>
                    <w:keepNext/>
                    <w:spacing w:after="0" w:before="0" w:line="240" w:lineRule="auto"/>
                    <w:ind w:firstLine="0"/>
                    <w:jc w:val="center"/>
                  </w:pPr>
                  <w:r>
                    <w:rPr>
                      <w:sz w:val="14"/>
                    </w:rPr>
                    <w:t xml:space="preserve">2023–2024</w:t>
                  </w:r>
                </w:p>
              </w:tc>
              <w:tc>
                <w:tcPr>
                  <w:tcW w:w="515" w:type="dxa"/>
                </w:tcPr>
                <w:p>
                  <w:pPr>
                    <w:pStyle w:val="Compact"/>
                    <w:keepNext/>
                    <w:spacing w:after="0" w:before="0" w:line="240" w:lineRule="auto"/>
                    <w:ind w:firstLine="0"/>
                    <w:jc w:val="center"/>
                  </w:pPr>
                  <w:r>
                    <w:rPr>
                      <w:sz w:val="14"/>
                    </w:rPr>
                    <w:t xml:space="preserve">1</w:t>
                  </w:r>
                </w:p>
              </w:tc>
              <w:tc>
                <w:tcPr>
                  <w:tcW w:w="713" w:type="dxa"/>
                </w:tcPr>
                <w:p>
                  <w:pPr>
                    <w:pStyle w:val="Compact"/>
                    <w:keepNext/>
                    <w:spacing w:after="0" w:before="0" w:line="240" w:lineRule="auto"/>
                    <w:ind w:firstLine="0"/>
                    <w:jc w:val="center"/>
                  </w:pPr>
                  <w:r>
                    <w:rPr>
                      <w:sz w:val="14"/>
                    </w:rPr>
                    <w:t xml:space="preserve">1</w:t>
                  </w:r>
                </w:p>
              </w:tc>
            </w:tr>
            <w:tr>
              <w:trPr>
                <w:cantSplit/>
              </w:trPr>
              <w:tc>
                <w:tcPr>
                  <w:tcW w:w="1261" w:type="dxa"/>
                  <w:tcBorders>
                    <w:bottom w:val="double" w:sz="4" w:space="0" w:color="000000"/>
                  </w:tcBorders>
                </w:tcPr>
                <w:p>
                  <w:pPr>
                    <w:pStyle w:val="Compact"/>
                    <w:spacing w:after="0" w:before="0" w:line="240" w:lineRule="auto"/>
                    <w:ind w:firstLine="0"/>
                    <w:jc w:val="left"/>
                  </w:pPr>
                  <w:r>
                    <w:rPr>
                      <w:sz w:val="14"/>
                    </w:rPr>
                    <w:t xml:space="preserve">Total</w:t>
                  </w:r>
                </w:p>
              </w:tc>
              <w:tc>
                <w:tcPr>
                  <w:tcW w:w="565" w:type="dxa"/>
                  <w:tcBorders>
                    <w:bottom w:val="double" w:sz="4" w:space="0" w:color="000000"/>
                  </w:tcBorders>
                </w:tcPr>
                <w:p>
                  <w:pPr>
                    <w:pStyle w:val="Compact"/>
                    <w:spacing w:after="0" w:before="0" w:line="240" w:lineRule="auto"/>
                    <w:ind w:firstLine="0"/>
                    <w:jc w:val="center"/>
                  </w:pPr>
                  <w:r>
                    <w:rPr>
                      <w:sz w:val="14"/>
                    </w:rPr>
                    <w:t xml:space="preserve">5,168</w:t>
                  </w:r>
                </w:p>
              </w:tc>
              <w:tc>
                <w:tcPr>
                  <w:tcW w:w="812" w:type="dxa"/>
                  <w:tcBorders>
                    <w:bottom w:val="double" w:sz="4" w:space="0" w:color="000000"/>
                  </w:tcBorders>
                </w:tcPr>
                <w:p>
                  <w:pPr>
                    <w:pStyle w:val="Compact"/>
                    <w:spacing w:after="0" w:before="0" w:line="240" w:lineRule="auto"/>
                    <w:ind w:firstLine="0"/>
                    <w:jc w:val="center"/>
                  </w:pPr>
                  <w:r>
                    <w:rPr>
                      <w:sz w:val="14"/>
                    </w:rPr>
                    <w:t xml:space="preserve">731</w:t>
                  </w:r>
                </w:p>
              </w:tc>
              <w:tc>
                <w:tcPr>
                  <w:tcW w:w="416" w:type="dxa"/>
                  <w:tcBorders>
                    <w:bottom w:val="double" w:sz="4" w:space="0" w:color="000000"/>
                  </w:tcBorders>
                </w:tcPr>
                <w:p>
                  <w:pPr>
                    <w:pStyle w:val="Compact"/>
                    <w:spacing w:after="0" w:before="0" w:line="240" w:lineRule="auto"/>
                    <w:ind w:firstLine="0"/>
                    <w:jc w:val="center"/>
                  </w:pPr>
                  <w:r>
                    <w:rPr>
                      <w:sz w:val="14"/>
                    </w:rPr>
                    <w:t xml:space="preserve">3,426</w:t>
                  </w:r>
                </w:p>
              </w:tc>
              <w:tc>
                <w:tcPr>
                  <w:tcW w:w="614" w:type="dxa"/>
                  <w:tcBorders>
                    <w:bottom w:val="double" w:sz="4" w:space="0" w:color="000000"/>
                  </w:tcBorders>
                </w:tcPr>
                <w:p>
                  <w:pPr>
                    <w:pStyle w:val="Compact"/>
                    <w:spacing w:after="0" w:before="0" w:line="240" w:lineRule="auto"/>
                    <w:ind w:firstLine="0"/>
                    <w:jc w:val="center"/>
                  </w:pPr>
                  <w:r>
                    <w:rPr>
                      <w:sz w:val="14"/>
                    </w:rPr>
                    <w:t xml:space="preserve">2003–2024</w:t>
                  </w:r>
                </w:p>
              </w:tc>
              <w:tc>
                <w:tcPr>
                  <w:tcW w:w="515" w:type="dxa"/>
                  <w:tcBorders>
                    <w:bottom w:val="double" w:sz="4" w:space="0" w:color="000000"/>
                  </w:tcBorders>
                </w:tcPr>
                <w:p>
                  <w:pPr>
                    <w:pStyle w:val="Compact"/>
                    <w:spacing w:after="0" w:before="0" w:line="240" w:lineRule="auto"/>
                    <w:ind w:firstLine="0"/>
                    <w:jc w:val="center"/>
                  </w:pPr>
                  <w:r>
                    <w:rPr>
                      <w:sz w:val="14"/>
                    </w:rPr>
                    <w:t xml:space="preserve">24</w:t>
                  </w:r>
                </w:p>
              </w:tc>
              <w:tc>
                <w:tcPr>
                  <w:tcW w:w="713" w:type="dxa"/>
                  <w:tcBorders>
                    <w:bottom w:val="double" w:sz="4" w:space="0" w:color="000000"/>
                  </w:tcBorders>
                </w:tcPr>
                <w:p>
                  <w:pPr>
                    <w:pStyle w:val="Compact"/>
                    <w:spacing w:after="0" w:before="0" w:line="240" w:lineRule="auto"/>
                    <w:ind w:firstLine="0"/>
                    <w:jc w:val="center"/>
                  </w:pPr>
                  <w:r>
                    <w:rPr>
                      <w:sz w:val="14"/>
                    </w:rPr>
                    <w:t xml:space="preserve">152</w:t>
                  </w:r>
                </w:p>
              </w:tc>
            </w:tr>
          </w:tbl>
          <w:p>
            <w:pPr>
              <w:pStyle w:val="TableNote"/>
            </w:pPr>
            <w:r>
              <w:t xml:space="preserve">Note: ᵃDistinct states named, District of Columbia included; isolates without a stated location are not counted.</w:t>
            </w:r>
          </w:p>
        </w:tc>
      </w:tr>
    </w:tbl>
    <w:p>
      <w:pPr>
        <w:spacing w:before="0" w:after="0" w:line="20" w:lineRule="exact"/>
        <w:rPr>
          <w:sz w:val="2"/>
        </w:rPr>
        <w:sectPr>
          <w:footerReference w:type="default" r:id="rId9"/>
          <w:type w:val="continuous"/>
          <w:pgSz w:w="12240" w:h="15840"/>
          <w:pgMar w:top="1224" w:right="1037" w:bottom="1296" w:left="1037" w:header="720" w:footer="560" w:gutter="0"/>
          <w:cols w:num="2" w:space="374"/>
        </w:sectPr>
      </w:pPr>
    </w:p>
    <w:tbl>
      <w:tblPr>
        <w:tblW w:w="1016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10166"/>
      </w:tblGrid>
      <w:tr>
        <w:trPr>
          <w:cantSplit/>
        </w:trPr>
        <w:tc>
          <w:tcPr>
            <w:tcW w:w="10166" w:type="dxa"/>
          </w:tcPr>
          <w:p>
            <w:pPr>
              <w:pStyle w:val="BodyText"/>
              <w:spacing w:before="60" w:after="0" w:line="240" w:lineRule="auto"/>
              <w:ind w:firstLine="0"/>
              <w:jc w:val="center"/>
            </w:pPr>
            <w:r>
              <w:drawing>
                <wp:inline>
                  <wp:extent cx="5334000" cy="2816787"/>
                  <wp:effectExtent b="0" l="0" r="0" t="0"/>
                  <wp:docPr descr="" title="" id="44" name="Picture"/>
                  <a:graphic>
                    <a:graphicData uri="http://schemas.openxmlformats.org/drawingml/2006/picture">
                      <pic:pic>
                        <pic:nvPicPr>
                          <pic:cNvPr descr="/root/us-rapid-panel-amr-concordance/paper/manuscript/figures/fig2_cohort.png" id="45" name="Picture"/>
                          <pic:cNvPicPr>
                            <a:picLocks noChangeArrowheads="1" noChangeAspect="1"/>
                          </pic:cNvPicPr>
                        </pic:nvPicPr>
                        <pic:blipFill>
                          <a:blip r:embed="rId43"/>
                          <a:stretch>
                            <a:fillRect/>
                          </a:stretch>
                        </pic:blipFill>
                        <pic:spPr bwMode="auto">
                          <a:xfrm>
                            <a:off x="0" y="0"/>
                            <a:ext cx="5334000" cy="2816787"/>
                          </a:xfrm>
                          <a:prstGeom prst="rect">
                            <a:avLst/>
                          </a:prstGeom>
                          <a:noFill/>
                          <a:ln w="9525">
                            <a:noFill/>
                            <a:headEnd/>
                            <a:tailEnd/>
                          </a:ln>
                        </pic:spPr>
                      </pic:pic>
                    </a:graphicData>
                  </a:graphic>
                </wp:inline>
              </w:drawing>
            </w:r>
          </w:p>
          <w:p>
            <w:pPr>
              <w:pStyle w:val="FigCaption"/>
            </w:pPr>
            <w:bookmarkStart w:id="46" w:name="fig-2"/>
            <w:bookmarkEnd w:id="46"/>
            <w:r>
              <w:t xml:space="preserve">FIG. 2: Benchmark composition. (a) Specimen category by organism group (groups with at least 10 isolates; totals at right). (b) Collection year. (c) Submitting state, eight most frequent. †All District of Columbia isolates were submitted by the Walter Reed Army Institute of Research; the location is the submitter’s.</w:t>
            </w:r>
          </w:p>
        </w:tc>
      </w:tr>
    </w:tbl>
    <w:p>
      <w:pPr>
        <w:spacing w:before="0" w:after="0" w:line="20" w:lineRule="exact"/>
        <w:rPr>
          <w:sz w:val="2"/>
        </w:rPr>
        <w:sectPr>
          <w:footerReference w:type="default" r:id="rId9"/>
          <w:type w:val="continuous"/>
          <w:pgSz w:w="12240" w:h="15840"/>
          <w:pgMar w:top="1224" w:right="1037" w:bottom="1296" w:left="1037" w:header="720" w:footer="560" w:gutter="0"/>
          <w:cols w:num="1" w:space="374"/>
        </w:sectPr>
      </w:pPr>
    </w:p>
    <w:bookmarkEnd w:id="47"/>
    <w:bookmarkStart w:id="49" w:name="panel-targets-detected"/>
    <w:p>
      <w:pPr>
        <w:pStyle w:val="Heading3"/>
      </w:pPr>
      <w:r>
        <w:t xml:space="preserve">B. </w:t>
      </w:r>
      <w:r>
        <w:t xml:space="preserve">Panel targets detected</w:t>
      </w:r>
    </w:p>
    <w:p>
      <w:pPr>
        <w:pStyle w:val="FirstParagraph"/>
        <w:sectPr>
          <w:footerReference w:type="default" r:id="rId9"/>
          <w:type w:val="continuous"/>
          <w:pgSz w:w="12240" w:h="15840"/>
          <w:pgMar w:top="1224" w:right="1037" w:bottom="1296" w:left="1037" w:header="720" w:footer="560" w:gutter="0"/>
          <w:cols w:num="2" w:space="374"/>
        </w:sectPr>
      </w:pPr>
      <w:r>
        <w:t xml:space="preserve">AMRFinderPlus detected</w:t>
      </w:r>
      <w:r>
        <w:t xml:space="preserve"> </w:t>
      </w:r>
      <w:r>
        <w:rPr>
          <w:i/>
          <w:iCs/>
        </w:rPr>
        <w:t xml:space="preserve">mecA</w:t>
      </w:r>
      <w:r>
        <w:t xml:space="preserve"> </w:t>
      </w:r>
      <w:r>
        <w:t xml:space="preserve">in 220 isolates,</w:t>
      </w:r>
      <w:r>
        <w:t xml:space="preserve"> </w:t>
      </w:r>
      <w:r>
        <w:rPr>
          <w:i/>
          <w:iCs/>
        </w:rPr>
        <w:t xml:space="preserve">vanA</w:t>
      </w:r>
      <w:r>
        <w:t xml:space="preserve"> </w:t>
      </w:r>
      <w:r>
        <w:t xml:space="preserve">in 29, KPC in 209, NDM in 41, OXA-48-like enzymes in 38, VIM in 5, IMP in 8 and CTX-M in 1,064;</w:t>
      </w:r>
      <w:r>
        <w:t xml:space="preserve"> </w:t>
      </w:r>
      <w:r>
        <w:rPr>
          <w:i/>
          <w:iCs/>
        </w:rPr>
        <w:t xml:space="preserve">mecC</w:t>
      </w:r>
      <w:r>
        <w:t xml:space="preserve"> </w:t>
      </w:r>
      <w:r>
        <w:t xml:space="preserve">and</w:t>
      </w:r>
      <w:r>
        <w:t xml:space="preserve"> </w:t>
      </w:r>
      <w:r>
        <w:rPr>
          <w:i/>
          <w:iCs/>
        </w:rPr>
        <w:t xml:space="preserve">vanB</w:t>
      </w:r>
      <w:r>
        <w:t xml:space="preserve"> </w:t>
      </w:r>
      <w:r>
        <w:t xml:space="preserve">were not found (Table</w:t>
      </w:r>
      <w:r>
        <w:t xml:space="preserve"> </w:t>
      </w:r>
      <w:hyperlink w:anchor="tab-IV">
        <w:r>
          <w:rPr>
            <w:rStyle w:val="Hyperlink"/>
            <w:color w:val="BF0000"/>
            <w:u w:val="none"/>
          </w:rPr>
          <w:t xml:space="preserve">IV</w:t>
        </w:r>
      </w:hyperlink>
      <w:r>
        <w:t xml:space="preserve">). 284 isolates carried at least one panel carbapenemase, 191 of them</w:t>
      </w:r>
      <w:r>
        <w:t xml:space="preserve"> </w:t>
      </w:r>
      <w:r>
        <w:rPr>
          <w:i/>
          <w:iCs/>
        </w:rPr>
        <w:t xml:space="preserve">K. pneumoniae</w:t>
      </w:r>
      <w:r>
        <w:t xml:space="preserve"> </w:t>
      </w:r>
      <w:r>
        <w:t xml:space="preserve">complex, and 14 carried two or more. KPC-3 (130) and KPC-2 (60) dominated the KPC calls; NDM-1 (23) and NDM-5 (13) the NDM calls; and OXA-181 (17), OXA-232 (11) and OXA-48 (8) the OXA-48-like calls. CTX-M-15 (726), CTX-M-27 (182) and CTX-M-14 (64) were the commonest CTX-M alleles. Only 5 CTX-M calls, and no other panel target calls, were partial.</w:t>
      </w:r>
    </w:p>
    <w:tbl>
      <w:tblPr>
        <w:tblW w:w="1016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10166"/>
      </w:tblGrid>
      <w:tr>
        <w:trPr>
          <w:cantSplit/>
        </w:trPr>
        <w:tc>
          <w:tcPr>
            <w:tcW w:w="10166" w:type="dxa"/>
          </w:tcPr>
          <w:p>
            <w:pPr>
              <w:pStyle w:val="TabCaption"/>
            </w:pPr>
            <w:bookmarkStart w:id="48" w:name="tab-IV"/>
            <w:bookmarkEnd w:id="48"/>
            <w:r>
              <w:t xml:space="preserve">TABLE IV: Gene-to-panel target crosswalk (AMRFinderPlus Reference Gene Hierarchy, database 2026-08-07.1) and alleles observed in the benchmark.</w:t>
            </w:r>
            <w:r>
              <w:t xml:space="preserve"> </w:t>
            </w:r>
            <w:r>
              <w:t xml:space="preserve">“</w:t>
            </w:r>
            <w:r>
              <w:t xml:space="preserve">Symbols</w:t>
            </w:r>
            <w:r>
              <w:t xml:space="preserve">”</w:t>
            </w:r>
            <w:r>
              <w:t xml:space="preserve">: crosswalk rows;</w:t>
            </w:r>
            <w:r>
              <w:t xml:space="preserve"> </w:t>
            </w:r>
            <w:r>
              <w:t xml:space="preserve">“</w:t>
            </w:r>
            <w:r>
              <w:t xml:space="preserve">Isolates</w:t>
            </w:r>
            <w:r>
              <w:t xml:space="preserve">”</w:t>
            </w:r>
            <w:r>
              <w:t xml:space="preserve">: benchmark isolates with the target detected. An isolate carrying two alleles of one family counts once for each allele.</w:t>
            </w:r>
          </w:p>
          <w:tbl>
            <w:tblPr>
              <w:tblStyle w:val="Table"/>
              <w:tblW w:w="10166" w:type="dxa"/>
              <w:jc w:val="center"/>
              <w:tblLayout w:type="fixed"/>
              <w:tblCellMar>
                <w:top w:w="0" w:type="dxa"/>
                <w:left w:w="60" w:type="dxa"/>
                <w:bottom w:w="0" w:type="dxa"/>
                <w:right w:w="60" w:type="dxa"/>
              </w:tblCellMar>
              <w:tblLook w:firstRow="1" w:lastRow="0" w:firstColumn="0" w:lastColumn="0" w:noHBand="0" w:noVBand="0" w:val="0020"/>
            </w:tblPr>
            <w:tblGrid>
              <w:gridCol w:w="1453"/>
              <w:gridCol w:w="2120"/>
              <w:gridCol w:w="1009"/>
              <w:gridCol w:w="1453"/>
              <w:gridCol w:w="1120"/>
              <w:gridCol w:w="3011"/>
            </w:tblGrid>
            <w:tr>
              <w:trPr>
                <w:tblHeader w:val="true"/>
              </w:trPr>
              <w:tc>
                <w:tcPr>
                  <w:tcW w:w="1453" w:type="dxa"/>
                  <w:tcBorders>
                    <w:top w:val="double" w:sz="4" w:space="0" w:color="000000"/>
                    <w:bottom w:val="single" w:sz="4" w:space="0" w:color="000000"/>
                  </w:tcBorders>
                </w:tcPr>
                <w:p>
                  <w:pPr>
                    <w:pStyle w:val="Compact"/>
                    <w:spacing w:after="0" w:before="0" w:line="240" w:lineRule="auto"/>
                    <w:ind w:firstLine="0"/>
                    <w:jc w:val="left"/>
                  </w:pPr>
                  <w:r>
                    <w:rPr>
                      <w:sz w:val="16"/>
                    </w:rPr>
                    <w:t xml:space="preserve">Target</w:t>
                  </w:r>
                </w:p>
              </w:tc>
              <w:tc>
                <w:tcPr>
                  <w:tcW w:w="2120" w:type="dxa"/>
                  <w:tcBorders>
                    <w:top w:val="double" w:sz="4" w:space="0" w:color="000000"/>
                    <w:bottom w:val="single" w:sz="4" w:space="0" w:color="000000"/>
                  </w:tcBorders>
                </w:tcPr>
                <w:p>
                  <w:pPr>
                    <w:pStyle w:val="Compact"/>
                    <w:spacing w:after="0" w:before="0" w:line="240" w:lineRule="auto"/>
                    <w:ind w:firstLine="0"/>
                    <w:jc w:val="left"/>
                  </w:pPr>
                  <w:r>
                    <w:rPr>
                      <w:sz w:val="16"/>
                    </w:rPr>
                    <w:t xml:space="preserve">Hierarchy node</w:t>
                  </w:r>
                </w:p>
              </w:tc>
              <w:tc>
                <w:tcPr>
                  <w:tcW w:w="1009" w:type="dxa"/>
                  <w:tcBorders>
                    <w:top w:val="double" w:sz="4" w:space="0" w:color="000000"/>
                    <w:bottom w:val="single" w:sz="4" w:space="0" w:color="000000"/>
                  </w:tcBorders>
                </w:tcPr>
                <w:p>
                  <w:pPr>
                    <w:pStyle w:val="Compact"/>
                    <w:spacing w:after="0" w:before="0" w:line="240" w:lineRule="auto"/>
                    <w:ind w:firstLine="0"/>
                    <w:jc w:val="center"/>
                  </w:pPr>
                  <w:r>
                    <w:rPr>
                      <w:sz w:val="16"/>
                    </w:rPr>
                    <w:t xml:space="preserve">Symbols</w:t>
                  </w:r>
                </w:p>
              </w:tc>
              <w:tc>
                <w:tcPr>
                  <w:tcW w:w="1453" w:type="dxa"/>
                  <w:tcBorders>
                    <w:top w:val="double" w:sz="4" w:space="0" w:color="000000"/>
                    <w:bottom w:val="single" w:sz="4" w:space="0" w:color="000000"/>
                  </w:tcBorders>
                </w:tcPr>
                <w:p>
                  <w:pPr>
                    <w:pStyle w:val="Compact"/>
                    <w:spacing w:after="0" w:before="0" w:line="240" w:lineRule="auto"/>
                    <w:ind w:firstLine="0"/>
                    <w:jc w:val="center"/>
                  </w:pPr>
                  <w:r>
                    <w:rPr>
                      <w:sz w:val="16"/>
                    </w:rPr>
                    <w:t xml:space="preserve">Non-carba.ᵃ</w:t>
                  </w:r>
                </w:p>
              </w:tc>
              <w:tc>
                <w:tcPr>
                  <w:tcW w:w="1120" w:type="dxa"/>
                  <w:tcBorders>
                    <w:top w:val="double" w:sz="4" w:space="0" w:color="000000"/>
                    <w:bottom w:val="single" w:sz="4" w:space="0" w:color="000000"/>
                  </w:tcBorders>
                </w:tcPr>
                <w:p>
                  <w:pPr>
                    <w:pStyle w:val="Compact"/>
                    <w:spacing w:after="0" w:before="0" w:line="240" w:lineRule="auto"/>
                    <w:ind w:firstLine="0"/>
                    <w:jc w:val="center"/>
                  </w:pPr>
                  <w:r>
                    <w:rPr>
                      <w:sz w:val="16"/>
                    </w:rPr>
                    <w:t xml:space="preserve">Isolates</w:t>
                  </w:r>
                </w:p>
              </w:tc>
              <w:tc>
                <w:tcPr>
                  <w:tcW w:w="3011" w:type="dxa"/>
                  <w:tcBorders>
                    <w:top w:val="double" w:sz="4" w:space="0" w:color="000000"/>
                    <w:bottom w:val="single" w:sz="4" w:space="0" w:color="000000"/>
                  </w:tcBorders>
                </w:tcPr>
                <w:p>
                  <w:pPr>
                    <w:pStyle w:val="Compact"/>
                    <w:spacing w:after="0" w:before="0" w:line="240" w:lineRule="auto"/>
                    <w:ind w:firstLine="0"/>
                    <w:jc w:val="left"/>
                  </w:pPr>
                  <w:r>
                    <w:rPr>
                      <w:sz w:val="16"/>
                    </w:rPr>
                    <w:t xml:space="preserve">Most frequent observed alleles (isolates)</w:t>
                  </w:r>
                </w:p>
              </w:tc>
            </w:tr>
            <w:tr>
              <w:tc>
                <w:tcPr>
                  <w:tcW w:w="1453" w:type="dxa"/>
                </w:tcPr>
                <w:p>
                  <w:pPr>
                    <w:pStyle w:val="Compact"/>
                    <w:spacing w:after="0" w:before="0" w:line="240" w:lineRule="auto"/>
                    <w:ind w:firstLine="0"/>
                    <w:jc w:val="left"/>
                  </w:pPr>
                  <w:r>
                    <w:rPr>
                      <w:sz w:val="16"/>
                    </w:rPr>
                    <w:t xml:space="preserve">mecA</w:t>
                  </w:r>
                </w:p>
              </w:tc>
              <w:tc>
                <w:tcPr>
                  <w:tcW w:w="2120" w:type="dxa"/>
                </w:tcPr>
                <w:p>
                  <w:pPr>
                    <w:pStyle w:val="Compact"/>
                    <w:spacing w:after="0" w:before="0" w:line="240" w:lineRule="auto"/>
                    <w:ind w:firstLine="0"/>
                    <w:jc w:val="left"/>
                  </w:pPr>
                  <w:r>
                    <w:rPr>
                      <w:rStyle w:val="VerbatimChar"/>
                      <w:sz w:val="16"/>
                    </w:rPr>
                    <w:t xml:space="preserve">mecA</w:t>
                  </w:r>
                </w:p>
              </w:tc>
              <w:tc>
                <w:tcPr>
                  <w:tcW w:w="1009" w:type="dxa"/>
                </w:tcPr>
                <w:p>
                  <w:pPr>
                    <w:pStyle w:val="Compact"/>
                    <w:spacing w:after="0" w:before="0" w:line="240" w:lineRule="auto"/>
                    <w:ind w:firstLine="0"/>
                    <w:jc w:val="center"/>
                  </w:pPr>
                  <w:r>
                    <w:rPr>
                      <w:sz w:val="16"/>
                    </w:rPr>
                    <w:t xml:space="preserve">2</w:t>
                  </w:r>
                </w:p>
              </w:tc>
              <w:tc>
                <w:tcPr>
                  <w:tcW w:w="1453" w:type="dxa"/>
                </w:tcPr>
                <w:p>
                  <w:pPr>
                    <w:pStyle w:val="Compact"/>
                    <w:spacing w:after="0" w:before="0" w:line="240" w:lineRule="auto"/>
                    <w:ind w:firstLine="0"/>
                    <w:jc w:val="center"/>
                  </w:pPr>
                  <w:r>
                    <w:rPr>
                      <w:sz w:val="16"/>
                    </w:rPr>
                    <w:t xml:space="preserve">–</w:t>
                  </w:r>
                </w:p>
              </w:tc>
              <w:tc>
                <w:tcPr>
                  <w:tcW w:w="1120" w:type="dxa"/>
                </w:tcPr>
                <w:p>
                  <w:pPr>
                    <w:pStyle w:val="Compact"/>
                    <w:spacing w:after="0" w:before="0" w:line="240" w:lineRule="auto"/>
                    <w:ind w:firstLine="0"/>
                    <w:jc w:val="center"/>
                  </w:pPr>
                  <w:r>
                    <w:rPr>
                      <w:sz w:val="16"/>
                    </w:rPr>
                    <w:t xml:space="preserve">220</w:t>
                  </w:r>
                </w:p>
              </w:tc>
              <w:tc>
                <w:tcPr>
                  <w:tcW w:w="3011" w:type="dxa"/>
                </w:tcPr>
                <w:p>
                  <w:pPr>
                    <w:pStyle w:val="Compact"/>
                    <w:spacing w:after="0" w:before="0" w:line="240" w:lineRule="auto"/>
                    <w:ind w:firstLine="0"/>
                    <w:jc w:val="left"/>
                  </w:pPr>
                  <w:r>
                    <w:rPr>
                      <w:sz w:val="16"/>
                    </w:rPr>
                    <w:t xml:space="preserve">mecA (220)</w:t>
                  </w:r>
                </w:p>
              </w:tc>
            </w:tr>
            <w:tr>
              <w:tc>
                <w:tcPr>
                  <w:tcW w:w="1453" w:type="dxa"/>
                </w:tcPr>
                <w:p>
                  <w:pPr>
                    <w:pStyle w:val="Compact"/>
                    <w:spacing w:after="0" w:before="0" w:line="240" w:lineRule="auto"/>
                    <w:ind w:firstLine="0"/>
                    <w:jc w:val="left"/>
                  </w:pPr>
                  <w:r>
                    <w:rPr>
                      <w:sz w:val="16"/>
                    </w:rPr>
                    <w:t xml:space="preserve">mecC</w:t>
                  </w:r>
                </w:p>
              </w:tc>
              <w:tc>
                <w:tcPr>
                  <w:tcW w:w="2120" w:type="dxa"/>
                </w:tcPr>
                <w:p>
                  <w:pPr>
                    <w:pStyle w:val="Compact"/>
                    <w:spacing w:after="0" w:before="0" w:line="240" w:lineRule="auto"/>
                    <w:ind w:firstLine="0"/>
                    <w:jc w:val="left"/>
                  </w:pPr>
                  <w:r>
                    <w:rPr>
                      <w:rStyle w:val="VerbatimChar"/>
                      <w:sz w:val="16"/>
                    </w:rPr>
                    <w:t xml:space="preserve">mecC</w:t>
                  </w:r>
                </w:p>
              </w:tc>
              <w:tc>
                <w:tcPr>
                  <w:tcW w:w="1009" w:type="dxa"/>
                </w:tcPr>
                <w:p>
                  <w:pPr>
                    <w:pStyle w:val="Compact"/>
                    <w:spacing w:after="0" w:before="0" w:line="240" w:lineRule="auto"/>
                    <w:ind w:firstLine="0"/>
                    <w:jc w:val="center"/>
                  </w:pPr>
                  <w:r>
                    <w:rPr>
                      <w:sz w:val="16"/>
                    </w:rPr>
                    <w:t xml:space="preserve">1</w:t>
                  </w:r>
                </w:p>
              </w:tc>
              <w:tc>
                <w:tcPr>
                  <w:tcW w:w="1453" w:type="dxa"/>
                </w:tcPr>
                <w:p>
                  <w:pPr>
                    <w:pStyle w:val="Compact"/>
                    <w:spacing w:after="0" w:before="0" w:line="240" w:lineRule="auto"/>
                    <w:ind w:firstLine="0"/>
                    <w:jc w:val="center"/>
                  </w:pPr>
                  <w:r>
                    <w:rPr>
                      <w:sz w:val="16"/>
                    </w:rPr>
                    <w:t xml:space="preserve">–</w:t>
                  </w:r>
                </w:p>
              </w:tc>
              <w:tc>
                <w:tcPr>
                  <w:tcW w:w="1120" w:type="dxa"/>
                </w:tcPr>
                <w:p>
                  <w:pPr>
                    <w:pStyle w:val="Compact"/>
                    <w:spacing w:after="0" w:before="0" w:line="240" w:lineRule="auto"/>
                    <w:ind w:firstLine="0"/>
                    <w:jc w:val="center"/>
                  </w:pPr>
                  <w:r>
                    <w:rPr>
                      <w:sz w:val="16"/>
                    </w:rPr>
                    <w:t xml:space="preserve">0</w:t>
                  </w:r>
                </w:p>
              </w:tc>
              <w:tc>
                <w:tcPr>
                  <w:tcW w:w="3011" w:type="dxa"/>
                </w:tcPr>
                <w:p>
                  <w:pPr>
                    <w:pStyle w:val="Compact"/>
                    <w:spacing w:after="0" w:before="0" w:line="240" w:lineRule="auto"/>
                    <w:ind w:firstLine="0"/>
                    <w:jc w:val="left"/>
                  </w:pPr>
                  <w:r>
                    <w:rPr>
                      <w:sz w:val="16"/>
                    </w:rPr>
                    <w:t xml:space="preserve">none</w:t>
                  </w:r>
                </w:p>
              </w:tc>
            </w:tr>
            <w:tr>
              <w:tc>
                <w:tcPr>
                  <w:tcW w:w="1453" w:type="dxa"/>
                </w:tcPr>
                <w:p>
                  <w:pPr>
                    <w:pStyle w:val="Compact"/>
                    <w:spacing w:after="0" w:before="0" w:line="240" w:lineRule="auto"/>
                    <w:ind w:firstLine="0"/>
                    <w:jc w:val="left"/>
                  </w:pPr>
                  <w:r>
                    <w:rPr>
                      <w:sz w:val="16"/>
                    </w:rPr>
                    <w:t xml:space="preserve">vanA</w:t>
                  </w:r>
                </w:p>
              </w:tc>
              <w:tc>
                <w:tcPr>
                  <w:tcW w:w="2120" w:type="dxa"/>
                </w:tcPr>
                <w:p>
                  <w:pPr>
                    <w:pStyle w:val="Compact"/>
                    <w:spacing w:after="0" w:before="0" w:line="240" w:lineRule="auto"/>
                    <w:ind w:firstLine="0"/>
                    <w:jc w:val="left"/>
                  </w:pPr>
                  <w:r>
                    <w:rPr>
                      <w:rStyle w:val="VerbatimChar"/>
                      <w:sz w:val="16"/>
                    </w:rPr>
                    <w:t xml:space="preserve">vanA</w:t>
                  </w:r>
                </w:p>
              </w:tc>
              <w:tc>
                <w:tcPr>
                  <w:tcW w:w="1009" w:type="dxa"/>
                </w:tcPr>
                <w:p>
                  <w:pPr>
                    <w:pStyle w:val="Compact"/>
                    <w:spacing w:after="0" w:before="0" w:line="240" w:lineRule="auto"/>
                    <w:ind w:firstLine="0"/>
                    <w:jc w:val="center"/>
                  </w:pPr>
                  <w:r>
                    <w:rPr>
                      <w:sz w:val="16"/>
                    </w:rPr>
                    <w:t xml:space="preserve">1</w:t>
                  </w:r>
                </w:p>
              </w:tc>
              <w:tc>
                <w:tcPr>
                  <w:tcW w:w="1453" w:type="dxa"/>
                </w:tcPr>
                <w:p>
                  <w:pPr>
                    <w:pStyle w:val="Compact"/>
                    <w:spacing w:after="0" w:before="0" w:line="240" w:lineRule="auto"/>
                    <w:ind w:firstLine="0"/>
                    <w:jc w:val="center"/>
                  </w:pPr>
                  <w:r>
                    <w:rPr>
                      <w:sz w:val="16"/>
                    </w:rPr>
                    <w:t xml:space="preserve">–</w:t>
                  </w:r>
                </w:p>
              </w:tc>
              <w:tc>
                <w:tcPr>
                  <w:tcW w:w="1120" w:type="dxa"/>
                </w:tcPr>
                <w:p>
                  <w:pPr>
                    <w:pStyle w:val="Compact"/>
                    <w:spacing w:after="0" w:before="0" w:line="240" w:lineRule="auto"/>
                    <w:ind w:firstLine="0"/>
                    <w:jc w:val="center"/>
                  </w:pPr>
                  <w:r>
                    <w:rPr>
                      <w:sz w:val="16"/>
                    </w:rPr>
                    <w:t xml:space="preserve">29</w:t>
                  </w:r>
                </w:p>
              </w:tc>
              <w:tc>
                <w:tcPr>
                  <w:tcW w:w="3011" w:type="dxa"/>
                </w:tcPr>
                <w:p>
                  <w:pPr>
                    <w:pStyle w:val="Compact"/>
                    <w:spacing w:after="0" w:before="0" w:line="240" w:lineRule="auto"/>
                    <w:ind w:firstLine="0"/>
                    <w:jc w:val="left"/>
                  </w:pPr>
                  <w:r>
                    <w:rPr>
                      <w:sz w:val="16"/>
                    </w:rPr>
                    <w:t xml:space="preserve">vanA (29)</w:t>
                  </w:r>
                </w:p>
              </w:tc>
            </w:tr>
            <w:tr>
              <w:tc>
                <w:tcPr>
                  <w:tcW w:w="1453" w:type="dxa"/>
                </w:tcPr>
                <w:p>
                  <w:pPr>
                    <w:pStyle w:val="Compact"/>
                    <w:spacing w:after="0" w:before="0" w:line="240" w:lineRule="auto"/>
                    <w:ind w:firstLine="0"/>
                    <w:jc w:val="left"/>
                  </w:pPr>
                  <w:r>
                    <w:rPr>
                      <w:sz w:val="16"/>
                    </w:rPr>
                    <w:t xml:space="preserve">vanB</w:t>
                  </w:r>
                </w:p>
              </w:tc>
              <w:tc>
                <w:tcPr>
                  <w:tcW w:w="2120" w:type="dxa"/>
                </w:tcPr>
                <w:p>
                  <w:pPr>
                    <w:pStyle w:val="Compact"/>
                    <w:spacing w:after="0" w:before="0" w:line="240" w:lineRule="auto"/>
                    <w:ind w:firstLine="0"/>
                    <w:jc w:val="left"/>
                  </w:pPr>
                  <w:r>
                    <w:rPr>
                      <w:rStyle w:val="VerbatimChar"/>
                      <w:sz w:val="16"/>
                    </w:rPr>
                    <w:t xml:space="preserve">vanB</w:t>
                  </w:r>
                </w:p>
              </w:tc>
              <w:tc>
                <w:tcPr>
                  <w:tcW w:w="1009" w:type="dxa"/>
                </w:tcPr>
                <w:p>
                  <w:pPr>
                    <w:pStyle w:val="Compact"/>
                    <w:spacing w:after="0" w:before="0" w:line="240" w:lineRule="auto"/>
                    <w:ind w:firstLine="0"/>
                    <w:jc w:val="center"/>
                  </w:pPr>
                  <w:r>
                    <w:rPr>
                      <w:sz w:val="16"/>
                    </w:rPr>
                    <w:t xml:space="preserve">1</w:t>
                  </w:r>
                </w:p>
              </w:tc>
              <w:tc>
                <w:tcPr>
                  <w:tcW w:w="1453" w:type="dxa"/>
                </w:tcPr>
                <w:p>
                  <w:pPr>
                    <w:pStyle w:val="Compact"/>
                    <w:spacing w:after="0" w:before="0" w:line="240" w:lineRule="auto"/>
                    <w:ind w:firstLine="0"/>
                    <w:jc w:val="center"/>
                  </w:pPr>
                  <w:r>
                    <w:rPr>
                      <w:sz w:val="16"/>
                    </w:rPr>
                    <w:t xml:space="preserve">–</w:t>
                  </w:r>
                </w:p>
              </w:tc>
              <w:tc>
                <w:tcPr>
                  <w:tcW w:w="1120" w:type="dxa"/>
                </w:tcPr>
                <w:p>
                  <w:pPr>
                    <w:pStyle w:val="Compact"/>
                    <w:spacing w:after="0" w:before="0" w:line="240" w:lineRule="auto"/>
                    <w:ind w:firstLine="0"/>
                    <w:jc w:val="center"/>
                  </w:pPr>
                  <w:r>
                    <w:rPr>
                      <w:sz w:val="16"/>
                    </w:rPr>
                    <w:t xml:space="preserve">0</w:t>
                  </w:r>
                </w:p>
              </w:tc>
              <w:tc>
                <w:tcPr>
                  <w:tcW w:w="3011" w:type="dxa"/>
                </w:tcPr>
                <w:p>
                  <w:pPr>
                    <w:pStyle w:val="Compact"/>
                    <w:spacing w:after="0" w:before="0" w:line="240" w:lineRule="auto"/>
                    <w:ind w:firstLine="0"/>
                    <w:jc w:val="left"/>
                  </w:pPr>
                  <w:r>
                    <w:rPr>
                      <w:sz w:val="16"/>
                    </w:rPr>
                    <w:t xml:space="preserve">none</w:t>
                  </w:r>
                </w:p>
              </w:tc>
            </w:tr>
            <w:tr>
              <w:tc>
                <w:tcPr>
                  <w:tcW w:w="1453" w:type="dxa"/>
                </w:tcPr>
                <w:p>
                  <w:pPr>
                    <w:pStyle w:val="Compact"/>
                    <w:spacing w:after="0" w:before="0" w:line="240" w:lineRule="auto"/>
                    <w:ind w:firstLine="0"/>
                    <w:jc w:val="left"/>
                  </w:pPr>
                  <w:r>
                    <w:rPr>
                      <w:sz w:val="16"/>
                    </w:rPr>
                    <w:t xml:space="preserve">KPC</w:t>
                  </w:r>
                </w:p>
              </w:tc>
              <w:tc>
                <w:tcPr>
                  <w:tcW w:w="2120" w:type="dxa"/>
                </w:tcPr>
                <w:p>
                  <w:pPr>
                    <w:pStyle w:val="Compact"/>
                    <w:spacing w:after="0" w:before="0" w:line="240" w:lineRule="auto"/>
                    <w:ind w:firstLine="0"/>
                    <w:jc w:val="left"/>
                  </w:pPr>
                  <w:r>
                    <w:rPr>
                      <w:rStyle w:val="VerbatimChar"/>
                      <w:sz w:val="16"/>
                    </w:rPr>
                    <w:t xml:space="preserve">blaKPC</w:t>
                  </w:r>
                </w:p>
              </w:tc>
              <w:tc>
                <w:tcPr>
                  <w:tcW w:w="1009" w:type="dxa"/>
                </w:tcPr>
                <w:p>
                  <w:pPr>
                    <w:pStyle w:val="Compact"/>
                    <w:spacing w:after="0" w:before="0" w:line="240" w:lineRule="auto"/>
                    <w:ind w:firstLine="0"/>
                    <w:jc w:val="center"/>
                  </w:pPr>
                  <w:r>
                    <w:rPr>
                      <w:sz w:val="16"/>
                    </w:rPr>
                    <w:t xml:space="preserve">296</w:t>
                  </w:r>
                </w:p>
              </w:tc>
              <w:tc>
                <w:tcPr>
                  <w:tcW w:w="1453" w:type="dxa"/>
                </w:tcPr>
                <w:p>
                  <w:pPr>
                    <w:pStyle w:val="Compact"/>
                    <w:spacing w:after="0" w:before="0" w:line="240" w:lineRule="auto"/>
                    <w:ind w:firstLine="0"/>
                    <w:jc w:val="center"/>
                  </w:pPr>
                  <w:r>
                    <w:rPr>
                      <w:sz w:val="16"/>
                    </w:rPr>
                    <w:t xml:space="preserve">–</w:t>
                  </w:r>
                </w:p>
              </w:tc>
              <w:tc>
                <w:tcPr>
                  <w:tcW w:w="1120" w:type="dxa"/>
                </w:tcPr>
                <w:p>
                  <w:pPr>
                    <w:pStyle w:val="Compact"/>
                    <w:spacing w:after="0" w:before="0" w:line="240" w:lineRule="auto"/>
                    <w:ind w:firstLine="0"/>
                    <w:jc w:val="center"/>
                  </w:pPr>
                  <w:r>
                    <w:rPr>
                      <w:sz w:val="16"/>
                    </w:rPr>
                    <w:t xml:space="preserve">209</w:t>
                  </w:r>
                </w:p>
              </w:tc>
              <w:tc>
                <w:tcPr>
                  <w:tcW w:w="3011" w:type="dxa"/>
                </w:tcPr>
                <w:p>
                  <w:pPr>
                    <w:pStyle w:val="Compact"/>
                    <w:spacing w:after="0" w:before="0" w:line="240" w:lineRule="auto"/>
                    <w:ind w:firstLine="0"/>
                    <w:jc w:val="left"/>
                  </w:pPr>
                  <w:r>
                    <w:rPr>
                      <w:sz w:val="16"/>
                    </w:rPr>
                    <w:t xml:space="preserve">KPC-3 (130), KPC-2 (60), KPC-4 (17), KPC-82 (1)</w:t>
                  </w:r>
                </w:p>
              </w:tc>
            </w:tr>
            <w:tr>
              <w:tc>
                <w:tcPr>
                  <w:tcW w:w="1453" w:type="dxa"/>
                </w:tcPr>
                <w:p>
                  <w:pPr>
                    <w:pStyle w:val="Compact"/>
                    <w:spacing w:after="0" w:before="0" w:line="240" w:lineRule="auto"/>
                    <w:ind w:firstLine="0"/>
                    <w:jc w:val="left"/>
                  </w:pPr>
                  <w:r>
                    <w:rPr>
                      <w:sz w:val="16"/>
                    </w:rPr>
                    <w:t xml:space="preserve">NDM</w:t>
                  </w:r>
                </w:p>
              </w:tc>
              <w:tc>
                <w:tcPr>
                  <w:tcW w:w="2120" w:type="dxa"/>
                </w:tcPr>
                <w:p>
                  <w:pPr>
                    <w:pStyle w:val="Compact"/>
                    <w:spacing w:after="0" w:before="0" w:line="240" w:lineRule="auto"/>
                    <w:ind w:firstLine="0"/>
                    <w:jc w:val="left"/>
                  </w:pPr>
                  <w:r>
                    <w:rPr>
                      <w:rStyle w:val="VerbatimChar"/>
                      <w:sz w:val="16"/>
                    </w:rPr>
                    <w:t xml:space="preserve">blaNDM</w:t>
                  </w:r>
                </w:p>
              </w:tc>
              <w:tc>
                <w:tcPr>
                  <w:tcW w:w="1009" w:type="dxa"/>
                </w:tcPr>
                <w:p>
                  <w:pPr>
                    <w:pStyle w:val="Compact"/>
                    <w:spacing w:after="0" w:before="0" w:line="240" w:lineRule="auto"/>
                    <w:ind w:firstLine="0"/>
                    <w:jc w:val="center"/>
                  </w:pPr>
                  <w:r>
                    <w:rPr>
                      <w:sz w:val="16"/>
                    </w:rPr>
                    <w:t xml:space="preserve">99</w:t>
                  </w:r>
                </w:p>
              </w:tc>
              <w:tc>
                <w:tcPr>
                  <w:tcW w:w="1453" w:type="dxa"/>
                </w:tcPr>
                <w:p>
                  <w:pPr>
                    <w:pStyle w:val="Compact"/>
                    <w:spacing w:after="0" w:before="0" w:line="240" w:lineRule="auto"/>
                    <w:ind w:firstLine="0"/>
                    <w:jc w:val="center"/>
                  </w:pPr>
                  <w:r>
                    <w:rPr>
                      <w:sz w:val="16"/>
                    </w:rPr>
                    <w:t xml:space="preserve">–</w:t>
                  </w:r>
                </w:p>
              </w:tc>
              <w:tc>
                <w:tcPr>
                  <w:tcW w:w="1120" w:type="dxa"/>
                </w:tcPr>
                <w:p>
                  <w:pPr>
                    <w:pStyle w:val="Compact"/>
                    <w:spacing w:after="0" w:before="0" w:line="240" w:lineRule="auto"/>
                    <w:ind w:firstLine="0"/>
                    <w:jc w:val="center"/>
                  </w:pPr>
                  <w:r>
                    <w:rPr>
                      <w:sz w:val="16"/>
                    </w:rPr>
                    <w:t xml:space="preserve">41</w:t>
                  </w:r>
                </w:p>
              </w:tc>
              <w:tc>
                <w:tcPr>
                  <w:tcW w:w="3011" w:type="dxa"/>
                </w:tcPr>
                <w:p>
                  <w:pPr>
                    <w:pStyle w:val="Compact"/>
                    <w:spacing w:after="0" w:before="0" w:line="240" w:lineRule="auto"/>
                    <w:ind w:firstLine="0"/>
                    <w:jc w:val="left"/>
                  </w:pPr>
                  <w:r>
                    <w:rPr>
                      <w:sz w:val="16"/>
                    </w:rPr>
                    <w:t xml:space="preserve">NDM-1 (23), NDM-5 (13), NDM-7 (3), NDM-4 (1)</w:t>
                  </w:r>
                </w:p>
              </w:tc>
            </w:tr>
            <w:tr>
              <w:tc>
                <w:tcPr>
                  <w:tcW w:w="1453" w:type="dxa"/>
                </w:tcPr>
                <w:p>
                  <w:pPr>
                    <w:pStyle w:val="Compact"/>
                    <w:spacing w:after="0" w:before="0" w:line="240" w:lineRule="auto"/>
                    <w:ind w:firstLine="0"/>
                    <w:jc w:val="left"/>
                  </w:pPr>
                  <w:r>
                    <w:rPr>
                      <w:sz w:val="16"/>
                    </w:rPr>
                    <w:t xml:space="preserve">OXA-48-like</w:t>
                  </w:r>
                </w:p>
              </w:tc>
              <w:tc>
                <w:tcPr>
                  <w:tcW w:w="2120" w:type="dxa"/>
                </w:tcPr>
                <w:p>
                  <w:pPr>
                    <w:pStyle w:val="Compact"/>
                    <w:spacing w:after="0" w:before="0" w:line="240" w:lineRule="auto"/>
                    <w:ind w:firstLine="0"/>
                    <w:jc w:val="left"/>
                  </w:pPr>
                  <w:r>
                    <w:rPr>
                      <w:rStyle w:val="VerbatimChar"/>
                      <w:sz w:val="16"/>
                    </w:rPr>
                    <w:t xml:space="preserve">blaOXA-48_fam</w:t>
                  </w:r>
                </w:p>
              </w:tc>
              <w:tc>
                <w:tcPr>
                  <w:tcW w:w="1009" w:type="dxa"/>
                </w:tcPr>
                <w:p>
                  <w:pPr>
                    <w:pStyle w:val="Compact"/>
                    <w:spacing w:after="0" w:before="0" w:line="240" w:lineRule="auto"/>
                    <w:ind w:firstLine="0"/>
                    <w:jc w:val="center"/>
                  </w:pPr>
                  <w:r>
                    <w:rPr>
                      <w:sz w:val="16"/>
                    </w:rPr>
                    <w:t xml:space="preserve">83</w:t>
                  </w:r>
                </w:p>
              </w:tc>
              <w:tc>
                <w:tcPr>
                  <w:tcW w:w="1453" w:type="dxa"/>
                </w:tcPr>
                <w:p>
                  <w:pPr>
                    <w:pStyle w:val="Compact"/>
                    <w:spacing w:after="0" w:before="0" w:line="240" w:lineRule="auto"/>
                    <w:ind w:firstLine="0"/>
                    <w:jc w:val="center"/>
                  </w:pPr>
                  <w:r>
                    <w:rPr>
                      <w:sz w:val="16"/>
                    </w:rPr>
                    <w:t xml:space="preserve">54</w:t>
                  </w:r>
                </w:p>
              </w:tc>
              <w:tc>
                <w:tcPr>
                  <w:tcW w:w="1120" w:type="dxa"/>
                </w:tcPr>
                <w:p>
                  <w:pPr>
                    <w:pStyle w:val="Compact"/>
                    <w:spacing w:after="0" w:before="0" w:line="240" w:lineRule="auto"/>
                    <w:ind w:firstLine="0"/>
                    <w:jc w:val="center"/>
                  </w:pPr>
                  <w:r>
                    <w:rPr>
                      <w:sz w:val="16"/>
                    </w:rPr>
                    <w:t xml:space="preserve">38</w:t>
                  </w:r>
                </w:p>
              </w:tc>
              <w:tc>
                <w:tcPr>
                  <w:tcW w:w="3011" w:type="dxa"/>
                </w:tcPr>
                <w:p>
                  <w:pPr>
                    <w:pStyle w:val="Compact"/>
                    <w:spacing w:after="0" w:before="0" w:line="240" w:lineRule="auto"/>
                    <w:ind w:firstLine="0"/>
                    <w:jc w:val="left"/>
                  </w:pPr>
                  <w:r>
                    <w:rPr>
                      <w:sz w:val="16"/>
                    </w:rPr>
                    <w:t xml:space="preserve">OXA-181 (17), OXA-232 (11), OXA-48 (8), OXA-244 (1)</w:t>
                  </w:r>
                </w:p>
              </w:tc>
            </w:tr>
            <w:tr>
              <w:tc>
                <w:tcPr>
                  <w:tcW w:w="1453" w:type="dxa"/>
                </w:tcPr>
                <w:p>
                  <w:pPr>
                    <w:pStyle w:val="Compact"/>
                    <w:spacing w:after="0" w:before="0" w:line="240" w:lineRule="auto"/>
                    <w:ind w:firstLine="0"/>
                    <w:jc w:val="left"/>
                  </w:pPr>
                  <w:r>
                    <w:rPr>
                      <w:sz w:val="16"/>
                    </w:rPr>
                    <w:t xml:space="preserve">VIM</w:t>
                  </w:r>
                </w:p>
              </w:tc>
              <w:tc>
                <w:tcPr>
                  <w:tcW w:w="2120" w:type="dxa"/>
                </w:tcPr>
                <w:p>
                  <w:pPr>
                    <w:pStyle w:val="Compact"/>
                    <w:spacing w:after="0" w:before="0" w:line="240" w:lineRule="auto"/>
                    <w:ind w:firstLine="0"/>
                    <w:jc w:val="left"/>
                  </w:pPr>
                  <w:r>
                    <w:rPr>
                      <w:rStyle w:val="VerbatimChar"/>
                      <w:sz w:val="16"/>
                    </w:rPr>
                    <w:t xml:space="preserve">blaVIM</w:t>
                  </w:r>
                </w:p>
              </w:tc>
              <w:tc>
                <w:tcPr>
                  <w:tcW w:w="1009" w:type="dxa"/>
                </w:tcPr>
                <w:p>
                  <w:pPr>
                    <w:pStyle w:val="Compact"/>
                    <w:spacing w:after="0" w:before="0" w:line="240" w:lineRule="auto"/>
                    <w:ind w:firstLine="0"/>
                    <w:jc w:val="center"/>
                  </w:pPr>
                  <w:r>
                    <w:rPr>
                      <w:sz w:val="16"/>
                    </w:rPr>
                    <w:t xml:space="preserve">97</w:t>
                  </w:r>
                </w:p>
              </w:tc>
              <w:tc>
                <w:tcPr>
                  <w:tcW w:w="1453" w:type="dxa"/>
                </w:tcPr>
                <w:p>
                  <w:pPr>
                    <w:pStyle w:val="Compact"/>
                    <w:spacing w:after="0" w:before="0" w:line="240" w:lineRule="auto"/>
                    <w:ind w:firstLine="0"/>
                    <w:jc w:val="center"/>
                  </w:pPr>
                  <w:r>
                    <w:rPr>
                      <w:sz w:val="16"/>
                    </w:rPr>
                    <w:t xml:space="preserve">–</w:t>
                  </w:r>
                </w:p>
              </w:tc>
              <w:tc>
                <w:tcPr>
                  <w:tcW w:w="1120" w:type="dxa"/>
                </w:tcPr>
                <w:p>
                  <w:pPr>
                    <w:pStyle w:val="Compact"/>
                    <w:spacing w:after="0" w:before="0" w:line="240" w:lineRule="auto"/>
                    <w:ind w:firstLine="0"/>
                    <w:jc w:val="center"/>
                  </w:pPr>
                  <w:r>
                    <w:rPr>
                      <w:sz w:val="16"/>
                    </w:rPr>
                    <w:t xml:space="preserve">5</w:t>
                  </w:r>
                </w:p>
              </w:tc>
              <w:tc>
                <w:tcPr>
                  <w:tcW w:w="3011" w:type="dxa"/>
                </w:tcPr>
                <w:p>
                  <w:pPr>
                    <w:pStyle w:val="Compact"/>
                    <w:spacing w:after="0" w:before="0" w:line="240" w:lineRule="auto"/>
                    <w:ind w:firstLine="0"/>
                    <w:jc w:val="left"/>
                  </w:pPr>
                  <w:r>
                    <w:rPr>
                      <w:sz w:val="16"/>
                    </w:rPr>
                    <w:t xml:space="preserve">VIM-1 (2), VIM-2 (2), VIM-4 (1)</w:t>
                  </w:r>
                </w:p>
              </w:tc>
            </w:tr>
            <w:tr>
              <w:tc>
                <w:tcPr>
                  <w:tcW w:w="1453" w:type="dxa"/>
                </w:tcPr>
                <w:p>
                  <w:pPr>
                    <w:pStyle w:val="Compact"/>
                    <w:spacing w:after="0" w:before="0" w:line="240" w:lineRule="auto"/>
                    <w:ind w:firstLine="0"/>
                    <w:jc w:val="left"/>
                  </w:pPr>
                  <w:r>
                    <w:rPr>
                      <w:sz w:val="16"/>
                    </w:rPr>
                    <w:t xml:space="preserve">IMP</w:t>
                  </w:r>
                </w:p>
              </w:tc>
              <w:tc>
                <w:tcPr>
                  <w:tcW w:w="2120" w:type="dxa"/>
                </w:tcPr>
                <w:p>
                  <w:pPr>
                    <w:pStyle w:val="Compact"/>
                    <w:spacing w:after="0" w:before="0" w:line="240" w:lineRule="auto"/>
                    <w:ind w:firstLine="0"/>
                    <w:jc w:val="left"/>
                  </w:pPr>
                  <w:r>
                    <w:rPr>
                      <w:rStyle w:val="VerbatimChar"/>
                      <w:sz w:val="16"/>
                    </w:rPr>
                    <w:t xml:space="preserve">blaIMP</w:t>
                  </w:r>
                </w:p>
              </w:tc>
              <w:tc>
                <w:tcPr>
                  <w:tcW w:w="1009" w:type="dxa"/>
                </w:tcPr>
                <w:p>
                  <w:pPr>
                    <w:pStyle w:val="Compact"/>
                    <w:spacing w:after="0" w:before="0" w:line="240" w:lineRule="auto"/>
                    <w:ind w:firstLine="0"/>
                    <w:jc w:val="center"/>
                  </w:pPr>
                  <w:r>
                    <w:rPr>
                      <w:sz w:val="16"/>
                    </w:rPr>
                    <w:t xml:space="preserve">109</w:t>
                  </w:r>
                </w:p>
              </w:tc>
              <w:tc>
                <w:tcPr>
                  <w:tcW w:w="1453" w:type="dxa"/>
                </w:tcPr>
                <w:p>
                  <w:pPr>
                    <w:pStyle w:val="Compact"/>
                    <w:spacing w:after="0" w:before="0" w:line="240" w:lineRule="auto"/>
                    <w:ind w:firstLine="0"/>
                    <w:jc w:val="center"/>
                  </w:pPr>
                  <w:r>
                    <w:rPr>
                      <w:sz w:val="16"/>
                    </w:rPr>
                    <w:t xml:space="preserve">–</w:t>
                  </w:r>
                </w:p>
              </w:tc>
              <w:tc>
                <w:tcPr>
                  <w:tcW w:w="1120" w:type="dxa"/>
                </w:tcPr>
                <w:p>
                  <w:pPr>
                    <w:pStyle w:val="Compact"/>
                    <w:spacing w:after="0" w:before="0" w:line="240" w:lineRule="auto"/>
                    <w:ind w:firstLine="0"/>
                    <w:jc w:val="center"/>
                  </w:pPr>
                  <w:r>
                    <w:rPr>
                      <w:sz w:val="16"/>
                    </w:rPr>
                    <w:t xml:space="preserve">8</w:t>
                  </w:r>
                </w:p>
              </w:tc>
              <w:tc>
                <w:tcPr>
                  <w:tcW w:w="3011" w:type="dxa"/>
                </w:tcPr>
                <w:p>
                  <w:pPr>
                    <w:pStyle w:val="Compact"/>
                    <w:spacing w:after="0" w:before="0" w:line="240" w:lineRule="auto"/>
                    <w:ind w:firstLine="0"/>
                    <w:jc w:val="left"/>
                  </w:pPr>
                  <w:r>
                    <w:rPr>
                      <w:sz w:val="16"/>
                    </w:rPr>
                    <w:t xml:space="preserve">IMP-13 (4), IMP-27 (2), IMP-18 (1), IMP-67 (1)</w:t>
                  </w:r>
                </w:p>
              </w:tc>
            </w:tr>
            <w:tr>
              <w:tc>
                <w:tcPr>
                  <w:tcW w:w="1453" w:type="dxa"/>
                  <w:tcBorders>
                    <w:bottom w:val="double" w:sz="4" w:space="0" w:color="000000"/>
                  </w:tcBorders>
                </w:tcPr>
                <w:p>
                  <w:pPr>
                    <w:pStyle w:val="Compact"/>
                    <w:spacing w:after="0" w:before="0" w:line="240" w:lineRule="auto"/>
                    <w:ind w:firstLine="0"/>
                    <w:jc w:val="left"/>
                  </w:pPr>
                  <w:r>
                    <w:rPr>
                      <w:sz w:val="16"/>
                    </w:rPr>
                    <w:t xml:space="preserve">CTX-M</w:t>
                  </w:r>
                </w:p>
              </w:tc>
              <w:tc>
                <w:tcPr>
                  <w:tcW w:w="2120" w:type="dxa"/>
                  <w:tcBorders>
                    <w:bottom w:val="double" w:sz="4" w:space="0" w:color="000000"/>
                  </w:tcBorders>
                </w:tcPr>
                <w:p>
                  <w:pPr>
                    <w:pStyle w:val="Compact"/>
                    <w:spacing w:after="0" w:before="0" w:line="240" w:lineRule="auto"/>
                    <w:ind w:firstLine="0"/>
                    <w:jc w:val="left"/>
                  </w:pPr>
                  <w:r>
                    <w:rPr>
                      <w:rStyle w:val="VerbatimChar"/>
                      <w:sz w:val="16"/>
                    </w:rPr>
                    <w:t xml:space="preserve">blaCTX-M</w:t>
                  </w:r>
                </w:p>
              </w:tc>
              <w:tc>
                <w:tcPr>
                  <w:tcW w:w="1009" w:type="dxa"/>
                  <w:tcBorders>
                    <w:bottom w:val="double" w:sz="4" w:space="0" w:color="000000"/>
                  </w:tcBorders>
                </w:tcPr>
                <w:p>
                  <w:pPr>
                    <w:pStyle w:val="Compact"/>
                    <w:spacing w:after="0" w:before="0" w:line="240" w:lineRule="auto"/>
                    <w:ind w:firstLine="0"/>
                    <w:jc w:val="center"/>
                  </w:pPr>
                  <w:r>
                    <w:rPr>
                      <w:sz w:val="16"/>
                    </w:rPr>
                    <w:t xml:space="preserve">275</w:t>
                  </w:r>
                </w:p>
              </w:tc>
              <w:tc>
                <w:tcPr>
                  <w:tcW w:w="1453" w:type="dxa"/>
                  <w:tcBorders>
                    <w:bottom w:val="double" w:sz="4" w:space="0" w:color="000000"/>
                  </w:tcBorders>
                </w:tcPr>
                <w:p>
                  <w:pPr>
                    <w:pStyle w:val="Compact"/>
                    <w:spacing w:after="0" w:before="0" w:line="240" w:lineRule="auto"/>
                    <w:ind w:firstLine="0"/>
                    <w:jc w:val="center"/>
                  </w:pPr>
                  <w:r>
                    <w:rPr>
                      <w:sz w:val="16"/>
                    </w:rPr>
                    <w:t xml:space="preserve">–</w:t>
                  </w:r>
                </w:p>
              </w:tc>
              <w:tc>
                <w:tcPr>
                  <w:tcW w:w="1120" w:type="dxa"/>
                  <w:tcBorders>
                    <w:bottom w:val="double" w:sz="4" w:space="0" w:color="000000"/>
                  </w:tcBorders>
                </w:tcPr>
                <w:p>
                  <w:pPr>
                    <w:pStyle w:val="Compact"/>
                    <w:spacing w:after="0" w:before="0" w:line="240" w:lineRule="auto"/>
                    <w:ind w:firstLine="0"/>
                    <w:jc w:val="center"/>
                  </w:pPr>
                  <w:r>
                    <w:rPr>
                      <w:sz w:val="16"/>
                    </w:rPr>
                    <w:t xml:space="preserve">1064</w:t>
                  </w:r>
                </w:p>
              </w:tc>
              <w:tc>
                <w:tcPr>
                  <w:tcW w:w="3011" w:type="dxa"/>
                  <w:tcBorders>
                    <w:bottom w:val="double" w:sz="4" w:space="0" w:color="000000"/>
                  </w:tcBorders>
                </w:tcPr>
                <w:p>
                  <w:pPr>
                    <w:pStyle w:val="Compact"/>
                    <w:spacing w:after="0" w:before="0" w:line="240" w:lineRule="auto"/>
                    <w:ind w:firstLine="0"/>
                    <w:jc w:val="left"/>
                  </w:pPr>
                  <w:r>
                    <w:rPr>
                      <w:sz w:val="16"/>
                    </w:rPr>
                    <w:t xml:space="preserve">CTX-M-15 (726), CTX-M-27 (182), CTX-M-14 (64), CTX-M-55 (54)</w:t>
                  </w:r>
                </w:p>
              </w:tc>
            </w:tr>
          </w:tbl>
          <w:p>
            <w:pPr>
              <w:pStyle w:val="TableNote"/>
            </w:pPr>
            <w:r>
              <w:t xml:space="preserve">Note: ᵃOXA-48 family alleles that NCBI’s catalog does not list as carbapenem-hydrolyzing (flag</w:t>
            </w:r>
            <w:r>
              <w:t xml:space="preserve"> </w:t>
            </w:r>
            <w:r>
              <w:rPr>
                <w:rStyle w:val="VerbatimChar"/>
              </w:rPr>
              <w:t xml:space="preserve">FAMILY_MEMBER_NONCARBA</w:t>
            </w:r>
            <w:r>
              <w:t xml:space="preserve">).</w:t>
            </w:r>
          </w:p>
        </w:tc>
      </w:tr>
    </w:tbl>
    <w:p>
      <w:pPr>
        <w:spacing w:before="0" w:after="0" w:line="20" w:lineRule="exact"/>
        <w:rPr>
          <w:sz w:val="2"/>
        </w:rPr>
        <w:sectPr>
          <w:footerReference w:type="default" r:id="rId9"/>
          <w:type w:val="continuous"/>
          <w:pgSz w:w="12240" w:h="15840"/>
          <w:pgMar w:top="1224" w:right="1037" w:bottom="1296" w:left="1037" w:header="720" w:footer="560" w:gutter="0"/>
          <w:cols w:num="1" w:space="374"/>
        </w:sectPr>
      </w:pPr>
    </w:p>
    <w:bookmarkEnd w:id="49"/>
    <w:bookmarkStart w:id="75" w:name="main-concordance-results"/>
    <w:p>
      <w:pPr>
        <w:pStyle w:val="Heading3"/>
      </w:pPr>
      <w:r>
        <w:t xml:space="preserve">C. </w:t>
      </w:r>
      <w:r>
        <w:t xml:space="preserve">Main concordance results</w:t>
      </w:r>
    </w:p>
    <w:p>
      <w:pPr>
        <w:pStyle w:val="FirstParagraph"/>
        <w:sectPr>
          <w:footerReference w:type="default" r:id="rId9"/>
          <w:type w:val="continuous"/>
          <w:pgSz w:w="12240" w:h="15840"/>
          <w:pgMar w:top="1224" w:right="1037" w:bottom="1296" w:left="1037" w:header="720" w:footer="560" w:gutter="0"/>
          <w:cols w:num="2" w:space="374"/>
        </w:sectPr>
      </w:pPr>
      <w:r>
        <w:t xml:space="preserve">Table</w:t>
      </w:r>
      <w:r>
        <w:t xml:space="preserve"> </w:t>
      </w:r>
      <w:hyperlink w:anchor="tab-V">
        <w:r>
          <w:rPr>
            <w:rStyle w:val="Hyperlink"/>
            <w:color w:val="BF0000"/>
            <w:u w:val="none"/>
          </w:rPr>
          <w:t xml:space="preserve">V</w:t>
        </w:r>
      </w:hyperlink>
      <w:r>
        <w:t xml:space="preserve"> </w:t>
      </w:r>
      <w:r>
        <w:t xml:space="preserve">and Fig.</w:t>
      </w:r>
      <w:r>
        <w:t xml:space="preserve"> </w:t>
      </w:r>
      <w:hyperlink w:anchor="fig-3">
        <w:r>
          <w:rPr>
            <w:rStyle w:val="Hyperlink"/>
            <w:color w:val="BF0000"/>
            <w:u w:val="none"/>
          </w:rPr>
          <w:t xml:space="preserve">3</w:t>
        </w:r>
      </w:hyperlink>
      <w:r>
        <w:t xml:space="preserve"> </w:t>
      </w:r>
      <w:r>
        <w:t xml:space="preserve">give the headline estimates; the full table of 1,033 analysis rows is released with the data.</w:t>
      </w:r>
    </w:p>
    <w:tbl>
      <w:tblPr>
        <w:tblW w:w="1016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10166"/>
      </w:tblGrid>
      <w:tr>
        <w:trPr>
          <w:cantSplit/>
        </w:trPr>
        <w:tc>
          <w:tcPr>
            <w:tcW w:w="10166" w:type="dxa"/>
          </w:tcPr>
          <w:p>
            <w:pPr>
              <w:pStyle w:val="TabCaption"/>
            </w:pPr>
            <w:bookmarkStart w:id="50" w:name="tab-V"/>
            <w:bookmarkEnd w:id="50"/>
            <w:r>
              <w:t xml:space="preserve">TABLE V: Concordance of panel targets with laboratory susceptibility, all U.S. human clinical isolates (main analysis: I and SDD counted as not resistant). G+R: gene detected, resistant; G+S: gene detected, not resistant; G−R: gene not detected, resistant; G−S: gene not detected, not resistant. OXA, oxacillin; FOX, cefoxitin; VAN, vancomycin; CBP, carbapenem; MEM, meropenem; CRO, ceftriaxone.</w:t>
            </w:r>
          </w:p>
          <w:tbl>
            <w:tblPr>
              <w:tblStyle w:val="Table"/>
              <w:tblW w:w="10166" w:type="dxa"/>
              <w:jc w:val="center"/>
              <w:tblLayout w:type="fixed"/>
              <w:tblCellMar>
                <w:top w:w="0" w:type="dxa"/>
                <w:left w:w="60" w:type="dxa"/>
                <w:bottom w:w="0" w:type="dxa"/>
                <w:right w:w="60" w:type="dxa"/>
              </w:tblCellMar>
              <w:tblLook w:firstRow="1" w:lastRow="0" w:firstColumn="0" w:lastColumn="0" w:noHBand="0" w:noVBand="0" w:val="0020"/>
            </w:tblPr>
            <w:tblGrid>
              <w:gridCol w:w="1241"/>
              <w:gridCol w:w="1619"/>
              <w:gridCol w:w="742"/>
              <w:gridCol w:w="520"/>
              <w:gridCol w:w="520"/>
              <w:gridCol w:w="520"/>
              <w:gridCol w:w="520"/>
              <w:gridCol w:w="520"/>
              <w:gridCol w:w="1427"/>
              <w:gridCol w:w="1427"/>
              <w:gridCol w:w="555"/>
              <w:gridCol w:w="555"/>
            </w:tblGrid>
            <w:tr>
              <w:trPr>
                <w:tblHeader w:val="true"/>
              </w:trPr>
              <w:tc>
                <w:tcPr>
                  <w:tcW w:w="1241" w:type="dxa"/>
                  <w:tcBorders>
                    <w:top w:val="double" w:sz="4" w:space="0" w:color="000000"/>
                    <w:bottom w:val="single" w:sz="4" w:space="0" w:color="000000"/>
                  </w:tcBorders>
                </w:tcPr>
                <w:p>
                  <w:pPr>
                    <w:pStyle w:val="Compact"/>
                    <w:spacing w:after="0" w:before="0" w:line="240" w:lineRule="auto"/>
                    <w:ind w:firstLine="0"/>
                    <w:jc w:val="left"/>
                  </w:pPr>
                  <w:r>
                    <w:rPr>
                      <w:sz w:val="14"/>
                    </w:rPr>
                    <w:t xml:space="preserve">Target</w:t>
                  </w:r>
                </w:p>
              </w:tc>
              <w:tc>
                <w:tcPr>
                  <w:tcW w:w="1619" w:type="dxa"/>
                  <w:tcBorders>
                    <w:top w:val="double" w:sz="4" w:space="0" w:color="000000"/>
                    <w:bottom w:val="single" w:sz="4" w:space="0" w:color="000000"/>
                  </w:tcBorders>
                </w:tcPr>
                <w:p>
                  <w:pPr>
                    <w:pStyle w:val="Compact"/>
                    <w:spacing w:after="0" w:before="0" w:line="240" w:lineRule="auto"/>
                    <w:ind w:firstLine="0"/>
                    <w:jc w:val="left"/>
                  </w:pPr>
                  <w:r>
                    <w:rPr>
                      <w:sz w:val="14"/>
                    </w:rPr>
                    <w:t xml:space="preserve">Organism</w:t>
                  </w:r>
                </w:p>
              </w:tc>
              <w:tc>
                <w:tcPr>
                  <w:tcW w:w="742" w:type="dxa"/>
                  <w:tcBorders>
                    <w:top w:val="double" w:sz="4" w:space="0" w:color="000000"/>
                    <w:bottom w:val="single" w:sz="4" w:space="0" w:color="000000"/>
                  </w:tcBorders>
                </w:tcPr>
                <w:p>
                  <w:pPr>
                    <w:pStyle w:val="Compact"/>
                    <w:spacing w:after="0" w:before="0" w:line="240" w:lineRule="auto"/>
                    <w:ind w:firstLine="0"/>
                    <w:jc w:val="left"/>
                  </w:pPr>
                  <w:r>
                    <w:rPr>
                      <w:sz w:val="14"/>
                    </w:rPr>
                    <w:t xml:space="preserve">Drug</w:t>
                  </w:r>
                </w:p>
              </w:tc>
              <w:tc>
                <w:tcPr>
                  <w:tcW w:w="520" w:type="dxa"/>
                  <w:tcBorders>
                    <w:top w:val="double" w:sz="4" w:space="0" w:color="000000"/>
                    <w:bottom w:val="single" w:sz="4" w:space="0" w:color="000000"/>
                  </w:tcBorders>
                </w:tcPr>
                <w:p>
                  <w:pPr>
                    <w:pStyle w:val="Compact"/>
                    <w:spacing w:after="0" w:before="0" w:line="240" w:lineRule="auto"/>
                    <w:ind w:firstLine="0"/>
                    <w:jc w:val="center"/>
                  </w:pPr>
                  <w:r>
                    <w:rPr>
                      <w:sz w:val="14"/>
                    </w:rPr>
                    <w:t xml:space="preserve">n</w:t>
                  </w:r>
                </w:p>
              </w:tc>
              <w:tc>
                <w:tcPr>
                  <w:tcW w:w="520" w:type="dxa"/>
                  <w:tcBorders>
                    <w:top w:val="double" w:sz="4" w:space="0" w:color="000000"/>
                    <w:bottom w:val="single" w:sz="4" w:space="0" w:color="000000"/>
                  </w:tcBorders>
                </w:tcPr>
                <w:p>
                  <w:pPr>
                    <w:pStyle w:val="Compact"/>
                    <w:spacing w:after="0" w:before="0" w:line="240" w:lineRule="auto"/>
                    <w:ind w:firstLine="0"/>
                    <w:jc w:val="center"/>
                  </w:pPr>
                  <w:r>
                    <w:rPr>
                      <w:sz w:val="14"/>
                    </w:rPr>
                    <w:t xml:space="preserve">G+R</w:t>
                  </w:r>
                </w:p>
              </w:tc>
              <w:tc>
                <w:tcPr>
                  <w:tcW w:w="520" w:type="dxa"/>
                  <w:tcBorders>
                    <w:top w:val="double" w:sz="4" w:space="0" w:color="000000"/>
                    <w:bottom w:val="single" w:sz="4" w:space="0" w:color="000000"/>
                  </w:tcBorders>
                </w:tcPr>
                <w:p>
                  <w:pPr>
                    <w:pStyle w:val="Compact"/>
                    <w:spacing w:after="0" w:before="0" w:line="240" w:lineRule="auto"/>
                    <w:ind w:firstLine="0"/>
                    <w:jc w:val="center"/>
                  </w:pPr>
                  <w:r>
                    <w:rPr>
                      <w:sz w:val="14"/>
                    </w:rPr>
                    <w:t xml:space="preserve">G+S</w:t>
                  </w:r>
                </w:p>
              </w:tc>
              <w:tc>
                <w:tcPr>
                  <w:tcW w:w="520" w:type="dxa"/>
                  <w:tcBorders>
                    <w:top w:val="double" w:sz="4" w:space="0" w:color="000000"/>
                    <w:bottom w:val="single" w:sz="4" w:space="0" w:color="000000"/>
                  </w:tcBorders>
                </w:tcPr>
                <w:p>
                  <w:pPr>
                    <w:pStyle w:val="Compact"/>
                    <w:spacing w:after="0" w:before="0" w:line="240" w:lineRule="auto"/>
                    <w:ind w:firstLine="0"/>
                    <w:jc w:val="center"/>
                  </w:pPr>
                  <w:r>
                    <w:rPr>
                      <w:sz w:val="14"/>
                    </w:rPr>
                    <w:t xml:space="preserve">G−R</w:t>
                  </w:r>
                </w:p>
              </w:tc>
              <w:tc>
                <w:tcPr>
                  <w:tcW w:w="520" w:type="dxa"/>
                  <w:tcBorders>
                    <w:top w:val="double" w:sz="4" w:space="0" w:color="000000"/>
                    <w:bottom w:val="single" w:sz="4" w:space="0" w:color="000000"/>
                  </w:tcBorders>
                </w:tcPr>
                <w:p>
                  <w:pPr>
                    <w:pStyle w:val="Compact"/>
                    <w:spacing w:after="0" w:before="0" w:line="240" w:lineRule="auto"/>
                    <w:ind w:firstLine="0"/>
                    <w:jc w:val="center"/>
                  </w:pPr>
                  <w:r>
                    <w:rPr>
                      <w:sz w:val="14"/>
                    </w:rPr>
                    <w:t xml:space="preserve">G−S</w:t>
                  </w:r>
                </w:p>
              </w:tc>
              <w:tc>
                <w:tcPr>
                  <w:tcW w:w="1427" w:type="dxa"/>
                  <w:tcBorders>
                    <w:top w:val="double" w:sz="4" w:space="0" w:color="000000"/>
                    <w:bottom w:val="single" w:sz="4" w:space="0" w:color="000000"/>
                  </w:tcBorders>
                </w:tcPr>
                <w:p>
                  <w:pPr>
                    <w:pStyle w:val="Compact"/>
                    <w:spacing w:after="0" w:before="0" w:line="240" w:lineRule="auto"/>
                    <w:ind w:firstLine="0"/>
                    <w:jc w:val="center"/>
                  </w:pPr>
                  <w:r>
                    <w:rPr>
                      <w:sz w:val="14"/>
                    </w:rPr>
                    <w:t xml:space="preserve">PPV (95% CI)</w:t>
                  </w:r>
                </w:p>
              </w:tc>
              <w:tc>
                <w:tcPr>
                  <w:tcW w:w="1427" w:type="dxa"/>
                  <w:tcBorders>
                    <w:top w:val="double" w:sz="4" w:space="0" w:color="000000"/>
                    <w:bottom w:val="single" w:sz="4" w:space="0" w:color="000000"/>
                  </w:tcBorders>
                </w:tcPr>
                <w:p>
                  <w:pPr>
                    <w:pStyle w:val="Compact"/>
                    <w:spacing w:after="0" w:before="0" w:line="240" w:lineRule="auto"/>
                    <w:ind w:firstLine="0"/>
                    <w:jc w:val="center"/>
                  </w:pPr>
                  <w:r>
                    <w:rPr>
                      <w:sz w:val="14"/>
                    </w:rPr>
                    <w:t xml:space="preserve">NPV (95% CI)</w:t>
                  </w:r>
                </w:p>
              </w:tc>
              <w:tc>
                <w:tcPr>
                  <w:tcW w:w="555" w:type="dxa"/>
                  <w:tcBorders>
                    <w:top w:val="double" w:sz="4" w:space="0" w:color="000000"/>
                    <w:bottom w:val="single" w:sz="4" w:space="0" w:color="000000"/>
                  </w:tcBorders>
                </w:tcPr>
                <w:p>
                  <w:pPr>
                    <w:pStyle w:val="Compact"/>
                    <w:spacing w:after="0" w:before="0" w:line="240" w:lineRule="auto"/>
                    <w:ind w:firstLine="0"/>
                    <w:jc w:val="center"/>
                  </w:pPr>
                  <w:r>
                    <w:rPr>
                      <w:sz w:val="14"/>
                    </w:rPr>
                    <w:t xml:space="preserve">Sens.</w:t>
                  </w:r>
                </w:p>
              </w:tc>
              <w:tc>
                <w:tcPr>
                  <w:tcW w:w="555" w:type="dxa"/>
                  <w:tcBorders>
                    <w:top w:val="double" w:sz="4" w:space="0" w:color="000000"/>
                    <w:bottom w:val="single" w:sz="4" w:space="0" w:color="000000"/>
                  </w:tcBorders>
                </w:tcPr>
                <w:p>
                  <w:pPr>
                    <w:pStyle w:val="Compact"/>
                    <w:spacing w:after="0" w:before="0" w:line="240" w:lineRule="auto"/>
                    <w:ind w:firstLine="0"/>
                    <w:jc w:val="center"/>
                  </w:pPr>
                  <w:r>
                    <w:rPr>
                      <w:sz w:val="14"/>
                    </w:rPr>
                    <w:t xml:space="preserve">Spec.</w:t>
                  </w:r>
                </w:p>
              </w:tc>
            </w:tr>
            <w:tr>
              <w:tc>
                <w:tcPr>
                  <w:tcW w:w="1241" w:type="dxa"/>
                </w:tcPr>
                <w:p>
                  <w:pPr>
                    <w:pStyle w:val="Compact"/>
                    <w:spacing w:after="0" w:before="0" w:line="240" w:lineRule="auto"/>
                    <w:ind w:firstLine="0"/>
                    <w:jc w:val="left"/>
                  </w:pPr>
                  <w:r>
                    <w:rPr>
                      <w:i/>
                      <w:iCs/>
                      <w:sz w:val="14"/>
                    </w:rPr>
                    <w:t xml:space="preserve">mecA</w:t>
                  </w:r>
                </w:p>
              </w:tc>
              <w:tc>
                <w:tcPr>
                  <w:tcW w:w="1619" w:type="dxa"/>
                </w:tcPr>
                <w:p>
                  <w:pPr>
                    <w:pStyle w:val="Compact"/>
                    <w:spacing w:after="0" w:before="0" w:line="240" w:lineRule="auto"/>
                    <w:ind w:firstLine="0"/>
                    <w:jc w:val="left"/>
                  </w:pPr>
                  <w:r>
                    <w:rPr>
                      <w:i/>
                      <w:iCs/>
                      <w:sz w:val="14"/>
                    </w:rPr>
                    <w:t xml:space="preserve">S. aureus</w:t>
                  </w:r>
                </w:p>
              </w:tc>
              <w:tc>
                <w:tcPr>
                  <w:tcW w:w="742" w:type="dxa"/>
                </w:tcPr>
                <w:p>
                  <w:pPr>
                    <w:pStyle w:val="Compact"/>
                    <w:spacing w:after="0" w:before="0" w:line="240" w:lineRule="auto"/>
                    <w:ind w:firstLine="0"/>
                    <w:jc w:val="left"/>
                  </w:pPr>
                  <w:r>
                    <w:rPr>
                      <w:sz w:val="14"/>
                    </w:rPr>
                    <w:t xml:space="preserve">OXA or FOX</w:t>
                  </w:r>
                </w:p>
              </w:tc>
              <w:tc>
                <w:tcPr>
                  <w:tcW w:w="520" w:type="dxa"/>
                </w:tcPr>
                <w:p>
                  <w:pPr>
                    <w:pStyle w:val="Compact"/>
                    <w:spacing w:after="0" w:before="0" w:line="240" w:lineRule="auto"/>
                    <w:ind w:firstLine="0"/>
                    <w:jc w:val="center"/>
                  </w:pPr>
                  <w:r>
                    <w:rPr>
                      <w:sz w:val="14"/>
                    </w:rPr>
                    <w:t xml:space="preserve">550</w:t>
                  </w:r>
                </w:p>
              </w:tc>
              <w:tc>
                <w:tcPr>
                  <w:tcW w:w="520" w:type="dxa"/>
                </w:tcPr>
                <w:p>
                  <w:pPr>
                    <w:pStyle w:val="Compact"/>
                    <w:spacing w:after="0" w:before="0" w:line="240" w:lineRule="auto"/>
                    <w:ind w:firstLine="0"/>
                    <w:jc w:val="center"/>
                  </w:pPr>
                  <w:r>
                    <w:rPr>
                      <w:sz w:val="14"/>
                    </w:rPr>
                    <w:t xml:space="preserve">215</w:t>
                  </w:r>
                </w:p>
              </w:tc>
              <w:tc>
                <w:tcPr>
                  <w:tcW w:w="520" w:type="dxa"/>
                </w:tcPr>
                <w:p>
                  <w:pPr>
                    <w:pStyle w:val="Compact"/>
                    <w:spacing w:after="0" w:before="0" w:line="240" w:lineRule="auto"/>
                    <w:ind w:firstLine="0"/>
                    <w:jc w:val="center"/>
                  </w:pPr>
                  <w:r>
                    <w:rPr>
                      <w:sz w:val="14"/>
                    </w:rPr>
                    <w:t xml:space="preserve">5</w:t>
                  </w:r>
                </w:p>
              </w:tc>
              <w:tc>
                <w:tcPr>
                  <w:tcW w:w="520" w:type="dxa"/>
                </w:tcPr>
                <w:p>
                  <w:pPr>
                    <w:pStyle w:val="Compact"/>
                    <w:spacing w:after="0" w:before="0" w:line="240" w:lineRule="auto"/>
                    <w:ind w:firstLine="0"/>
                    <w:jc w:val="center"/>
                  </w:pPr>
                  <w:r>
                    <w:rPr>
                      <w:sz w:val="14"/>
                    </w:rPr>
                    <w:t xml:space="preserve">1</w:t>
                  </w:r>
                </w:p>
              </w:tc>
              <w:tc>
                <w:tcPr>
                  <w:tcW w:w="520" w:type="dxa"/>
                </w:tcPr>
                <w:p>
                  <w:pPr>
                    <w:pStyle w:val="Compact"/>
                    <w:spacing w:after="0" w:before="0" w:line="240" w:lineRule="auto"/>
                    <w:ind w:firstLine="0"/>
                    <w:jc w:val="center"/>
                  </w:pPr>
                  <w:r>
                    <w:rPr>
                      <w:sz w:val="14"/>
                    </w:rPr>
                    <w:t xml:space="preserve">329</w:t>
                  </w:r>
                </w:p>
              </w:tc>
              <w:tc>
                <w:tcPr>
                  <w:tcW w:w="1427" w:type="dxa"/>
                </w:tcPr>
                <w:p>
                  <w:pPr>
                    <w:pStyle w:val="Compact"/>
                    <w:spacing w:after="0" w:before="0" w:line="240" w:lineRule="auto"/>
                    <w:ind w:firstLine="0"/>
                    <w:jc w:val="center"/>
                  </w:pPr>
                  <w:r>
                    <w:rPr>
                      <w:sz w:val="14"/>
                    </w:rPr>
                    <w:t xml:space="preserve">97.7% (94.8%–99.0%)</w:t>
                  </w:r>
                </w:p>
              </w:tc>
              <w:tc>
                <w:tcPr>
                  <w:tcW w:w="1427" w:type="dxa"/>
                </w:tcPr>
                <w:p>
                  <w:pPr>
                    <w:pStyle w:val="Compact"/>
                    <w:spacing w:after="0" w:before="0" w:line="240" w:lineRule="auto"/>
                    <w:ind w:firstLine="0"/>
                    <w:jc w:val="center"/>
                  </w:pPr>
                  <w:r>
                    <w:rPr>
                      <w:sz w:val="14"/>
                    </w:rPr>
                    <w:t xml:space="preserve">99.7% (98.3%–99.9%)</w:t>
                  </w:r>
                </w:p>
              </w:tc>
              <w:tc>
                <w:tcPr>
                  <w:tcW w:w="555" w:type="dxa"/>
                </w:tcPr>
                <w:p>
                  <w:pPr>
                    <w:pStyle w:val="Compact"/>
                    <w:spacing w:after="0" w:before="0" w:line="240" w:lineRule="auto"/>
                    <w:ind w:firstLine="0"/>
                    <w:jc w:val="center"/>
                  </w:pPr>
                  <w:r>
                    <w:rPr>
                      <w:sz w:val="14"/>
                    </w:rPr>
                    <w:t xml:space="preserve">99.5%</w:t>
                  </w:r>
                </w:p>
              </w:tc>
              <w:tc>
                <w:tcPr>
                  <w:tcW w:w="555" w:type="dxa"/>
                </w:tcPr>
                <w:p>
                  <w:pPr>
                    <w:pStyle w:val="Compact"/>
                    <w:spacing w:after="0" w:before="0" w:line="240" w:lineRule="auto"/>
                    <w:ind w:firstLine="0"/>
                    <w:jc w:val="center"/>
                  </w:pPr>
                  <w:r>
                    <w:rPr>
                      <w:sz w:val="14"/>
                    </w:rPr>
                    <w:t xml:space="preserve">98.5%</w:t>
                  </w:r>
                </w:p>
              </w:tc>
            </w:tr>
            <w:tr>
              <w:tc>
                <w:tcPr>
                  <w:tcW w:w="1241" w:type="dxa"/>
                </w:tcPr>
                <w:p>
                  <w:pPr>
                    <w:pStyle w:val="Compact"/>
                    <w:spacing w:after="0" w:before="0" w:line="240" w:lineRule="auto"/>
                    <w:ind w:firstLine="0"/>
                    <w:jc w:val="left"/>
                  </w:pPr>
                  <w:r>
                    <w:rPr>
                      <w:i/>
                      <w:iCs/>
                      <w:sz w:val="14"/>
                    </w:rPr>
                    <w:t xml:space="preserve">mecA</w:t>
                  </w:r>
                </w:p>
              </w:tc>
              <w:tc>
                <w:tcPr>
                  <w:tcW w:w="1619" w:type="dxa"/>
                </w:tcPr>
                <w:p>
                  <w:pPr>
                    <w:pStyle w:val="Compact"/>
                    <w:spacing w:after="0" w:before="0" w:line="240" w:lineRule="auto"/>
                    <w:ind w:firstLine="0"/>
                    <w:jc w:val="left"/>
                  </w:pPr>
                  <w:r>
                    <w:rPr>
                      <w:i/>
                      <w:iCs/>
                      <w:sz w:val="14"/>
                    </w:rPr>
                    <w:t xml:space="preserve">S. aureus</w:t>
                  </w:r>
                </w:p>
              </w:tc>
              <w:tc>
                <w:tcPr>
                  <w:tcW w:w="742" w:type="dxa"/>
                </w:tcPr>
                <w:p>
                  <w:pPr>
                    <w:pStyle w:val="Compact"/>
                    <w:spacing w:after="0" w:before="0" w:line="240" w:lineRule="auto"/>
                    <w:ind w:firstLine="0"/>
                    <w:jc w:val="left"/>
                  </w:pPr>
                  <w:r>
                    <w:rPr>
                      <w:sz w:val="14"/>
                    </w:rPr>
                    <w:t xml:space="preserve">OXA</w:t>
                  </w:r>
                </w:p>
              </w:tc>
              <w:tc>
                <w:tcPr>
                  <w:tcW w:w="520" w:type="dxa"/>
                </w:tcPr>
                <w:p>
                  <w:pPr>
                    <w:pStyle w:val="Compact"/>
                    <w:spacing w:after="0" w:before="0" w:line="240" w:lineRule="auto"/>
                    <w:ind w:firstLine="0"/>
                    <w:jc w:val="center"/>
                  </w:pPr>
                  <w:r>
                    <w:rPr>
                      <w:sz w:val="14"/>
                    </w:rPr>
                    <w:t xml:space="preserve">550</w:t>
                  </w:r>
                </w:p>
              </w:tc>
              <w:tc>
                <w:tcPr>
                  <w:tcW w:w="520" w:type="dxa"/>
                </w:tcPr>
                <w:p>
                  <w:pPr>
                    <w:pStyle w:val="Compact"/>
                    <w:spacing w:after="0" w:before="0" w:line="240" w:lineRule="auto"/>
                    <w:ind w:firstLine="0"/>
                    <w:jc w:val="center"/>
                  </w:pPr>
                  <w:r>
                    <w:rPr>
                      <w:sz w:val="14"/>
                    </w:rPr>
                    <w:t xml:space="preserve">215</w:t>
                  </w:r>
                </w:p>
              </w:tc>
              <w:tc>
                <w:tcPr>
                  <w:tcW w:w="520" w:type="dxa"/>
                </w:tcPr>
                <w:p>
                  <w:pPr>
                    <w:pStyle w:val="Compact"/>
                    <w:spacing w:after="0" w:before="0" w:line="240" w:lineRule="auto"/>
                    <w:ind w:firstLine="0"/>
                    <w:jc w:val="center"/>
                  </w:pPr>
                  <w:r>
                    <w:rPr>
                      <w:sz w:val="14"/>
                    </w:rPr>
                    <w:t xml:space="preserve">5</w:t>
                  </w:r>
                </w:p>
              </w:tc>
              <w:tc>
                <w:tcPr>
                  <w:tcW w:w="520" w:type="dxa"/>
                </w:tcPr>
                <w:p>
                  <w:pPr>
                    <w:pStyle w:val="Compact"/>
                    <w:spacing w:after="0" w:before="0" w:line="240" w:lineRule="auto"/>
                    <w:ind w:firstLine="0"/>
                    <w:jc w:val="center"/>
                  </w:pPr>
                  <w:r>
                    <w:rPr>
                      <w:sz w:val="14"/>
                    </w:rPr>
                    <w:t xml:space="preserve">0</w:t>
                  </w:r>
                </w:p>
              </w:tc>
              <w:tc>
                <w:tcPr>
                  <w:tcW w:w="520" w:type="dxa"/>
                </w:tcPr>
                <w:p>
                  <w:pPr>
                    <w:pStyle w:val="Compact"/>
                    <w:spacing w:after="0" w:before="0" w:line="240" w:lineRule="auto"/>
                    <w:ind w:firstLine="0"/>
                    <w:jc w:val="center"/>
                  </w:pPr>
                  <w:r>
                    <w:rPr>
                      <w:sz w:val="14"/>
                    </w:rPr>
                    <w:t xml:space="preserve">330</w:t>
                  </w:r>
                </w:p>
              </w:tc>
              <w:tc>
                <w:tcPr>
                  <w:tcW w:w="1427" w:type="dxa"/>
                </w:tcPr>
                <w:p>
                  <w:pPr>
                    <w:pStyle w:val="Compact"/>
                    <w:spacing w:after="0" w:before="0" w:line="240" w:lineRule="auto"/>
                    <w:ind w:firstLine="0"/>
                    <w:jc w:val="center"/>
                  </w:pPr>
                  <w:r>
                    <w:rPr>
                      <w:sz w:val="14"/>
                    </w:rPr>
                    <w:t xml:space="preserve">97.7% (94.8%–99.0%)</w:t>
                  </w:r>
                </w:p>
              </w:tc>
              <w:tc>
                <w:tcPr>
                  <w:tcW w:w="1427" w:type="dxa"/>
                </w:tcPr>
                <w:p>
                  <w:pPr>
                    <w:pStyle w:val="Compact"/>
                    <w:spacing w:after="0" w:before="0" w:line="240" w:lineRule="auto"/>
                    <w:ind w:firstLine="0"/>
                    <w:jc w:val="center"/>
                  </w:pPr>
                  <w:r>
                    <w:rPr>
                      <w:sz w:val="14"/>
                    </w:rPr>
                    <w:t xml:space="preserve">100.0% (98.8%–100.0%)</w:t>
                  </w:r>
                </w:p>
              </w:tc>
              <w:tc>
                <w:tcPr>
                  <w:tcW w:w="555" w:type="dxa"/>
                </w:tcPr>
                <w:p>
                  <w:pPr>
                    <w:pStyle w:val="Compact"/>
                    <w:spacing w:after="0" w:before="0" w:line="240" w:lineRule="auto"/>
                    <w:ind w:firstLine="0"/>
                    <w:jc w:val="center"/>
                  </w:pPr>
                  <w:r>
                    <w:rPr>
                      <w:sz w:val="14"/>
                    </w:rPr>
                    <w:t xml:space="preserve">100.0%</w:t>
                  </w:r>
                </w:p>
              </w:tc>
              <w:tc>
                <w:tcPr>
                  <w:tcW w:w="555" w:type="dxa"/>
                </w:tcPr>
                <w:p>
                  <w:pPr>
                    <w:pStyle w:val="Compact"/>
                    <w:spacing w:after="0" w:before="0" w:line="240" w:lineRule="auto"/>
                    <w:ind w:firstLine="0"/>
                    <w:jc w:val="center"/>
                  </w:pPr>
                  <w:r>
                    <w:rPr>
                      <w:sz w:val="14"/>
                    </w:rPr>
                    <w:t xml:space="preserve">98.5%</w:t>
                  </w:r>
                </w:p>
              </w:tc>
            </w:tr>
            <w:tr>
              <w:tc>
                <w:tcPr>
                  <w:tcW w:w="1241" w:type="dxa"/>
                </w:tcPr>
                <w:p>
                  <w:pPr>
                    <w:pStyle w:val="Compact"/>
                    <w:spacing w:after="0" w:before="0" w:line="240" w:lineRule="auto"/>
                    <w:ind w:firstLine="0"/>
                    <w:jc w:val="left"/>
                  </w:pPr>
                  <w:r>
                    <w:rPr>
                      <w:i/>
                      <w:iCs/>
                      <w:sz w:val="14"/>
                    </w:rPr>
                    <w:t xml:space="preserve">vanA</w:t>
                  </w:r>
                </w:p>
              </w:tc>
              <w:tc>
                <w:tcPr>
                  <w:tcW w:w="1619" w:type="dxa"/>
                </w:tcPr>
                <w:p>
                  <w:pPr>
                    <w:pStyle w:val="Compact"/>
                    <w:spacing w:after="0" w:before="0" w:line="240" w:lineRule="auto"/>
                    <w:ind w:firstLine="0"/>
                    <w:jc w:val="left"/>
                  </w:pPr>
                  <w:r>
                    <w:rPr>
                      <w:i/>
                      <w:iCs/>
                      <w:sz w:val="14"/>
                    </w:rPr>
                    <w:t xml:space="preserve">E. faecium</w:t>
                  </w:r>
                </w:p>
              </w:tc>
              <w:tc>
                <w:tcPr>
                  <w:tcW w:w="742" w:type="dxa"/>
                </w:tcPr>
                <w:p>
                  <w:pPr>
                    <w:pStyle w:val="Compact"/>
                    <w:spacing w:after="0" w:before="0" w:line="240" w:lineRule="auto"/>
                    <w:ind w:firstLine="0"/>
                    <w:jc w:val="left"/>
                  </w:pPr>
                  <w:r>
                    <w:rPr>
                      <w:sz w:val="14"/>
                    </w:rPr>
                    <w:t xml:space="preserve">VAN</w:t>
                  </w:r>
                </w:p>
              </w:tc>
              <w:tc>
                <w:tcPr>
                  <w:tcW w:w="520" w:type="dxa"/>
                </w:tcPr>
                <w:p>
                  <w:pPr>
                    <w:pStyle w:val="Compact"/>
                    <w:spacing w:after="0" w:before="0" w:line="240" w:lineRule="auto"/>
                    <w:ind w:firstLine="0"/>
                    <w:jc w:val="center"/>
                  </w:pPr>
                  <w:r>
                    <w:rPr>
                      <w:sz w:val="14"/>
                    </w:rPr>
                    <w:t xml:space="preserve">36</w:t>
                  </w:r>
                </w:p>
              </w:tc>
              <w:tc>
                <w:tcPr>
                  <w:tcW w:w="520" w:type="dxa"/>
                </w:tcPr>
                <w:p>
                  <w:pPr>
                    <w:pStyle w:val="Compact"/>
                    <w:spacing w:after="0" w:before="0" w:line="240" w:lineRule="auto"/>
                    <w:ind w:firstLine="0"/>
                    <w:jc w:val="center"/>
                  </w:pPr>
                  <w:r>
                    <w:rPr>
                      <w:sz w:val="14"/>
                    </w:rPr>
                    <w:t xml:space="preserve">22</w:t>
                  </w:r>
                </w:p>
              </w:tc>
              <w:tc>
                <w:tcPr>
                  <w:tcW w:w="520" w:type="dxa"/>
                </w:tcPr>
                <w:p>
                  <w:pPr>
                    <w:pStyle w:val="Compact"/>
                    <w:spacing w:after="0" w:before="0" w:line="240" w:lineRule="auto"/>
                    <w:ind w:firstLine="0"/>
                    <w:jc w:val="center"/>
                  </w:pPr>
                  <w:r>
                    <w:rPr>
                      <w:sz w:val="14"/>
                    </w:rPr>
                    <w:t xml:space="preserve">3</w:t>
                  </w:r>
                </w:p>
              </w:tc>
              <w:tc>
                <w:tcPr>
                  <w:tcW w:w="520" w:type="dxa"/>
                </w:tcPr>
                <w:p>
                  <w:pPr>
                    <w:pStyle w:val="Compact"/>
                    <w:spacing w:after="0" w:before="0" w:line="240" w:lineRule="auto"/>
                    <w:ind w:firstLine="0"/>
                    <w:jc w:val="center"/>
                  </w:pPr>
                  <w:r>
                    <w:rPr>
                      <w:sz w:val="14"/>
                    </w:rPr>
                    <w:t xml:space="preserve">1</w:t>
                  </w:r>
                </w:p>
              </w:tc>
              <w:tc>
                <w:tcPr>
                  <w:tcW w:w="520" w:type="dxa"/>
                </w:tcPr>
                <w:p>
                  <w:pPr>
                    <w:pStyle w:val="Compact"/>
                    <w:spacing w:after="0" w:before="0" w:line="240" w:lineRule="auto"/>
                    <w:ind w:firstLine="0"/>
                    <w:jc w:val="center"/>
                  </w:pPr>
                  <w:r>
                    <w:rPr>
                      <w:sz w:val="14"/>
                    </w:rPr>
                    <w:t xml:space="preserve">10</w:t>
                  </w:r>
                </w:p>
              </w:tc>
              <w:tc>
                <w:tcPr>
                  <w:tcW w:w="1427" w:type="dxa"/>
                </w:tcPr>
                <w:p>
                  <w:pPr>
                    <w:pStyle w:val="Compact"/>
                    <w:spacing w:after="0" w:before="0" w:line="240" w:lineRule="auto"/>
                    <w:ind w:firstLine="0"/>
                    <w:jc w:val="center"/>
                  </w:pPr>
                  <w:r>
                    <w:rPr>
                      <w:sz w:val="14"/>
                    </w:rPr>
                    <w:t xml:space="preserve">88.0% (70.0%–95.8%)</w:t>
                  </w:r>
                </w:p>
              </w:tc>
              <w:tc>
                <w:tcPr>
                  <w:tcW w:w="1427" w:type="dxa"/>
                </w:tcPr>
                <w:p>
                  <w:pPr>
                    <w:pStyle w:val="Compact"/>
                    <w:spacing w:after="0" w:before="0" w:line="240" w:lineRule="auto"/>
                    <w:ind w:firstLine="0"/>
                    <w:jc w:val="center"/>
                  </w:pPr>
                  <w:r>
                    <w:rPr>
                      <w:sz w:val="14"/>
                    </w:rPr>
                    <w:t xml:space="preserve">90.9% (62.3%–98.4%)</w:t>
                  </w:r>
                </w:p>
              </w:tc>
              <w:tc>
                <w:tcPr>
                  <w:tcW w:w="555" w:type="dxa"/>
                </w:tcPr>
                <w:p>
                  <w:pPr>
                    <w:pStyle w:val="Compact"/>
                    <w:spacing w:after="0" w:before="0" w:line="240" w:lineRule="auto"/>
                    <w:ind w:firstLine="0"/>
                    <w:jc w:val="center"/>
                  </w:pPr>
                  <w:r>
                    <w:rPr>
                      <w:sz w:val="14"/>
                    </w:rPr>
                    <w:t xml:space="preserve">95.7%</w:t>
                  </w:r>
                </w:p>
              </w:tc>
              <w:tc>
                <w:tcPr>
                  <w:tcW w:w="555" w:type="dxa"/>
                </w:tcPr>
                <w:p>
                  <w:pPr>
                    <w:pStyle w:val="Compact"/>
                    <w:spacing w:after="0" w:before="0" w:line="240" w:lineRule="auto"/>
                    <w:ind w:firstLine="0"/>
                    <w:jc w:val="center"/>
                  </w:pPr>
                  <w:r>
                    <w:rPr>
                      <w:sz w:val="14"/>
                    </w:rPr>
                    <w:t xml:space="preserve">76.9%</w:t>
                  </w:r>
                </w:p>
              </w:tc>
            </w:tr>
            <w:tr>
              <w:tc>
                <w:tcPr>
                  <w:tcW w:w="1241" w:type="dxa"/>
                </w:tcPr>
                <w:p>
                  <w:pPr>
                    <w:pStyle w:val="Compact"/>
                    <w:spacing w:after="0" w:before="0" w:line="240" w:lineRule="auto"/>
                    <w:ind w:firstLine="0"/>
                    <w:jc w:val="left"/>
                  </w:pPr>
                  <w:r>
                    <w:rPr>
                      <w:i/>
                      <w:iCs/>
                      <w:sz w:val="14"/>
                    </w:rPr>
                    <w:t xml:space="preserve">vanA</w:t>
                  </w:r>
                </w:p>
              </w:tc>
              <w:tc>
                <w:tcPr>
                  <w:tcW w:w="1619" w:type="dxa"/>
                </w:tcPr>
                <w:p>
                  <w:pPr>
                    <w:pStyle w:val="Compact"/>
                    <w:spacing w:after="0" w:before="0" w:line="240" w:lineRule="auto"/>
                    <w:ind w:firstLine="0"/>
                    <w:jc w:val="left"/>
                  </w:pPr>
                  <w:r>
                    <w:rPr>
                      <w:i/>
                      <w:iCs/>
                      <w:sz w:val="14"/>
                    </w:rPr>
                    <w:t xml:space="preserve">E. faecalis</w:t>
                  </w:r>
                </w:p>
              </w:tc>
              <w:tc>
                <w:tcPr>
                  <w:tcW w:w="742" w:type="dxa"/>
                </w:tcPr>
                <w:p>
                  <w:pPr>
                    <w:pStyle w:val="Compact"/>
                    <w:spacing w:after="0" w:before="0" w:line="240" w:lineRule="auto"/>
                    <w:ind w:firstLine="0"/>
                    <w:jc w:val="left"/>
                  </w:pPr>
                  <w:r>
                    <w:rPr>
                      <w:sz w:val="14"/>
                    </w:rPr>
                    <w:t xml:space="preserve">VAN</w:t>
                  </w:r>
                </w:p>
              </w:tc>
              <w:tc>
                <w:tcPr>
                  <w:tcW w:w="520" w:type="dxa"/>
                </w:tcPr>
                <w:p>
                  <w:pPr>
                    <w:pStyle w:val="Compact"/>
                    <w:spacing w:after="0" w:before="0" w:line="240" w:lineRule="auto"/>
                    <w:ind w:firstLine="0"/>
                    <w:jc w:val="center"/>
                  </w:pPr>
                  <w:r>
                    <w:rPr>
                      <w:sz w:val="14"/>
                    </w:rPr>
                    <w:t xml:space="preserve">83</w:t>
                  </w:r>
                </w:p>
              </w:tc>
              <w:tc>
                <w:tcPr>
                  <w:tcW w:w="520" w:type="dxa"/>
                </w:tcPr>
                <w:p>
                  <w:pPr>
                    <w:pStyle w:val="Compact"/>
                    <w:spacing w:after="0" w:before="0" w:line="240" w:lineRule="auto"/>
                    <w:ind w:firstLine="0"/>
                    <w:jc w:val="center"/>
                  </w:pPr>
                  <w:r>
                    <w:rPr>
                      <w:sz w:val="14"/>
                    </w:rPr>
                    <w:t xml:space="preserve">4</w:t>
                  </w:r>
                </w:p>
              </w:tc>
              <w:tc>
                <w:tcPr>
                  <w:tcW w:w="520" w:type="dxa"/>
                </w:tcPr>
                <w:p>
                  <w:pPr>
                    <w:pStyle w:val="Compact"/>
                    <w:spacing w:after="0" w:before="0" w:line="240" w:lineRule="auto"/>
                    <w:ind w:firstLine="0"/>
                    <w:jc w:val="center"/>
                  </w:pPr>
                  <w:r>
                    <w:rPr>
                      <w:sz w:val="14"/>
                    </w:rPr>
                    <w:t xml:space="preserve">0</w:t>
                  </w:r>
                </w:p>
              </w:tc>
              <w:tc>
                <w:tcPr>
                  <w:tcW w:w="520" w:type="dxa"/>
                </w:tcPr>
                <w:p>
                  <w:pPr>
                    <w:pStyle w:val="Compact"/>
                    <w:spacing w:after="0" w:before="0" w:line="240" w:lineRule="auto"/>
                    <w:ind w:firstLine="0"/>
                    <w:jc w:val="center"/>
                  </w:pPr>
                  <w:r>
                    <w:rPr>
                      <w:sz w:val="14"/>
                    </w:rPr>
                    <w:t xml:space="preserve">2</w:t>
                  </w:r>
                </w:p>
              </w:tc>
              <w:tc>
                <w:tcPr>
                  <w:tcW w:w="520" w:type="dxa"/>
                </w:tcPr>
                <w:p>
                  <w:pPr>
                    <w:pStyle w:val="Compact"/>
                    <w:spacing w:after="0" w:before="0" w:line="240" w:lineRule="auto"/>
                    <w:ind w:firstLine="0"/>
                    <w:jc w:val="center"/>
                  </w:pPr>
                  <w:r>
                    <w:rPr>
                      <w:sz w:val="14"/>
                    </w:rPr>
                    <w:t xml:space="preserve">77</w:t>
                  </w:r>
                </w:p>
              </w:tc>
              <w:tc>
                <w:tcPr>
                  <w:tcW w:w="1427" w:type="dxa"/>
                </w:tcPr>
                <w:p>
                  <w:pPr>
                    <w:pStyle w:val="Compact"/>
                    <w:spacing w:after="0" w:before="0" w:line="240" w:lineRule="auto"/>
                    <w:ind w:firstLine="0"/>
                    <w:jc w:val="center"/>
                  </w:pPr>
                  <w:r>
                    <w:rPr>
                      <w:sz w:val="14"/>
                    </w:rPr>
                    <w:t xml:space="preserve">100.0% (51.0%–100.0%)</w:t>
                  </w:r>
                </w:p>
              </w:tc>
              <w:tc>
                <w:tcPr>
                  <w:tcW w:w="1427" w:type="dxa"/>
                </w:tcPr>
                <w:p>
                  <w:pPr>
                    <w:pStyle w:val="Compact"/>
                    <w:spacing w:after="0" w:before="0" w:line="240" w:lineRule="auto"/>
                    <w:ind w:firstLine="0"/>
                    <w:jc w:val="center"/>
                  </w:pPr>
                  <w:r>
                    <w:rPr>
                      <w:sz w:val="14"/>
                    </w:rPr>
                    <w:t xml:space="preserve">97.5% (91.2%–99.3%)</w:t>
                  </w:r>
                </w:p>
              </w:tc>
              <w:tc>
                <w:tcPr>
                  <w:tcW w:w="555" w:type="dxa"/>
                </w:tcPr>
                <w:p>
                  <w:pPr>
                    <w:pStyle w:val="Compact"/>
                    <w:spacing w:after="0" w:before="0" w:line="240" w:lineRule="auto"/>
                    <w:ind w:firstLine="0"/>
                    <w:jc w:val="center"/>
                  </w:pPr>
                  <w:r>
                    <w:rPr>
                      <w:sz w:val="14"/>
                    </w:rPr>
                    <w:t xml:space="preserve">66.7%</w:t>
                  </w:r>
                </w:p>
              </w:tc>
              <w:tc>
                <w:tcPr>
                  <w:tcW w:w="555" w:type="dxa"/>
                </w:tcPr>
                <w:p>
                  <w:pPr>
                    <w:pStyle w:val="Compact"/>
                    <w:spacing w:after="0" w:before="0" w:line="240" w:lineRule="auto"/>
                    <w:ind w:firstLine="0"/>
                    <w:jc w:val="center"/>
                  </w:pPr>
                  <w:r>
                    <w:rPr>
                      <w:sz w:val="14"/>
                    </w:rPr>
                    <w:t xml:space="preserve">100.0%</w:t>
                  </w:r>
                </w:p>
              </w:tc>
            </w:tr>
            <w:tr>
              <w:tc>
                <w:tcPr>
                  <w:tcW w:w="1241" w:type="dxa"/>
                </w:tcPr>
                <w:p>
                  <w:pPr>
                    <w:pStyle w:val="Compact"/>
                    <w:spacing w:after="0" w:before="0" w:line="240" w:lineRule="auto"/>
                    <w:ind w:firstLine="0"/>
                    <w:jc w:val="left"/>
                  </w:pPr>
                  <w:r>
                    <w:rPr>
                      <w:i/>
                      <w:iCs/>
                      <w:sz w:val="14"/>
                    </w:rPr>
                    <w:t xml:space="preserve">vanA</w:t>
                  </w:r>
                  <w:r>
                    <w:rPr>
                      <w:sz w:val="14"/>
                    </w:rPr>
                    <w:t xml:space="preserve">/</w:t>
                  </w:r>
                  <w:r>
                    <w:rPr>
                      <w:i/>
                      <w:iCs/>
                      <w:sz w:val="14"/>
                    </w:rPr>
                    <w:t xml:space="preserve">vanB</w:t>
                  </w:r>
                </w:p>
              </w:tc>
              <w:tc>
                <w:tcPr>
                  <w:tcW w:w="1619" w:type="dxa"/>
                </w:tcPr>
                <w:p>
                  <w:pPr>
                    <w:pStyle w:val="Compact"/>
                    <w:spacing w:after="0" w:before="0" w:line="240" w:lineRule="auto"/>
                    <w:ind w:firstLine="0"/>
                    <w:jc w:val="left"/>
                  </w:pPr>
                  <w:r>
                    <w:rPr>
                      <w:i/>
                      <w:iCs/>
                      <w:sz w:val="14"/>
                    </w:rPr>
                    <w:t xml:space="preserve">E. faecalis</w:t>
                  </w:r>
                  <w:r>
                    <w:rPr>
                      <w:sz w:val="14"/>
                    </w:rPr>
                    <w:t xml:space="preserve"> </w:t>
                  </w:r>
                  <w:r>
                    <w:rPr>
                      <w:sz w:val="14"/>
                    </w:rPr>
                    <w:t xml:space="preserve">+</w:t>
                  </w:r>
                  <w:r>
                    <w:rPr>
                      <w:sz w:val="14"/>
                    </w:rPr>
                    <w:t xml:space="preserve"> </w:t>
                  </w:r>
                  <w:r>
                    <w:rPr>
                      <w:i/>
                      <w:iCs/>
                      <w:sz w:val="14"/>
                    </w:rPr>
                    <w:t xml:space="preserve">E. faecium</w:t>
                  </w:r>
                </w:p>
              </w:tc>
              <w:tc>
                <w:tcPr>
                  <w:tcW w:w="742" w:type="dxa"/>
                </w:tcPr>
                <w:p>
                  <w:pPr>
                    <w:pStyle w:val="Compact"/>
                    <w:spacing w:after="0" w:before="0" w:line="240" w:lineRule="auto"/>
                    <w:ind w:firstLine="0"/>
                    <w:jc w:val="left"/>
                  </w:pPr>
                  <w:r>
                    <w:rPr>
                      <w:sz w:val="14"/>
                    </w:rPr>
                    <w:t xml:space="preserve">VAN</w:t>
                  </w:r>
                </w:p>
              </w:tc>
              <w:tc>
                <w:tcPr>
                  <w:tcW w:w="520" w:type="dxa"/>
                </w:tcPr>
                <w:p>
                  <w:pPr>
                    <w:pStyle w:val="Compact"/>
                    <w:spacing w:after="0" w:before="0" w:line="240" w:lineRule="auto"/>
                    <w:ind w:firstLine="0"/>
                    <w:jc w:val="center"/>
                  </w:pPr>
                  <w:r>
                    <w:rPr>
                      <w:sz w:val="14"/>
                    </w:rPr>
                    <w:t xml:space="preserve">119</w:t>
                  </w:r>
                </w:p>
              </w:tc>
              <w:tc>
                <w:tcPr>
                  <w:tcW w:w="520" w:type="dxa"/>
                </w:tcPr>
                <w:p>
                  <w:pPr>
                    <w:pStyle w:val="Compact"/>
                    <w:spacing w:after="0" w:before="0" w:line="240" w:lineRule="auto"/>
                    <w:ind w:firstLine="0"/>
                    <w:jc w:val="center"/>
                  </w:pPr>
                  <w:r>
                    <w:rPr>
                      <w:sz w:val="14"/>
                    </w:rPr>
                    <w:t xml:space="preserve">26</w:t>
                  </w:r>
                </w:p>
              </w:tc>
              <w:tc>
                <w:tcPr>
                  <w:tcW w:w="520" w:type="dxa"/>
                </w:tcPr>
                <w:p>
                  <w:pPr>
                    <w:pStyle w:val="Compact"/>
                    <w:spacing w:after="0" w:before="0" w:line="240" w:lineRule="auto"/>
                    <w:ind w:firstLine="0"/>
                    <w:jc w:val="center"/>
                  </w:pPr>
                  <w:r>
                    <w:rPr>
                      <w:sz w:val="14"/>
                    </w:rPr>
                    <w:t xml:space="preserve">3</w:t>
                  </w:r>
                </w:p>
              </w:tc>
              <w:tc>
                <w:tcPr>
                  <w:tcW w:w="520" w:type="dxa"/>
                </w:tcPr>
                <w:p>
                  <w:pPr>
                    <w:pStyle w:val="Compact"/>
                    <w:spacing w:after="0" w:before="0" w:line="240" w:lineRule="auto"/>
                    <w:ind w:firstLine="0"/>
                    <w:jc w:val="center"/>
                  </w:pPr>
                  <w:r>
                    <w:rPr>
                      <w:sz w:val="14"/>
                    </w:rPr>
                    <w:t xml:space="preserve">3</w:t>
                  </w:r>
                </w:p>
              </w:tc>
              <w:tc>
                <w:tcPr>
                  <w:tcW w:w="520" w:type="dxa"/>
                </w:tcPr>
                <w:p>
                  <w:pPr>
                    <w:pStyle w:val="Compact"/>
                    <w:spacing w:after="0" w:before="0" w:line="240" w:lineRule="auto"/>
                    <w:ind w:firstLine="0"/>
                    <w:jc w:val="center"/>
                  </w:pPr>
                  <w:r>
                    <w:rPr>
                      <w:sz w:val="14"/>
                    </w:rPr>
                    <w:t xml:space="preserve">87</w:t>
                  </w:r>
                </w:p>
              </w:tc>
              <w:tc>
                <w:tcPr>
                  <w:tcW w:w="1427" w:type="dxa"/>
                </w:tcPr>
                <w:p>
                  <w:pPr>
                    <w:pStyle w:val="Compact"/>
                    <w:spacing w:after="0" w:before="0" w:line="240" w:lineRule="auto"/>
                    <w:ind w:firstLine="0"/>
                    <w:jc w:val="center"/>
                  </w:pPr>
                  <w:r>
                    <w:rPr>
                      <w:sz w:val="14"/>
                    </w:rPr>
                    <w:t xml:space="preserve">89.7% (73.6%–96.4%)</w:t>
                  </w:r>
                </w:p>
              </w:tc>
              <w:tc>
                <w:tcPr>
                  <w:tcW w:w="1427" w:type="dxa"/>
                </w:tcPr>
                <w:p>
                  <w:pPr>
                    <w:pStyle w:val="Compact"/>
                    <w:spacing w:after="0" w:before="0" w:line="240" w:lineRule="auto"/>
                    <w:ind w:firstLine="0"/>
                    <w:jc w:val="center"/>
                  </w:pPr>
                  <w:r>
                    <w:rPr>
                      <w:sz w:val="14"/>
                    </w:rPr>
                    <w:t xml:space="preserve">96.7% (90.7%–98.9%)</w:t>
                  </w:r>
                </w:p>
              </w:tc>
              <w:tc>
                <w:tcPr>
                  <w:tcW w:w="555" w:type="dxa"/>
                </w:tcPr>
                <w:p>
                  <w:pPr>
                    <w:pStyle w:val="Compact"/>
                    <w:spacing w:after="0" w:before="0" w:line="240" w:lineRule="auto"/>
                    <w:ind w:firstLine="0"/>
                    <w:jc w:val="center"/>
                  </w:pPr>
                  <w:r>
                    <w:rPr>
                      <w:sz w:val="14"/>
                    </w:rPr>
                    <w:t xml:space="preserve">89.7%</w:t>
                  </w:r>
                </w:p>
              </w:tc>
              <w:tc>
                <w:tcPr>
                  <w:tcW w:w="555" w:type="dxa"/>
                </w:tcPr>
                <w:p>
                  <w:pPr>
                    <w:pStyle w:val="Compact"/>
                    <w:spacing w:after="0" w:before="0" w:line="240" w:lineRule="auto"/>
                    <w:ind w:firstLine="0"/>
                    <w:jc w:val="center"/>
                  </w:pPr>
                  <w:r>
                    <w:rPr>
                      <w:sz w:val="14"/>
                    </w:rPr>
                    <w:t xml:space="preserve">96.7%</w:t>
                  </w:r>
                </w:p>
              </w:tc>
            </w:tr>
            <w:tr>
              <w:tc>
                <w:tcPr>
                  <w:tcW w:w="1241" w:type="dxa"/>
                </w:tcPr>
                <w:p>
                  <w:pPr>
                    <w:pStyle w:val="Compact"/>
                    <w:spacing w:after="0" w:before="0" w:line="240" w:lineRule="auto"/>
                    <w:ind w:firstLine="0"/>
                    <w:jc w:val="left"/>
                  </w:pPr>
                  <w:r>
                    <w:rPr>
                      <w:sz w:val="14"/>
                    </w:rPr>
                    <w:t xml:space="preserve">KPC</w:t>
                  </w:r>
                </w:p>
              </w:tc>
              <w:tc>
                <w:tcPr>
                  <w:tcW w:w="1619" w:type="dxa"/>
                </w:tcPr>
                <w:p>
                  <w:pPr>
                    <w:pStyle w:val="Compact"/>
                    <w:spacing w:after="0" w:before="0" w:line="240" w:lineRule="auto"/>
                    <w:ind w:firstLine="0"/>
                    <w:jc w:val="left"/>
                  </w:pPr>
                  <w:r>
                    <w:rPr>
                      <w:sz w:val="14"/>
                    </w:rPr>
                    <w:t xml:space="preserve">Enterobacteralesᵃ</w:t>
                  </w:r>
                </w:p>
              </w:tc>
              <w:tc>
                <w:tcPr>
                  <w:tcW w:w="742" w:type="dxa"/>
                </w:tcPr>
                <w:p>
                  <w:pPr>
                    <w:pStyle w:val="Compact"/>
                    <w:spacing w:after="0" w:before="0" w:line="240" w:lineRule="auto"/>
                    <w:ind w:firstLine="0"/>
                    <w:jc w:val="left"/>
                  </w:pPr>
                  <w:r>
                    <w:rPr>
                      <w:sz w:val="14"/>
                    </w:rPr>
                    <w:t xml:space="preserve">Any CBP</w:t>
                  </w:r>
                </w:p>
              </w:tc>
              <w:tc>
                <w:tcPr>
                  <w:tcW w:w="520" w:type="dxa"/>
                </w:tcPr>
                <w:p>
                  <w:pPr>
                    <w:pStyle w:val="Compact"/>
                    <w:spacing w:after="0" w:before="0" w:line="240" w:lineRule="auto"/>
                    <w:ind w:firstLine="0"/>
                    <w:jc w:val="center"/>
                  </w:pPr>
                  <w:r>
                    <w:rPr>
                      <w:sz w:val="14"/>
                    </w:rPr>
                    <w:t xml:space="preserve">4,147</w:t>
                  </w:r>
                </w:p>
              </w:tc>
              <w:tc>
                <w:tcPr>
                  <w:tcW w:w="520" w:type="dxa"/>
                </w:tcPr>
                <w:p>
                  <w:pPr>
                    <w:pStyle w:val="Compact"/>
                    <w:spacing w:after="0" w:before="0" w:line="240" w:lineRule="auto"/>
                    <w:ind w:firstLine="0"/>
                    <w:jc w:val="center"/>
                  </w:pPr>
                  <w:r>
                    <w:rPr>
                      <w:sz w:val="14"/>
                    </w:rPr>
                    <w:t xml:space="preserve">199</w:t>
                  </w:r>
                </w:p>
              </w:tc>
              <w:tc>
                <w:tcPr>
                  <w:tcW w:w="520" w:type="dxa"/>
                </w:tcPr>
                <w:p>
                  <w:pPr>
                    <w:pStyle w:val="Compact"/>
                    <w:spacing w:after="0" w:before="0" w:line="240" w:lineRule="auto"/>
                    <w:ind w:firstLine="0"/>
                    <w:jc w:val="center"/>
                  </w:pPr>
                  <w:r>
                    <w:rPr>
                      <w:sz w:val="14"/>
                    </w:rPr>
                    <w:t xml:space="preserve">4</w:t>
                  </w:r>
                </w:p>
              </w:tc>
              <w:tc>
                <w:tcPr>
                  <w:tcW w:w="520" w:type="dxa"/>
                </w:tcPr>
                <w:p>
                  <w:pPr>
                    <w:pStyle w:val="Compact"/>
                    <w:spacing w:after="0" w:before="0" w:line="240" w:lineRule="auto"/>
                    <w:ind w:firstLine="0"/>
                    <w:jc w:val="center"/>
                  </w:pPr>
                  <w:r>
                    <w:rPr>
                      <w:sz w:val="14"/>
                    </w:rPr>
                    <w:t xml:space="preserve">224</w:t>
                  </w:r>
                </w:p>
              </w:tc>
              <w:tc>
                <w:tcPr>
                  <w:tcW w:w="520" w:type="dxa"/>
                </w:tcPr>
                <w:p>
                  <w:pPr>
                    <w:pStyle w:val="Compact"/>
                    <w:spacing w:after="0" w:before="0" w:line="240" w:lineRule="auto"/>
                    <w:ind w:firstLine="0"/>
                    <w:jc w:val="center"/>
                  </w:pPr>
                  <w:r>
                    <w:rPr>
                      <w:sz w:val="14"/>
                    </w:rPr>
                    <w:t xml:space="preserve">3,720</w:t>
                  </w:r>
                </w:p>
              </w:tc>
              <w:tc>
                <w:tcPr>
                  <w:tcW w:w="1427" w:type="dxa"/>
                </w:tcPr>
                <w:p>
                  <w:pPr>
                    <w:pStyle w:val="Compact"/>
                    <w:spacing w:after="0" w:before="0" w:line="240" w:lineRule="auto"/>
                    <w:ind w:firstLine="0"/>
                    <w:jc w:val="center"/>
                  </w:pPr>
                  <w:r>
                    <w:rPr>
                      <w:sz w:val="14"/>
                    </w:rPr>
                    <w:t xml:space="preserve">98.0% (95.0%–99.2%)</w:t>
                  </w:r>
                </w:p>
              </w:tc>
              <w:tc>
                <w:tcPr>
                  <w:tcW w:w="1427" w:type="dxa"/>
                </w:tcPr>
                <w:p>
                  <w:pPr>
                    <w:pStyle w:val="Compact"/>
                    <w:spacing w:after="0" w:before="0" w:line="240" w:lineRule="auto"/>
                    <w:ind w:firstLine="0"/>
                    <w:jc w:val="center"/>
                  </w:pPr>
                  <w:r>
                    <w:rPr>
                      <w:sz w:val="14"/>
                    </w:rPr>
                    <w:t xml:space="preserve">94.3% (93.6%–95.0%)</w:t>
                  </w:r>
                </w:p>
              </w:tc>
              <w:tc>
                <w:tcPr>
                  <w:tcW w:w="555" w:type="dxa"/>
                </w:tcPr>
                <w:p>
                  <w:pPr>
                    <w:pStyle w:val="Compact"/>
                    <w:spacing w:after="0" w:before="0" w:line="240" w:lineRule="auto"/>
                    <w:ind w:firstLine="0"/>
                    <w:jc w:val="center"/>
                  </w:pPr>
                  <w:r>
                    <w:rPr>
                      <w:sz w:val="14"/>
                    </w:rPr>
                    <w:t xml:space="preserve">47.0%</w:t>
                  </w:r>
                </w:p>
              </w:tc>
              <w:tc>
                <w:tcPr>
                  <w:tcW w:w="555" w:type="dxa"/>
                </w:tcPr>
                <w:p>
                  <w:pPr>
                    <w:pStyle w:val="Compact"/>
                    <w:spacing w:after="0" w:before="0" w:line="240" w:lineRule="auto"/>
                    <w:ind w:firstLine="0"/>
                    <w:jc w:val="center"/>
                  </w:pPr>
                  <w:r>
                    <w:rPr>
                      <w:sz w:val="14"/>
                    </w:rPr>
                    <w:t xml:space="preserve">99.9%</w:t>
                  </w:r>
                </w:p>
              </w:tc>
            </w:tr>
            <w:tr>
              <w:tc>
                <w:tcPr>
                  <w:tcW w:w="1241" w:type="dxa"/>
                </w:tcPr>
                <w:p>
                  <w:pPr>
                    <w:pStyle w:val="Compact"/>
                    <w:spacing w:after="0" w:before="0" w:line="240" w:lineRule="auto"/>
                    <w:ind w:firstLine="0"/>
                    <w:jc w:val="left"/>
                  </w:pPr>
                  <w:r>
                    <w:rPr>
                      <w:sz w:val="14"/>
                    </w:rPr>
                    <w:t xml:space="preserve">NDM</w:t>
                  </w:r>
                </w:p>
              </w:tc>
              <w:tc>
                <w:tcPr>
                  <w:tcW w:w="1619" w:type="dxa"/>
                </w:tcPr>
                <w:p>
                  <w:pPr>
                    <w:pStyle w:val="Compact"/>
                    <w:spacing w:after="0" w:before="0" w:line="240" w:lineRule="auto"/>
                    <w:ind w:firstLine="0"/>
                    <w:jc w:val="left"/>
                  </w:pPr>
                  <w:r>
                    <w:rPr>
                      <w:sz w:val="14"/>
                    </w:rPr>
                    <w:t xml:space="preserve">Enterobacteralesᵃ</w:t>
                  </w:r>
                </w:p>
              </w:tc>
              <w:tc>
                <w:tcPr>
                  <w:tcW w:w="742" w:type="dxa"/>
                </w:tcPr>
                <w:p>
                  <w:pPr>
                    <w:pStyle w:val="Compact"/>
                    <w:spacing w:after="0" w:before="0" w:line="240" w:lineRule="auto"/>
                    <w:ind w:firstLine="0"/>
                    <w:jc w:val="left"/>
                  </w:pPr>
                  <w:r>
                    <w:rPr>
                      <w:sz w:val="14"/>
                    </w:rPr>
                    <w:t xml:space="preserve">Any CBP</w:t>
                  </w:r>
                </w:p>
              </w:tc>
              <w:tc>
                <w:tcPr>
                  <w:tcW w:w="520" w:type="dxa"/>
                </w:tcPr>
                <w:p>
                  <w:pPr>
                    <w:pStyle w:val="Compact"/>
                    <w:spacing w:after="0" w:before="0" w:line="240" w:lineRule="auto"/>
                    <w:ind w:firstLine="0"/>
                    <w:jc w:val="center"/>
                  </w:pPr>
                  <w:r>
                    <w:rPr>
                      <w:sz w:val="14"/>
                    </w:rPr>
                    <w:t xml:space="preserve">4,147</w:t>
                  </w:r>
                </w:p>
              </w:tc>
              <w:tc>
                <w:tcPr>
                  <w:tcW w:w="520" w:type="dxa"/>
                </w:tcPr>
                <w:p>
                  <w:pPr>
                    <w:pStyle w:val="Compact"/>
                    <w:spacing w:after="0" w:before="0" w:line="240" w:lineRule="auto"/>
                    <w:ind w:firstLine="0"/>
                    <w:jc w:val="center"/>
                  </w:pPr>
                  <w:r>
                    <w:rPr>
                      <w:sz w:val="14"/>
                    </w:rPr>
                    <w:t xml:space="preserve">41</w:t>
                  </w:r>
                </w:p>
              </w:tc>
              <w:tc>
                <w:tcPr>
                  <w:tcW w:w="520" w:type="dxa"/>
                </w:tcPr>
                <w:p>
                  <w:pPr>
                    <w:pStyle w:val="Compact"/>
                    <w:spacing w:after="0" w:before="0" w:line="240" w:lineRule="auto"/>
                    <w:ind w:firstLine="0"/>
                    <w:jc w:val="center"/>
                  </w:pPr>
                  <w:r>
                    <w:rPr>
                      <w:sz w:val="14"/>
                    </w:rPr>
                    <w:t xml:space="preserve">0</w:t>
                  </w:r>
                </w:p>
              </w:tc>
              <w:tc>
                <w:tcPr>
                  <w:tcW w:w="520" w:type="dxa"/>
                </w:tcPr>
                <w:p>
                  <w:pPr>
                    <w:pStyle w:val="Compact"/>
                    <w:spacing w:after="0" w:before="0" w:line="240" w:lineRule="auto"/>
                    <w:ind w:firstLine="0"/>
                    <w:jc w:val="center"/>
                  </w:pPr>
                  <w:r>
                    <w:rPr>
                      <w:sz w:val="14"/>
                    </w:rPr>
                    <w:t xml:space="preserve">382</w:t>
                  </w:r>
                </w:p>
              </w:tc>
              <w:tc>
                <w:tcPr>
                  <w:tcW w:w="520" w:type="dxa"/>
                </w:tcPr>
                <w:p>
                  <w:pPr>
                    <w:pStyle w:val="Compact"/>
                    <w:spacing w:after="0" w:before="0" w:line="240" w:lineRule="auto"/>
                    <w:ind w:firstLine="0"/>
                    <w:jc w:val="center"/>
                  </w:pPr>
                  <w:r>
                    <w:rPr>
                      <w:sz w:val="14"/>
                    </w:rPr>
                    <w:t xml:space="preserve">3,724</w:t>
                  </w:r>
                </w:p>
              </w:tc>
              <w:tc>
                <w:tcPr>
                  <w:tcW w:w="1427" w:type="dxa"/>
                </w:tcPr>
                <w:p>
                  <w:pPr>
                    <w:pStyle w:val="Compact"/>
                    <w:spacing w:after="0" w:before="0" w:line="240" w:lineRule="auto"/>
                    <w:ind w:firstLine="0"/>
                    <w:jc w:val="center"/>
                  </w:pPr>
                  <w:r>
                    <w:rPr>
                      <w:sz w:val="14"/>
                    </w:rPr>
                    <w:t xml:space="preserve">100.0% (91.4%–100.0%)</w:t>
                  </w:r>
                </w:p>
              </w:tc>
              <w:tc>
                <w:tcPr>
                  <w:tcW w:w="1427" w:type="dxa"/>
                </w:tcPr>
                <w:p>
                  <w:pPr>
                    <w:pStyle w:val="Compact"/>
                    <w:spacing w:after="0" w:before="0" w:line="240" w:lineRule="auto"/>
                    <w:ind w:firstLine="0"/>
                    <w:jc w:val="center"/>
                  </w:pPr>
                  <w:r>
                    <w:rPr>
                      <w:sz w:val="14"/>
                    </w:rPr>
                    <w:t xml:space="preserve">90.7% (89.8%–91.5%)</w:t>
                  </w:r>
                </w:p>
              </w:tc>
              <w:tc>
                <w:tcPr>
                  <w:tcW w:w="555" w:type="dxa"/>
                </w:tcPr>
                <w:p>
                  <w:pPr>
                    <w:pStyle w:val="Compact"/>
                    <w:spacing w:after="0" w:before="0" w:line="240" w:lineRule="auto"/>
                    <w:ind w:firstLine="0"/>
                    <w:jc w:val="center"/>
                  </w:pPr>
                  <w:r>
                    <w:rPr>
                      <w:sz w:val="14"/>
                    </w:rPr>
                    <w:t xml:space="preserve">9.7%</w:t>
                  </w:r>
                </w:p>
              </w:tc>
              <w:tc>
                <w:tcPr>
                  <w:tcW w:w="555" w:type="dxa"/>
                </w:tcPr>
                <w:p>
                  <w:pPr>
                    <w:pStyle w:val="Compact"/>
                    <w:spacing w:after="0" w:before="0" w:line="240" w:lineRule="auto"/>
                    <w:ind w:firstLine="0"/>
                    <w:jc w:val="center"/>
                  </w:pPr>
                  <w:r>
                    <w:rPr>
                      <w:sz w:val="14"/>
                    </w:rPr>
                    <w:t xml:space="preserve">100.0%</w:t>
                  </w:r>
                </w:p>
              </w:tc>
            </w:tr>
            <w:tr>
              <w:tc>
                <w:tcPr>
                  <w:tcW w:w="1241" w:type="dxa"/>
                </w:tcPr>
                <w:p>
                  <w:pPr>
                    <w:pStyle w:val="Compact"/>
                    <w:spacing w:after="0" w:before="0" w:line="240" w:lineRule="auto"/>
                    <w:ind w:firstLine="0"/>
                    <w:jc w:val="left"/>
                  </w:pPr>
                  <w:r>
                    <w:rPr>
                      <w:sz w:val="14"/>
                    </w:rPr>
                    <w:t xml:space="preserve">OXA-48-like</w:t>
                  </w:r>
                </w:p>
              </w:tc>
              <w:tc>
                <w:tcPr>
                  <w:tcW w:w="1619" w:type="dxa"/>
                </w:tcPr>
                <w:p>
                  <w:pPr>
                    <w:pStyle w:val="Compact"/>
                    <w:spacing w:after="0" w:before="0" w:line="240" w:lineRule="auto"/>
                    <w:ind w:firstLine="0"/>
                    <w:jc w:val="left"/>
                  </w:pPr>
                  <w:r>
                    <w:rPr>
                      <w:sz w:val="14"/>
                    </w:rPr>
                    <w:t xml:space="preserve">Enterobacteralesᵃ</w:t>
                  </w:r>
                </w:p>
              </w:tc>
              <w:tc>
                <w:tcPr>
                  <w:tcW w:w="742" w:type="dxa"/>
                </w:tcPr>
                <w:p>
                  <w:pPr>
                    <w:pStyle w:val="Compact"/>
                    <w:spacing w:after="0" w:before="0" w:line="240" w:lineRule="auto"/>
                    <w:ind w:firstLine="0"/>
                    <w:jc w:val="left"/>
                  </w:pPr>
                  <w:r>
                    <w:rPr>
                      <w:sz w:val="14"/>
                    </w:rPr>
                    <w:t xml:space="preserve">Any CBP</w:t>
                  </w:r>
                </w:p>
              </w:tc>
              <w:tc>
                <w:tcPr>
                  <w:tcW w:w="520" w:type="dxa"/>
                </w:tcPr>
                <w:p>
                  <w:pPr>
                    <w:pStyle w:val="Compact"/>
                    <w:spacing w:after="0" w:before="0" w:line="240" w:lineRule="auto"/>
                    <w:ind w:firstLine="0"/>
                    <w:jc w:val="center"/>
                  </w:pPr>
                  <w:r>
                    <w:rPr>
                      <w:sz w:val="14"/>
                    </w:rPr>
                    <w:t xml:space="preserve">4,147</w:t>
                  </w:r>
                </w:p>
              </w:tc>
              <w:tc>
                <w:tcPr>
                  <w:tcW w:w="520" w:type="dxa"/>
                </w:tcPr>
                <w:p>
                  <w:pPr>
                    <w:pStyle w:val="Compact"/>
                    <w:spacing w:after="0" w:before="0" w:line="240" w:lineRule="auto"/>
                    <w:ind w:firstLine="0"/>
                    <w:jc w:val="center"/>
                  </w:pPr>
                  <w:r>
                    <w:rPr>
                      <w:sz w:val="14"/>
                    </w:rPr>
                    <w:t xml:space="preserve">36</w:t>
                  </w:r>
                </w:p>
              </w:tc>
              <w:tc>
                <w:tcPr>
                  <w:tcW w:w="520" w:type="dxa"/>
                </w:tcPr>
                <w:p>
                  <w:pPr>
                    <w:pStyle w:val="Compact"/>
                    <w:spacing w:after="0" w:before="0" w:line="240" w:lineRule="auto"/>
                    <w:ind w:firstLine="0"/>
                    <w:jc w:val="center"/>
                  </w:pPr>
                  <w:r>
                    <w:rPr>
                      <w:sz w:val="14"/>
                    </w:rPr>
                    <w:t xml:space="preserve">2</w:t>
                  </w:r>
                </w:p>
              </w:tc>
              <w:tc>
                <w:tcPr>
                  <w:tcW w:w="520" w:type="dxa"/>
                </w:tcPr>
                <w:p>
                  <w:pPr>
                    <w:pStyle w:val="Compact"/>
                    <w:spacing w:after="0" w:before="0" w:line="240" w:lineRule="auto"/>
                    <w:ind w:firstLine="0"/>
                    <w:jc w:val="center"/>
                  </w:pPr>
                  <w:r>
                    <w:rPr>
                      <w:sz w:val="14"/>
                    </w:rPr>
                    <w:t xml:space="preserve">387</w:t>
                  </w:r>
                </w:p>
              </w:tc>
              <w:tc>
                <w:tcPr>
                  <w:tcW w:w="520" w:type="dxa"/>
                </w:tcPr>
                <w:p>
                  <w:pPr>
                    <w:pStyle w:val="Compact"/>
                    <w:spacing w:after="0" w:before="0" w:line="240" w:lineRule="auto"/>
                    <w:ind w:firstLine="0"/>
                    <w:jc w:val="center"/>
                  </w:pPr>
                  <w:r>
                    <w:rPr>
                      <w:sz w:val="14"/>
                    </w:rPr>
                    <w:t xml:space="preserve">3,722</w:t>
                  </w:r>
                </w:p>
              </w:tc>
              <w:tc>
                <w:tcPr>
                  <w:tcW w:w="1427" w:type="dxa"/>
                </w:tcPr>
                <w:p>
                  <w:pPr>
                    <w:pStyle w:val="Compact"/>
                    <w:spacing w:after="0" w:before="0" w:line="240" w:lineRule="auto"/>
                    <w:ind w:firstLine="0"/>
                    <w:jc w:val="center"/>
                  </w:pPr>
                  <w:r>
                    <w:rPr>
                      <w:sz w:val="14"/>
                    </w:rPr>
                    <w:t xml:space="preserve">94.7% (82.7%–98.5%)</w:t>
                  </w:r>
                </w:p>
              </w:tc>
              <w:tc>
                <w:tcPr>
                  <w:tcW w:w="1427" w:type="dxa"/>
                </w:tcPr>
                <w:p>
                  <w:pPr>
                    <w:pStyle w:val="Compact"/>
                    <w:spacing w:after="0" w:before="0" w:line="240" w:lineRule="auto"/>
                    <w:ind w:firstLine="0"/>
                    <w:jc w:val="center"/>
                  </w:pPr>
                  <w:r>
                    <w:rPr>
                      <w:sz w:val="14"/>
                    </w:rPr>
                    <w:t xml:space="preserve">90.6% (89.7%–91.4%)</w:t>
                  </w:r>
                </w:p>
              </w:tc>
              <w:tc>
                <w:tcPr>
                  <w:tcW w:w="555" w:type="dxa"/>
                </w:tcPr>
                <w:p>
                  <w:pPr>
                    <w:pStyle w:val="Compact"/>
                    <w:spacing w:after="0" w:before="0" w:line="240" w:lineRule="auto"/>
                    <w:ind w:firstLine="0"/>
                    <w:jc w:val="center"/>
                  </w:pPr>
                  <w:r>
                    <w:rPr>
                      <w:sz w:val="14"/>
                    </w:rPr>
                    <w:t xml:space="preserve">8.5%</w:t>
                  </w:r>
                </w:p>
              </w:tc>
              <w:tc>
                <w:tcPr>
                  <w:tcW w:w="555" w:type="dxa"/>
                </w:tcPr>
                <w:p>
                  <w:pPr>
                    <w:pStyle w:val="Compact"/>
                    <w:spacing w:after="0" w:before="0" w:line="240" w:lineRule="auto"/>
                    <w:ind w:firstLine="0"/>
                    <w:jc w:val="center"/>
                  </w:pPr>
                  <w:r>
                    <w:rPr>
                      <w:sz w:val="14"/>
                    </w:rPr>
                    <w:t xml:space="preserve">99.95%</w:t>
                  </w:r>
                </w:p>
              </w:tc>
            </w:tr>
            <w:tr>
              <w:tc>
                <w:tcPr>
                  <w:tcW w:w="1241" w:type="dxa"/>
                </w:tcPr>
                <w:p>
                  <w:pPr>
                    <w:pStyle w:val="Compact"/>
                    <w:spacing w:after="0" w:before="0" w:line="240" w:lineRule="auto"/>
                    <w:ind w:firstLine="0"/>
                    <w:jc w:val="left"/>
                  </w:pPr>
                  <w:r>
                    <w:rPr>
                      <w:sz w:val="14"/>
                    </w:rPr>
                    <w:t xml:space="preserve">VIM</w:t>
                  </w:r>
                </w:p>
              </w:tc>
              <w:tc>
                <w:tcPr>
                  <w:tcW w:w="1619" w:type="dxa"/>
                </w:tcPr>
                <w:p>
                  <w:pPr>
                    <w:pStyle w:val="Compact"/>
                    <w:spacing w:after="0" w:before="0" w:line="240" w:lineRule="auto"/>
                    <w:ind w:firstLine="0"/>
                    <w:jc w:val="left"/>
                  </w:pPr>
                  <w:r>
                    <w:rPr>
                      <w:sz w:val="14"/>
                    </w:rPr>
                    <w:t xml:space="preserve">Enterobacteralesᵃ</w:t>
                  </w:r>
                </w:p>
              </w:tc>
              <w:tc>
                <w:tcPr>
                  <w:tcW w:w="742" w:type="dxa"/>
                </w:tcPr>
                <w:p>
                  <w:pPr>
                    <w:pStyle w:val="Compact"/>
                    <w:spacing w:after="0" w:before="0" w:line="240" w:lineRule="auto"/>
                    <w:ind w:firstLine="0"/>
                    <w:jc w:val="left"/>
                  </w:pPr>
                  <w:r>
                    <w:rPr>
                      <w:sz w:val="14"/>
                    </w:rPr>
                    <w:t xml:space="preserve">Any CBP</w:t>
                  </w:r>
                </w:p>
              </w:tc>
              <w:tc>
                <w:tcPr>
                  <w:tcW w:w="520" w:type="dxa"/>
                </w:tcPr>
                <w:p>
                  <w:pPr>
                    <w:pStyle w:val="Compact"/>
                    <w:spacing w:after="0" w:before="0" w:line="240" w:lineRule="auto"/>
                    <w:ind w:firstLine="0"/>
                    <w:jc w:val="center"/>
                  </w:pPr>
                  <w:r>
                    <w:rPr>
                      <w:sz w:val="14"/>
                    </w:rPr>
                    <w:t xml:space="preserve">4,147</w:t>
                  </w:r>
                </w:p>
              </w:tc>
              <w:tc>
                <w:tcPr>
                  <w:tcW w:w="520" w:type="dxa"/>
                </w:tcPr>
                <w:p>
                  <w:pPr>
                    <w:pStyle w:val="Compact"/>
                    <w:spacing w:after="0" w:before="0" w:line="240" w:lineRule="auto"/>
                    <w:ind w:firstLine="0"/>
                    <w:jc w:val="center"/>
                  </w:pPr>
                  <w:r>
                    <w:rPr>
                      <w:sz w:val="14"/>
                    </w:rPr>
                    <w:t xml:space="preserve">5</w:t>
                  </w:r>
                </w:p>
              </w:tc>
              <w:tc>
                <w:tcPr>
                  <w:tcW w:w="520" w:type="dxa"/>
                </w:tcPr>
                <w:p>
                  <w:pPr>
                    <w:pStyle w:val="Compact"/>
                    <w:spacing w:after="0" w:before="0" w:line="240" w:lineRule="auto"/>
                    <w:ind w:firstLine="0"/>
                    <w:jc w:val="center"/>
                  </w:pPr>
                  <w:r>
                    <w:rPr>
                      <w:sz w:val="14"/>
                    </w:rPr>
                    <w:t xml:space="preserve">0</w:t>
                  </w:r>
                </w:p>
              </w:tc>
              <w:tc>
                <w:tcPr>
                  <w:tcW w:w="520" w:type="dxa"/>
                </w:tcPr>
                <w:p>
                  <w:pPr>
                    <w:pStyle w:val="Compact"/>
                    <w:spacing w:after="0" w:before="0" w:line="240" w:lineRule="auto"/>
                    <w:ind w:firstLine="0"/>
                    <w:jc w:val="center"/>
                  </w:pPr>
                  <w:r>
                    <w:rPr>
                      <w:sz w:val="14"/>
                    </w:rPr>
                    <w:t xml:space="preserve">418</w:t>
                  </w:r>
                </w:p>
              </w:tc>
              <w:tc>
                <w:tcPr>
                  <w:tcW w:w="520" w:type="dxa"/>
                </w:tcPr>
                <w:p>
                  <w:pPr>
                    <w:pStyle w:val="Compact"/>
                    <w:spacing w:after="0" w:before="0" w:line="240" w:lineRule="auto"/>
                    <w:ind w:firstLine="0"/>
                    <w:jc w:val="center"/>
                  </w:pPr>
                  <w:r>
                    <w:rPr>
                      <w:sz w:val="14"/>
                    </w:rPr>
                    <w:t xml:space="preserve">3,724</w:t>
                  </w:r>
                </w:p>
              </w:tc>
              <w:tc>
                <w:tcPr>
                  <w:tcW w:w="1427" w:type="dxa"/>
                </w:tcPr>
                <w:p>
                  <w:pPr>
                    <w:pStyle w:val="Compact"/>
                    <w:spacing w:after="0" w:before="0" w:line="240" w:lineRule="auto"/>
                    <w:ind w:firstLine="0"/>
                    <w:jc w:val="center"/>
                  </w:pPr>
                  <w:r>
                    <w:rPr>
                      <w:sz w:val="14"/>
                    </w:rPr>
                    <w:t xml:space="preserve">100.0% (56.6%–100.0%)</w:t>
                  </w:r>
                </w:p>
              </w:tc>
              <w:tc>
                <w:tcPr>
                  <w:tcW w:w="1427" w:type="dxa"/>
                </w:tcPr>
                <w:p>
                  <w:pPr>
                    <w:pStyle w:val="Compact"/>
                    <w:spacing w:after="0" w:before="0" w:line="240" w:lineRule="auto"/>
                    <w:ind w:firstLine="0"/>
                    <w:jc w:val="center"/>
                  </w:pPr>
                  <w:r>
                    <w:rPr>
                      <w:sz w:val="14"/>
                    </w:rPr>
                    <w:t xml:space="preserve">89.9% (89.0%–90.8%)</w:t>
                  </w:r>
                </w:p>
              </w:tc>
              <w:tc>
                <w:tcPr>
                  <w:tcW w:w="555" w:type="dxa"/>
                </w:tcPr>
                <w:p>
                  <w:pPr>
                    <w:pStyle w:val="Compact"/>
                    <w:spacing w:after="0" w:before="0" w:line="240" w:lineRule="auto"/>
                    <w:ind w:firstLine="0"/>
                    <w:jc w:val="center"/>
                  </w:pPr>
                  <w:r>
                    <w:rPr>
                      <w:sz w:val="14"/>
                    </w:rPr>
                    <w:t xml:space="preserve">1.2%</w:t>
                  </w:r>
                </w:p>
              </w:tc>
              <w:tc>
                <w:tcPr>
                  <w:tcW w:w="555" w:type="dxa"/>
                </w:tcPr>
                <w:p>
                  <w:pPr>
                    <w:pStyle w:val="Compact"/>
                    <w:spacing w:after="0" w:before="0" w:line="240" w:lineRule="auto"/>
                    <w:ind w:firstLine="0"/>
                    <w:jc w:val="center"/>
                  </w:pPr>
                  <w:r>
                    <w:rPr>
                      <w:sz w:val="14"/>
                    </w:rPr>
                    <w:t xml:space="preserve">100.0%</w:t>
                  </w:r>
                </w:p>
              </w:tc>
            </w:tr>
            <w:tr>
              <w:tc>
                <w:tcPr>
                  <w:tcW w:w="1241" w:type="dxa"/>
                </w:tcPr>
                <w:p>
                  <w:pPr>
                    <w:pStyle w:val="Compact"/>
                    <w:spacing w:after="0" w:before="0" w:line="240" w:lineRule="auto"/>
                    <w:ind w:firstLine="0"/>
                    <w:jc w:val="left"/>
                  </w:pPr>
                  <w:r>
                    <w:rPr>
                      <w:sz w:val="14"/>
                    </w:rPr>
                    <w:t xml:space="preserve">IMP</w:t>
                  </w:r>
                </w:p>
              </w:tc>
              <w:tc>
                <w:tcPr>
                  <w:tcW w:w="1619" w:type="dxa"/>
                </w:tcPr>
                <w:p>
                  <w:pPr>
                    <w:pStyle w:val="Compact"/>
                    <w:spacing w:after="0" w:before="0" w:line="240" w:lineRule="auto"/>
                    <w:ind w:firstLine="0"/>
                    <w:jc w:val="left"/>
                  </w:pPr>
                  <w:r>
                    <w:rPr>
                      <w:sz w:val="14"/>
                    </w:rPr>
                    <w:t xml:space="preserve">Enterobacteralesᵃ</w:t>
                  </w:r>
                </w:p>
              </w:tc>
              <w:tc>
                <w:tcPr>
                  <w:tcW w:w="742" w:type="dxa"/>
                </w:tcPr>
                <w:p>
                  <w:pPr>
                    <w:pStyle w:val="Compact"/>
                    <w:spacing w:after="0" w:before="0" w:line="240" w:lineRule="auto"/>
                    <w:ind w:firstLine="0"/>
                    <w:jc w:val="left"/>
                  </w:pPr>
                  <w:r>
                    <w:rPr>
                      <w:sz w:val="14"/>
                    </w:rPr>
                    <w:t xml:space="preserve">Any CBP</w:t>
                  </w:r>
                </w:p>
              </w:tc>
              <w:tc>
                <w:tcPr>
                  <w:tcW w:w="520" w:type="dxa"/>
                </w:tcPr>
                <w:p>
                  <w:pPr>
                    <w:pStyle w:val="Compact"/>
                    <w:spacing w:after="0" w:before="0" w:line="240" w:lineRule="auto"/>
                    <w:ind w:firstLine="0"/>
                    <w:jc w:val="center"/>
                  </w:pPr>
                  <w:r>
                    <w:rPr>
                      <w:sz w:val="14"/>
                    </w:rPr>
                    <w:t xml:space="preserve">4,147</w:t>
                  </w:r>
                </w:p>
              </w:tc>
              <w:tc>
                <w:tcPr>
                  <w:tcW w:w="520" w:type="dxa"/>
                </w:tcPr>
                <w:p>
                  <w:pPr>
                    <w:pStyle w:val="Compact"/>
                    <w:spacing w:after="0" w:before="0" w:line="240" w:lineRule="auto"/>
                    <w:ind w:firstLine="0"/>
                    <w:jc w:val="center"/>
                  </w:pPr>
                  <w:r>
                    <w:rPr>
                      <w:sz w:val="14"/>
                    </w:rPr>
                    <w:t xml:space="preserve">8</w:t>
                  </w:r>
                </w:p>
              </w:tc>
              <w:tc>
                <w:tcPr>
                  <w:tcW w:w="520" w:type="dxa"/>
                </w:tcPr>
                <w:p>
                  <w:pPr>
                    <w:pStyle w:val="Compact"/>
                    <w:spacing w:after="0" w:before="0" w:line="240" w:lineRule="auto"/>
                    <w:ind w:firstLine="0"/>
                    <w:jc w:val="center"/>
                  </w:pPr>
                  <w:r>
                    <w:rPr>
                      <w:sz w:val="14"/>
                    </w:rPr>
                    <w:t xml:space="preserve">0</w:t>
                  </w:r>
                </w:p>
              </w:tc>
              <w:tc>
                <w:tcPr>
                  <w:tcW w:w="520" w:type="dxa"/>
                </w:tcPr>
                <w:p>
                  <w:pPr>
                    <w:pStyle w:val="Compact"/>
                    <w:spacing w:after="0" w:before="0" w:line="240" w:lineRule="auto"/>
                    <w:ind w:firstLine="0"/>
                    <w:jc w:val="center"/>
                  </w:pPr>
                  <w:r>
                    <w:rPr>
                      <w:sz w:val="14"/>
                    </w:rPr>
                    <w:t xml:space="preserve">415</w:t>
                  </w:r>
                </w:p>
              </w:tc>
              <w:tc>
                <w:tcPr>
                  <w:tcW w:w="520" w:type="dxa"/>
                </w:tcPr>
                <w:p>
                  <w:pPr>
                    <w:pStyle w:val="Compact"/>
                    <w:spacing w:after="0" w:before="0" w:line="240" w:lineRule="auto"/>
                    <w:ind w:firstLine="0"/>
                    <w:jc w:val="center"/>
                  </w:pPr>
                  <w:r>
                    <w:rPr>
                      <w:sz w:val="14"/>
                    </w:rPr>
                    <w:t xml:space="preserve">3,724</w:t>
                  </w:r>
                </w:p>
              </w:tc>
              <w:tc>
                <w:tcPr>
                  <w:tcW w:w="1427" w:type="dxa"/>
                </w:tcPr>
                <w:p>
                  <w:pPr>
                    <w:pStyle w:val="Compact"/>
                    <w:spacing w:after="0" w:before="0" w:line="240" w:lineRule="auto"/>
                    <w:ind w:firstLine="0"/>
                    <w:jc w:val="center"/>
                  </w:pPr>
                  <w:r>
                    <w:rPr>
                      <w:sz w:val="14"/>
                    </w:rPr>
                    <w:t xml:space="preserve">100.0% (67.6%–100.0%)</w:t>
                  </w:r>
                </w:p>
              </w:tc>
              <w:tc>
                <w:tcPr>
                  <w:tcW w:w="1427" w:type="dxa"/>
                </w:tcPr>
                <w:p>
                  <w:pPr>
                    <w:pStyle w:val="Compact"/>
                    <w:spacing w:after="0" w:before="0" w:line="240" w:lineRule="auto"/>
                    <w:ind w:firstLine="0"/>
                    <w:jc w:val="center"/>
                  </w:pPr>
                  <w:r>
                    <w:rPr>
                      <w:sz w:val="14"/>
                    </w:rPr>
                    <w:t xml:space="preserve">90.0% (89.0%–90.9%)</w:t>
                  </w:r>
                </w:p>
              </w:tc>
              <w:tc>
                <w:tcPr>
                  <w:tcW w:w="555" w:type="dxa"/>
                </w:tcPr>
                <w:p>
                  <w:pPr>
                    <w:pStyle w:val="Compact"/>
                    <w:spacing w:after="0" w:before="0" w:line="240" w:lineRule="auto"/>
                    <w:ind w:firstLine="0"/>
                    <w:jc w:val="center"/>
                  </w:pPr>
                  <w:r>
                    <w:rPr>
                      <w:sz w:val="14"/>
                    </w:rPr>
                    <w:t xml:space="preserve">1.9%</w:t>
                  </w:r>
                </w:p>
              </w:tc>
              <w:tc>
                <w:tcPr>
                  <w:tcW w:w="555" w:type="dxa"/>
                </w:tcPr>
                <w:p>
                  <w:pPr>
                    <w:pStyle w:val="Compact"/>
                    <w:spacing w:after="0" w:before="0" w:line="240" w:lineRule="auto"/>
                    <w:ind w:firstLine="0"/>
                    <w:jc w:val="center"/>
                  </w:pPr>
                  <w:r>
                    <w:rPr>
                      <w:sz w:val="14"/>
                    </w:rPr>
                    <w:t xml:space="preserve">100.0%</w:t>
                  </w:r>
                </w:p>
              </w:tc>
            </w:tr>
            <w:tr>
              <w:tc>
                <w:tcPr>
                  <w:tcW w:w="1241" w:type="dxa"/>
                </w:tcPr>
                <w:p>
                  <w:pPr>
                    <w:pStyle w:val="Compact"/>
                    <w:spacing w:after="0" w:before="0" w:line="240" w:lineRule="auto"/>
                    <w:ind w:firstLine="0"/>
                    <w:jc w:val="left"/>
                  </w:pPr>
                  <w:r>
                    <w:rPr>
                      <w:sz w:val="14"/>
                    </w:rPr>
                    <w:t xml:space="preserve">Any carbapenemaseᵇ</w:t>
                  </w:r>
                </w:p>
              </w:tc>
              <w:tc>
                <w:tcPr>
                  <w:tcW w:w="1619" w:type="dxa"/>
                </w:tcPr>
                <w:p>
                  <w:pPr>
                    <w:pStyle w:val="Compact"/>
                    <w:spacing w:after="0" w:before="0" w:line="240" w:lineRule="auto"/>
                    <w:ind w:firstLine="0"/>
                    <w:jc w:val="left"/>
                  </w:pPr>
                  <w:r>
                    <w:rPr>
                      <w:sz w:val="14"/>
                    </w:rPr>
                    <w:t xml:space="preserve">Enterobacteralesᵃ</w:t>
                  </w:r>
                </w:p>
              </w:tc>
              <w:tc>
                <w:tcPr>
                  <w:tcW w:w="742" w:type="dxa"/>
                </w:tcPr>
                <w:p>
                  <w:pPr>
                    <w:pStyle w:val="Compact"/>
                    <w:spacing w:after="0" w:before="0" w:line="240" w:lineRule="auto"/>
                    <w:ind w:firstLine="0"/>
                    <w:jc w:val="left"/>
                  </w:pPr>
                  <w:r>
                    <w:rPr>
                      <w:sz w:val="14"/>
                    </w:rPr>
                    <w:t xml:space="preserve">Any CBP</w:t>
                  </w:r>
                </w:p>
              </w:tc>
              <w:tc>
                <w:tcPr>
                  <w:tcW w:w="520" w:type="dxa"/>
                </w:tcPr>
                <w:p>
                  <w:pPr>
                    <w:pStyle w:val="Compact"/>
                    <w:spacing w:after="0" w:before="0" w:line="240" w:lineRule="auto"/>
                    <w:ind w:firstLine="0"/>
                    <w:jc w:val="center"/>
                  </w:pPr>
                  <w:r>
                    <w:rPr>
                      <w:sz w:val="14"/>
                    </w:rPr>
                    <w:t xml:space="preserve">4,147</w:t>
                  </w:r>
                </w:p>
              </w:tc>
              <w:tc>
                <w:tcPr>
                  <w:tcW w:w="520" w:type="dxa"/>
                </w:tcPr>
                <w:p>
                  <w:pPr>
                    <w:pStyle w:val="Compact"/>
                    <w:spacing w:after="0" w:before="0" w:line="240" w:lineRule="auto"/>
                    <w:ind w:firstLine="0"/>
                    <w:jc w:val="center"/>
                  </w:pPr>
                  <w:r>
                    <w:rPr>
                      <w:sz w:val="14"/>
                    </w:rPr>
                    <w:t xml:space="preserve">272</w:t>
                  </w:r>
                </w:p>
              </w:tc>
              <w:tc>
                <w:tcPr>
                  <w:tcW w:w="520" w:type="dxa"/>
                </w:tcPr>
                <w:p>
                  <w:pPr>
                    <w:pStyle w:val="Compact"/>
                    <w:spacing w:after="0" w:before="0" w:line="240" w:lineRule="auto"/>
                    <w:ind w:firstLine="0"/>
                    <w:jc w:val="center"/>
                  </w:pPr>
                  <w:r>
                    <w:rPr>
                      <w:sz w:val="14"/>
                    </w:rPr>
                    <w:t xml:space="preserve">6</w:t>
                  </w:r>
                </w:p>
              </w:tc>
              <w:tc>
                <w:tcPr>
                  <w:tcW w:w="520" w:type="dxa"/>
                </w:tcPr>
                <w:p>
                  <w:pPr>
                    <w:pStyle w:val="Compact"/>
                    <w:spacing w:after="0" w:before="0" w:line="240" w:lineRule="auto"/>
                    <w:ind w:firstLine="0"/>
                    <w:jc w:val="center"/>
                  </w:pPr>
                  <w:r>
                    <w:rPr>
                      <w:sz w:val="14"/>
                    </w:rPr>
                    <w:t xml:space="preserve">151</w:t>
                  </w:r>
                </w:p>
              </w:tc>
              <w:tc>
                <w:tcPr>
                  <w:tcW w:w="520" w:type="dxa"/>
                </w:tcPr>
                <w:p>
                  <w:pPr>
                    <w:pStyle w:val="Compact"/>
                    <w:spacing w:after="0" w:before="0" w:line="240" w:lineRule="auto"/>
                    <w:ind w:firstLine="0"/>
                    <w:jc w:val="center"/>
                  </w:pPr>
                  <w:r>
                    <w:rPr>
                      <w:sz w:val="14"/>
                    </w:rPr>
                    <w:t xml:space="preserve">3,718</w:t>
                  </w:r>
                </w:p>
              </w:tc>
              <w:tc>
                <w:tcPr>
                  <w:tcW w:w="1427" w:type="dxa"/>
                </w:tcPr>
                <w:p>
                  <w:pPr>
                    <w:pStyle w:val="Compact"/>
                    <w:spacing w:after="0" w:before="0" w:line="240" w:lineRule="auto"/>
                    <w:ind w:firstLine="0"/>
                    <w:jc w:val="center"/>
                  </w:pPr>
                  <w:r>
                    <w:rPr>
                      <w:sz w:val="14"/>
                    </w:rPr>
                    <w:t xml:space="preserve">97.8% (95.4%–99.0%)</w:t>
                  </w:r>
                </w:p>
              </w:tc>
              <w:tc>
                <w:tcPr>
                  <w:tcW w:w="1427" w:type="dxa"/>
                </w:tcPr>
                <w:p>
                  <w:pPr>
                    <w:pStyle w:val="Compact"/>
                    <w:spacing w:after="0" w:before="0" w:line="240" w:lineRule="auto"/>
                    <w:ind w:firstLine="0"/>
                    <w:jc w:val="center"/>
                  </w:pPr>
                  <w:r>
                    <w:rPr>
                      <w:sz w:val="14"/>
                    </w:rPr>
                    <w:t xml:space="preserve">96.1% (95.4%–96.7%)</w:t>
                  </w:r>
                </w:p>
              </w:tc>
              <w:tc>
                <w:tcPr>
                  <w:tcW w:w="555" w:type="dxa"/>
                </w:tcPr>
                <w:p>
                  <w:pPr>
                    <w:pStyle w:val="Compact"/>
                    <w:spacing w:after="0" w:before="0" w:line="240" w:lineRule="auto"/>
                    <w:ind w:firstLine="0"/>
                    <w:jc w:val="center"/>
                  </w:pPr>
                  <w:r>
                    <w:rPr>
                      <w:sz w:val="14"/>
                    </w:rPr>
                    <w:t xml:space="preserve">64.3%</w:t>
                  </w:r>
                </w:p>
              </w:tc>
              <w:tc>
                <w:tcPr>
                  <w:tcW w:w="555" w:type="dxa"/>
                </w:tcPr>
                <w:p>
                  <w:pPr>
                    <w:pStyle w:val="Compact"/>
                    <w:spacing w:after="0" w:before="0" w:line="240" w:lineRule="auto"/>
                    <w:ind w:firstLine="0"/>
                    <w:jc w:val="center"/>
                  </w:pPr>
                  <w:r>
                    <w:rPr>
                      <w:sz w:val="14"/>
                    </w:rPr>
                    <w:t xml:space="preserve">99.8%</w:t>
                  </w:r>
                </w:p>
              </w:tc>
            </w:tr>
            <w:tr>
              <w:tc>
                <w:tcPr>
                  <w:tcW w:w="1241" w:type="dxa"/>
                </w:tcPr>
                <w:p>
                  <w:pPr>
                    <w:pStyle w:val="Compact"/>
                    <w:spacing w:after="0" w:before="0" w:line="240" w:lineRule="auto"/>
                    <w:ind w:firstLine="0"/>
                    <w:jc w:val="left"/>
                  </w:pPr>
                  <w:r>
                    <w:rPr>
                      <w:sz w:val="14"/>
                    </w:rPr>
                    <w:t xml:space="preserve">Any carbapenemaseᵇ</w:t>
                  </w:r>
                </w:p>
              </w:tc>
              <w:tc>
                <w:tcPr>
                  <w:tcW w:w="1619" w:type="dxa"/>
                </w:tcPr>
                <w:p>
                  <w:pPr>
                    <w:pStyle w:val="Compact"/>
                    <w:spacing w:after="0" w:before="0" w:line="240" w:lineRule="auto"/>
                    <w:ind w:firstLine="0"/>
                    <w:jc w:val="left"/>
                  </w:pPr>
                  <w:r>
                    <w:rPr>
                      <w:sz w:val="14"/>
                    </w:rPr>
                    <w:t xml:space="preserve">Enterobacteralesᵃ</w:t>
                  </w:r>
                </w:p>
              </w:tc>
              <w:tc>
                <w:tcPr>
                  <w:tcW w:w="742" w:type="dxa"/>
                </w:tcPr>
                <w:p>
                  <w:pPr>
                    <w:pStyle w:val="Compact"/>
                    <w:spacing w:after="0" w:before="0" w:line="240" w:lineRule="auto"/>
                    <w:ind w:firstLine="0"/>
                    <w:jc w:val="left"/>
                  </w:pPr>
                  <w:r>
                    <w:rPr>
                      <w:sz w:val="14"/>
                    </w:rPr>
                    <w:t xml:space="preserve">MEM</w:t>
                  </w:r>
                </w:p>
              </w:tc>
              <w:tc>
                <w:tcPr>
                  <w:tcW w:w="520" w:type="dxa"/>
                </w:tcPr>
                <w:p>
                  <w:pPr>
                    <w:pStyle w:val="Compact"/>
                    <w:spacing w:after="0" w:before="0" w:line="240" w:lineRule="auto"/>
                    <w:ind w:firstLine="0"/>
                    <w:jc w:val="center"/>
                  </w:pPr>
                  <w:r>
                    <w:rPr>
                      <w:sz w:val="14"/>
                    </w:rPr>
                    <w:t xml:space="preserve">3,834</w:t>
                  </w:r>
                </w:p>
              </w:tc>
              <w:tc>
                <w:tcPr>
                  <w:tcW w:w="520" w:type="dxa"/>
                </w:tcPr>
                <w:p>
                  <w:pPr>
                    <w:pStyle w:val="Compact"/>
                    <w:spacing w:after="0" w:before="0" w:line="240" w:lineRule="auto"/>
                    <w:ind w:firstLine="0"/>
                    <w:jc w:val="center"/>
                  </w:pPr>
                  <w:r>
                    <w:rPr>
                      <w:sz w:val="14"/>
                    </w:rPr>
                    <w:t xml:space="preserve">241</w:t>
                  </w:r>
                </w:p>
              </w:tc>
              <w:tc>
                <w:tcPr>
                  <w:tcW w:w="520" w:type="dxa"/>
                </w:tcPr>
                <w:p>
                  <w:pPr>
                    <w:pStyle w:val="Compact"/>
                    <w:spacing w:after="0" w:before="0" w:line="240" w:lineRule="auto"/>
                    <w:ind w:firstLine="0"/>
                    <w:jc w:val="center"/>
                  </w:pPr>
                  <w:r>
                    <w:rPr>
                      <w:sz w:val="14"/>
                    </w:rPr>
                    <w:t xml:space="preserve">34</w:t>
                  </w:r>
                </w:p>
              </w:tc>
              <w:tc>
                <w:tcPr>
                  <w:tcW w:w="520" w:type="dxa"/>
                </w:tcPr>
                <w:p>
                  <w:pPr>
                    <w:pStyle w:val="Compact"/>
                    <w:spacing w:after="0" w:before="0" w:line="240" w:lineRule="auto"/>
                    <w:ind w:firstLine="0"/>
                    <w:jc w:val="center"/>
                  </w:pPr>
                  <w:r>
                    <w:rPr>
                      <w:sz w:val="14"/>
                    </w:rPr>
                    <w:t xml:space="preserve">88</w:t>
                  </w:r>
                </w:p>
              </w:tc>
              <w:tc>
                <w:tcPr>
                  <w:tcW w:w="520" w:type="dxa"/>
                </w:tcPr>
                <w:p>
                  <w:pPr>
                    <w:pStyle w:val="Compact"/>
                    <w:spacing w:after="0" w:before="0" w:line="240" w:lineRule="auto"/>
                    <w:ind w:firstLine="0"/>
                    <w:jc w:val="center"/>
                  </w:pPr>
                  <w:r>
                    <w:rPr>
                      <w:sz w:val="14"/>
                    </w:rPr>
                    <w:t xml:space="preserve">3,471</w:t>
                  </w:r>
                </w:p>
              </w:tc>
              <w:tc>
                <w:tcPr>
                  <w:tcW w:w="1427" w:type="dxa"/>
                </w:tcPr>
                <w:p>
                  <w:pPr>
                    <w:pStyle w:val="Compact"/>
                    <w:spacing w:after="0" w:before="0" w:line="240" w:lineRule="auto"/>
                    <w:ind w:firstLine="0"/>
                    <w:jc w:val="center"/>
                  </w:pPr>
                  <w:r>
                    <w:rPr>
                      <w:sz w:val="14"/>
                    </w:rPr>
                    <w:t xml:space="preserve">87.6% (83.2%–91.0%)</w:t>
                  </w:r>
                </w:p>
              </w:tc>
              <w:tc>
                <w:tcPr>
                  <w:tcW w:w="1427" w:type="dxa"/>
                </w:tcPr>
                <w:p>
                  <w:pPr>
                    <w:pStyle w:val="Compact"/>
                    <w:spacing w:after="0" w:before="0" w:line="240" w:lineRule="auto"/>
                    <w:ind w:firstLine="0"/>
                    <w:jc w:val="center"/>
                  </w:pPr>
                  <w:r>
                    <w:rPr>
                      <w:sz w:val="14"/>
                    </w:rPr>
                    <w:t xml:space="preserve">97.5% (97.0%–98.0%)</w:t>
                  </w:r>
                </w:p>
              </w:tc>
              <w:tc>
                <w:tcPr>
                  <w:tcW w:w="555" w:type="dxa"/>
                </w:tcPr>
                <w:p>
                  <w:pPr>
                    <w:pStyle w:val="Compact"/>
                    <w:spacing w:after="0" w:before="0" w:line="240" w:lineRule="auto"/>
                    <w:ind w:firstLine="0"/>
                    <w:jc w:val="center"/>
                  </w:pPr>
                  <w:r>
                    <w:rPr>
                      <w:sz w:val="14"/>
                    </w:rPr>
                    <w:t xml:space="preserve">73.2%</w:t>
                  </w:r>
                </w:p>
              </w:tc>
              <w:tc>
                <w:tcPr>
                  <w:tcW w:w="555" w:type="dxa"/>
                </w:tcPr>
                <w:p>
                  <w:pPr>
                    <w:pStyle w:val="Compact"/>
                    <w:spacing w:after="0" w:before="0" w:line="240" w:lineRule="auto"/>
                    <w:ind w:firstLine="0"/>
                    <w:jc w:val="center"/>
                  </w:pPr>
                  <w:r>
                    <w:rPr>
                      <w:sz w:val="14"/>
                    </w:rPr>
                    <w:t xml:space="preserve">99.0%</w:t>
                  </w:r>
                </w:p>
              </w:tc>
            </w:tr>
            <w:tr>
              <w:tc>
                <w:tcPr>
                  <w:tcW w:w="1241" w:type="dxa"/>
                </w:tcPr>
                <w:p>
                  <w:pPr>
                    <w:pStyle w:val="Compact"/>
                    <w:spacing w:after="0" w:before="0" w:line="240" w:lineRule="auto"/>
                    <w:ind w:firstLine="0"/>
                    <w:jc w:val="left"/>
                  </w:pPr>
                  <w:r>
                    <w:rPr>
                      <w:sz w:val="14"/>
                    </w:rPr>
                    <w:t xml:space="preserve">CTX-M</w:t>
                  </w:r>
                </w:p>
              </w:tc>
              <w:tc>
                <w:tcPr>
                  <w:tcW w:w="1619" w:type="dxa"/>
                </w:tcPr>
                <w:p>
                  <w:pPr>
                    <w:pStyle w:val="Compact"/>
                    <w:spacing w:after="0" w:before="0" w:line="240" w:lineRule="auto"/>
                    <w:ind w:firstLine="0"/>
                    <w:jc w:val="left"/>
                  </w:pPr>
                  <w:r>
                    <w:rPr>
                      <w:i/>
                      <w:iCs/>
                      <w:sz w:val="14"/>
                    </w:rPr>
                    <w:t xml:space="preserve">E. coli</w:t>
                  </w:r>
                </w:p>
              </w:tc>
              <w:tc>
                <w:tcPr>
                  <w:tcW w:w="742" w:type="dxa"/>
                </w:tcPr>
                <w:p>
                  <w:pPr>
                    <w:pStyle w:val="Compact"/>
                    <w:spacing w:after="0" w:before="0" w:line="240" w:lineRule="auto"/>
                    <w:ind w:firstLine="0"/>
                    <w:jc w:val="left"/>
                  </w:pPr>
                  <w:r>
                    <w:rPr>
                      <w:sz w:val="14"/>
                    </w:rPr>
                    <w:t xml:space="preserve">CRO</w:t>
                  </w:r>
                </w:p>
              </w:tc>
              <w:tc>
                <w:tcPr>
                  <w:tcW w:w="520" w:type="dxa"/>
                </w:tcPr>
                <w:p>
                  <w:pPr>
                    <w:pStyle w:val="Compact"/>
                    <w:spacing w:after="0" w:before="0" w:line="240" w:lineRule="auto"/>
                    <w:ind w:firstLine="0"/>
                    <w:jc w:val="center"/>
                  </w:pPr>
                  <w:r>
                    <w:rPr>
                      <w:sz w:val="14"/>
                    </w:rPr>
                    <w:t xml:space="preserve">2,828</w:t>
                  </w:r>
                </w:p>
              </w:tc>
              <w:tc>
                <w:tcPr>
                  <w:tcW w:w="520" w:type="dxa"/>
                </w:tcPr>
                <w:p>
                  <w:pPr>
                    <w:pStyle w:val="Compact"/>
                    <w:spacing w:after="0" w:before="0" w:line="240" w:lineRule="auto"/>
                    <w:ind w:firstLine="0"/>
                    <w:jc w:val="center"/>
                  </w:pPr>
                  <w:r>
                    <w:rPr>
                      <w:sz w:val="14"/>
                    </w:rPr>
                    <w:t xml:space="preserve">654</w:t>
                  </w:r>
                </w:p>
              </w:tc>
              <w:tc>
                <w:tcPr>
                  <w:tcW w:w="520" w:type="dxa"/>
                </w:tcPr>
                <w:p>
                  <w:pPr>
                    <w:pStyle w:val="Compact"/>
                    <w:spacing w:after="0" w:before="0" w:line="240" w:lineRule="auto"/>
                    <w:ind w:firstLine="0"/>
                    <w:jc w:val="center"/>
                  </w:pPr>
                  <w:r>
                    <w:rPr>
                      <w:sz w:val="14"/>
                    </w:rPr>
                    <w:t xml:space="preserve">19</w:t>
                  </w:r>
                </w:p>
              </w:tc>
              <w:tc>
                <w:tcPr>
                  <w:tcW w:w="520" w:type="dxa"/>
                </w:tcPr>
                <w:p>
                  <w:pPr>
                    <w:pStyle w:val="Compact"/>
                    <w:spacing w:after="0" w:before="0" w:line="240" w:lineRule="auto"/>
                    <w:ind w:firstLine="0"/>
                    <w:jc w:val="center"/>
                  </w:pPr>
                  <w:r>
                    <w:rPr>
                      <w:sz w:val="14"/>
                    </w:rPr>
                    <w:t xml:space="preserve">124</w:t>
                  </w:r>
                </w:p>
              </w:tc>
              <w:tc>
                <w:tcPr>
                  <w:tcW w:w="520" w:type="dxa"/>
                </w:tcPr>
                <w:p>
                  <w:pPr>
                    <w:pStyle w:val="Compact"/>
                    <w:spacing w:after="0" w:before="0" w:line="240" w:lineRule="auto"/>
                    <w:ind w:firstLine="0"/>
                    <w:jc w:val="center"/>
                  </w:pPr>
                  <w:r>
                    <w:rPr>
                      <w:sz w:val="14"/>
                    </w:rPr>
                    <w:t xml:space="preserve">2,031</w:t>
                  </w:r>
                </w:p>
              </w:tc>
              <w:tc>
                <w:tcPr>
                  <w:tcW w:w="1427" w:type="dxa"/>
                </w:tcPr>
                <w:p>
                  <w:pPr>
                    <w:pStyle w:val="Compact"/>
                    <w:spacing w:after="0" w:before="0" w:line="240" w:lineRule="auto"/>
                    <w:ind w:firstLine="0"/>
                    <w:jc w:val="center"/>
                  </w:pPr>
                  <w:r>
                    <w:rPr>
                      <w:sz w:val="14"/>
                    </w:rPr>
                    <w:t xml:space="preserve">97.2% (95.6%–98.2%)</w:t>
                  </w:r>
                </w:p>
              </w:tc>
              <w:tc>
                <w:tcPr>
                  <w:tcW w:w="1427" w:type="dxa"/>
                </w:tcPr>
                <w:p>
                  <w:pPr>
                    <w:pStyle w:val="Compact"/>
                    <w:spacing w:after="0" w:before="0" w:line="240" w:lineRule="auto"/>
                    <w:ind w:firstLine="0"/>
                    <w:jc w:val="center"/>
                  </w:pPr>
                  <w:r>
                    <w:rPr>
                      <w:sz w:val="14"/>
                    </w:rPr>
                    <w:t xml:space="preserve">94.2% (93.2%–95.2%)</w:t>
                  </w:r>
                </w:p>
              </w:tc>
              <w:tc>
                <w:tcPr>
                  <w:tcW w:w="555" w:type="dxa"/>
                </w:tcPr>
                <w:p>
                  <w:pPr>
                    <w:pStyle w:val="Compact"/>
                    <w:spacing w:after="0" w:before="0" w:line="240" w:lineRule="auto"/>
                    <w:ind w:firstLine="0"/>
                    <w:jc w:val="center"/>
                  </w:pPr>
                  <w:r>
                    <w:rPr>
                      <w:sz w:val="14"/>
                    </w:rPr>
                    <w:t xml:space="preserve">84.1%</w:t>
                  </w:r>
                </w:p>
              </w:tc>
              <w:tc>
                <w:tcPr>
                  <w:tcW w:w="555" w:type="dxa"/>
                </w:tcPr>
                <w:p>
                  <w:pPr>
                    <w:pStyle w:val="Compact"/>
                    <w:spacing w:after="0" w:before="0" w:line="240" w:lineRule="auto"/>
                    <w:ind w:firstLine="0"/>
                    <w:jc w:val="center"/>
                  </w:pPr>
                  <w:r>
                    <w:rPr>
                      <w:sz w:val="14"/>
                    </w:rPr>
                    <w:t xml:space="preserve">99.1%</w:t>
                  </w:r>
                </w:p>
              </w:tc>
            </w:tr>
            <w:tr>
              <w:tc>
                <w:tcPr>
                  <w:tcW w:w="1241" w:type="dxa"/>
                </w:tcPr>
                <w:p>
                  <w:pPr>
                    <w:pStyle w:val="Compact"/>
                    <w:spacing w:after="0" w:before="0" w:line="240" w:lineRule="auto"/>
                    <w:ind w:firstLine="0"/>
                    <w:jc w:val="left"/>
                  </w:pPr>
                  <w:r>
                    <w:rPr>
                      <w:sz w:val="14"/>
                    </w:rPr>
                    <w:t xml:space="preserve">CTX-M</w:t>
                  </w:r>
                </w:p>
              </w:tc>
              <w:tc>
                <w:tcPr>
                  <w:tcW w:w="1619" w:type="dxa"/>
                </w:tcPr>
                <w:p>
                  <w:pPr>
                    <w:pStyle w:val="Compact"/>
                    <w:spacing w:after="0" w:before="0" w:line="240" w:lineRule="auto"/>
                    <w:ind w:firstLine="0"/>
                    <w:jc w:val="left"/>
                  </w:pPr>
                  <w:r>
                    <w:rPr>
                      <w:i/>
                      <w:iCs/>
                      <w:sz w:val="14"/>
                    </w:rPr>
                    <w:t xml:space="preserve">K. pneumoniae</w:t>
                  </w:r>
                  <w:r>
                    <w:rPr>
                      <w:sz w:val="14"/>
                    </w:rPr>
                    <w:t xml:space="preserve"> </w:t>
                  </w:r>
                  <w:r>
                    <w:rPr>
                      <w:sz w:val="14"/>
                    </w:rPr>
                    <w:t xml:space="preserve">cplx.</w:t>
                  </w:r>
                </w:p>
              </w:tc>
              <w:tc>
                <w:tcPr>
                  <w:tcW w:w="742" w:type="dxa"/>
                </w:tcPr>
                <w:p>
                  <w:pPr>
                    <w:pStyle w:val="Compact"/>
                    <w:spacing w:after="0" w:before="0" w:line="240" w:lineRule="auto"/>
                    <w:ind w:firstLine="0"/>
                    <w:jc w:val="left"/>
                  </w:pPr>
                  <w:r>
                    <w:rPr>
                      <w:sz w:val="14"/>
                    </w:rPr>
                    <w:t xml:space="preserve">CRO</w:t>
                  </w:r>
                </w:p>
              </w:tc>
              <w:tc>
                <w:tcPr>
                  <w:tcW w:w="520" w:type="dxa"/>
                </w:tcPr>
                <w:p>
                  <w:pPr>
                    <w:pStyle w:val="Compact"/>
                    <w:spacing w:after="0" w:before="0" w:line="240" w:lineRule="auto"/>
                    <w:ind w:firstLine="0"/>
                    <w:jc w:val="center"/>
                  </w:pPr>
                  <w:r>
                    <w:rPr>
                      <w:sz w:val="14"/>
                    </w:rPr>
                    <w:t xml:space="preserve">636</w:t>
                  </w:r>
                </w:p>
              </w:tc>
              <w:tc>
                <w:tcPr>
                  <w:tcW w:w="520" w:type="dxa"/>
                </w:tcPr>
                <w:p>
                  <w:pPr>
                    <w:pStyle w:val="Compact"/>
                    <w:spacing w:after="0" w:before="0" w:line="240" w:lineRule="auto"/>
                    <w:ind w:firstLine="0"/>
                    <w:jc w:val="center"/>
                  </w:pPr>
                  <w:r>
                    <w:rPr>
                      <w:sz w:val="14"/>
                    </w:rPr>
                    <w:t xml:space="preserve">216</w:t>
                  </w:r>
                </w:p>
              </w:tc>
              <w:tc>
                <w:tcPr>
                  <w:tcW w:w="520" w:type="dxa"/>
                </w:tcPr>
                <w:p>
                  <w:pPr>
                    <w:pStyle w:val="Compact"/>
                    <w:spacing w:after="0" w:before="0" w:line="240" w:lineRule="auto"/>
                    <w:ind w:firstLine="0"/>
                    <w:jc w:val="center"/>
                  </w:pPr>
                  <w:r>
                    <w:rPr>
                      <w:sz w:val="14"/>
                    </w:rPr>
                    <w:t xml:space="preserve">2</w:t>
                  </w:r>
                </w:p>
              </w:tc>
              <w:tc>
                <w:tcPr>
                  <w:tcW w:w="520" w:type="dxa"/>
                </w:tcPr>
                <w:p>
                  <w:pPr>
                    <w:pStyle w:val="Compact"/>
                    <w:spacing w:after="0" w:before="0" w:line="240" w:lineRule="auto"/>
                    <w:ind w:firstLine="0"/>
                    <w:jc w:val="center"/>
                  </w:pPr>
                  <w:r>
                    <w:rPr>
                      <w:sz w:val="14"/>
                    </w:rPr>
                    <w:t xml:space="preserve">262</w:t>
                  </w:r>
                </w:p>
              </w:tc>
              <w:tc>
                <w:tcPr>
                  <w:tcW w:w="520" w:type="dxa"/>
                </w:tcPr>
                <w:p>
                  <w:pPr>
                    <w:pStyle w:val="Compact"/>
                    <w:spacing w:after="0" w:before="0" w:line="240" w:lineRule="auto"/>
                    <w:ind w:firstLine="0"/>
                    <w:jc w:val="center"/>
                  </w:pPr>
                  <w:r>
                    <w:rPr>
                      <w:sz w:val="14"/>
                    </w:rPr>
                    <w:t xml:space="preserve">156</w:t>
                  </w:r>
                </w:p>
              </w:tc>
              <w:tc>
                <w:tcPr>
                  <w:tcW w:w="1427" w:type="dxa"/>
                </w:tcPr>
                <w:p>
                  <w:pPr>
                    <w:pStyle w:val="Compact"/>
                    <w:spacing w:after="0" w:before="0" w:line="240" w:lineRule="auto"/>
                    <w:ind w:firstLine="0"/>
                    <w:jc w:val="center"/>
                  </w:pPr>
                  <w:r>
                    <w:rPr>
                      <w:sz w:val="14"/>
                    </w:rPr>
                    <w:t xml:space="preserve">99.1% (96.7%–99.7%)</w:t>
                  </w:r>
                </w:p>
              </w:tc>
              <w:tc>
                <w:tcPr>
                  <w:tcW w:w="1427" w:type="dxa"/>
                </w:tcPr>
                <w:p>
                  <w:pPr>
                    <w:pStyle w:val="Compact"/>
                    <w:spacing w:after="0" w:before="0" w:line="240" w:lineRule="auto"/>
                    <w:ind w:firstLine="0"/>
                    <w:jc w:val="center"/>
                  </w:pPr>
                  <w:r>
                    <w:rPr>
                      <w:sz w:val="14"/>
                    </w:rPr>
                    <w:t xml:space="preserve">37.3% (32.8%–42.1%)</w:t>
                  </w:r>
                </w:p>
              </w:tc>
              <w:tc>
                <w:tcPr>
                  <w:tcW w:w="555" w:type="dxa"/>
                </w:tcPr>
                <w:p>
                  <w:pPr>
                    <w:pStyle w:val="Compact"/>
                    <w:spacing w:after="0" w:before="0" w:line="240" w:lineRule="auto"/>
                    <w:ind w:firstLine="0"/>
                    <w:jc w:val="center"/>
                  </w:pPr>
                  <w:r>
                    <w:rPr>
                      <w:sz w:val="14"/>
                    </w:rPr>
                    <w:t xml:space="preserve">45.2%</w:t>
                  </w:r>
                </w:p>
              </w:tc>
              <w:tc>
                <w:tcPr>
                  <w:tcW w:w="555" w:type="dxa"/>
                </w:tcPr>
                <w:p>
                  <w:pPr>
                    <w:pStyle w:val="Compact"/>
                    <w:spacing w:after="0" w:before="0" w:line="240" w:lineRule="auto"/>
                    <w:ind w:firstLine="0"/>
                    <w:jc w:val="center"/>
                  </w:pPr>
                  <w:r>
                    <w:rPr>
                      <w:sz w:val="14"/>
                    </w:rPr>
                    <w:t xml:space="preserve">98.7%</w:t>
                  </w:r>
                </w:p>
              </w:tc>
            </w:tr>
            <w:tr>
              <w:tc>
                <w:tcPr>
                  <w:tcW w:w="1241" w:type="dxa"/>
                </w:tcPr>
                <w:p>
                  <w:pPr>
                    <w:pStyle w:val="Compact"/>
                    <w:spacing w:after="0" w:before="0" w:line="240" w:lineRule="auto"/>
                    <w:ind w:firstLine="0"/>
                    <w:jc w:val="left"/>
                  </w:pPr>
                  <w:r>
                    <w:rPr>
                      <w:sz w:val="14"/>
                    </w:rPr>
                    <w:t xml:space="preserve">CTX-M</w:t>
                  </w:r>
                </w:p>
              </w:tc>
              <w:tc>
                <w:tcPr>
                  <w:tcW w:w="1619" w:type="dxa"/>
                </w:tcPr>
                <w:p>
                  <w:pPr>
                    <w:pStyle w:val="Compact"/>
                    <w:spacing w:after="0" w:before="0" w:line="240" w:lineRule="auto"/>
                    <w:ind w:firstLine="0"/>
                    <w:jc w:val="left"/>
                  </w:pPr>
                  <w:r>
                    <w:rPr>
                      <w:sz w:val="14"/>
                    </w:rPr>
                    <w:t xml:space="preserve">Enterobacteralesᵃ</w:t>
                  </w:r>
                </w:p>
              </w:tc>
              <w:tc>
                <w:tcPr>
                  <w:tcW w:w="742" w:type="dxa"/>
                </w:tcPr>
                <w:p>
                  <w:pPr>
                    <w:pStyle w:val="Compact"/>
                    <w:spacing w:after="0" w:before="0" w:line="240" w:lineRule="auto"/>
                    <w:ind w:firstLine="0"/>
                    <w:jc w:val="left"/>
                  </w:pPr>
                  <w:r>
                    <w:rPr>
                      <w:sz w:val="14"/>
                    </w:rPr>
                    <w:t xml:space="preserve">CRO</w:t>
                  </w:r>
                </w:p>
              </w:tc>
              <w:tc>
                <w:tcPr>
                  <w:tcW w:w="520" w:type="dxa"/>
                </w:tcPr>
                <w:p>
                  <w:pPr>
                    <w:pStyle w:val="Compact"/>
                    <w:spacing w:after="0" w:before="0" w:line="240" w:lineRule="auto"/>
                    <w:ind w:firstLine="0"/>
                    <w:jc w:val="center"/>
                  </w:pPr>
                  <w:r>
                    <w:rPr>
                      <w:sz w:val="14"/>
                    </w:rPr>
                    <w:t xml:space="preserve">3,855</w:t>
                  </w:r>
                </w:p>
              </w:tc>
              <w:tc>
                <w:tcPr>
                  <w:tcW w:w="520" w:type="dxa"/>
                </w:tcPr>
                <w:p>
                  <w:pPr>
                    <w:pStyle w:val="Compact"/>
                    <w:spacing w:after="0" w:before="0" w:line="240" w:lineRule="auto"/>
                    <w:ind w:firstLine="0"/>
                    <w:jc w:val="center"/>
                  </w:pPr>
                  <w:r>
                    <w:rPr>
                      <w:sz w:val="14"/>
                    </w:rPr>
                    <w:t xml:space="preserve">905</w:t>
                  </w:r>
                </w:p>
              </w:tc>
              <w:tc>
                <w:tcPr>
                  <w:tcW w:w="520" w:type="dxa"/>
                </w:tcPr>
                <w:p>
                  <w:pPr>
                    <w:pStyle w:val="Compact"/>
                    <w:spacing w:after="0" w:before="0" w:line="240" w:lineRule="auto"/>
                    <w:ind w:firstLine="0"/>
                    <w:jc w:val="center"/>
                  </w:pPr>
                  <w:r>
                    <w:rPr>
                      <w:sz w:val="14"/>
                    </w:rPr>
                    <w:t xml:space="preserve">21</w:t>
                  </w:r>
                </w:p>
              </w:tc>
              <w:tc>
                <w:tcPr>
                  <w:tcW w:w="520" w:type="dxa"/>
                </w:tcPr>
                <w:p>
                  <w:pPr>
                    <w:pStyle w:val="Compact"/>
                    <w:spacing w:after="0" w:before="0" w:line="240" w:lineRule="auto"/>
                    <w:ind w:firstLine="0"/>
                    <w:jc w:val="center"/>
                  </w:pPr>
                  <w:r>
                    <w:rPr>
                      <w:sz w:val="14"/>
                    </w:rPr>
                    <w:t xml:space="preserve">696</w:t>
                  </w:r>
                </w:p>
              </w:tc>
              <w:tc>
                <w:tcPr>
                  <w:tcW w:w="520" w:type="dxa"/>
                </w:tcPr>
                <w:p>
                  <w:pPr>
                    <w:pStyle w:val="Compact"/>
                    <w:spacing w:after="0" w:before="0" w:line="240" w:lineRule="auto"/>
                    <w:ind w:firstLine="0"/>
                    <w:jc w:val="center"/>
                  </w:pPr>
                  <w:r>
                    <w:rPr>
                      <w:sz w:val="14"/>
                    </w:rPr>
                    <w:t xml:space="preserve">2,233</w:t>
                  </w:r>
                </w:p>
              </w:tc>
              <w:tc>
                <w:tcPr>
                  <w:tcW w:w="1427" w:type="dxa"/>
                </w:tcPr>
                <w:p>
                  <w:pPr>
                    <w:pStyle w:val="Compact"/>
                    <w:spacing w:after="0" w:before="0" w:line="240" w:lineRule="auto"/>
                    <w:ind w:firstLine="0"/>
                    <w:jc w:val="center"/>
                  </w:pPr>
                  <w:r>
                    <w:rPr>
                      <w:sz w:val="14"/>
                    </w:rPr>
                    <w:t xml:space="preserve">97.7% (96.6%–98.5%)</w:t>
                  </w:r>
                </w:p>
              </w:tc>
              <w:tc>
                <w:tcPr>
                  <w:tcW w:w="1427" w:type="dxa"/>
                </w:tcPr>
                <w:p>
                  <w:pPr>
                    <w:pStyle w:val="Compact"/>
                    <w:spacing w:after="0" w:before="0" w:line="240" w:lineRule="auto"/>
                    <w:ind w:firstLine="0"/>
                    <w:jc w:val="center"/>
                  </w:pPr>
                  <w:r>
                    <w:rPr>
                      <w:sz w:val="14"/>
                    </w:rPr>
                    <w:t xml:space="preserve">76.2% (74.7%–77.7%)</w:t>
                  </w:r>
                </w:p>
              </w:tc>
              <w:tc>
                <w:tcPr>
                  <w:tcW w:w="555" w:type="dxa"/>
                </w:tcPr>
                <w:p>
                  <w:pPr>
                    <w:pStyle w:val="Compact"/>
                    <w:spacing w:after="0" w:before="0" w:line="240" w:lineRule="auto"/>
                    <w:ind w:firstLine="0"/>
                    <w:jc w:val="center"/>
                  </w:pPr>
                  <w:r>
                    <w:rPr>
                      <w:sz w:val="14"/>
                    </w:rPr>
                    <w:t xml:space="preserve">56.5%</w:t>
                  </w:r>
                </w:p>
              </w:tc>
              <w:tc>
                <w:tcPr>
                  <w:tcW w:w="555" w:type="dxa"/>
                </w:tcPr>
                <w:p>
                  <w:pPr>
                    <w:pStyle w:val="Compact"/>
                    <w:spacing w:after="0" w:before="0" w:line="240" w:lineRule="auto"/>
                    <w:ind w:firstLine="0"/>
                    <w:jc w:val="center"/>
                  </w:pPr>
                  <w:r>
                    <w:rPr>
                      <w:sz w:val="14"/>
                    </w:rPr>
                    <w:t xml:space="preserve">99.1%</w:t>
                  </w:r>
                </w:p>
              </w:tc>
            </w:tr>
            <w:tr>
              <w:tc>
                <w:tcPr>
                  <w:tcW w:w="1241" w:type="dxa"/>
                  <w:tcBorders>
                    <w:bottom w:val="double" w:sz="4" w:space="0" w:color="000000"/>
                  </w:tcBorders>
                </w:tcPr>
                <w:p>
                  <w:pPr>
                    <w:pStyle w:val="Compact"/>
                    <w:spacing w:after="0" w:before="0" w:line="240" w:lineRule="auto"/>
                    <w:ind w:firstLine="0"/>
                    <w:jc w:val="left"/>
                  </w:pPr>
                  <w:r>
                    <w:rPr>
                      <w:sz w:val="14"/>
                    </w:rPr>
                    <w:t xml:space="preserve">CTX-M</w:t>
                  </w:r>
                </w:p>
              </w:tc>
              <w:tc>
                <w:tcPr>
                  <w:tcW w:w="1619" w:type="dxa"/>
                  <w:tcBorders>
                    <w:bottom w:val="double" w:sz="4" w:space="0" w:color="000000"/>
                  </w:tcBorders>
                </w:tcPr>
                <w:p>
                  <w:pPr>
                    <w:pStyle w:val="Compact"/>
                    <w:spacing w:after="0" w:before="0" w:line="240" w:lineRule="auto"/>
                    <w:ind w:firstLine="0"/>
                    <w:jc w:val="left"/>
                  </w:pPr>
                  <w:r>
                    <w:rPr>
                      <w:i/>
                      <w:iCs/>
                      <w:sz w:val="14"/>
                    </w:rPr>
                    <w:t xml:space="preserve">Salmonella enterica</w:t>
                  </w:r>
                </w:p>
              </w:tc>
              <w:tc>
                <w:tcPr>
                  <w:tcW w:w="742" w:type="dxa"/>
                  <w:tcBorders>
                    <w:bottom w:val="double" w:sz="4" w:space="0" w:color="000000"/>
                  </w:tcBorders>
                </w:tcPr>
                <w:p>
                  <w:pPr>
                    <w:pStyle w:val="Compact"/>
                    <w:spacing w:after="0" w:before="0" w:line="240" w:lineRule="auto"/>
                    <w:ind w:firstLine="0"/>
                    <w:jc w:val="left"/>
                  </w:pPr>
                  <w:r>
                    <w:rPr>
                      <w:sz w:val="14"/>
                    </w:rPr>
                    <w:t xml:space="preserve">CRO</w:t>
                  </w:r>
                </w:p>
              </w:tc>
              <w:tc>
                <w:tcPr>
                  <w:tcW w:w="520" w:type="dxa"/>
                  <w:tcBorders>
                    <w:bottom w:val="double" w:sz="4" w:space="0" w:color="000000"/>
                  </w:tcBorders>
                </w:tcPr>
                <w:p>
                  <w:pPr>
                    <w:pStyle w:val="Compact"/>
                    <w:spacing w:after="0" w:before="0" w:line="240" w:lineRule="auto"/>
                    <w:ind w:firstLine="0"/>
                    <w:jc w:val="center"/>
                  </w:pPr>
                  <w:r>
                    <w:rPr>
                      <w:sz w:val="14"/>
                    </w:rPr>
                    <w:t xml:space="preserve">108</w:t>
                  </w:r>
                </w:p>
              </w:tc>
              <w:tc>
                <w:tcPr>
                  <w:tcW w:w="520" w:type="dxa"/>
                  <w:tcBorders>
                    <w:bottom w:val="double" w:sz="4" w:space="0" w:color="000000"/>
                  </w:tcBorders>
                </w:tcPr>
                <w:p>
                  <w:pPr>
                    <w:pStyle w:val="Compact"/>
                    <w:spacing w:after="0" w:before="0" w:line="240" w:lineRule="auto"/>
                    <w:ind w:firstLine="0"/>
                    <w:jc w:val="center"/>
                  </w:pPr>
                  <w:r>
                    <w:rPr>
                      <w:sz w:val="14"/>
                    </w:rPr>
                    <w:t xml:space="preserve">1</w:t>
                  </w:r>
                </w:p>
              </w:tc>
              <w:tc>
                <w:tcPr>
                  <w:tcW w:w="520" w:type="dxa"/>
                  <w:tcBorders>
                    <w:bottom w:val="double" w:sz="4" w:space="0" w:color="000000"/>
                  </w:tcBorders>
                </w:tcPr>
                <w:p>
                  <w:pPr>
                    <w:pStyle w:val="Compact"/>
                    <w:spacing w:after="0" w:before="0" w:line="240" w:lineRule="auto"/>
                    <w:ind w:firstLine="0"/>
                    <w:jc w:val="center"/>
                  </w:pPr>
                  <w:r>
                    <w:rPr>
                      <w:sz w:val="14"/>
                    </w:rPr>
                    <w:t xml:space="preserve">0</w:t>
                  </w:r>
                </w:p>
              </w:tc>
              <w:tc>
                <w:tcPr>
                  <w:tcW w:w="520" w:type="dxa"/>
                  <w:tcBorders>
                    <w:bottom w:val="double" w:sz="4" w:space="0" w:color="000000"/>
                  </w:tcBorders>
                </w:tcPr>
                <w:p>
                  <w:pPr>
                    <w:pStyle w:val="Compact"/>
                    <w:spacing w:after="0" w:before="0" w:line="240" w:lineRule="auto"/>
                    <w:ind w:firstLine="0"/>
                    <w:jc w:val="center"/>
                  </w:pPr>
                  <w:r>
                    <w:rPr>
                      <w:sz w:val="14"/>
                    </w:rPr>
                    <w:t xml:space="preserve">14</w:t>
                  </w:r>
                </w:p>
              </w:tc>
              <w:tc>
                <w:tcPr>
                  <w:tcW w:w="520" w:type="dxa"/>
                  <w:tcBorders>
                    <w:bottom w:val="double" w:sz="4" w:space="0" w:color="000000"/>
                  </w:tcBorders>
                </w:tcPr>
                <w:p>
                  <w:pPr>
                    <w:pStyle w:val="Compact"/>
                    <w:spacing w:after="0" w:before="0" w:line="240" w:lineRule="auto"/>
                    <w:ind w:firstLine="0"/>
                    <w:jc w:val="center"/>
                  </w:pPr>
                  <w:r>
                    <w:rPr>
                      <w:sz w:val="14"/>
                    </w:rPr>
                    <w:t xml:space="preserve">93</w:t>
                  </w:r>
                </w:p>
              </w:tc>
              <w:tc>
                <w:tcPr>
                  <w:tcW w:w="1427" w:type="dxa"/>
                  <w:tcBorders>
                    <w:bottom w:val="double" w:sz="4" w:space="0" w:color="000000"/>
                  </w:tcBorders>
                </w:tcPr>
                <w:p>
                  <w:pPr>
                    <w:pStyle w:val="Compact"/>
                    <w:spacing w:after="0" w:before="0" w:line="240" w:lineRule="auto"/>
                    <w:ind w:firstLine="0"/>
                    <w:jc w:val="center"/>
                  </w:pPr>
                  <w:r>
                    <w:rPr>
                      <w:sz w:val="14"/>
                    </w:rPr>
                    <w:t xml:space="preserve">100.0% (20.7%–100.0%)</w:t>
                  </w:r>
                </w:p>
              </w:tc>
              <w:tc>
                <w:tcPr>
                  <w:tcW w:w="1427" w:type="dxa"/>
                  <w:tcBorders>
                    <w:bottom w:val="double" w:sz="4" w:space="0" w:color="000000"/>
                  </w:tcBorders>
                </w:tcPr>
                <w:p>
                  <w:pPr>
                    <w:pStyle w:val="Compact"/>
                    <w:spacing w:after="0" w:before="0" w:line="240" w:lineRule="auto"/>
                    <w:ind w:firstLine="0"/>
                    <w:jc w:val="center"/>
                  </w:pPr>
                  <w:r>
                    <w:rPr>
                      <w:sz w:val="14"/>
                    </w:rPr>
                    <w:t xml:space="preserve">86.9% (79.2%–92.0%)</w:t>
                  </w:r>
                </w:p>
              </w:tc>
              <w:tc>
                <w:tcPr>
                  <w:tcW w:w="555" w:type="dxa"/>
                  <w:tcBorders>
                    <w:bottom w:val="double" w:sz="4" w:space="0" w:color="000000"/>
                  </w:tcBorders>
                </w:tcPr>
                <w:p>
                  <w:pPr>
                    <w:pStyle w:val="Compact"/>
                    <w:spacing w:after="0" w:before="0" w:line="240" w:lineRule="auto"/>
                    <w:ind w:firstLine="0"/>
                    <w:jc w:val="center"/>
                  </w:pPr>
                  <w:r>
                    <w:rPr>
                      <w:sz w:val="14"/>
                    </w:rPr>
                    <w:t xml:space="preserve">6.7%</w:t>
                  </w:r>
                </w:p>
              </w:tc>
              <w:tc>
                <w:tcPr>
                  <w:tcW w:w="555" w:type="dxa"/>
                  <w:tcBorders>
                    <w:bottom w:val="double" w:sz="4" w:space="0" w:color="000000"/>
                  </w:tcBorders>
                </w:tcPr>
                <w:p>
                  <w:pPr>
                    <w:pStyle w:val="Compact"/>
                    <w:spacing w:after="0" w:before="0" w:line="240" w:lineRule="auto"/>
                    <w:ind w:firstLine="0"/>
                    <w:jc w:val="center"/>
                  </w:pPr>
                  <w:r>
                    <w:rPr>
                      <w:sz w:val="14"/>
                    </w:rPr>
                    <w:t xml:space="preserve">100.0%</w:t>
                  </w:r>
                </w:p>
              </w:tc>
            </w:tr>
          </w:tbl>
          <w:p>
            <w:pPr>
              <w:pStyle w:val="TableNote"/>
            </w:pPr>
            <w:r>
              <w:t xml:space="preserve">Note: ᵃPooled Enterobacterales excluding</w:t>
            </w:r>
            <w:r>
              <w:t xml:space="preserve"> </w:t>
            </w:r>
            <w:r>
              <w:rPr>
                <w:i/>
                <w:iCs/>
              </w:rPr>
              <w:t xml:space="preserve">Salmonella</w:t>
            </w:r>
            <w:r>
              <w:t xml:space="preserve">. ᵇKPC, NDM, OXA-48-like, VIM or IMP.</w:t>
            </w:r>
          </w:p>
        </w:tc>
      </w:tr>
    </w:tbl>
    <w:p>
      <w:pPr>
        <w:spacing w:before="0" w:after="0" w:line="20" w:lineRule="exact"/>
        <w:rPr>
          <w:sz w:val="2"/>
        </w:rPr>
        <w:sectPr>
          <w:footerReference w:type="default" r:id="rId9"/>
          <w:type w:val="continuous"/>
          <w:pgSz w:w="12240" w:h="15840"/>
          <w:pgMar w:top="1224" w:right="1037" w:bottom="1296" w:left="1037" w:header="720" w:footer="560" w:gutter="0"/>
          <w:cols w:num="1" w:space="374"/>
        </w:sectPr>
      </w:pPr>
    </w:p>
    <w:p>
      <w:pPr>
        <w:keepNext w:val="0"/>
        <w:spacing w:before="0" w:after="0" w:line="20" w:lineRule="exact"/>
        <w:rPr>
          <w:sz w:val="2"/>
        </w:rPr>
        <w:sectPr>
          <w:footerReference w:type="default" r:id="rId9"/>
          <w:type w:val="continuous"/>
          <w:pgSz w:w="12240" w:h="15840"/>
          <w:pgMar w:top="1224" w:right="1037" w:bottom="1296" w:left="1037" w:header="720" w:footer="560" w:gutter="0"/>
          <w:cols w:num="2" w:space="374"/>
        </w:sectPr>
      </w:pPr>
    </w:p>
    <w:tbl>
      <w:tblPr>
        <w:tblW w:w="1016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10166"/>
      </w:tblGrid>
      <w:tr>
        <w:trPr>
          <w:cantSplit/>
        </w:trPr>
        <w:tc>
          <w:tcPr>
            <w:tcW w:w="10166" w:type="dxa"/>
          </w:tcPr>
          <w:p>
            <w:pPr>
              <w:pStyle w:val="BodyText"/>
              <w:spacing w:before="60" w:after="0" w:line="240" w:lineRule="auto"/>
              <w:ind w:firstLine="0"/>
              <w:jc w:val="center"/>
            </w:pPr>
            <w:r>
              <w:drawing>
                <wp:inline>
                  <wp:extent cx="5334000" cy="2339528"/>
                  <wp:effectExtent b="0" l="0" r="0" t="0"/>
                  <wp:docPr descr="" title="" id="52" name="Picture"/>
                  <a:graphic>
                    <a:graphicData uri="http://schemas.openxmlformats.org/drawingml/2006/picture">
                      <pic:pic>
                        <pic:nvPicPr>
                          <pic:cNvPr descr="/root/us-rapid-panel-amr-concordance/paper/manuscript/figures/fig3_forest.png" id="53" name="Picture"/>
                          <pic:cNvPicPr>
                            <a:picLocks noChangeArrowheads="1" noChangeAspect="1"/>
                          </pic:cNvPicPr>
                        </pic:nvPicPr>
                        <pic:blipFill>
                          <a:blip r:embed="rId51"/>
                          <a:stretch>
                            <a:fillRect/>
                          </a:stretch>
                        </pic:blipFill>
                        <pic:spPr bwMode="auto">
                          <a:xfrm>
                            <a:off x="0" y="0"/>
                            <a:ext cx="5334000" cy="2339528"/>
                          </a:xfrm>
                          <a:prstGeom prst="rect">
                            <a:avLst/>
                          </a:prstGeom>
                          <a:noFill/>
                          <a:ln w="9525">
                            <a:noFill/>
                            <a:headEnd/>
                            <a:tailEnd/>
                          </a:ln>
                        </pic:spPr>
                      </pic:pic>
                    </a:graphicData>
                  </a:graphic>
                </wp:inline>
              </w:drawing>
            </w:r>
          </w:p>
          <w:p>
            <w:pPr>
              <w:pStyle w:val="FigCaption"/>
            </w:pPr>
            <w:bookmarkStart w:id="54" w:name="fig-3"/>
            <w:bookmarkEnd w:id="54"/>
            <w:r>
              <w:t xml:space="preserve">FIG. 3: Positive (a) and negative (b) predictive values with Wilson 95% confidence intervals for the principal target–organism–drug combinations. Fractions at right are the counts behind each estimate.</w:t>
            </w:r>
            <w:r>
              <w:t xml:space="preserve"> </w:t>
            </w:r>
            <w:r>
              <w:t xml:space="preserve">“</w:t>
            </w:r>
            <w:r>
              <w:t xml:space="preserve">Enterobacterales</w:t>
            </w:r>
            <w:r>
              <w:t xml:space="preserve">”</w:t>
            </w:r>
            <w:r>
              <w:t xml:space="preserve"> </w:t>
            </w:r>
            <w:r>
              <w:t xml:space="preserve">excludes</w:t>
            </w:r>
            <w:r>
              <w:t xml:space="preserve"> </w:t>
            </w:r>
            <w:r>
              <w:rPr>
                <w:i/>
                <w:iCs/>
              </w:rPr>
              <w:t xml:space="preserve">Salmonella</w:t>
            </w:r>
            <w:r>
              <w:t xml:space="preserve">. CBP, carbapenem; MEM, meropenem; CRO, ceftriaxone; OXA/FOX, oxacillin or cefoxitin; VAN, vancomycin.</w:t>
            </w:r>
          </w:p>
        </w:tc>
      </w:tr>
    </w:tbl>
    <w:p>
      <w:pPr>
        <w:spacing w:before="0" w:after="0" w:line="20" w:lineRule="exact"/>
        <w:rPr>
          <w:sz w:val="2"/>
        </w:rPr>
        <w:sectPr>
          <w:footerReference w:type="default" r:id="rId9"/>
          <w:type w:val="continuous"/>
          <w:pgSz w:w="12240" w:h="15840"/>
          <w:pgMar w:top="1224" w:right="1037" w:bottom="1296" w:left="1037" w:header="720" w:footer="560" w:gutter="0"/>
          <w:cols w:num="1" w:space="374"/>
        </w:sectPr>
      </w:pPr>
    </w:p>
    <w:bookmarkStart w:id="55" w:name="meca-and-mecc-in-s.-aureus"/>
    <w:p>
      <w:pPr>
        <w:pStyle w:val="FirstParagraph"/>
      </w:pPr>
      <w:r>
        <w:rPr>
          <w:i/>
          <w:sz w:val="18"/>
        </w:rPr>
        <w:t xml:space="preserve">1. </w:t>
      </w:r>
      <w:r>
        <w:rPr>
          <w:i/>
          <w:iCs/>
          <w:sz w:val="18"/>
        </w:rPr>
        <w:t xml:space="preserve">mecA</w:t>
      </w:r>
      <w:r>
        <w:rPr>
          <w:i/>
          <w:sz w:val="18"/>
        </w:rPr>
        <w:t xml:space="preserve"> </w:t>
      </w:r>
      <w:r>
        <w:rPr>
          <w:i/>
          <w:sz w:val="18"/>
        </w:rPr>
        <w:t xml:space="preserve">and</w:t>
      </w:r>
      <w:r>
        <w:rPr>
          <w:i/>
          <w:sz w:val="18"/>
        </w:rPr>
        <w:t xml:space="preserve"> </w:t>
      </w:r>
      <w:r>
        <w:rPr>
          <w:i/>
          <w:iCs/>
          <w:sz w:val="18"/>
        </w:rPr>
        <w:t xml:space="preserve">mecC</w:t>
      </w:r>
      <w:r>
        <w:rPr>
          <w:i/>
          <w:sz w:val="18"/>
        </w:rPr>
        <w:t xml:space="preserve"> </w:t>
      </w:r>
      <w:r>
        <w:rPr>
          <w:i/>
          <w:sz w:val="18"/>
        </w:rPr>
        <w:t xml:space="preserve">in</w:t>
      </w:r>
      <w:r>
        <w:rPr>
          <w:i/>
          <w:sz w:val="18"/>
        </w:rPr>
        <w:t xml:space="preserve"> </w:t>
      </w:r>
      <w:r>
        <w:rPr>
          <w:i/>
          <w:iCs/>
          <w:sz w:val="18"/>
        </w:rPr>
        <w:t xml:space="preserve">S. aureus</w:t>
      </w:r>
      <w:r>
        <w:rPr>
          <w:i/>
          <w:sz w:val="18"/>
        </w:rPr>
        <w:t xml:space="preserve">. </w:t>
      </w:r>
      <w:r>
        <w:rPr>
          <w:i/>
          <w:iCs/>
        </w:rPr>
        <w:t xml:space="preserve">mecA</w:t>
      </w:r>
      <w:r>
        <w:t xml:space="preserve"> </w:t>
      </w:r>
      <w:r>
        <w:t xml:space="preserve">was detected in 220 of 550</w:t>
      </w:r>
      <w:r>
        <w:t xml:space="preserve"> </w:t>
      </w:r>
      <w:r>
        <w:rPr>
          <w:i/>
          <w:iCs/>
        </w:rPr>
        <w:t xml:space="preserve">S. aureus</w:t>
      </w:r>
      <w:r>
        <w:t xml:space="preserve"> </w:t>
      </w:r>
      <w:r>
        <w:t xml:space="preserve">with an oxacillin or cefoxitin result, and 215 of them were resistant (PPV 97.7%, 95% CI 94.8%–99.0%). Among isolates without</w:t>
      </w:r>
      <w:r>
        <w:t xml:space="preserve"> </w:t>
      </w:r>
      <w:r>
        <w:rPr>
          <w:i/>
          <w:iCs/>
        </w:rPr>
        <w:t xml:space="preserve">mecA</w:t>
      </w:r>
      <w:r>
        <w:t xml:space="preserve"> </w:t>
      </w:r>
      <w:r>
        <w:t xml:space="preserve">or</w:t>
      </w:r>
      <w:r>
        <w:t xml:space="preserve"> </w:t>
      </w:r>
      <w:r>
        <w:rPr>
          <w:i/>
          <w:iCs/>
        </w:rPr>
        <w:t xml:space="preserve">mecC</w:t>
      </w:r>
      <w:r>
        <w:t xml:space="preserve">, 329/330 were not resistant (NPV 99.7%, 98.3%–99.9%); sensitivity was 99.5% and specificity 98.5%. The phenotype separated cleanly by genotype (Fig. 6a): almost every</w:t>
      </w:r>
      <w:r>
        <w:t xml:space="preserve"> </w:t>
      </w:r>
      <w:r>
        <w:rPr>
          <w:i/>
          <w:iCs/>
        </w:rPr>
        <w:t xml:space="preserve">mecA</w:t>
      </w:r>
      <w:r>
        <w:t xml:space="preserve">-negative isolate had an oxacillin MIC ≤0.5 mg/L and almost every</w:t>
      </w:r>
      <w:r>
        <w:t xml:space="preserve"> </w:t>
      </w:r>
      <w:r>
        <w:rPr>
          <w:i/>
          <w:iCs/>
        </w:rPr>
        <w:t xml:space="preserve">mecA</w:t>
      </w:r>
      <w:r>
        <w:t xml:space="preserve">-positive isolate an MIC ≥4 mg/L. The 5</w:t>
      </w:r>
      <w:r>
        <w:t xml:space="preserve"> </w:t>
      </w:r>
      <w:r>
        <w:rPr>
          <w:i/>
          <w:iCs/>
        </w:rPr>
        <w:t xml:space="preserve">mecA</w:t>
      </w:r>
      <w:r>
        <w:t xml:space="preserve">-positive isolates without resistance (SAMN12476193, SAMN38228831, SAMN38637651, SAMN38637652, SAMN48878967) had oxacillin MICs of 0.25 to 2 mg/L (Appendix Table AI); for 3 of them the submitting laboratory had nevertheless reported oxacillin resistance. One</w:t>
      </w:r>
      <w:r>
        <w:t xml:space="preserve"> </w:t>
      </w:r>
      <w:r>
        <w:rPr>
          <w:i/>
          <w:iCs/>
        </w:rPr>
        <w:t xml:space="preserve">mecA</w:t>
      </w:r>
      <w:r>
        <w:t xml:space="preserve">-negative isolate (SAMN38228869) was cefoxitin-resistant (MIC ≥64 mg/L) with an oxacillin MIC of 0.5 mg/L and no other</w:t>
      </w:r>
      <w:r>
        <w:t xml:space="preserve"> </w:t>
      </w:r>
      <w:r>
        <w:rPr>
          <w:i/>
          <w:iCs/>
        </w:rPr>
        <w:t xml:space="preserve">mec</w:t>
      </w:r>
      <w:r>
        <w:t xml:space="preserve"> </w:t>
      </w:r>
      <w:r>
        <w:t xml:space="preserve">gene detected.</w:t>
      </w:r>
    </w:p>
    <w:bookmarkEnd w:id="55"/>
    <w:bookmarkStart w:id="56" w:name="vana-and-vanb-in-enterococci"/>
    <w:p>
      <w:pPr>
        <w:pStyle w:val="FirstParagraph"/>
      </w:pPr>
      <w:r>
        <w:rPr>
          <w:i/>
          <w:sz w:val="18"/>
        </w:rPr>
        <w:t xml:space="preserve">2. </w:t>
      </w:r>
      <w:r>
        <w:rPr>
          <w:i/>
          <w:iCs/>
          <w:sz w:val="18"/>
        </w:rPr>
        <w:t xml:space="preserve">vanA</w:t>
      </w:r>
      <w:r>
        <w:rPr>
          <w:i/>
          <w:sz w:val="18"/>
        </w:rPr>
        <w:t xml:space="preserve"> </w:t>
      </w:r>
      <w:r>
        <w:rPr>
          <w:i/>
          <w:sz w:val="18"/>
        </w:rPr>
        <w:t xml:space="preserve">and</w:t>
      </w:r>
      <w:r>
        <w:rPr>
          <w:i/>
          <w:sz w:val="18"/>
        </w:rPr>
        <w:t xml:space="preserve"> </w:t>
      </w:r>
      <w:r>
        <w:rPr>
          <w:i/>
          <w:iCs/>
          <w:sz w:val="18"/>
        </w:rPr>
        <w:t xml:space="preserve">vanB</w:t>
      </w:r>
      <w:r>
        <w:rPr>
          <w:i/>
          <w:sz w:val="18"/>
        </w:rPr>
        <w:t xml:space="preserve"> </w:t>
      </w:r>
      <w:r>
        <w:rPr>
          <w:i/>
          <w:sz w:val="18"/>
        </w:rPr>
        <w:t xml:space="preserve">in enterococci</w:t>
      </w:r>
      <w:r>
        <w:rPr>
          <w:i/>
          <w:sz w:val="18"/>
        </w:rPr>
        <w:t xml:space="preserve">. </w:t>
      </w:r>
      <w:r>
        <w:t xml:space="preserve">The enterococcal arm is small.</w:t>
      </w:r>
      <w:r>
        <w:t xml:space="preserve"> </w:t>
      </w:r>
      <w:r>
        <w:rPr>
          <w:i/>
          <w:iCs/>
        </w:rPr>
        <w:t xml:space="preserve">vanA</w:t>
      </w:r>
      <w:r>
        <w:t xml:space="preserve"> </w:t>
      </w:r>
      <w:r>
        <w:t xml:space="preserve">was detected in 29 of 119 enterococci with a vancomycin result, and 26 were resistant (PPV 89.7%, 73.6%–96.4%); NPV was 96.7% (90.7%–98.9%). In</w:t>
      </w:r>
      <w:r>
        <w:t xml:space="preserve"> </w:t>
      </w:r>
      <w:r>
        <w:rPr>
          <w:i/>
          <w:iCs/>
        </w:rPr>
        <w:t xml:space="preserve">E. faecium</w:t>
      </w:r>
      <w:r>
        <w:t xml:space="preserve">, PPV was 88.0% (22/25) and NPV 90.9% (10/11); in</w:t>
      </w:r>
      <w:r>
        <w:t xml:space="preserve"> </w:t>
      </w:r>
      <w:r>
        <w:rPr>
          <w:i/>
          <w:iCs/>
        </w:rPr>
        <w:t xml:space="preserve">E. faecalis</w:t>
      </w:r>
      <w:r>
        <w:t xml:space="preserve"> </w:t>
      </w:r>
      <w:r>
        <w:t xml:space="preserve">all 4</w:t>
      </w:r>
      <w:r>
        <w:t xml:space="preserve"> </w:t>
      </w:r>
      <w:r>
        <w:rPr>
          <w:i/>
          <w:iCs/>
        </w:rPr>
        <w:t xml:space="preserve">vanA</w:t>
      </w:r>
      <w:r>
        <w:t xml:space="preserve">-positive isolates were resistant. The 3</w:t>
      </w:r>
      <w:r>
        <w:t xml:space="preserve"> </w:t>
      </w:r>
      <w:r>
        <w:rPr>
          <w:i/>
          <w:iCs/>
        </w:rPr>
        <w:t xml:space="preserve">vanA</w:t>
      </w:r>
      <w:r>
        <w:t xml:space="preserve">-positive, vancomycin-susceptible isolates were all</w:t>
      </w:r>
      <w:r>
        <w:t xml:space="preserve"> </w:t>
      </w:r>
      <w:r>
        <w:rPr>
          <w:i/>
          <w:iCs/>
        </w:rPr>
        <w:t xml:space="preserve">E. faecium</w:t>
      </w:r>
      <w:r>
        <w:t xml:space="preserve"> </w:t>
      </w:r>
      <w:r>
        <w:t xml:space="preserve">(SAMN09728854, SAMN39956425, SAMN36892852) with vancomycin MICs of 1 to 2 mg/L, a pattern described as vancomycin-variable or silent</w:t>
      </w:r>
      <w:r>
        <w:t xml:space="preserve"> </w:t>
      </w:r>
      <w:r>
        <w:rPr>
          <w:i/>
          <w:iCs/>
        </w:rPr>
        <w:t xml:space="preserve">vanA</w:t>
      </w:r>
      <w:r>
        <w:t xml:space="preserve"> </w:t>
      </w:r>
      <w:r>
        <w:t xml:space="preserve">[</w:t>
      </w:r>
      <w:hyperlink w:anchor="ref-14">
        <w:r>
          <w:rPr>
            <w:rStyle w:val="Hyperlink"/>
            <w:color w:val="0000B3"/>
            <w:u w:val="none"/>
          </w:rPr>
          <w:t xml:space="preserve">14</w:t>
        </w:r>
      </w:hyperlink>
      <w:r>
        <w:t xml:space="preserve">,</w:t>
      </w:r>
      <w:r>
        <w:t xml:space="preserve"> </w:t>
      </w:r>
      <w:hyperlink w:anchor="ref-15">
        <w:r>
          <w:rPr>
            <w:rStyle w:val="Hyperlink"/>
            <w:color w:val="0000B3"/>
            <w:u w:val="none"/>
          </w:rPr>
          <w:t xml:space="preserve">15</w:t>
        </w:r>
      </w:hyperlink>
      <w:r>
        <w:t xml:space="preserve">] (Fig. 6b). Of the 3 vancomycin-resistant isolates without a panel</w:t>
      </w:r>
      <w:r>
        <w:t xml:space="preserve"> </w:t>
      </w:r>
      <w:r>
        <w:rPr>
          <w:i/>
          <w:iCs/>
        </w:rPr>
        <w:t xml:space="preserve">van</w:t>
      </w:r>
      <w:r>
        <w:t xml:space="preserve"> </w:t>
      </w:r>
      <w:r>
        <w:t xml:space="preserve">gene, one carried</w:t>
      </w:r>
      <w:r>
        <w:t xml:space="preserve"> </w:t>
      </w:r>
      <w:r>
        <w:rPr>
          <w:i/>
          <w:iCs/>
        </w:rPr>
        <w:t xml:space="preserve">vanA</w:t>
      </w:r>
      <w:r>
        <w:t xml:space="preserve"> </w:t>
      </w:r>
      <w:r>
        <w:t xml:space="preserve">operon accessory genes (</w:t>
      </w:r>
      <w:r>
        <w:rPr>
          <w:i/>
          <w:iCs/>
        </w:rPr>
        <w:t xml:space="preserve">vanY</w:t>
      </w:r>
      <w:r>
        <w:t xml:space="preserve">,</w:t>
      </w:r>
      <w:r>
        <w:t xml:space="preserve"> </w:t>
      </w:r>
      <w:r>
        <w:rPr>
          <w:i/>
          <w:iCs/>
        </w:rPr>
        <w:t xml:space="preserve">vanZ</w:t>
      </w:r>
      <w:r>
        <w:t xml:space="preserve">) without a ligase call, suggesting an assembly break, and two</w:t>
      </w:r>
      <w:r>
        <w:t xml:space="preserve"> </w:t>
      </w:r>
      <w:r>
        <w:rPr>
          <w:i/>
          <w:iCs/>
        </w:rPr>
        <w:t xml:space="preserve">E. faecalis</w:t>
      </w:r>
      <w:r>
        <w:t xml:space="preserve"> </w:t>
      </w:r>
      <w:r>
        <w:t xml:space="preserve">had no explanation in the available data.</w:t>
      </w:r>
    </w:p>
    <w:bookmarkEnd w:id="56"/>
    <w:bookmarkStart w:id="63" w:name="carbapenemases-in-enterobacterales"/>
    <w:p>
      <w:pPr>
        <w:pStyle w:val="FirstParagraph"/>
      </w:pPr>
      <w:r>
        <w:rPr>
          <w:i/>
          <w:sz w:val="18"/>
        </w:rPr>
        <w:t xml:space="preserve">3. </w:t>
      </w:r>
      <w:r>
        <w:rPr>
          <w:i/>
          <w:sz w:val="18"/>
        </w:rPr>
        <w:t xml:space="preserve">Carbapenemases in Enterobacterales</w:t>
      </w:r>
      <w:r>
        <w:rPr>
          <w:i/>
          <w:sz w:val="18"/>
        </w:rPr>
        <w:t xml:space="preserve">. </w:t>
      </w:r>
      <w:r>
        <w:t xml:space="preserve">Any panel carbapenemase predicted resistance to at least one carbapenem in 272/278 isolates (PPV 97.8%, 95.4%–99.0%); its absence predicted no carbapenem resistance in 3718/3869 (NPV 96.1%, 95.4%–96.7%). Sensitivity was 64.3%: about a third of carbapenem-resistant Enterobacterales in this collection carried none of the five panel enzymes. KPC alone had PPV 98.0% (199/203), NDM 100.0% (41/41) and OXA-48-like 94.7% (36/38).</w:t>
      </w:r>
    </w:p>
    <w:p>
      <w:pPr>
        <w:pStyle w:val="BodyText"/>
      </w:pPr>
      <w:r>
        <w:t xml:space="preserve">The predictive value of a carbapenemase depended on which carbapenem was asked about (Table</w:t>
      </w:r>
      <w:r>
        <w:t xml:space="preserve"> </w:t>
      </w:r>
      <w:hyperlink w:anchor="tab-VI">
        <w:r>
          <w:rPr>
            <w:rStyle w:val="Hyperlink"/>
            <w:color w:val="BF0000"/>
            <w:u w:val="none"/>
          </w:rPr>
          <w:t xml:space="preserve">VI</w:t>
        </w:r>
      </w:hyperlink>
      <w:r>
        <w:t xml:space="preserve">, Fig.</w:t>
      </w:r>
      <w:r>
        <w:t xml:space="preserve"> </w:t>
      </w:r>
      <w:hyperlink w:anchor="fig-4">
        <w:r>
          <w:rPr>
            <w:rStyle w:val="Hyperlink"/>
            <w:color w:val="BF0000"/>
            <w:u w:val="none"/>
          </w:rPr>
          <w:t xml:space="preserve">4</w:t>
        </w:r>
      </w:hyperlink>
      <w:r>
        <w:t xml:space="preserve">). Ertapenem resistance followed a carbapenemase in 96.0% of tested producers, but meropenem resistance did not: for any panel carbapenemase, PPV was 87.6% for meropenem (241/275) against 96.0% for ertapenem (213/222) and 89.8% for imipenem. By enzyme, meropenem PPV was 90.5% for KPC (182/201), 97.6% for NDM (40/41), 76.3% for OXA-48-like (29/38) and 37.5% for IMP (3/8). The meropenem MIC distribution of carbapenemase-positive isolates (Fig. 6c) had a long tail at and below the resistant breakpoint. Doripenem was tested in 305 isolates (median collection year 2014), mostly from one project, and is shown for completeness.</w:t>
      </w:r>
    </w:p>
    <w:p>
      <w:pPr>
        <w:pStyle w:val="BodyText"/>
      </w:pPr>
      <w:r>
        <w:t xml:space="preserve">By organism, PPV for any carbapenem was high in</w:t>
      </w:r>
      <w:r>
        <w:t xml:space="preserve"> </w:t>
      </w:r>
      <w:r>
        <w:rPr>
          <w:i/>
          <w:iCs/>
        </w:rPr>
        <w:t xml:space="preserve">K. pneumoniae</w:t>
      </w:r>
      <w:r>
        <w:t xml:space="preserve"> </w:t>
      </w:r>
      <w:r>
        <w:t xml:space="preserve">complex (185/186) and</w:t>
      </w:r>
      <w:r>
        <w:t xml:space="preserve"> </w:t>
      </w:r>
      <w:r>
        <w:rPr>
          <w:i/>
          <w:iCs/>
        </w:rPr>
        <w:t xml:space="preserve">E. cloacae</w:t>
      </w:r>
      <w:r>
        <w:t xml:space="preserve"> </w:t>
      </w:r>
      <w:r>
        <w:t xml:space="preserve">complex (37/37), but NPV fell where non-carbapenemase mechanisms are common: 82.5% in</w:t>
      </w:r>
      <w:r>
        <w:t xml:space="preserve"> </w:t>
      </w:r>
      <w:r>
        <w:rPr>
          <w:i/>
          <w:iCs/>
        </w:rPr>
        <w:t xml:space="preserve">E. cloacae</w:t>
      </w:r>
      <w:r>
        <w:t xml:space="preserve"> </w:t>
      </w:r>
      <w:r>
        <w:t xml:space="preserve">complex and 57.6% in</w:t>
      </w:r>
      <w:r>
        <w:t xml:space="preserve"> </w:t>
      </w:r>
      <w:r>
        <w:rPr>
          <w:i/>
          <w:iCs/>
        </w:rPr>
        <w:t xml:space="preserve">K. aerogenes</w:t>
      </w:r>
      <w:r>
        <w:t xml:space="preserve"> </w:t>
      </w:r>
      <w:r>
        <w:t xml:space="preserve">(Table</w:t>
      </w:r>
      <w:r>
        <w:t xml:space="preserve"> </w:t>
      </w:r>
      <w:hyperlink w:anchor="tab-VII">
        <w:r>
          <w:rPr>
            <w:rStyle w:val="Hyperlink"/>
            <w:color w:val="BF0000"/>
            <w:u w:val="none"/>
          </w:rPr>
          <w:t xml:space="preserve">VII</w:t>
        </w:r>
      </w:hyperlink>
      <w:r>
        <w:t xml:space="preserve">). In</w:t>
      </w:r>
      <w:r>
        <w:t xml:space="preserve"> </w:t>
      </w:r>
      <w:r>
        <w:rPr>
          <w:i/>
          <w:iCs/>
        </w:rPr>
        <w:t xml:space="preserve">E. coli</w:t>
      </w:r>
      <w:r>
        <w:t xml:space="preserve">, carbapenemase-positive isolates were often meropenem-susceptible (meropenem PPV 58.6%, 17/29).</w:t>
      </w:r>
    </w:p>
    <w:tbl>
      <w:tblPr>
        <w:tblW w:w="489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4896"/>
      </w:tblGrid>
      <w:tr>
        <w:trPr>
          <w:cantSplit/>
        </w:trPr>
        <w:tc>
          <w:tcPr>
            <w:tcW w:w="4896" w:type="dxa"/>
          </w:tcPr>
          <w:p>
            <w:pPr>
              <w:pStyle w:val="TabCaption"/>
            </w:pPr>
            <w:bookmarkStart w:id="57" w:name="tab-VI"/>
            <w:bookmarkEnd w:id="57"/>
            <w:r>
              <w:t xml:space="preserve">TABLE VI: PPV of each carbapenemase for resistance to each carbapenem, pooled Enterobacterales excluding</w:t>
            </w:r>
            <w:r>
              <w:t xml:space="preserve"> </w:t>
            </w:r>
            <w:r>
              <w:rPr>
                <w:i/>
                <w:iCs/>
              </w:rPr>
              <w:t xml:space="preserve">Salmonella</w:t>
            </w:r>
            <w:r>
              <w:t xml:space="preserve">: resistant / gene-positive tested (percent).</w:t>
            </w:r>
          </w:p>
          <w:tbl>
            <w:tblPr>
              <w:tblStyle w:val="Table"/>
              <w:tblW w:w="4896" w:type="dxa"/>
              <w:jc w:val="center"/>
              <w:tblLayout w:type="fixed"/>
              <w:tblCellMar>
                <w:top w:w="0" w:type="dxa"/>
                <w:left w:w="60" w:type="dxa"/>
                <w:bottom w:w="0" w:type="dxa"/>
                <w:right w:w="60" w:type="dxa"/>
              </w:tblCellMar>
              <w:tblLook w:firstRow="1" w:lastRow="0" w:firstColumn="0" w:lastColumn="0" w:noHBand="0" w:noVBand="0" w:val="0020"/>
            </w:tblPr>
            <w:tblGrid>
              <w:gridCol w:w="936"/>
              <w:gridCol w:w="782"/>
              <w:gridCol w:w="782"/>
              <w:gridCol w:w="782"/>
              <w:gridCol w:w="782"/>
              <w:gridCol w:w="832"/>
            </w:tblGrid>
            <w:tr>
              <w:trPr>
                <w:cantSplit/>
                <w:tblHeader w:val="true"/>
              </w:trPr>
              <w:tc>
                <w:tcPr>
                  <w:tcW w:w="936" w:type="dxa"/>
                  <w:tcBorders>
                    <w:top w:val="double" w:sz="4" w:space="0" w:color="000000"/>
                    <w:bottom w:val="single" w:sz="4" w:space="0" w:color="000000"/>
                  </w:tcBorders>
                </w:tcPr>
                <w:p>
                  <w:pPr>
                    <w:pStyle w:val="Compact"/>
                    <w:keepNext/>
                    <w:spacing w:after="0" w:before="0" w:line="240" w:lineRule="auto"/>
                    <w:ind w:firstLine="0"/>
                    <w:jc w:val="left"/>
                  </w:pPr>
                  <w:r>
                    <w:rPr>
                      <w:sz w:val="14"/>
                    </w:rPr>
                    <w:t xml:space="preserve">Target</w:t>
                  </w:r>
                </w:p>
              </w:tc>
              <w:tc>
                <w:tcPr>
                  <w:tcW w:w="782"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Meropenem</w:t>
                  </w:r>
                </w:p>
              </w:tc>
              <w:tc>
                <w:tcPr>
                  <w:tcW w:w="782"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Imipenem</w:t>
                  </w:r>
                </w:p>
              </w:tc>
              <w:tc>
                <w:tcPr>
                  <w:tcW w:w="782"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Ertapenem</w:t>
                  </w:r>
                </w:p>
              </w:tc>
              <w:tc>
                <w:tcPr>
                  <w:tcW w:w="782"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Doripenem</w:t>
                  </w:r>
                </w:p>
              </w:tc>
              <w:tc>
                <w:tcPr>
                  <w:tcW w:w="832"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Any carbapenem</w:t>
                  </w:r>
                </w:p>
              </w:tc>
            </w:tr>
            <w:tr>
              <w:trPr>
                <w:cantSplit/>
              </w:trPr>
              <w:tc>
                <w:tcPr>
                  <w:tcW w:w="936" w:type="dxa"/>
                </w:tcPr>
                <w:p>
                  <w:pPr>
                    <w:pStyle w:val="Compact"/>
                    <w:keepNext/>
                    <w:spacing w:after="0" w:before="0" w:line="240" w:lineRule="auto"/>
                    <w:ind w:firstLine="0"/>
                    <w:jc w:val="left"/>
                  </w:pPr>
                  <w:r>
                    <w:rPr>
                      <w:sz w:val="14"/>
                    </w:rPr>
                    <w:t xml:space="preserve">KPC</w:t>
                  </w:r>
                </w:p>
              </w:tc>
              <w:tc>
                <w:tcPr>
                  <w:tcW w:w="782" w:type="dxa"/>
                </w:tcPr>
                <w:p>
                  <w:pPr>
                    <w:pStyle w:val="Compact"/>
                    <w:keepNext/>
                    <w:spacing w:after="0" w:before="0" w:line="240" w:lineRule="auto"/>
                    <w:ind w:firstLine="0"/>
                    <w:jc w:val="center"/>
                  </w:pPr>
                  <w:r>
                    <w:rPr>
                      <w:sz w:val="14"/>
                    </w:rPr>
                    <w:t xml:space="preserve">182/201 (91%)</w:t>
                  </w:r>
                </w:p>
              </w:tc>
              <w:tc>
                <w:tcPr>
                  <w:tcW w:w="782" w:type="dxa"/>
                </w:tcPr>
                <w:p>
                  <w:pPr>
                    <w:pStyle w:val="Compact"/>
                    <w:keepNext/>
                    <w:spacing w:after="0" w:before="0" w:line="240" w:lineRule="auto"/>
                    <w:ind w:firstLine="0"/>
                    <w:jc w:val="center"/>
                  </w:pPr>
                  <w:r>
                    <w:rPr>
                      <w:sz w:val="14"/>
                    </w:rPr>
                    <w:t xml:space="preserve">159/170 (94%)</w:t>
                  </w:r>
                </w:p>
              </w:tc>
              <w:tc>
                <w:tcPr>
                  <w:tcW w:w="782" w:type="dxa"/>
                </w:tcPr>
                <w:p>
                  <w:pPr>
                    <w:pStyle w:val="Compact"/>
                    <w:keepNext/>
                    <w:spacing w:after="0" w:before="0" w:line="240" w:lineRule="auto"/>
                    <w:ind w:firstLine="0"/>
                    <w:jc w:val="center"/>
                  </w:pPr>
                  <w:r>
                    <w:rPr>
                      <w:sz w:val="14"/>
                    </w:rPr>
                    <w:t xml:space="preserve">161/166 (97%)</w:t>
                  </w:r>
                </w:p>
              </w:tc>
              <w:tc>
                <w:tcPr>
                  <w:tcW w:w="782" w:type="dxa"/>
                </w:tcPr>
                <w:p>
                  <w:pPr>
                    <w:pStyle w:val="Compact"/>
                    <w:keepNext/>
                    <w:spacing w:after="0" w:before="0" w:line="240" w:lineRule="auto"/>
                    <w:ind w:firstLine="0"/>
                    <w:jc w:val="center"/>
                  </w:pPr>
                  <w:r>
                    <w:rPr>
                      <w:sz w:val="14"/>
                    </w:rPr>
                    <w:t xml:space="preserve">109/141 (77%)</w:t>
                  </w:r>
                </w:p>
              </w:tc>
              <w:tc>
                <w:tcPr>
                  <w:tcW w:w="832" w:type="dxa"/>
                </w:tcPr>
                <w:p>
                  <w:pPr>
                    <w:pStyle w:val="Compact"/>
                    <w:keepNext/>
                    <w:spacing w:after="0" w:before="0" w:line="240" w:lineRule="auto"/>
                    <w:ind w:firstLine="0"/>
                    <w:jc w:val="center"/>
                  </w:pPr>
                  <w:r>
                    <w:rPr>
                      <w:sz w:val="14"/>
                    </w:rPr>
                    <w:t xml:space="preserve">199/203 (98%)</w:t>
                  </w:r>
                </w:p>
              </w:tc>
            </w:tr>
            <w:tr>
              <w:trPr>
                <w:cantSplit/>
              </w:trPr>
              <w:tc>
                <w:tcPr>
                  <w:tcW w:w="936" w:type="dxa"/>
                </w:tcPr>
                <w:p>
                  <w:pPr>
                    <w:pStyle w:val="Compact"/>
                    <w:keepNext/>
                    <w:spacing w:after="0" w:before="0" w:line="240" w:lineRule="auto"/>
                    <w:ind w:firstLine="0"/>
                    <w:jc w:val="left"/>
                  </w:pPr>
                  <w:r>
                    <w:rPr>
                      <w:sz w:val="14"/>
                    </w:rPr>
                    <w:t xml:space="preserve">NDM</w:t>
                  </w:r>
                </w:p>
              </w:tc>
              <w:tc>
                <w:tcPr>
                  <w:tcW w:w="782" w:type="dxa"/>
                </w:tcPr>
                <w:p>
                  <w:pPr>
                    <w:pStyle w:val="Compact"/>
                    <w:keepNext/>
                    <w:spacing w:after="0" w:before="0" w:line="240" w:lineRule="auto"/>
                    <w:ind w:firstLine="0"/>
                    <w:jc w:val="center"/>
                  </w:pPr>
                  <w:r>
                    <w:rPr>
                      <w:sz w:val="14"/>
                    </w:rPr>
                    <w:t xml:space="preserve">40/41 (98%)</w:t>
                  </w:r>
                </w:p>
              </w:tc>
              <w:tc>
                <w:tcPr>
                  <w:tcW w:w="782" w:type="dxa"/>
                </w:tcPr>
                <w:p>
                  <w:pPr>
                    <w:pStyle w:val="Compact"/>
                    <w:keepNext/>
                    <w:spacing w:after="0" w:before="0" w:line="240" w:lineRule="auto"/>
                    <w:ind w:firstLine="0"/>
                    <w:jc w:val="center"/>
                  </w:pPr>
                  <w:r>
                    <w:rPr>
                      <w:sz w:val="14"/>
                    </w:rPr>
                    <w:t xml:space="preserve">16/16 (100%)</w:t>
                  </w:r>
                </w:p>
              </w:tc>
              <w:tc>
                <w:tcPr>
                  <w:tcW w:w="782" w:type="dxa"/>
                </w:tcPr>
                <w:p>
                  <w:pPr>
                    <w:pStyle w:val="Compact"/>
                    <w:keepNext/>
                    <w:spacing w:after="0" w:before="0" w:line="240" w:lineRule="auto"/>
                    <w:ind w:firstLine="0"/>
                    <w:jc w:val="center"/>
                  </w:pPr>
                  <w:r>
                    <w:rPr>
                      <w:sz w:val="14"/>
                    </w:rPr>
                    <w:t xml:space="preserve">18/20 (90%)</w:t>
                  </w:r>
                </w:p>
              </w:tc>
              <w:tc>
                <w:tcPr>
                  <w:tcW w:w="782" w:type="dxa"/>
                </w:tcPr>
                <w:p>
                  <w:pPr>
                    <w:pStyle w:val="Compact"/>
                    <w:keepNext/>
                    <w:spacing w:after="0" w:before="0" w:line="240" w:lineRule="auto"/>
                    <w:ind w:firstLine="0"/>
                    <w:jc w:val="center"/>
                  </w:pPr>
                  <w:r>
                    <w:rPr>
                      <w:sz w:val="14"/>
                    </w:rPr>
                    <w:t xml:space="preserve">6/6 (100%)</w:t>
                  </w:r>
                </w:p>
              </w:tc>
              <w:tc>
                <w:tcPr>
                  <w:tcW w:w="832" w:type="dxa"/>
                </w:tcPr>
                <w:p>
                  <w:pPr>
                    <w:pStyle w:val="Compact"/>
                    <w:keepNext/>
                    <w:spacing w:after="0" w:before="0" w:line="240" w:lineRule="auto"/>
                    <w:ind w:firstLine="0"/>
                    <w:jc w:val="center"/>
                  </w:pPr>
                  <w:r>
                    <w:rPr>
                      <w:sz w:val="14"/>
                    </w:rPr>
                    <w:t xml:space="preserve">41/41 (100%)</w:t>
                  </w:r>
                </w:p>
              </w:tc>
            </w:tr>
            <w:tr>
              <w:trPr>
                <w:cantSplit/>
              </w:trPr>
              <w:tc>
                <w:tcPr>
                  <w:tcW w:w="936" w:type="dxa"/>
                </w:tcPr>
                <w:p>
                  <w:pPr>
                    <w:pStyle w:val="Compact"/>
                    <w:keepNext/>
                    <w:spacing w:after="0" w:before="0" w:line="240" w:lineRule="auto"/>
                    <w:ind w:firstLine="0"/>
                    <w:jc w:val="left"/>
                  </w:pPr>
                  <w:r>
                    <w:rPr>
                      <w:sz w:val="14"/>
                    </w:rPr>
                    <w:t xml:space="preserve">OXA-48-like</w:t>
                  </w:r>
                </w:p>
              </w:tc>
              <w:tc>
                <w:tcPr>
                  <w:tcW w:w="782" w:type="dxa"/>
                </w:tcPr>
                <w:p>
                  <w:pPr>
                    <w:pStyle w:val="Compact"/>
                    <w:keepNext/>
                    <w:spacing w:after="0" w:before="0" w:line="240" w:lineRule="auto"/>
                    <w:ind w:firstLine="0"/>
                    <w:jc w:val="center"/>
                  </w:pPr>
                  <w:r>
                    <w:rPr>
                      <w:sz w:val="14"/>
                    </w:rPr>
                    <w:t xml:space="preserve">29/38 (76%)</w:t>
                  </w:r>
                </w:p>
              </w:tc>
              <w:tc>
                <w:tcPr>
                  <w:tcW w:w="782" w:type="dxa"/>
                </w:tcPr>
                <w:p>
                  <w:pPr>
                    <w:pStyle w:val="Compact"/>
                    <w:keepNext/>
                    <w:spacing w:after="0" w:before="0" w:line="240" w:lineRule="auto"/>
                    <w:ind w:firstLine="0"/>
                    <w:jc w:val="center"/>
                  </w:pPr>
                  <w:r>
                    <w:rPr>
                      <w:sz w:val="14"/>
                    </w:rPr>
                    <w:t xml:space="preserve">27/36 (75%)</w:t>
                  </w:r>
                </w:p>
              </w:tc>
              <w:tc>
                <w:tcPr>
                  <w:tcW w:w="782" w:type="dxa"/>
                </w:tcPr>
                <w:p>
                  <w:pPr>
                    <w:pStyle w:val="Compact"/>
                    <w:keepNext/>
                    <w:spacing w:after="0" w:before="0" w:line="240" w:lineRule="auto"/>
                    <w:ind w:firstLine="0"/>
                    <w:jc w:val="center"/>
                  </w:pPr>
                  <w:r>
                    <w:rPr>
                      <w:sz w:val="14"/>
                    </w:rPr>
                    <w:t xml:space="preserve">31/32 (97%)</w:t>
                  </w:r>
                </w:p>
              </w:tc>
              <w:tc>
                <w:tcPr>
                  <w:tcW w:w="782" w:type="dxa"/>
                </w:tcPr>
                <w:p>
                  <w:pPr>
                    <w:pStyle w:val="Compact"/>
                    <w:keepNext/>
                    <w:spacing w:after="0" w:before="0" w:line="240" w:lineRule="auto"/>
                    <w:ind w:firstLine="0"/>
                    <w:jc w:val="center"/>
                  </w:pPr>
                  <w:r>
                    <w:rPr>
                      <w:sz w:val="14"/>
                    </w:rPr>
                    <w:t xml:space="preserve">24/30 (80%)</w:t>
                  </w:r>
                </w:p>
              </w:tc>
              <w:tc>
                <w:tcPr>
                  <w:tcW w:w="832" w:type="dxa"/>
                </w:tcPr>
                <w:p>
                  <w:pPr>
                    <w:pStyle w:val="Compact"/>
                    <w:keepNext/>
                    <w:spacing w:after="0" w:before="0" w:line="240" w:lineRule="auto"/>
                    <w:ind w:firstLine="0"/>
                    <w:jc w:val="center"/>
                  </w:pPr>
                  <w:r>
                    <w:rPr>
                      <w:sz w:val="14"/>
                    </w:rPr>
                    <w:t xml:space="preserve">36/38 (95%)</w:t>
                  </w:r>
                </w:p>
              </w:tc>
            </w:tr>
            <w:tr>
              <w:trPr>
                <w:cantSplit/>
              </w:trPr>
              <w:tc>
                <w:tcPr>
                  <w:tcW w:w="936" w:type="dxa"/>
                </w:tcPr>
                <w:p>
                  <w:pPr>
                    <w:pStyle w:val="Compact"/>
                    <w:keepNext/>
                    <w:spacing w:after="0" w:before="0" w:line="240" w:lineRule="auto"/>
                    <w:ind w:firstLine="0"/>
                    <w:jc w:val="left"/>
                  </w:pPr>
                  <w:r>
                    <w:rPr>
                      <w:sz w:val="14"/>
                    </w:rPr>
                    <w:t xml:space="preserve">VIM</w:t>
                  </w:r>
                </w:p>
              </w:tc>
              <w:tc>
                <w:tcPr>
                  <w:tcW w:w="782" w:type="dxa"/>
                </w:tcPr>
                <w:p>
                  <w:pPr>
                    <w:pStyle w:val="Compact"/>
                    <w:keepNext/>
                    <w:spacing w:after="0" w:before="0" w:line="240" w:lineRule="auto"/>
                    <w:ind w:firstLine="0"/>
                    <w:jc w:val="center"/>
                  </w:pPr>
                  <w:r>
                    <w:rPr>
                      <w:sz w:val="14"/>
                    </w:rPr>
                    <w:t xml:space="preserve">3/4 (75%)</w:t>
                  </w:r>
                </w:p>
              </w:tc>
              <w:tc>
                <w:tcPr>
                  <w:tcW w:w="782" w:type="dxa"/>
                </w:tcPr>
                <w:p>
                  <w:pPr>
                    <w:pStyle w:val="Compact"/>
                    <w:keepNext/>
                    <w:spacing w:after="0" w:before="0" w:line="240" w:lineRule="auto"/>
                    <w:ind w:firstLine="0"/>
                    <w:jc w:val="center"/>
                  </w:pPr>
                  <w:r>
                    <w:rPr>
                      <w:sz w:val="14"/>
                    </w:rPr>
                    <w:t xml:space="preserve">4/4 (100%)</w:t>
                  </w:r>
                </w:p>
              </w:tc>
              <w:tc>
                <w:tcPr>
                  <w:tcW w:w="782" w:type="dxa"/>
                </w:tcPr>
                <w:p>
                  <w:pPr>
                    <w:pStyle w:val="Compact"/>
                    <w:keepNext/>
                    <w:spacing w:after="0" w:before="0" w:line="240" w:lineRule="auto"/>
                    <w:ind w:firstLine="0"/>
                    <w:jc w:val="center"/>
                  </w:pPr>
                  <w:r>
                    <w:rPr>
                      <w:sz w:val="14"/>
                    </w:rPr>
                    <w:t xml:space="preserve">2/3 (67%)</w:t>
                  </w:r>
                </w:p>
              </w:tc>
              <w:tc>
                <w:tcPr>
                  <w:tcW w:w="782" w:type="dxa"/>
                </w:tcPr>
                <w:p>
                  <w:pPr>
                    <w:pStyle w:val="Compact"/>
                    <w:keepNext/>
                    <w:spacing w:after="0" w:before="0" w:line="240" w:lineRule="auto"/>
                    <w:ind w:firstLine="0"/>
                    <w:jc w:val="center"/>
                  </w:pPr>
                  <w:r>
                    <w:rPr>
                      <w:sz w:val="14"/>
                    </w:rPr>
                    <w:t xml:space="preserve">0/1 (0%)</w:t>
                  </w:r>
                </w:p>
              </w:tc>
              <w:tc>
                <w:tcPr>
                  <w:tcW w:w="832" w:type="dxa"/>
                </w:tcPr>
                <w:p>
                  <w:pPr>
                    <w:pStyle w:val="Compact"/>
                    <w:keepNext/>
                    <w:spacing w:after="0" w:before="0" w:line="240" w:lineRule="auto"/>
                    <w:ind w:firstLine="0"/>
                    <w:jc w:val="center"/>
                  </w:pPr>
                  <w:r>
                    <w:rPr>
                      <w:sz w:val="14"/>
                    </w:rPr>
                    <w:t xml:space="preserve">5/5 (100%)</w:t>
                  </w:r>
                </w:p>
              </w:tc>
            </w:tr>
            <w:tr>
              <w:trPr>
                <w:cantSplit/>
              </w:trPr>
              <w:tc>
                <w:tcPr>
                  <w:tcW w:w="936" w:type="dxa"/>
                </w:tcPr>
                <w:p>
                  <w:pPr>
                    <w:pStyle w:val="Compact"/>
                    <w:keepNext/>
                    <w:spacing w:after="0" w:before="0" w:line="240" w:lineRule="auto"/>
                    <w:ind w:firstLine="0"/>
                    <w:jc w:val="left"/>
                  </w:pPr>
                  <w:r>
                    <w:rPr>
                      <w:sz w:val="14"/>
                    </w:rPr>
                    <w:t xml:space="preserve">IMP</w:t>
                  </w:r>
                </w:p>
              </w:tc>
              <w:tc>
                <w:tcPr>
                  <w:tcW w:w="782" w:type="dxa"/>
                </w:tcPr>
                <w:p>
                  <w:pPr>
                    <w:pStyle w:val="Compact"/>
                    <w:keepNext/>
                    <w:spacing w:after="0" w:before="0" w:line="240" w:lineRule="auto"/>
                    <w:ind w:firstLine="0"/>
                    <w:jc w:val="center"/>
                  </w:pPr>
                  <w:r>
                    <w:rPr>
                      <w:sz w:val="14"/>
                    </w:rPr>
                    <w:t xml:space="preserve">3/8 (38%)</w:t>
                  </w:r>
                </w:p>
              </w:tc>
              <w:tc>
                <w:tcPr>
                  <w:tcW w:w="782" w:type="dxa"/>
                </w:tcPr>
                <w:p>
                  <w:pPr>
                    <w:pStyle w:val="Compact"/>
                    <w:keepNext/>
                    <w:spacing w:after="0" w:before="0" w:line="240" w:lineRule="auto"/>
                    <w:ind w:firstLine="0"/>
                    <w:jc w:val="center"/>
                  </w:pPr>
                  <w:r>
                    <w:rPr>
                      <w:sz w:val="14"/>
                    </w:rPr>
                    <w:t xml:space="preserve">2/4 (50%)</w:t>
                  </w:r>
                </w:p>
              </w:tc>
              <w:tc>
                <w:tcPr>
                  <w:tcW w:w="782" w:type="dxa"/>
                </w:tcPr>
                <w:p>
                  <w:pPr>
                    <w:pStyle w:val="Compact"/>
                    <w:keepNext/>
                    <w:spacing w:after="0" w:before="0" w:line="240" w:lineRule="auto"/>
                    <w:ind w:firstLine="0"/>
                    <w:jc w:val="center"/>
                  </w:pPr>
                  <w:r>
                    <w:rPr>
                      <w:sz w:val="14"/>
                    </w:rPr>
                    <w:t xml:space="preserve">5/5 (100%)</w:t>
                  </w:r>
                </w:p>
              </w:tc>
              <w:tc>
                <w:tcPr>
                  <w:tcW w:w="782" w:type="dxa"/>
                </w:tcPr>
                <w:p>
                  <w:pPr>
                    <w:pStyle w:val="Compact"/>
                    <w:keepNext/>
                    <w:spacing w:after="0" w:before="0" w:line="240" w:lineRule="auto"/>
                    <w:ind w:firstLine="0"/>
                    <w:jc w:val="center"/>
                  </w:pPr>
                  <w:r>
                    <w:rPr>
                      <w:sz w:val="14"/>
                    </w:rPr>
                    <w:t xml:space="preserve">–</w:t>
                  </w:r>
                </w:p>
              </w:tc>
              <w:tc>
                <w:tcPr>
                  <w:tcW w:w="832" w:type="dxa"/>
                </w:tcPr>
                <w:p>
                  <w:pPr>
                    <w:pStyle w:val="Compact"/>
                    <w:keepNext/>
                    <w:spacing w:after="0" w:before="0" w:line="240" w:lineRule="auto"/>
                    <w:ind w:firstLine="0"/>
                    <w:jc w:val="center"/>
                  </w:pPr>
                  <w:r>
                    <w:rPr>
                      <w:sz w:val="14"/>
                    </w:rPr>
                    <w:t xml:space="preserve">8/8 (100%)</w:t>
                  </w:r>
                </w:p>
              </w:tc>
            </w:tr>
            <w:tr>
              <w:trPr>
                <w:cantSplit/>
              </w:trPr>
              <w:tc>
                <w:tcPr>
                  <w:tcW w:w="936" w:type="dxa"/>
                  <w:tcBorders>
                    <w:bottom w:val="double" w:sz="4" w:space="0" w:color="000000"/>
                  </w:tcBorders>
                </w:tcPr>
                <w:p>
                  <w:pPr>
                    <w:pStyle w:val="Compact"/>
                    <w:spacing w:after="0" w:before="0" w:line="240" w:lineRule="auto"/>
                    <w:ind w:firstLine="0"/>
                    <w:jc w:val="left"/>
                  </w:pPr>
                  <w:r>
                    <w:rPr>
                      <w:sz w:val="14"/>
                    </w:rPr>
                    <w:t xml:space="preserve">Any panel enzyme</w:t>
                  </w:r>
                </w:p>
              </w:tc>
              <w:tc>
                <w:tcPr>
                  <w:tcW w:w="782" w:type="dxa"/>
                  <w:tcBorders>
                    <w:bottom w:val="double" w:sz="4" w:space="0" w:color="000000"/>
                  </w:tcBorders>
                </w:tcPr>
                <w:p>
                  <w:pPr>
                    <w:pStyle w:val="Compact"/>
                    <w:spacing w:after="0" w:before="0" w:line="240" w:lineRule="auto"/>
                    <w:ind w:firstLine="0"/>
                    <w:jc w:val="center"/>
                  </w:pPr>
                  <w:r>
                    <w:rPr>
                      <w:sz w:val="14"/>
                    </w:rPr>
                    <w:t xml:space="preserve">241/275 (88%)</w:t>
                  </w:r>
                </w:p>
              </w:tc>
              <w:tc>
                <w:tcPr>
                  <w:tcW w:w="782" w:type="dxa"/>
                  <w:tcBorders>
                    <w:bottom w:val="double" w:sz="4" w:space="0" w:color="000000"/>
                  </w:tcBorders>
                </w:tcPr>
                <w:p>
                  <w:pPr>
                    <w:pStyle w:val="Compact"/>
                    <w:spacing w:after="0" w:before="0" w:line="240" w:lineRule="auto"/>
                    <w:ind w:firstLine="0"/>
                    <w:jc w:val="center"/>
                  </w:pPr>
                  <w:r>
                    <w:rPr>
                      <w:sz w:val="14"/>
                    </w:rPr>
                    <w:t xml:space="preserve">193/215 (90%)</w:t>
                  </w:r>
                </w:p>
              </w:tc>
              <w:tc>
                <w:tcPr>
                  <w:tcW w:w="782" w:type="dxa"/>
                  <w:tcBorders>
                    <w:bottom w:val="double" w:sz="4" w:space="0" w:color="000000"/>
                  </w:tcBorders>
                </w:tcPr>
                <w:p>
                  <w:pPr>
                    <w:pStyle w:val="Compact"/>
                    <w:spacing w:after="0" w:before="0" w:line="240" w:lineRule="auto"/>
                    <w:ind w:firstLine="0"/>
                    <w:jc w:val="center"/>
                  </w:pPr>
                  <w:r>
                    <w:rPr>
                      <w:sz w:val="14"/>
                    </w:rPr>
                    <w:t xml:space="preserve">213/222 (96%)</w:t>
                  </w:r>
                </w:p>
              </w:tc>
              <w:tc>
                <w:tcPr>
                  <w:tcW w:w="782" w:type="dxa"/>
                  <w:tcBorders>
                    <w:bottom w:val="double" w:sz="4" w:space="0" w:color="000000"/>
                  </w:tcBorders>
                </w:tcPr>
                <w:p>
                  <w:pPr>
                    <w:pStyle w:val="Compact"/>
                    <w:spacing w:after="0" w:before="0" w:line="240" w:lineRule="auto"/>
                    <w:ind w:firstLine="0"/>
                    <w:jc w:val="center"/>
                  </w:pPr>
                  <w:r>
                    <w:rPr>
                      <w:sz w:val="14"/>
                    </w:rPr>
                    <w:t xml:space="preserve">135/174 (78%)</w:t>
                  </w:r>
                </w:p>
              </w:tc>
              <w:tc>
                <w:tcPr>
                  <w:tcW w:w="832" w:type="dxa"/>
                  <w:tcBorders>
                    <w:bottom w:val="double" w:sz="4" w:space="0" w:color="000000"/>
                  </w:tcBorders>
                </w:tcPr>
                <w:p>
                  <w:pPr>
                    <w:pStyle w:val="Compact"/>
                    <w:spacing w:after="0" w:before="0" w:line="240" w:lineRule="auto"/>
                    <w:ind w:firstLine="0"/>
                    <w:jc w:val="center"/>
                  </w:pPr>
                  <w:r>
                    <w:rPr>
                      <w:sz w:val="14"/>
                    </w:rPr>
                    <w:t xml:space="preserve">272/278 (98%)</w:t>
                  </w:r>
                </w:p>
              </w:tc>
            </w:tr>
          </w:tbl>
          <w:p/>
        </w:tc>
      </w:tr>
    </w:tbl>
    <w:p>
      <w:pPr>
        <w:pStyle w:val="BodyText"/>
        <w:spacing w:before="60" w:after="0" w:line="240" w:lineRule="auto"/>
        <w:ind w:firstLine="0"/>
        <w:jc w:val="center"/>
      </w:pPr>
      <w:r>
        <w:drawing>
          <wp:inline>
            <wp:extent cx="3108960" cy="2342367"/>
            <wp:effectExtent b="0" l="0" r="0" t="0"/>
            <wp:docPr descr="" title="" id="59" name="Picture"/>
            <a:graphic>
              <a:graphicData uri="http://schemas.openxmlformats.org/drawingml/2006/picture">
                <pic:pic>
                  <pic:nvPicPr>
                    <pic:cNvPr descr="/root/us-rapid-panel-amr-concordance/paper/manuscript/figures/fig4_carb_drug.png" id="60" name="Picture"/>
                    <pic:cNvPicPr>
                      <a:picLocks noChangeArrowheads="1" noChangeAspect="1"/>
                    </pic:cNvPicPr>
                  </pic:nvPicPr>
                  <pic:blipFill>
                    <a:blip r:embed="rId58"/>
                    <a:stretch>
                      <a:fillRect/>
                    </a:stretch>
                  </pic:blipFill>
                  <pic:spPr bwMode="auto">
                    <a:xfrm>
                      <a:off x="0" y="0"/>
                      <a:ext cx="3108960" cy="2342367"/>
                    </a:xfrm>
                    <a:prstGeom prst="rect">
                      <a:avLst/>
                    </a:prstGeom>
                    <a:noFill/>
                    <a:ln w="9525">
                      <a:noFill/>
                      <a:headEnd/>
                      <a:tailEnd/>
                    </a:ln>
                  </pic:spPr>
                </pic:pic>
              </a:graphicData>
            </a:graphic>
          </wp:inline>
        </w:drawing>
      </w:r>
    </w:p>
    <w:p>
      <w:pPr>
        <w:pStyle w:val="FigCaption"/>
      </w:pPr>
      <w:bookmarkStart w:id="61" w:name="fig-4"/>
      <w:bookmarkEnd w:id="61"/>
      <w:r>
        <w:t xml:space="preserve">FIG. 4: PPV of each panel carbapenemase for resistance to meropenem, imipenem, ertapenem and any carbapenem, pooled Enterobacterales excluding</w:t>
      </w:r>
      <w:r>
        <w:t xml:space="preserve"> </w:t>
      </w:r>
      <w:r>
        <w:rPr>
          <w:i/>
          <w:iCs/>
        </w:rPr>
        <w:t xml:space="preserve">Salmonella</w:t>
      </w:r>
      <w:r>
        <w:t xml:space="preserve">, with Wilson 95% CIs.</w:t>
      </w:r>
      <w:r>
        <w:t xml:space="preserve"> </w:t>
      </w:r>
      <w:r>
        <w:t xml:space="preserve">“</w:t>
      </w:r>
      <w:r>
        <w:t xml:space="preserve">Any</w:t>
      </w:r>
      <w:r>
        <w:t xml:space="preserve">”</w:t>
      </w:r>
      <w:r>
        <w:t xml:space="preserve">: any of the five panel enzymes.</w:t>
      </w:r>
    </w:p>
    <w:tbl>
      <w:tblPr>
        <w:tblW w:w="489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4896"/>
      </w:tblGrid>
      <w:tr>
        <w:trPr>
          <w:cantSplit/>
        </w:trPr>
        <w:tc>
          <w:tcPr>
            <w:tcW w:w="4896" w:type="dxa"/>
          </w:tcPr>
          <w:p>
            <w:pPr>
              <w:pStyle w:val="TabCaption"/>
            </w:pPr>
            <w:bookmarkStart w:id="62" w:name="tab-VII"/>
            <w:bookmarkEnd w:id="62"/>
            <w:r>
              <w:t xml:space="preserve">TABLE VII: Any panel carbapenemase by organism group. PPV and NPV as resistant/gene-positive and not resistant/gene-negative.</w:t>
            </w:r>
          </w:p>
          <w:tbl>
            <w:tblPr>
              <w:tblStyle w:val="Table"/>
              <w:tblW w:w="4896" w:type="dxa"/>
              <w:jc w:val="center"/>
              <w:tblLayout w:type="fixed"/>
              <w:tblCellMar>
                <w:top w:w="0" w:type="dxa"/>
                <w:left w:w="60" w:type="dxa"/>
                <w:bottom w:w="0" w:type="dxa"/>
                <w:right w:w="60" w:type="dxa"/>
              </w:tblCellMar>
              <w:tblLook w:firstRow="1" w:lastRow="0" w:firstColumn="0" w:lastColumn="0" w:noHBand="0" w:noVBand="0" w:val="0020"/>
            </w:tblPr>
            <w:tblGrid>
              <w:gridCol w:w="747"/>
              <w:gridCol w:w="581"/>
              <w:gridCol w:w="608"/>
              <w:gridCol w:w="635"/>
              <w:gridCol w:w="635"/>
              <w:gridCol w:w="690"/>
              <w:gridCol w:w="500"/>
              <w:gridCol w:w="500"/>
            </w:tblGrid>
            <w:tr>
              <w:trPr>
                <w:cantSplit/>
                <w:tblHeader w:val="true"/>
              </w:trPr>
              <w:tc>
                <w:tcPr>
                  <w:tcW w:w="747" w:type="dxa"/>
                  <w:tcBorders>
                    <w:top w:val="double" w:sz="4" w:space="0" w:color="000000"/>
                    <w:bottom w:val="single" w:sz="4" w:space="0" w:color="000000"/>
                  </w:tcBorders>
                </w:tcPr>
                <w:p>
                  <w:pPr>
                    <w:pStyle w:val="Compact"/>
                    <w:keepNext/>
                    <w:spacing w:after="0" w:before="0" w:line="240" w:lineRule="auto"/>
                    <w:ind w:firstLine="0"/>
                    <w:jc w:val="left"/>
                  </w:pPr>
                  <w:r>
                    <w:rPr>
                      <w:sz w:val="14"/>
                    </w:rPr>
                    <w:t xml:space="preserve">Organism</w:t>
                  </w:r>
                </w:p>
              </w:tc>
              <w:tc>
                <w:tcPr>
                  <w:tcW w:w="581"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Any carbapenem: n</w:t>
                  </w:r>
                </w:p>
              </w:tc>
              <w:tc>
                <w:tcPr>
                  <w:tcW w:w="608"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Any carbapenem: G+</w:t>
                  </w:r>
                </w:p>
              </w:tc>
              <w:tc>
                <w:tcPr>
                  <w:tcW w:w="635"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Any carbapenem: PPV</w:t>
                  </w:r>
                </w:p>
              </w:tc>
              <w:tc>
                <w:tcPr>
                  <w:tcW w:w="635"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Any carbapenem: NPV</w:t>
                  </w:r>
                </w:p>
              </w:tc>
              <w:tc>
                <w:tcPr>
                  <w:tcW w:w="690"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Any carbapenem: Sens.</w:t>
                  </w:r>
                </w:p>
              </w:tc>
              <w:tc>
                <w:tcPr>
                  <w:tcW w:w="500"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Meropenem: PPV</w:t>
                  </w:r>
                </w:p>
              </w:tc>
              <w:tc>
                <w:tcPr>
                  <w:tcW w:w="500"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Meropenem: NPV</w:t>
                  </w:r>
                </w:p>
              </w:tc>
            </w:tr>
            <w:tr>
              <w:trPr>
                <w:cantSplit/>
              </w:trPr>
              <w:tc>
                <w:tcPr>
                  <w:tcW w:w="747" w:type="dxa"/>
                </w:tcPr>
                <w:p>
                  <w:pPr>
                    <w:pStyle w:val="Compact"/>
                    <w:keepNext/>
                    <w:spacing w:after="0" w:before="0" w:line="240" w:lineRule="auto"/>
                    <w:ind w:firstLine="0"/>
                    <w:jc w:val="left"/>
                  </w:pPr>
                  <w:r>
                    <w:rPr>
                      <w:i/>
                      <w:iCs/>
                      <w:sz w:val="14"/>
                    </w:rPr>
                    <w:t xml:space="preserve">E. coli</w:t>
                  </w:r>
                </w:p>
              </w:tc>
              <w:tc>
                <w:tcPr>
                  <w:tcW w:w="581" w:type="dxa"/>
                </w:tcPr>
                <w:p>
                  <w:pPr>
                    <w:pStyle w:val="Compact"/>
                    <w:keepNext/>
                    <w:spacing w:after="0" w:before="0" w:line="240" w:lineRule="auto"/>
                    <w:ind w:firstLine="0"/>
                    <w:jc w:val="center"/>
                  </w:pPr>
                  <w:r>
                    <w:rPr>
                      <w:sz w:val="14"/>
                    </w:rPr>
                    <w:t xml:space="preserve">3,168</w:t>
                  </w:r>
                </w:p>
              </w:tc>
              <w:tc>
                <w:tcPr>
                  <w:tcW w:w="608" w:type="dxa"/>
                </w:tcPr>
                <w:p>
                  <w:pPr>
                    <w:pStyle w:val="Compact"/>
                    <w:keepNext/>
                    <w:spacing w:after="0" w:before="0" w:line="240" w:lineRule="auto"/>
                    <w:ind w:firstLine="0"/>
                    <w:jc w:val="center"/>
                  </w:pPr>
                  <w:r>
                    <w:rPr>
                      <w:sz w:val="14"/>
                    </w:rPr>
                    <w:t xml:space="preserve">29</w:t>
                  </w:r>
                </w:p>
              </w:tc>
              <w:tc>
                <w:tcPr>
                  <w:tcW w:w="635" w:type="dxa"/>
                </w:tcPr>
                <w:p>
                  <w:pPr>
                    <w:pStyle w:val="Compact"/>
                    <w:keepNext/>
                    <w:spacing w:after="0" w:before="0" w:line="240" w:lineRule="auto"/>
                    <w:ind w:firstLine="0"/>
                    <w:jc w:val="center"/>
                  </w:pPr>
                  <w:r>
                    <w:rPr>
                      <w:sz w:val="14"/>
                    </w:rPr>
                    <w:t xml:space="preserve">26/29</w:t>
                  </w:r>
                </w:p>
              </w:tc>
              <w:tc>
                <w:tcPr>
                  <w:tcW w:w="635" w:type="dxa"/>
                </w:tcPr>
                <w:p>
                  <w:pPr>
                    <w:pStyle w:val="Compact"/>
                    <w:keepNext/>
                    <w:spacing w:after="0" w:before="0" w:line="240" w:lineRule="auto"/>
                    <w:ind w:firstLine="0"/>
                    <w:jc w:val="center"/>
                  </w:pPr>
                  <w:r>
                    <w:rPr>
                      <w:sz w:val="14"/>
                    </w:rPr>
                    <w:t xml:space="preserve">3102/3139</w:t>
                  </w:r>
                </w:p>
              </w:tc>
              <w:tc>
                <w:tcPr>
                  <w:tcW w:w="690" w:type="dxa"/>
                </w:tcPr>
                <w:p>
                  <w:pPr>
                    <w:pStyle w:val="Compact"/>
                    <w:keepNext/>
                    <w:spacing w:after="0" w:before="0" w:line="240" w:lineRule="auto"/>
                    <w:ind w:firstLine="0"/>
                    <w:jc w:val="center"/>
                  </w:pPr>
                  <w:r>
                    <w:rPr>
                      <w:sz w:val="14"/>
                    </w:rPr>
                    <w:t xml:space="preserve">41.3%</w:t>
                  </w:r>
                </w:p>
              </w:tc>
              <w:tc>
                <w:tcPr>
                  <w:tcW w:w="500" w:type="dxa"/>
                </w:tcPr>
                <w:p>
                  <w:pPr>
                    <w:pStyle w:val="Compact"/>
                    <w:keepNext/>
                    <w:spacing w:after="0" w:before="0" w:line="240" w:lineRule="auto"/>
                    <w:ind w:firstLine="0"/>
                    <w:jc w:val="center"/>
                  </w:pPr>
                  <w:r>
                    <w:rPr>
                      <w:sz w:val="14"/>
                    </w:rPr>
                    <w:t xml:space="preserve">17/29</w:t>
                  </w:r>
                </w:p>
              </w:tc>
              <w:tc>
                <w:tcPr>
                  <w:tcW w:w="500" w:type="dxa"/>
                </w:tcPr>
                <w:p>
                  <w:pPr>
                    <w:pStyle w:val="Compact"/>
                    <w:keepNext/>
                    <w:spacing w:after="0" w:before="0" w:line="240" w:lineRule="auto"/>
                    <w:ind w:firstLine="0"/>
                    <w:jc w:val="center"/>
                  </w:pPr>
                  <w:r>
                    <w:rPr>
                      <w:sz w:val="14"/>
                    </w:rPr>
                    <w:t xml:space="preserve">2871/2889</w:t>
                  </w:r>
                </w:p>
              </w:tc>
            </w:tr>
            <w:tr>
              <w:trPr>
                <w:cantSplit/>
              </w:trPr>
              <w:tc>
                <w:tcPr>
                  <w:tcW w:w="747" w:type="dxa"/>
                </w:tcPr>
                <w:p>
                  <w:pPr>
                    <w:pStyle w:val="Compact"/>
                    <w:keepNext/>
                    <w:spacing w:after="0" w:before="0" w:line="240" w:lineRule="auto"/>
                    <w:ind w:firstLine="0"/>
                    <w:jc w:val="left"/>
                  </w:pPr>
                  <w:r>
                    <w:rPr>
                      <w:i/>
                      <w:iCs/>
                      <w:sz w:val="14"/>
                    </w:rPr>
                    <w:t xml:space="preserve">K. pneumoniae</w:t>
                  </w:r>
                  <w:r>
                    <w:rPr>
                      <w:sz w:val="14"/>
                    </w:rPr>
                    <w:t xml:space="preserve"> </w:t>
                  </w:r>
                  <w:r>
                    <w:rPr>
                      <w:sz w:val="14"/>
                    </w:rPr>
                    <w:t xml:space="preserve">cplx.</w:t>
                  </w:r>
                </w:p>
              </w:tc>
              <w:tc>
                <w:tcPr>
                  <w:tcW w:w="581" w:type="dxa"/>
                </w:tcPr>
                <w:p>
                  <w:pPr>
                    <w:pStyle w:val="Compact"/>
                    <w:keepNext/>
                    <w:spacing w:after="0" w:before="0" w:line="240" w:lineRule="auto"/>
                    <w:ind w:firstLine="0"/>
                    <w:jc w:val="center"/>
                  </w:pPr>
                  <w:r>
                    <w:rPr>
                      <w:sz w:val="14"/>
                    </w:rPr>
                    <w:t xml:space="preserve">564</w:t>
                  </w:r>
                </w:p>
              </w:tc>
              <w:tc>
                <w:tcPr>
                  <w:tcW w:w="608" w:type="dxa"/>
                </w:tcPr>
                <w:p>
                  <w:pPr>
                    <w:pStyle w:val="Compact"/>
                    <w:keepNext/>
                    <w:spacing w:after="0" w:before="0" w:line="240" w:lineRule="auto"/>
                    <w:ind w:firstLine="0"/>
                    <w:jc w:val="center"/>
                  </w:pPr>
                  <w:r>
                    <w:rPr>
                      <w:sz w:val="14"/>
                    </w:rPr>
                    <w:t xml:space="preserve">186</w:t>
                  </w:r>
                </w:p>
              </w:tc>
              <w:tc>
                <w:tcPr>
                  <w:tcW w:w="635" w:type="dxa"/>
                </w:tcPr>
                <w:p>
                  <w:pPr>
                    <w:pStyle w:val="Compact"/>
                    <w:keepNext/>
                    <w:spacing w:after="0" w:before="0" w:line="240" w:lineRule="auto"/>
                    <w:ind w:firstLine="0"/>
                    <w:jc w:val="center"/>
                  </w:pPr>
                  <w:r>
                    <w:rPr>
                      <w:sz w:val="14"/>
                    </w:rPr>
                    <w:t xml:space="preserve">185/186</w:t>
                  </w:r>
                </w:p>
              </w:tc>
              <w:tc>
                <w:tcPr>
                  <w:tcW w:w="635" w:type="dxa"/>
                </w:tcPr>
                <w:p>
                  <w:pPr>
                    <w:pStyle w:val="Compact"/>
                    <w:keepNext/>
                    <w:spacing w:after="0" w:before="0" w:line="240" w:lineRule="auto"/>
                    <w:ind w:firstLine="0"/>
                    <w:jc w:val="center"/>
                  </w:pPr>
                  <w:r>
                    <w:rPr>
                      <w:sz w:val="14"/>
                    </w:rPr>
                    <w:t xml:space="preserve">339/378</w:t>
                  </w:r>
                </w:p>
              </w:tc>
              <w:tc>
                <w:tcPr>
                  <w:tcW w:w="690" w:type="dxa"/>
                </w:tcPr>
                <w:p>
                  <w:pPr>
                    <w:pStyle w:val="Compact"/>
                    <w:keepNext/>
                    <w:spacing w:after="0" w:before="0" w:line="240" w:lineRule="auto"/>
                    <w:ind w:firstLine="0"/>
                    <w:jc w:val="center"/>
                  </w:pPr>
                  <w:r>
                    <w:rPr>
                      <w:sz w:val="14"/>
                    </w:rPr>
                    <w:t xml:space="preserve">82.6%</w:t>
                  </w:r>
                </w:p>
              </w:tc>
              <w:tc>
                <w:tcPr>
                  <w:tcW w:w="500" w:type="dxa"/>
                </w:tcPr>
                <w:p>
                  <w:pPr>
                    <w:pStyle w:val="Compact"/>
                    <w:keepNext/>
                    <w:spacing w:after="0" w:before="0" w:line="240" w:lineRule="auto"/>
                    <w:ind w:firstLine="0"/>
                    <w:jc w:val="center"/>
                  </w:pPr>
                  <w:r>
                    <w:rPr>
                      <w:sz w:val="14"/>
                    </w:rPr>
                    <w:t xml:space="preserve">177/185</w:t>
                  </w:r>
                </w:p>
              </w:tc>
              <w:tc>
                <w:tcPr>
                  <w:tcW w:w="500" w:type="dxa"/>
                </w:tcPr>
                <w:p>
                  <w:pPr>
                    <w:pStyle w:val="Compact"/>
                    <w:keepNext/>
                    <w:spacing w:after="0" w:before="0" w:line="240" w:lineRule="auto"/>
                    <w:ind w:firstLine="0"/>
                    <w:jc w:val="center"/>
                  </w:pPr>
                  <w:r>
                    <w:rPr>
                      <w:sz w:val="14"/>
                    </w:rPr>
                    <w:t xml:space="preserve">289/320</w:t>
                  </w:r>
                </w:p>
              </w:tc>
            </w:tr>
            <w:tr>
              <w:trPr>
                <w:cantSplit/>
              </w:trPr>
              <w:tc>
                <w:tcPr>
                  <w:tcW w:w="747" w:type="dxa"/>
                </w:tcPr>
                <w:p>
                  <w:pPr>
                    <w:pStyle w:val="Compact"/>
                    <w:keepNext/>
                    <w:spacing w:after="0" w:before="0" w:line="240" w:lineRule="auto"/>
                    <w:ind w:firstLine="0"/>
                    <w:jc w:val="left"/>
                  </w:pPr>
                  <w:r>
                    <w:rPr>
                      <w:i/>
                      <w:iCs/>
                      <w:sz w:val="14"/>
                    </w:rPr>
                    <w:t xml:space="preserve">E. cloacae</w:t>
                  </w:r>
                  <w:r>
                    <w:rPr>
                      <w:sz w:val="14"/>
                    </w:rPr>
                    <w:t xml:space="preserve"> </w:t>
                  </w:r>
                  <w:r>
                    <w:rPr>
                      <w:sz w:val="14"/>
                    </w:rPr>
                    <w:t xml:space="preserve">cplx.</w:t>
                  </w:r>
                </w:p>
              </w:tc>
              <w:tc>
                <w:tcPr>
                  <w:tcW w:w="581" w:type="dxa"/>
                </w:tcPr>
                <w:p>
                  <w:pPr>
                    <w:pStyle w:val="Compact"/>
                    <w:keepNext/>
                    <w:spacing w:after="0" w:before="0" w:line="240" w:lineRule="auto"/>
                    <w:ind w:firstLine="0"/>
                    <w:jc w:val="center"/>
                  </w:pPr>
                  <w:r>
                    <w:rPr>
                      <w:sz w:val="14"/>
                    </w:rPr>
                    <w:t xml:space="preserve">163</w:t>
                  </w:r>
                </w:p>
              </w:tc>
              <w:tc>
                <w:tcPr>
                  <w:tcW w:w="608" w:type="dxa"/>
                </w:tcPr>
                <w:p>
                  <w:pPr>
                    <w:pStyle w:val="Compact"/>
                    <w:keepNext/>
                    <w:spacing w:after="0" w:before="0" w:line="240" w:lineRule="auto"/>
                    <w:ind w:firstLine="0"/>
                    <w:jc w:val="center"/>
                  </w:pPr>
                  <w:r>
                    <w:rPr>
                      <w:sz w:val="14"/>
                    </w:rPr>
                    <w:t xml:space="preserve">37</w:t>
                  </w:r>
                </w:p>
              </w:tc>
              <w:tc>
                <w:tcPr>
                  <w:tcW w:w="635" w:type="dxa"/>
                </w:tcPr>
                <w:p>
                  <w:pPr>
                    <w:pStyle w:val="Compact"/>
                    <w:keepNext/>
                    <w:spacing w:after="0" w:before="0" w:line="240" w:lineRule="auto"/>
                    <w:ind w:firstLine="0"/>
                    <w:jc w:val="center"/>
                  </w:pPr>
                  <w:r>
                    <w:rPr>
                      <w:sz w:val="14"/>
                    </w:rPr>
                    <w:t xml:space="preserve">37/37</w:t>
                  </w:r>
                </w:p>
              </w:tc>
              <w:tc>
                <w:tcPr>
                  <w:tcW w:w="635" w:type="dxa"/>
                </w:tcPr>
                <w:p>
                  <w:pPr>
                    <w:pStyle w:val="Compact"/>
                    <w:keepNext/>
                    <w:spacing w:after="0" w:before="0" w:line="240" w:lineRule="auto"/>
                    <w:ind w:firstLine="0"/>
                    <w:jc w:val="center"/>
                  </w:pPr>
                  <w:r>
                    <w:rPr>
                      <w:sz w:val="14"/>
                    </w:rPr>
                    <w:t xml:space="preserve">104/126</w:t>
                  </w:r>
                </w:p>
              </w:tc>
              <w:tc>
                <w:tcPr>
                  <w:tcW w:w="690" w:type="dxa"/>
                </w:tcPr>
                <w:p>
                  <w:pPr>
                    <w:pStyle w:val="Compact"/>
                    <w:keepNext/>
                    <w:spacing w:after="0" w:before="0" w:line="240" w:lineRule="auto"/>
                    <w:ind w:firstLine="0"/>
                    <w:jc w:val="center"/>
                  </w:pPr>
                  <w:r>
                    <w:rPr>
                      <w:sz w:val="14"/>
                    </w:rPr>
                    <w:t xml:space="preserve">62.7%</w:t>
                  </w:r>
                </w:p>
              </w:tc>
              <w:tc>
                <w:tcPr>
                  <w:tcW w:w="500" w:type="dxa"/>
                </w:tcPr>
                <w:p>
                  <w:pPr>
                    <w:pStyle w:val="Compact"/>
                    <w:keepNext/>
                    <w:spacing w:after="0" w:before="0" w:line="240" w:lineRule="auto"/>
                    <w:ind w:firstLine="0"/>
                    <w:jc w:val="center"/>
                  </w:pPr>
                  <w:r>
                    <w:rPr>
                      <w:sz w:val="14"/>
                    </w:rPr>
                    <w:t xml:space="preserve">29/36</w:t>
                  </w:r>
                </w:p>
              </w:tc>
              <w:tc>
                <w:tcPr>
                  <w:tcW w:w="500" w:type="dxa"/>
                </w:tcPr>
                <w:p>
                  <w:pPr>
                    <w:pStyle w:val="Compact"/>
                    <w:keepNext/>
                    <w:spacing w:after="0" w:before="0" w:line="240" w:lineRule="auto"/>
                    <w:ind w:firstLine="0"/>
                    <w:jc w:val="center"/>
                  </w:pPr>
                  <w:r>
                    <w:rPr>
                      <w:sz w:val="14"/>
                    </w:rPr>
                    <w:t xml:space="preserve">116/124</w:t>
                  </w:r>
                </w:p>
              </w:tc>
            </w:tr>
            <w:tr>
              <w:trPr>
                <w:cantSplit/>
              </w:trPr>
              <w:tc>
                <w:tcPr>
                  <w:tcW w:w="747" w:type="dxa"/>
                </w:tcPr>
                <w:p>
                  <w:pPr>
                    <w:pStyle w:val="Compact"/>
                    <w:keepNext/>
                    <w:spacing w:after="0" w:before="0" w:line="240" w:lineRule="auto"/>
                    <w:ind w:firstLine="0"/>
                    <w:jc w:val="left"/>
                  </w:pPr>
                  <w:r>
                    <w:rPr>
                      <w:i/>
                      <w:iCs/>
                      <w:sz w:val="14"/>
                    </w:rPr>
                    <w:t xml:space="preserve">K. aerogenes</w:t>
                  </w:r>
                </w:p>
              </w:tc>
              <w:tc>
                <w:tcPr>
                  <w:tcW w:w="581" w:type="dxa"/>
                </w:tcPr>
                <w:p>
                  <w:pPr>
                    <w:pStyle w:val="Compact"/>
                    <w:keepNext/>
                    <w:spacing w:after="0" w:before="0" w:line="240" w:lineRule="auto"/>
                    <w:ind w:firstLine="0"/>
                    <w:jc w:val="center"/>
                  </w:pPr>
                  <w:r>
                    <w:rPr>
                      <w:sz w:val="14"/>
                    </w:rPr>
                    <w:t xml:space="preserve">110</w:t>
                  </w:r>
                </w:p>
              </w:tc>
              <w:tc>
                <w:tcPr>
                  <w:tcW w:w="608" w:type="dxa"/>
                </w:tcPr>
                <w:p>
                  <w:pPr>
                    <w:pStyle w:val="Compact"/>
                    <w:keepNext/>
                    <w:spacing w:after="0" w:before="0" w:line="240" w:lineRule="auto"/>
                    <w:ind w:firstLine="0"/>
                    <w:jc w:val="center"/>
                  </w:pPr>
                  <w:r>
                    <w:rPr>
                      <w:sz w:val="14"/>
                    </w:rPr>
                    <w:t xml:space="preserve">4</w:t>
                  </w:r>
                </w:p>
              </w:tc>
              <w:tc>
                <w:tcPr>
                  <w:tcW w:w="635" w:type="dxa"/>
                </w:tcPr>
                <w:p>
                  <w:pPr>
                    <w:pStyle w:val="Compact"/>
                    <w:keepNext/>
                    <w:spacing w:after="0" w:before="0" w:line="240" w:lineRule="auto"/>
                    <w:ind w:firstLine="0"/>
                    <w:jc w:val="center"/>
                  </w:pPr>
                  <w:r>
                    <w:rPr>
                      <w:sz w:val="14"/>
                    </w:rPr>
                    <w:t xml:space="preserve">4/4</w:t>
                  </w:r>
                </w:p>
              </w:tc>
              <w:tc>
                <w:tcPr>
                  <w:tcW w:w="635" w:type="dxa"/>
                </w:tcPr>
                <w:p>
                  <w:pPr>
                    <w:pStyle w:val="Compact"/>
                    <w:keepNext/>
                    <w:spacing w:after="0" w:before="0" w:line="240" w:lineRule="auto"/>
                    <w:ind w:firstLine="0"/>
                    <w:jc w:val="center"/>
                  </w:pPr>
                  <w:r>
                    <w:rPr>
                      <w:sz w:val="14"/>
                    </w:rPr>
                    <w:t xml:space="preserve">61/106</w:t>
                  </w:r>
                </w:p>
              </w:tc>
              <w:tc>
                <w:tcPr>
                  <w:tcW w:w="690" w:type="dxa"/>
                </w:tcPr>
                <w:p>
                  <w:pPr>
                    <w:pStyle w:val="Compact"/>
                    <w:keepNext/>
                    <w:spacing w:after="0" w:before="0" w:line="240" w:lineRule="auto"/>
                    <w:ind w:firstLine="0"/>
                    <w:jc w:val="center"/>
                  </w:pPr>
                  <w:r>
                    <w:rPr>
                      <w:sz w:val="14"/>
                    </w:rPr>
                    <w:t xml:space="preserve">8.2%</w:t>
                  </w:r>
                </w:p>
              </w:tc>
              <w:tc>
                <w:tcPr>
                  <w:tcW w:w="500" w:type="dxa"/>
                </w:tcPr>
                <w:p>
                  <w:pPr>
                    <w:pStyle w:val="Compact"/>
                    <w:keepNext/>
                    <w:spacing w:after="0" w:before="0" w:line="240" w:lineRule="auto"/>
                    <w:ind w:firstLine="0"/>
                    <w:jc w:val="center"/>
                  </w:pPr>
                  <w:r>
                    <w:rPr>
                      <w:sz w:val="14"/>
                    </w:rPr>
                    <w:t xml:space="preserve">3/4</w:t>
                  </w:r>
                </w:p>
              </w:tc>
              <w:tc>
                <w:tcPr>
                  <w:tcW w:w="500" w:type="dxa"/>
                </w:tcPr>
                <w:p>
                  <w:pPr>
                    <w:pStyle w:val="Compact"/>
                    <w:keepNext/>
                    <w:spacing w:after="0" w:before="0" w:line="240" w:lineRule="auto"/>
                    <w:ind w:firstLine="0"/>
                    <w:jc w:val="center"/>
                  </w:pPr>
                  <w:r>
                    <w:rPr>
                      <w:sz w:val="14"/>
                    </w:rPr>
                    <w:t xml:space="preserve">81/106</w:t>
                  </w:r>
                </w:p>
              </w:tc>
            </w:tr>
            <w:tr>
              <w:trPr>
                <w:cantSplit/>
              </w:trPr>
              <w:tc>
                <w:tcPr>
                  <w:tcW w:w="747" w:type="dxa"/>
                </w:tcPr>
                <w:p>
                  <w:pPr>
                    <w:pStyle w:val="Compact"/>
                    <w:keepNext/>
                    <w:spacing w:after="0" w:before="0" w:line="240" w:lineRule="auto"/>
                    <w:ind w:firstLine="0"/>
                    <w:jc w:val="left"/>
                  </w:pPr>
                  <w:r>
                    <w:rPr>
                      <w:i/>
                      <w:iCs/>
                      <w:sz w:val="14"/>
                    </w:rPr>
                    <w:t xml:space="preserve">C. freundii</w:t>
                  </w:r>
                  <w:r>
                    <w:rPr>
                      <w:sz w:val="14"/>
                    </w:rPr>
                    <w:t xml:space="preserve"> </w:t>
                  </w:r>
                  <w:r>
                    <w:rPr>
                      <w:sz w:val="14"/>
                    </w:rPr>
                    <w:t xml:space="preserve">cplx.</w:t>
                  </w:r>
                </w:p>
              </w:tc>
              <w:tc>
                <w:tcPr>
                  <w:tcW w:w="581" w:type="dxa"/>
                </w:tcPr>
                <w:p>
                  <w:pPr>
                    <w:pStyle w:val="Compact"/>
                    <w:keepNext/>
                    <w:spacing w:after="0" w:before="0" w:line="240" w:lineRule="auto"/>
                    <w:ind w:firstLine="0"/>
                    <w:jc w:val="center"/>
                  </w:pPr>
                  <w:r>
                    <w:rPr>
                      <w:sz w:val="14"/>
                    </w:rPr>
                    <w:t xml:space="preserve">54</w:t>
                  </w:r>
                </w:p>
              </w:tc>
              <w:tc>
                <w:tcPr>
                  <w:tcW w:w="608" w:type="dxa"/>
                </w:tcPr>
                <w:p>
                  <w:pPr>
                    <w:pStyle w:val="Compact"/>
                    <w:keepNext/>
                    <w:spacing w:after="0" w:before="0" w:line="240" w:lineRule="auto"/>
                    <w:ind w:firstLine="0"/>
                    <w:jc w:val="center"/>
                  </w:pPr>
                  <w:r>
                    <w:rPr>
                      <w:sz w:val="14"/>
                    </w:rPr>
                    <w:t xml:space="preserve">7</w:t>
                  </w:r>
                </w:p>
              </w:tc>
              <w:tc>
                <w:tcPr>
                  <w:tcW w:w="635" w:type="dxa"/>
                </w:tcPr>
                <w:p>
                  <w:pPr>
                    <w:pStyle w:val="Compact"/>
                    <w:keepNext/>
                    <w:spacing w:after="0" w:before="0" w:line="240" w:lineRule="auto"/>
                    <w:ind w:firstLine="0"/>
                    <w:jc w:val="center"/>
                  </w:pPr>
                  <w:r>
                    <w:rPr>
                      <w:sz w:val="14"/>
                    </w:rPr>
                    <w:t xml:space="preserve">6/7</w:t>
                  </w:r>
                </w:p>
              </w:tc>
              <w:tc>
                <w:tcPr>
                  <w:tcW w:w="635" w:type="dxa"/>
                </w:tcPr>
                <w:p>
                  <w:pPr>
                    <w:pStyle w:val="Compact"/>
                    <w:keepNext/>
                    <w:spacing w:after="0" w:before="0" w:line="240" w:lineRule="auto"/>
                    <w:ind w:firstLine="0"/>
                    <w:jc w:val="center"/>
                  </w:pPr>
                  <w:r>
                    <w:rPr>
                      <w:sz w:val="14"/>
                    </w:rPr>
                    <w:t xml:space="preserve">46/47</w:t>
                  </w:r>
                </w:p>
              </w:tc>
              <w:tc>
                <w:tcPr>
                  <w:tcW w:w="690" w:type="dxa"/>
                </w:tcPr>
                <w:p>
                  <w:pPr>
                    <w:pStyle w:val="Compact"/>
                    <w:keepNext/>
                    <w:spacing w:after="0" w:before="0" w:line="240" w:lineRule="auto"/>
                    <w:ind w:firstLine="0"/>
                    <w:jc w:val="center"/>
                  </w:pPr>
                  <w:r>
                    <w:rPr>
                      <w:sz w:val="14"/>
                    </w:rPr>
                    <w:t xml:space="preserve">85.7%</w:t>
                  </w:r>
                </w:p>
              </w:tc>
              <w:tc>
                <w:tcPr>
                  <w:tcW w:w="500" w:type="dxa"/>
                </w:tcPr>
                <w:p>
                  <w:pPr>
                    <w:pStyle w:val="Compact"/>
                    <w:keepNext/>
                    <w:spacing w:after="0" w:before="0" w:line="240" w:lineRule="auto"/>
                    <w:ind w:firstLine="0"/>
                    <w:jc w:val="center"/>
                  </w:pPr>
                  <w:r>
                    <w:rPr>
                      <w:sz w:val="14"/>
                    </w:rPr>
                    <w:t xml:space="preserve">5/7</w:t>
                  </w:r>
                </w:p>
              </w:tc>
              <w:tc>
                <w:tcPr>
                  <w:tcW w:w="500" w:type="dxa"/>
                </w:tcPr>
                <w:p>
                  <w:pPr>
                    <w:pStyle w:val="Compact"/>
                    <w:keepNext/>
                    <w:spacing w:after="0" w:before="0" w:line="240" w:lineRule="auto"/>
                    <w:ind w:firstLine="0"/>
                    <w:jc w:val="center"/>
                  </w:pPr>
                  <w:r>
                    <w:rPr>
                      <w:sz w:val="14"/>
                    </w:rPr>
                    <w:t xml:space="preserve">46/47</w:t>
                  </w:r>
                </w:p>
              </w:tc>
            </w:tr>
            <w:tr>
              <w:trPr>
                <w:cantSplit/>
              </w:trPr>
              <w:tc>
                <w:tcPr>
                  <w:tcW w:w="747" w:type="dxa"/>
                </w:tcPr>
                <w:p>
                  <w:pPr>
                    <w:pStyle w:val="Compact"/>
                    <w:keepNext/>
                    <w:spacing w:after="0" w:before="0" w:line="240" w:lineRule="auto"/>
                    <w:ind w:firstLine="0"/>
                    <w:jc w:val="left"/>
                  </w:pPr>
                  <w:r>
                    <w:rPr>
                      <w:i/>
                      <w:iCs/>
                      <w:sz w:val="14"/>
                    </w:rPr>
                    <w:t xml:space="preserve">Serratia</w:t>
                  </w:r>
                  <w:r>
                    <w:rPr>
                      <w:sz w:val="14"/>
                    </w:rPr>
                    <w:t xml:space="preserve"> </w:t>
                  </w:r>
                  <w:r>
                    <w:rPr>
                      <w:sz w:val="14"/>
                    </w:rPr>
                    <w:t xml:space="preserve">spp.</w:t>
                  </w:r>
                </w:p>
              </w:tc>
              <w:tc>
                <w:tcPr>
                  <w:tcW w:w="581" w:type="dxa"/>
                </w:tcPr>
                <w:p>
                  <w:pPr>
                    <w:pStyle w:val="Compact"/>
                    <w:keepNext/>
                    <w:spacing w:after="0" w:before="0" w:line="240" w:lineRule="auto"/>
                    <w:ind w:firstLine="0"/>
                    <w:jc w:val="center"/>
                  </w:pPr>
                  <w:r>
                    <w:rPr>
                      <w:sz w:val="14"/>
                    </w:rPr>
                    <w:t xml:space="preserve">29</w:t>
                  </w:r>
                </w:p>
              </w:tc>
              <w:tc>
                <w:tcPr>
                  <w:tcW w:w="608" w:type="dxa"/>
                </w:tcPr>
                <w:p>
                  <w:pPr>
                    <w:pStyle w:val="Compact"/>
                    <w:keepNext/>
                    <w:spacing w:after="0" w:before="0" w:line="240" w:lineRule="auto"/>
                    <w:ind w:firstLine="0"/>
                    <w:jc w:val="center"/>
                  </w:pPr>
                  <w:r>
                    <w:rPr>
                      <w:sz w:val="14"/>
                    </w:rPr>
                    <w:t xml:space="preserve">3</w:t>
                  </w:r>
                </w:p>
              </w:tc>
              <w:tc>
                <w:tcPr>
                  <w:tcW w:w="635" w:type="dxa"/>
                </w:tcPr>
                <w:p>
                  <w:pPr>
                    <w:pStyle w:val="Compact"/>
                    <w:keepNext/>
                    <w:spacing w:after="0" w:before="0" w:line="240" w:lineRule="auto"/>
                    <w:ind w:firstLine="0"/>
                    <w:jc w:val="center"/>
                  </w:pPr>
                  <w:r>
                    <w:rPr>
                      <w:sz w:val="14"/>
                    </w:rPr>
                    <w:t xml:space="preserve">3/3</w:t>
                  </w:r>
                </w:p>
              </w:tc>
              <w:tc>
                <w:tcPr>
                  <w:tcW w:w="635" w:type="dxa"/>
                </w:tcPr>
                <w:p>
                  <w:pPr>
                    <w:pStyle w:val="Compact"/>
                    <w:keepNext/>
                    <w:spacing w:after="0" w:before="0" w:line="240" w:lineRule="auto"/>
                    <w:ind w:firstLine="0"/>
                    <w:jc w:val="center"/>
                  </w:pPr>
                  <w:r>
                    <w:rPr>
                      <w:sz w:val="14"/>
                    </w:rPr>
                    <w:t xml:space="preserve">22/26</w:t>
                  </w:r>
                </w:p>
              </w:tc>
              <w:tc>
                <w:tcPr>
                  <w:tcW w:w="690" w:type="dxa"/>
                </w:tcPr>
                <w:p>
                  <w:pPr>
                    <w:pStyle w:val="Compact"/>
                    <w:keepNext/>
                    <w:spacing w:after="0" w:before="0" w:line="240" w:lineRule="auto"/>
                    <w:ind w:firstLine="0"/>
                    <w:jc w:val="center"/>
                  </w:pPr>
                  <w:r>
                    <w:rPr>
                      <w:sz w:val="14"/>
                    </w:rPr>
                    <w:t xml:space="preserve">42.9%</w:t>
                  </w:r>
                </w:p>
              </w:tc>
              <w:tc>
                <w:tcPr>
                  <w:tcW w:w="500" w:type="dxa"/>
                </w:tcPr>
                <w:p>
                  <w:pPr>
                    <w:pStyle w:val="Compact"/>
                    <w:keepNext/>
                    <w:spacing w:after="0" w:before="0" w:line="240" w:lineRule="auto"/>
                    <w:ind w:firstLine="0"/>
                    <w:jc w:val="center"/>
                  </w:pPr>
                  <w:r>
                    <w:rPr>
                      <w:sz w:val="14"/>
                    </w:rPr>
                    <w:t xml:space="preserve">2/2</w:t>
                  </w:r>
                </w:p>
              </w:tc>
              <w:tc>
                <w:tcPr>
                  <w:tcW w:w="500" w:type="dxa"/>
                </w:tcPr>
                <w:p>
                  <w:pPr>
                    <w:pStyle w:val="Compact"/>
                    <w:keepNext/>
                    <w:spacing w:after="0" w:before="0" w:line="240" w:lineRule="auto"/>
                    <w:ind w:firstLine="0"/>
                    <w:jc w:val="center"/>
                  </w:pPr>
                  <w:r>
                    <w:rPr>
                      <w:sz w:val="14"/>
                    </w:rPr>
                    <w:t xml:space="preserve">23/26</w:t>
                  </w:r>
                </w:p>
              </w:tc>
            </w:tr>
            <w:tr>
              <w:trPr>
                <w:cantSplit/>
              </w:trPr>
              <w:tc>
                <w:tcPr>
                  <w:tcW w:w="747" w:type="dxa"/>
                </w:tcPr>
                <w:p>
                  <w:pPr>
                    <w:pStyle w:val="Compact"/>
                    <w:keepNext/>
                    <w:spacing w:after="0" w:before="0" w:line="240" w:lineRule="auto"/>
                    <w:ind w:firstLine="0"/>
                    <w:jc w:val="left"/>
                  </w:pPr>
                  <w:r>
                    <w:rPr>
                      <w:i/>
                      <w:iCs/>
                      <w:sz w:val="14"/>
                    </w:rPr>
                    <w:t xml:space="preserve">Morganella</w:t>
                  </w:r>
                  <w:r>
                    <w:rPr>
                      <w:sz w:val="14"/>
                    </w:rPr>
                    <w:t xml:space="preserve">/</w:t>
                  </w:r>
                  <w:r>
                    <w:rPr>
                      <w:i/>
                      <w:iCs/>
                      <w:sz w:val="14"/>
                    </w:rPr>
                    <w:t xml:space="preserve">Providencia</w:t>
                  </w:r>
                </w:p>
              </w:tc>
              <w:tc>
                <w:tcPr>
                  <w:tcW w:w="581" w:type="dxa"/>
                </w:tcPr>
                <w:p>
                  <w:pPr>
                    <w:pStyle w:val="Compact"/>
                    <w:keepNext/>
                    <w:spacing w:after="0" w:before="0" w:line="240" w:lineRule="auto"/>
                    <w:ind w:firstLine="0"/>
                    <w:jc w:val="center"/>
                  </w:pPr>
                  <w:r>
                    <w:rPr>
                      <w:sz w:val="14"/>
                    </w:rPr>
                    <w:t xml:space="preserve">31</w:t>
                  </w:r>
                </w:p>
              </w:tc>
              <w:tc>
                <w:tcPr>
                  <w:tcW w:w="608" w:type="dxa"/>
                </w:tcPr>
                <w:p>
                  <w:pPr>
                    <w:pStyle w:val="Compact"/>
                    <w:keepNext/>
                    <w:spacing w:after="0" w:before="0" w:line="240" w:lineRule="auto"/>
                    <w:ind w:firstLine="0"/>
                    <w:jc w:val="center"/>
                  </w:pPr>
                  <w:r>
                    <w:rPr>
                      <w:sz w:val="14"/>
                    </w:rPr>
                    <w:t xml:space="preserve">5</w:t>
                  </w:r>
                </w:p>
              </w:tc>
              <w:tc>
                <w:tcPr>
                  <w:tcW w:w="635" w:type="dxa"/>
                </w:tcPr>
                <w:p>
                  <w:pPr>
                    <w:pStyle w:val="Compact"/>
                    <w:keepNext/>
                    <w:spacing w:after="0" w:before="0" w:line="240" w:lineRule="auto"/>
                    <w:ind w:firstLine="0"/>
                    <w:jc w:val="center"/>
                  </w:pPr>
                  <w:r>
                    <w:rPr>
                      <w:sz w:val="14"/>
                    </w:rPr>
                    <w:t xml:space="preserve">4/5</w:t>
                  </w:r>
                </w:p>
              </w:tc>
              <w:tc>
                <w:tcPr>
                  <w:tcW w:w="635" w:type="dxa"/>
                </w:tcPr>
                <w:p>
                  <w:pPr>
                    <w:pStyle w:val="Compact"/>
                    <w:keepNext/>
                    <w:spacing w:after="0" w:before="0" w:line="240" w:lineRule="auto"/>
                    <w:ind w:firstLine="0"/>
                    <w:jc w:val="center"/>
                  </w:pPr>
                  <w:r>
                    <w:rPr>
                      <w:sz w:val="14"/>
                    </w:rPr>
                    <w:t xml:space="preserve">24/26</w:t>
                  </w:r>
                </w:p>
              </w:tc>
              <w:tc>
                <w:tcPr>
                  <w:tcW w:w="690" w:type="dxa"/>
                </w:tcPr>
                <w:p>
                  <w:pPr>
                    <w:pStyle w:val="Compact"/>
                    <w:keepNext/>
                    <w:spacing w:after="0" w:before="0" w:line="240" w:lineRule="auto"/>
                    <w:ind w:firstLine="0"/>
                    <w:jc w:val="center"/>
                  </w:pPr>
                  <w:r>
                    <w:rPr>
                      <w:sz w:val="14"/>
                    </w:rPr>
                    <w:t xml:space="preserve">66.7%</w:t>
                  </w:r>
                </w:p>
              </w:tc>
              <w:tc>
                <w:tcPr>
                  <w:tcW w:w="500" w:type="dxa"/>
                </w:tcPr>
                <w:p>
                  <w:pPr>
                    <w:pStyle w:val="Compact"/>
                    <w:keepNext/>
                    <w:spacing w:after="0" w:before="0" w:line="240" w:lineRule="auto"/>
                    <w:ind w:firstLine="0"/>
                    <w:jc w:val="center"/>
                  </w:pPr>
                  <w:r>
                    <w:rPr>
                      <w:sz w:val="14"/>
                    </w:rPr>
                    <w:t xml:space="preserve">2/5</w:t>
                  </w:r>
                </w:p>
              </w:tc>
              <w:tc>
                <w:tcPr>
                  <w:tcW w:w="500" w:type="dxa"/>
                </w:tcPr>
                <w:p>
                  <w:pPr>
                    <w:pStyle w:val="Compact"/>
                    <w:keepNext/>
                    <w:spacing w:after="0" w:before="0" w:line="240" w:lineRule="auto"/>
                    <w:ind w:firstLine="0"/>
                    <w:jc w:val="center"/>
                  </w:pPr>
                  <w:r>
                    <w:rPr>
                      <w:sz w:val="14"/>
                    </w:rPr>
                    <w:t xml:space="preserve">24/26</w:t>
                  </w:r>
                </w:p>
              </w:tc>
            </w:tr>
            <w:tr>
              <w:trPr>
                <w:cantSplit/>
              </w:trPr>
              <w:tc>
                <w:tcPr>
                  <w:tcW w:w="747" w:type="dxa"/>
                  <w:tcBorders>
                    <w:bottom w:val="double" w:sz="4" w:space="0" w:color="000000"/>
                  </w:tcBorders>
                </w:tcPr>
                <w:p>
                  <w:pPr>
                    <w:pStyle w:val="Compact"/>
                    <w:spacing w:after="0" w:before="0" w:line="240" w:lineRule="auto"/>
                    <w:ind w:firstLine="0"/>
                    <w:jc w:val="left"/>
                  </w:pPr>
                  <w:r>
                    <w:rPr>
                      <w:sz w:val="14"/>
                    </w:rPr>
                    <w:t xml:space="preserve">Enterobacteralesᵃ</w:t>
                  </w:r>
                </w:p>
              </w:tc>
              <w:tc>
                <w:tcPr>
                  <w:tcW w:w="581" w:type="dxa"/>
                  <w:tcBorders>
                    <w:bottom w:val="double" w:sz="4" w:space="0" w:color="000000"/>
                  </w:tcBorders>
                </w:tcPr>
                <w:p>
                  <w:pPr>
                    <w:pStyle w:val="Compact"/>
                    <w:spacing w:after="0" w:before="0" w:line="240" w:lineRule="auto"/>
                    <w:ind w:firstLine="0"/>
                    <w:jc w:val="center"/>
                  </w:pPr>
                  <w:r>
                    <w:rPr>
                      <w:sz w:val="14"/>
                    </w:rPr>
                    <w:t xml:space="preserve">4,147</w:t>
                  </w:r>
                </w:p>
              </w:tc>
              <w:tc>
                <w:tcPr>
                  <w:tcW w:w="608" w:type="dxa"/>
                  <w:tcBorders>
                    <w:bottom w:val="double" w:sz="4" w:space="0" w:color="000000"/>
                  </w:tcBorders>
                </w:tcPr>
                <w:p>
                  <w:pPr>
                    <w:pStyle w:val="Compact"/>
                    <w:spacing w:after="0" w:before="0" w:line="240" w:lineRule="auto"/>
                    <w:ind w:firstLine="0"/>
                    <w:jc w:val="center"/>
                  </w:pPr>
                  <w:r>
                    <w:rPr>
                      <w:sz w:val="14"/>
                    </w:rPr>
                    <w:t xml:space="preserve">278</w:t>
                  </w:r>
                </w:p>
              </w:tc>
              <w:tc>
                <w:tcPr>
                  <w:tcW w:w="635" w:type="dxa"/>
                  <w:tcBorders>
                    <w:bottom w:val="double" w:sz="4" w:space="0" w:color="000000"/>
                  </w:tcBorders>
                </w:tcPr>
                <w:p>
                  <w:pPr>
                    <w:pStyle w:val="Compact"/>
                    <w:spacing w:after="0" w:before="0" w:line="240" w:lineRule="auto"/>
                    <w:ind w:firstLine="0"/>
                    <w:jc w:val="center"/>
                  </w:pPr>
                  <w:r>
                    <w:rPr>
                      <w:sz w:val="14"/>
                    </w:rPr>
                    <w:t xml:space="preserve">272/278</w:t>
                  </w:r>
                </w:p>
              </w:tc>
              <w:tc>
                <w:tcPr>
                  <w:tcW w:w="635" w:type="dxa"/>
                  <w:tcBorders>
                    <w:bottom w:val="double" w:sz="4" w:space="0" w:color="000000"/>
                  </w:tcBorders>
                </w:tcPr>
                <w:p>
                  <w:pPr>
                    <w:pStyle w:val="Compact"/>
                    <w:spacing w:after="0" w:before="0" w:line="240" w:lineRule="auto"/>
                    <w:ind w:firstLine="0"/>
                    <w:jc w:val="center"/>
                  </w:pPr>
                  <w:r>
                    <w:rPr>
                      <w:sz w:val="14"/>
                    </w:rPr>
                    <w:t xml:space="preserve">3718/3869</w:t>
                  </w:r>
                </w:p>
              </w:tc>
              <w:tc>
                <w:tcPr>
                  <w:tcW w:w="690" w:type="dxa"/>
                  <w:tcBorders>
                    <w:bottom w:val="double" w:sz="4" w:space="0" w:color="000000"/>
                  </w:tcBorders>
                </w:tcPr>
                <w:p>
                  <w:pPr>
                    <w:pStyle w:val="Compact"/>
                    <w:spacing w:after="0" w:before="0" w:line="240" w:lineRule="auto"/>
                    <w:ind w:firstLine="0"/>
                    <w:jc w:val="center"/>
                  </w:pPr>
                  <w:r>
                    <w:rPr>
                      <w:sz w:val="14"/>
                    </w:rPr>
                    <w:t xml:space="preserve">64.3%</w:t>
                  </w:r>
                </w:p>
              </w:tc>
              <w:tc>
                <w:tcPr>
                  <w:tcW w:w="500" w:type="dxa"/>
                  <w:tcBorders>
                    <w:bottom w:val="double" w:sz="4" w:space="0" w:color="000000"/>
                  </w:tcBorders>
                </w:tcPr>
                <w:p>
                  <w:pPr>
                    <w:pStyle w:val="Compact"/>
                    <w:spacing w:after="0" w:before="0" w:line="240" w:lineRule="auto"/>
                    <w:ind w:firstLine="0"/>
                    <w:jc w:val="center"/>
                  </w:pPr>
                  <w:r>
                    <w:rPr>
                      <w:sz w:val="14"/>
                    </w:rPr>
                    <w:t xml:space="preserve">241/275</w:t>
                  </w:r>
                </w:p>
              </w:tc>
              <w:tc>
                <w:tcPr>
                  <w:tcW w:w="500" w:type="dxa"/>
                  <w:tcBorders>
                    <w:bottom w:val="double" w:sz="4" w:space="0" w:color="000000"/>
                  </w:tcBorders>
                </w:tcPr>
                <w:p>
                  <w:pPr>
                    <w:pStyle w:val="Compact"/>
                    <w:spacing w:after="0" w:before="0" w:line="240" w:lineRule="auto"/>
                    <w:ind w:firstLine="0"/>
                    <w:jc w:val="center"/>
                  </w:pPr>
                  <w:r>
                    <w:rPr>
                      <w:sz w:val="14"/>
                    </w:rPr>
                    <w:t xml:space="preserve">3471/3559</w:t>
                  </w:r>
                </w:p>
              </w:tc>
            </w:tr>
          </w:tbl>
          <w:p/>
        </w:tc>
      </w:tr>
    </w:tbl>
    <w:bookmarkEnd w:id="63"/>
    <w:bookmarkStart w:id="74" w:name="X1a9b8c20bb356cb54798a6b7faef3cb5cda8073"/>
    <w:p>
      <w:pPr>
        <w:pStyle w:val="FirstParagraph"/>
      </w:pPr>
      <w:r>
        <w:rPr>
          <w:i/>
          <w:sz w:val="18"/>
        </w:rPr>
        <w:t xml:space="preserve">4. </w:t>
      </w:r>
      <w:r>
        <w:rPr>
          <w:i/>
          <w:sz w:val="18"/>
        </w:rPr>
        <w:t xml:space="preserve">CTX-M and third-generation cephalosporins</w:t>
      </w:r>
      <w:r>
        <w:rPr>
          <w:i/>
          <w:sz w:val="18"/>
        </w:rPr>
        <w:t xml:space="preserve">. </w:t>
      </w:r>
      <w:r>
        <w:t xml:space="preserve">CTX-M predicted ceftriaxone resistance with PPV 97.7% (96.6%–98.5%) in pooled Enterobacterales, 97.2% in</w:t>
      </w:r>
      <w:r>
        <w:t xml:space="preserve"> </w:t>
      </w:r>
      <w:r>
        <w:rPr>
          <w:i/>
          <w:iCs/>
        </w:rPr>
        <w:t xml:space="preserve">E. coli</w:t>
      </w:r>
      <w:r>
        <w:t xml:space="preserve"> </w:t>
      </w:r>
      <w:r>
        <w:t xml:space="preserve">and 99.1% in</w:t>
      </w:r>
      <w:r>
        <w:t xml:space="preserve"> </w:t>
      </w:r>
      <w:r>
        <w:rPr>
          <w:i/>
          <w:iCs/>
        </w:rPr>
        <w:t xml:space="preserve">K. pneumoniae</w:t>
      </w:r>
      <w:r>
        <w:t xml:space="preserve"> </w:t>
      </w:r>
      <w:r>
        <w:t xml:space="preserve">complex (Table</w:t>
      </w:r>
      <w:r>
        <w:t xml:space="preserve"> </w:t>
      </w:r>
      <w:hyperlink w:anchor="tab-VIII">
        <w:r>
          <w:rPr>
            <w:rStyle w:val="Hyperlink"/>
            <w:color w:val="BF0000"/>
            <w:u w:val="none"/>
          </w:rPr>
          <w:t xml:space="preserve">VIII</w:t>
        </w:r>
      </w:hyperlink>
      <w:r>
        <w:t xml:space="preserve">). The value of a negative result depended strongly on organism (Fig. 5a). In</w:t>
      </w:r>
      <w:r>
        <w:t xml:space="preserve"> </w:t>
      </w:r>
      <w:r>
        <w:rPr>
          <w:i/>
          <w:iCs/>
        </w:rPr>
        <w:t xml:space="preserve">E. coli</w:t>
      </w:r>
      <w:r>
        <w:t xml:space="preserve">, 2031/2155 CTX-M-negative isolates were not ceftriaxone-resistant (NPV 94.2%); in</w:t>
      </w:r>
      <w:r>
        <w:t xml:space="preserve"> </w:t>
      </w:r>
      <w:r>
        <w:rPr>
          <w:i/>
          <w:iCs/>
        </w:rPr>
        <w:t xml:space="preserve">K. pneumoniae</w:t>
      </w:r>
      <w:r>
        <w:t xml:space="preserve"> </w:t>
      </w:r>
      <w:r>
        <w:t xml:space="preserve">complex only 156/418 were (NPV 37.3%), because most CTX-M-negative, ceftriaxone-resistant</w:t>
      </w:r>
      <w:r>
        <w:t xml:space="preserve"> </w:t>
      </w:r>
      <w:r>
        <w:rPr>
          <w:i/>
          <w:iCs/>
        </w:rPr>
        <w:t xml:space="preserve">K. pneumoniae</w:t>
      </w:r>
      <w:r>
        <w:t xml:space="preserve"> </w:t>
      </w:r>
      <w:r>
        <w:t xml:space="preserve">carried another acquired ESBL or AmpC (140 of 296 as primary cause, mostly SHV-type) or a panel carbapenemase (135). In chromosomal AmpC species the NPV was below 10%: 4.4% in</w:t>
      </w:r>
      <w:r>
        <w:t xml:space="preserve"> </w:t>
      </w:r>
      <w:r>
        <w:rPr>
          <w:i/>
          <w:iCs/>
        </w:rPr>
        <w:t xml:space="preserve">E. cloacae</w:t>
      </w:r>
      <w:r>
        <w:t xml:space="preserve"> </w:t>
      </w:r>
      <w:r>
        <w:t xml:space="preserve">complex, 7.0% in</w:t>
      </w:r>
      <w:r>
        <w:t xml:space="preserve"> </w:t>
      </w:r>
      <w:r>
        <w:rPr>
          <w:i/>
          <w:iCs/>
        </w:rPr>
        <w:t xml:space="preserve">K. aerogenes</w:t>
      </w:r>
      <w:r>
        <w:t xml:space="preserve"> </w:t>
      </w:r>
      <w:r>
        <w:t xml:space="preserve">and 7.8% in</w:t>
      </w:r>
      <w:r>
        <w:t xml:space="preserve"> </w:t>
      </w:r>
      <w:r>
        <w:rPr>
          <w:i/>
          <w:iCs/>
        </w:rPr>
        <w:t xml:space="preserve">C. freundii</w:t>
      </w:r>
      <w:r>
        <w:t xml:space="preserve"> </w:t>
      </w:r>
      <w:r>
        <w:t xml:space="preserve">complex. For</w:t>
      </w:r>
      <w:r>
        <w:t xml:space="preserve"> </w:t>
      </w:r>
      <w:r>
        <w:rPr>
          <w:i/>
          <w:iCs/>
        </w:rPr>
        <w:t xml:space="preserve">Salmonella</w:t>
      </w:r>
      <w:r>
        <w:t xml:space="preserve">, CTX-M was rare and the NPV was 86.9%.</w:t>
      </w:r>
    </w:p>
    <w:p>
      <w:pPr>
        <w:pStyle w:val="BodyText"/>
      </w:pPr>
      <w:r>
        <w:t xml:space="preserve">CTX-M predicted ceftazidime resistance much less reliably than ceftriaxone resistance (PPV 47.4% in</w:t>
      </w:r>
      <w:r>
        <w:t xml:space="preserve"> </w:t>
      </w:r>
      <w:r>
        <w:rPr>
          <w:i/>
          <w:iCs/>
        </w:rPr>
        <w:t xml:space="preserve">E. coli</w:t>
      </w:r>
      <w:r>
        <w:t xml:space="preserve">, 79.4% in</w:t>
      </w:r>
      <w:r>
        <w:t xml:space="preserve"> </w:t>
      </w:r>
      <w:r>
        <w:rPr>
          <w:i/>
          <w:iCs/>
        </w:rPr>
        <w:t xml:space="preserve">K. pneumoniae</w:t>
      </w:r>
      <w:r>
        <w:t xml:space="preserve"> </w:t>
      </w:r>
      <w:r>
        <w:t xml:space="preserve">complex). The secondary analysis attributes this to the CTX-M subgroup (Table</w:t>
      </w:r>
      <w:r>
        <w:t xml:space="preserve"> </w:t>
      </w:r>
      <w:hyperlink w:anchor="tab-IX">
        <w:r>
          <w:rPr>
            <w:rStyle w:val="Hyperlink"/>
            <w:color w:val="BF0000"/>
            <w:u w:val="none"/>
          </w:rPr>
          <w:t xml:space="preserve">IX</w:t>
        </w:r>
      </w:hyperlink>
      <w:r>
        <w:t xml:space="preserve">, Fig. 5b). In</w:t>
      </w:r>
      <w:r>
        <w:t xml:space="preserve"> </w:t>
      </w:r>
      <w:r>
        <w:rPr>
          <w:i/>
          <w:iCs/>
        </w:rPr>
        <w:t xml:space="preserve">E. coli</w:t>
      </w:r>
      <w:r>
        <w:t xml:space="preserve">, CTX-M-1-group enzymes conferred ceftriaxone resistance in 432/443 (97.5%) and ceftazidime resistance in 235/366 (64.2%); CTX-M-9-group enzymes conferred ceftriaxone resistance in 211/218 (96.8%) but ceftazidime resistance in only 26/179 (14.5%; Fisher exact p &lt; 10⁻²⁹). In</w:t>
      </w:r>
      <w:r>
        <w:t xml:space="preserve"> </w:t>
      </w:r>
      <w:r>
        <w:rPr>
          <w:i/>
          <w:iCs/>
        </w:rPr>
        <w:t xml:space="preserve">K. pneumoniae</w:t>
      </w:r>
      <w:r>
        <w:t xml:space="preserve"> </w:t>
      </w:r>
      <w:r>
        <w:t xml:space="preserve">complex, CTX-M-1-group enzymes conferred ceftazidime resistance in 170/212 (80.2%); CTX-M-9-group enzymes were too few to compare.</w:t>
      </w:r>
    </w:p>
    <w:tbl>
      <w:tblPr>
        <w:tblW w:w="489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4896"/>
      </w:tblGrid>
      <w:tr>
        <w:trPr>
          <w:cantSplit/>
        </w:trPr>
        <w:tc>
          <w:tcPr>
            <w:tcW w:w="4896" w:type="dxa"/>
          </w:tcPr>
          <w:p>
            <w:pPr>
              <w:pStyle w:val="TabCaption"/>
              <w:jc w:val="center"/>
            </w:pPr>
            <w:bookmarkStart w:id="64" w:name="tab-VIII"/>
            <w:bookmarkEnd w:id="64"/>
            <w:r>
              <w:t xml:space="preserve">TABLE VIII: CTX-M and ceftriaxone by organism group.</w:t>
            </w:r>
          </w:p>
          <w:tbl>
            <w:tblPr>
              <w:tblStyle w:val="Table"/>
              <w:tblW w:w="4896" w:type="dxa"/>
              <w:jc w:val="center"/>
              <w:tblLayout w:type="fixed"/>
              <w:tblCellMar>
                <w:top w:w="0" w:type="dxa"/>
                <w:left w:w="60" w:type="dxa"/>
                <w:bottom w:w="0" w:type="dxa"/>
                <w:right w:w="60" w:type="dxa"/>
              </w:tblCellMar>
              <w:tblLook w:firstRow="1" w:lastRow="0" w:firstColumn="0" w:lastColumn="0" w:noHBand="0" w:noVBand="0" w:val="0020"/>
            </w:tblPr>
            <w:tblGrid>
              <w:gridCol w:w="1170"/>
              <w:gridCol w:w="393"/>
              <w:gridCol w:w="439"/>
              <w:gridCol w:w="1077"/>
              <w:gridCol w:w="985"/>
              <w:gridCol w:w="393"/>
              <w:gridCol w:w="439"/>
            </w:tblGrid>
            <w:tr>
              <w:trPr>
                <w:cantSplit/>
                <w:tblHeader w:val="true"/>
              </w:trPr>
              <w:tc>
                <w:tcPr>
                  <w:tcW w:w="1170" w:type="dxa"/>
                  <w:tcBorders>
                    <w:top w:val="double" w:sz="4" w:space="0" w:color="000000"/>
                    <w:bottom w:val="single" w:sz="4" w:space="0" w:color="000000"/>
                  </w:tcBorders>
                </w:tcPr>
                <w:p>
                  <w:pPr>
                    <w:pStyle w:val="Compact"/>
                    <w:keepNext/>
                    <w:spacing w:after="0" w:before="0" w:line="240" w:lineRule="auto"/>
                    <w:ind w:firstLine="0"/>
                    <w:jc w:val="left"/>
                  </w:pPr>
                  <w:r>
                    <w:rPr>
                      <w:sz w:val="14"/>
                    </w:rPr>
                    <w:t xml:space="preserve">Organism</w:t>
                  </w:r>
                </w:p>
              </w:tc>
              <w:tc>
                <w:tcPr>
                  <w:tcW w:w="393"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n</w:t>
                  </w:r>
                </w:p>
              </w:tc>
              <w:tc>
                <w:tcPr>
                  <w:tcW w:w="439"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CTX-M+</w:t>
                  </w:r>
                </w:p>
              </w:tc>
              <w:tc>
                <w:tcPr>
                  <w:tcW w:w="1077"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PPV (95% CI)</w:t>
                  </w:r>
                </w:p>
              </w:tc>
              <w:tc>
                <w:tcPr>
                  <w:tcW w:w="985"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NPV (95% CI)</w:t>
                  </w:r>
                </w:p>
              </w:tc>
              <w:tc>
                <w:tcPr>
                  <w:tcW w:w="393"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Sens.</w:t>
                  </w:r>
                </w:p>
              </w:tc>
              <w:tc>
                <w:tcPr>
                  <w:tcW w:w="439"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Spec.</w:t>
                  </w:r>
                </w:p>
              </w:tc>
            </w:tr>
            <w:tr>
              <w:trPr>
                <w:cantSplit/>
              </w:trPr>
              <w:tc>
                <w:tcPr>
                  <w:tcW w:w="1170" w:type="dxa"/>
                </w:tcPr>
                <w:p>
                  <w:pPr>
                    <w:pStyle w:val="Compact"/>
                    <w:keepNext/>
                    <w:spacing w:after="0" w:before="0" w:line="240" w:lineRule="auto"/>
                    <w:ind w:firstLine="0"/>
                    <w:jc w:val="left"/>
                  </w:pPr>
                  <w:r>
                    <w:rPr>
                      <w:i/>
                      <w:iCs/>
                      <w:sz w:val="14"/>
                    </w:rPr>
                    <w:t xml:space="preserve">E. coli</w:t>
                  </w:r>
                </w:p>
              </w:tc>
              <w:tc>
                <w:tcPr>
                  <w:tcW w:w="393" w:type="dxa"/>
                </w:tcPr>
                <w:p>
                  <w:pPr>
                    <w:pStyle w:val="Compact"/>
                    <w:keepNext/>
                    <w:spacing w:after="0" w:before="0" w:line="240" w:lineRule="auto"/>
                    <w:ind w:firstLine="0"/>
                    <w:jc w:val="center"/>
                  </w:pPr>
                  <w:r>
                    <w:rPr>
                      <w:sz w:val="14"/>
                    </w:rPr>
                    <w:t xml:space="preserve">2,828</w:t>
                  </w:r>
                </w:p>
              </w:tc>
              <w:tc>
                <w:tcPr>
                  <w:tcW w:w="439" w:type="dxa"/>
                </w:tcPr>
                <w:p>
                  <w:pPr>
                    <w:pStyle w:val="Compact"/>
                    <w:keepNext/>
                    <w:spacing w:after="0" w:before="0" w:line="240" w:lineRule="auto"/>
                    <w:ind w:firstLine="0"/>
                    <w:jc w:val="center"/>
                  </w:pPr>
                  <w:r>
                    <w:rPr>
                      <w:sz w:val="14"/>
                    </w:rPr>
                    <w:t xml:space="preserve">673</w:t>
                  </w:r>
                </w:p>
              </w:tc>
              <w:tc>
                <w:tcPr>
                  <w:tcW w:w="1077" w:type="dxa"/>
                </w:tcPr>
                <w:p>
                  <w:pPr>
                    <w:pStyle w:val="Compact"/>
                    <w:keepNext/>
                    <w:spacing w:after="0" w:before="0" w:line="240" w:lineRule="auto"/>
                    <w:ind w:firstLine="0"/>
                    <w:jc w:val="center"/>
                  </w:pPr>
                  <w:r>
                    <w:rPr>
                      <w:sz w:val="14"/>
                    </w:rPr>
                    <w:t xml:space="preserve">97.2% (95.6%–98.2%)</w:t>
                  </w:r>
                </w:p>
              </w:tc>
              <w:tc>
                <w:tcPr>
                  <w:tcW w:w="985" w:type="dxa"/>
                </w:tcPr>
                <w:p>
                  <w:pPr>
                    <w:pStyle w:val="Compact"/>
                    <w:keepNext/>
                    <w:spacing w:after="0" w:before="0" w:line="240" w:lineRule="auto"/>
                    <w:ind w:firstLine="0"/>
                    <w:jc w:val="center"/>
                  </w:pPr>
                  <w:r>
                    <w:rPr>
                      <w:sz w:val="14"/>
                    </w:rPr>
                    <w:t xml:space="preserve">94.2% (93.2%–95.2%)</w:t>
                  </w:r>
                </w:p>
              </w:tc>
              <w:tc>
                <w:tcPr>
                  <w:tcW w:w="393" w:type="dxa"/>
                </w:tcPr>
                <w:p>
                  <w:pPr>
                    <w:pStyle w:val="Compact"/>
                    <w:keepNext/>
                    <w:spacing w:after="0" w:before="0" w:line="240" w:lineRule="auto"/>
                    <w:ind w:firstLine="0"/>
                    <w:jc w:val="center"/>
                  </w:pPr>
                  <w:r>
                    <w:rPr>
                      <w:sz w:val="14"/>
                    </w:rPr>
                    <w:t xml:space="preserve">84.1%</w:t>
                  </w:r>
                </w:p>
              </w:tc>
              <w:tc>
                <w:tcPr>
                  <w:tcW w:w="439" w:type="dxa"/>
                </w:tcPr>
                <w:p>
                  <w:pPr>
                    <w:pStyle w:val="Compact"/>
                    <w:keepNext/>
                    <w:spacing w:after="0" w:before="0" w:line="240" w:lineRule="auto"/>
                    <w:ind w:firstLine="0"/>
                    <w:jc w:val="center"/>
                  </w:pPr>
                  <w:r>
                    <w:rPr>
                      <w:sz w:val="14"/>
                    </w:rPr>
                    <w:t xml:space="preserve">99.1%</w:t>
                  </w:r>
                </w:p>
              </w:tc>
            </w:tr>
            <w:tr>
              <w:trPr>
                <w:cantSplit/>
              </w:trPr>
              <w:tc>
                <w:tcPr>
                  <w:tcW w:w="1170" w:type="dxa"/>
                </w:tcPr>
                <w:p>
                  <w:pPr>
                    <w:pStyle w:val="Compact"/>
                    <w:keepNext/>
                    <w:spacing w:after="0" w:before="0" w:line="240" w:lineRule="auto"/>
                    <w:ind w:firstLine="0"/>
                    <w:jc w:val="left"/>
                  </w:pPr>
                  <w:r>
                    <w:rPr>
                      <w:i/>
                      <w:iCs/>
                      <w:sz w:val="14"/>
                    </w:rPr>
                    <w:t xml:space="preserve">K. pneumoniae</w:t>
                  </w:r>
                  <w:r>
                    <w:rPr>
                      <w:sz w:val="14"/>
                    </w:rPr>
                    <w:t xml:space="preserve"> </w:t>
                  </w:r>
                  <w:r>
                    <w:rPr>
                      <w:sz w:val="14"/>
                    </w:rPr>
                    <w:t xml:space="preserve">cplx.</w:t>
                  </w:r>
                </w:p>
              </w:tc>
              <w:tc>
                <w:tcPr>
                  <w:tcW w:w="393" w:type="dxa"/>
                </w:tcPr>
                <w:p>
                  <w:pPr>
                    <w:pStyle w:val="Compact"/>
                    <w:keepNext/>
                    <w:spacing w:after="0" w:before="0" w:line="240" w:lineRule="auto"/>
                    <w:ind w:firstLine="0"/>
                    <w:jc w:val="center"/>
                  </w:pPr>
                  <w:r>
                    <w:rPr>
                      <w:sz w:val="14"/>
                    </w:rPr>
                    <w:t xml:space="preserve">636</w:t>
                  </w:r>
                </w:p>
              </w:tc>
              <w:tc>
                <w:tcPr>
                  <w:tcW w:w="439" w:type="dxa"/>
                </w:tcPr>
                <w:p>
                  <w:pPr>
                    <w:pStyle w:val="Compact"/>
                    <w:keepNext/>
                    <w:spacing w:after="0" w:before="0" w:line="240" w:lineRule="auto"/>
                    <w:ind w:firstLine="0"/>
                    <w:jc w:val="center"/>
                  </w:pPr>
                  <w:r>
                    <w:rPr>
                      <w:sz w:val="14"/>
                    </w:rPr>
                    <w:t xml:space="preserve">218</w:t>
                  </w:r>
                </w:p>
              </w:tc>
              <w:tc>
                <w:tcPr>
                  <w:tcW w:w="1077" w:type="dxa"/>
                </w:tcPr>
                <w:p>
                  <w:pPr>
                    <w:pStyle w:val="Compact"/>
                    <w:keepNext/>
                    <w:spacing w:after="0" w:before="0" w:line="240" w:lineRule="auto"/>
                    <w:ind w:firstLine="0"/>
                    <w:jc w:val="center"/>
                  </w:pPr>
                  <w:r>
                    <w:rPr>
                      <w:sz w:val="14"/>
                    </w:rPr>
                    <w:t xml:space="preserve">99.1% (96.7%–99.7%)</w:t>
                  </w:r>
                </w:p>
              </w:tc>
              <w:tc>
                <w:tcPr>
                  <w:tcW w:w="985" w:type="dxa"/>
                </w:tcPr>
                <w:p>
                  <w:pPr>
                    <w:pStyle w:val="Compact"/>
                    <w:keepNext/>
                    <w:spacing w:after="0" w:before="0" w:line="240" w:lineRule="auto"/>
                    <w:ind w:firstLine="0"/>
                    <w:jc w:val="center"/>
                  </w:pPr>
                  <w:r>
                    <w:rPr>
                      <w:sz w:val="14"/>
                    </w:rPr>
                    <w:t xml:space="preserve">37.3% (32.8%–42.1%)</w:t>
                  </w:r>
                </w:p>
              </w:tc>
              <w:tc>
                <w:tcPr>
                  <w:tcW w:w="393" w:type="dxa"/>
                </w:tcPr>
                <w:p>
                  <w:pPr>
                    <w:pStyle w:val="Compact"/>
                    <w:keepNext/>
                    <w:spacing w:after="0" w:before="0" w:line="240" w:lineRule="auto"/>
                    <w:ind w:firstLine="0"/>
                    <w:jc w:val="center"/>
                  </w:pPr>
                  <w:r>
                    <w:rPr>
                      <w:sz w:val="14"/>
                    </w:rPr>
                    <w:t xml:space="preserve">45.2%</w:t>
                  </w:r>
                </w:p>
              </w:tc>
              <w:tc>
                <w:tcPr>
                  <w:tcW w:w="439" w:type="dxa"/>
                </w:tcPr>
                <w:p>
                  <w:pPr>
                    <w:pStyle w:val="Compact"/>
                    <w:keepNext/>
                    <w:spacing w:after="0" w:before="0" w:line="240" w:lineRule="auto"/>
                    <w:ind w:firstLine="0"/>
                    <w:jc w:val="center"/>
                  </w:pPr>
                  <w:r>
                    <w:rPr>
                      <w:sz w:val="14"/>
                    </w:rPr>
                    <w:t xml:space="preserve">98.7%</w:t>
                  </w:r>
                </w:p>
              </w:tc>
            </w:tr>
            <w:tr>
              <w:trPr>
                <w:cantSplit/>
              </w:trPr>
              <w:tc>
                <w:tcPr>
                  <w:tcW w:w="1170" w:type="dxa"/>
                </w:tcPr>
                <w:p>
                  <w:pPr>
                    <w:pStyle w:val="Compact"/>
                    <w:keepNext/>
                    <w:spacing w:after="0" w:before="0" w:line="240" w:lineRule="auto"/>
                    <w:ind w:firstLine="0"/>
                    <w:jc w:val="left"/>
                  </w:pPr>
                  <w:r>
                    <w:rPr>
                      <w:i/>
                      <w:iCs/>
                      <w:sz w:val="14"/>
                    </w:rPr>
                    <w:t xml:space="preserve">K. oxytoca</w:t>
                  </w:r>
                  <w:r>
                    <w:rPr>
                      <w:sz w:val="14"/>
                    </w:rPr>
                    <w:t xml:space="preserve"> </w:t>
                  </w:r>
                  <w:r>
                    <w:rPr>
                      <w:sz w:val="14"/>
                    </w:rPr>
                    <w:t xml:space="preserve">cplx.</w:t>
                  </w:r>
                </w:p>
              </w:tc>
              <w:tc>
                <w:tcPr>
                  <w:tcW w:w="393" w:type="dxa"/>
                </w:tcPr>
                <w:p>
                  <w:pPr>
                    <w:pStyle w:val="Compact"/>
                    <w:keepNext/>
                    <w:spacing w:after="0" w:before="0" w:line="240" w:lineRule="auto"/>
                    <w:ind w:firstLine="0"/>
                    <w:jc w:val="center"/>
                  </w:pPr>
                  <w:r>
                    <w:rPr>
                      <w:sz w:val="14"/>
                    </w:rPr>
                    <w:t xml:space="preserve">18</w:t>
                  </w:r>
                </w:p>
              </w:tc>
              <w:tc>
                <w:tcPr>
                  <w:tcW w:w="439" w:type="dxa"/>
                </w:tcPr>
                <w:p>
                  <w:pPr>
                    <w:pStyle w:val="Compact"/>
                    <w:keepNext/>
                    <w:spacing w:after="0" w:before="0" w:line="240" w:lineRule="auto"/>
                    <w:ind w:firstLine="0"/>
                    <w:jc w:val="center"/>
                  </w:pPr>
                  <w:r>
                    <w:rPr>
                      <w:sz w:val="14"/>
                    </w:rPr>
                    <w:t xml:space="preserve">7</w:t>
                  </w:r>
                </w:p>
              </w:tc>
              <w:tc>
                <w:tcPr>
                  <w:tcW w:w="1077" w:type="dxa"/>
                </w:tcPr>
                <w:p>
                  <w:pPr>
                    <w:pStyle w:val="Compact"/>
                    <w:keepNext/>
                    <w:spacing w:after="0" w:before="0" w:line="240" w:lineRule="auto"/>
                    <w:ind w:firstLine="0"/>
                    <w:jc w:val="center"/>
                  </w:pPr>
                  <w:r>
                    <w:rPr>
                      <w:sz w:val="14"/>
                    </w:rPr>
                    <w:t xml:space="preserve">100.0% (64.6%–100.0%)</w:t>
                  </w:r>
                </w:p>
              </w:tc>
              <w:tc>
                <w:tcPr>
                  <w:tcW w:w="985" w:type="dxa"/>
                </w:tcPr>
                <w:p>
                  <w:pPr>
                    <w:pStyle w:val="Compact"/>
                    <w:keepNext/>
                    <w:spacing w:after="0" w:before="0" w:line="240" w:lineRule="auto"/>
                    <w:ind w:firstLine="0"/>
                    <w:jc w:val="center"/>
                  </w:pPr>
                  <w:r>
                    <w:rPr>
                      <w:sz w:val="14"/>
                    </w:rPr>
                    <w:t xml:space="preserve">18.2% (5.1%–47.7%)</w:t>
                  </w:r>
                </w:p>
              </w:tc>
              <w:tc>
                <w:tcPr>
                  <w:tcW w:w="393" w:type="dxa"/>
                </w:tcPr>
                <w:p>
                  <w:pPr>
                    <w:pStyle w:val="Compact"/>
                    <w:keepNext/>
                    <w:spacing w:after="0" w:before="0" w:line="240" w:lineRule="auto"/>
                    <w:ind w:firstLine="0"/>
                    <w:jc w:val="center"/>
                  </w:pPr>
                  <w:r>
                    <w:rPr>
                      <w:sz w:val="14"/>
                    </w:rPr>
                    <w:t xml:space="preserve">43.8%</w:t>
                  </w:r>
                </w:p>
              </w:tc>
              <w:tc>
                <w:tcPr>
                  <w:tcW w:w="439" w:type="dxa"/>
                </w:tcPr>
                <w:p>
                  <w:pPr>
                    <w:pStyle w:val="Compact"/>
                    <w:keepNext/>
                    <w:spacing w:after="0" w:before="0" w:line="240" w:lineRule="auto"/>
                    <w:ind w:firstLine="0"/>
                    <w:jc w:val="center"/>
                  </w:pPr>
                  <w:r>
                    <w:rPr>
                      <w:sz w:val="14"/>
                    </w:rPr>
                    <w:t xml:space="preserve">100.0%</w:t>
                  </w:r>
                </w:p>
              </w:tc>
            </w:tr>
            <w:tr>
              <w:trPr>
                <w:cantSplit/>
              </w:trPr>
              <w:tc>
                <w:tcPr>
                  <w:tcW w:w="1170" w:type="dxa"/>
                </w:tcPr>
                <w:p>
                  <w:pPr>
                    <w:pStyle w:val="Compact"/>
                    <w:keepNext/>
                    <w:spacing w:after="0" w:before="0" w:line="240" w:lineRule="auto"/>
                    <w:ind w:firstLine="0"/>
                    <w:jc w:val="left"/>
                  </w:pPr>
                  <w:r>
                    <w:rPr>
                      <w:i/>
                      <w:iCs/>
                      <w:sz w:val="14"/>
                    </w:rPr>
                    <w:t xml:space="preserve">E. cloacae</w:t>
                  </w:r>
                  <w:r>
                    <w:rPr>
                      <w:sz w:val="14"/>
                    </w:rPr>
                    <w:t xml:space="preserve"> </w:t>
                  </w:r>
                  <w:r>
                    <w:rPr>
                      <w:sz w:val="14"/>
                    </w:rPr>
                    <w:t xml:space="preserve">cplx.</w:t>
                  </w:r>
                </w:p>
              </w:tc>
              <w:tc>
                <w:tcPr>
                  <w:tcW w:w="393" w:type="dxa"/>
                </w:tcPr>
                <w:p>
                  <w:pPr>
                    <w:pStyle w:val="Compact"/>
                    <w:keepNext/>
                    <w:spacing w:after="0" w:before="0" w:line="240" w:lineRule="auto"/>
                    <w:ind w:firstLine="0"/>
                    <w:jc w:val="center"/>
                  </w:pPr>
                  <w:r>
                    <w:rPr>
                      <w:sz w:val="14"/>
                    </w:rPr>
                    <w:t xml:space="preserve">149</w:t>
                  </w:r>
                </w:p>
              </w:tc>
              <w:tc>
                <w:tcPr>
                  <w:tcW w:w="439" w:type="dxa"/>
                </w:tcPr>
                <w:p>
                  <w:pPr>
                    <w:pStyle w:val="Compact"/>
                    <w:keepNext/>
                    <w:spacing w:after="0" w:before="0" w:line="240" w:lineRule="auto"/>
                    <w:ind w:firstLine="0"/>
                    <w:jc w:val="center"/>
                  </w:pPr>
                  <w:r>
                    <w:rPr>
                      <w:sz w:val="14"/>
                    </w:rPr>
                    <w:t xml:space="preserve">12</w:t>
                  </w:r>
                </w:p>
              </w:tc>
              <w:tc>
                <w:tcPr>
                  <w:tcW w:w="1077" w:type="dxa"/>
                </w:tcPr>
                <w:p>
                  <w:pPr>
                    <w:pStyle w:val="Compact"/>
                    <w:keepNext/>
                    <w:spacing w:after="0" w:before="0" w:line="240" w:lineRule="auto"/>
                    <w:ind w:firstLine="0"/>
                    <w:jc w:val="center"/>
                  </w:pPr>
                  <w:r>
                    <w:rPr>
                      <w:sz w:val="14"/>
                    </w:rPr>
                    <w:t xml:space="preserve">100.0% (75.8%–100.0%)</w:t>
                  </w:r>
                </w:p>
              </w:tc>
              <w:tc>
                <w:tcPr>
                  <w:tcW w:w="985" w:type="dxa"/>
                </w:tcPr>
                <w:p>
                  <w:pPr>
                    <w:pStyle w:val="Compact"/>
                    <w:keepNext/>
                    <w:spacing w:after="0" w:before="0" w:line="240" w:lineRule="auto"/>
                    <w:ind w:firstLine="0"/>
                    <w:jc w:val="center"/>
                  </w:pPr>
                  <w:r>
                    <w:rPr>
                      <w:sz w:val="14"/>
                    </w:rPr>
                    <w:t xml:space="preserve">4.4% (2.0%–9.2%)</w:t>
                  </w:r>
                </w:p>
              </w:tc>
              <w:tc>
                <w:tcPr>
                  <w:tcW w:w="393" w:type="dxa"/>
                </w:tcPr>
                <w:p>
                  <w:pPr>
                    <w:pStyle w:val="Compact"/>
                    <w:keepNext/>
                    <w:spacing w:after="0" w:before="0" w:line="240" w:lineRule="auto"/>
                    <w:ind w:firstLine="0"/>
                    <w:jc w:val="center"/>
                  </w:pPr>
                  <w:r>
                    <w:rPr>
                      <w:sz w:val="14"/>
                    </w:rPr>
                    <w:t xml:space="preserve">8.4%</w:t>
                  </w:r>
                </w:p>
              </w:tc>
              <w:tc>
                <w:tcPr>
                  <w:tcW w:w="439" w:type="dxa"/>
                </w:tcPr>
                <w:p>
                  <w:pPr>
                    <w:pStyle w:val="Compact"/>
                    <w:keepNext/>
                    <w:spacing w:after="0" w:before="0" w:line="240" w:lineRule="auto"/>
                    <w:ind w:firstLine="0"/>
                    <w:jc w:val="center"/>
                  </w:pPr>
                  <w:r>
                    <w:rPr>
                      <w:sz w:val="14"/>
                    </w:rPr>
                    <w:t xml:space="preserve">100.0%</w:t>
                  </w:r>
                </w:p>
              </w:tc>
            </w:tr>
            <w:tr>
              <w:trPr>
                <w:cantSplit/>
              </w:trPr>
              <w:tc>
                <w:tcPr>
                  <w:tcW w:w="1170" w:type="dxa"/>
                </w:tcPr>
                <w:p>
                  <w:pPr>
                    <w:pStyle w:val="Compact"/>
                    <w:keepNext/>
                    <w:spacing w:after="0" w:before="0" w:line="240" w:lineRule="auto"/>
                    <w:ind w:firstLine="0"/>
                    <w:jc w:val="left"/>
                  </w:pPr>
                  <w:r>
                    <w:rPr>
                      <w:i/>
                      <w:iCs/>
                      <w:sz w:val="14"/>
                    </w:rPr>
                    <w:t xml:space="preserve">K. aerogenes</w:t>
                  </w:r>
                </w:p>
              </w:tc>
              <w:tc>
                <w:tcPr>
                  <w:tcW w:w="393" w:type="dxa"/>
                </w:tcPr>
                <w:p>
                  <w:pPr>
                    <w:pStyle w:val="Compact"/>
                    <w:keepNext/>
                    <w:spacing w:after="0" w:before="0" w:line="240" w:lineRule="auto"/>
                    <w:ind w:firstLine="0"/>
                    <w:jc w:val="center"/>
                  </w:pPr>
                  <w:r>
                    <w:rPr>
                      <w:sz w:val="14"/>
                    </w:rPr>
                    <w:t xml:space="preserve">103</w:t>
                  </w:r>
                </w:p>
              </w:tc>
              <w:tc>
                <w:tcPr>
                  <w:tcW w:w="439" w:type="dxa"/>
                </w:tcPr>
                <w:p>
                  <w:pPr>
                    <w:pStyle w:val="Compact"/>
                    <w:keepNext/>
                    <w:spacing w:after="0" w:before="0" w:line="240" w:lineRule="auto"/>
                    <w:ind w:firstLine="0"/>
                    <w:jc w:val="center"/>
                  </w:pPr>
                  <w:r>
                    <w:rPr>
                      <w:sz w:val="14"/>
                    </w:rPr>
                    <w:t xml:space="preserve">3</w:t>
                  </w:r>
                </w:p>
              </w:tc>
              <w:tc>
                <w:tcPr>
                  <w:tcW w:w="1077" w:type="dxa"/>
                </w:tcPr>
                <w:p>
                  <w:pPr>
                    <w:pStyle w:val="Compact"/>
                    <w:keepNext/>
                    <w:spacing w:after="0" w:before="0" w:line="240" w:lineRule="auto"/>
                    <w:ind w:firstLine="0"/>
                    <w:jc w:val="center"/>
                  </w:pPr>
                  <w:r>
                    <w:rPr>
                      <w:sz w:val="14"/>
                    </w:rPr>
                    <w:t xml:space="preserve">100.0% (43.9%–100.0%)</w:t>
                  </w:r>
                </w:p>
              </w:tc>
              <w:tc>
                <w:tcPr>
                  <w:tcW w:w="985" w:type="dxa"/>
                </w:tcPr>
                <w:p>
                  <w:pPr>
                    <w:pStyle w:val="Compact"/>
                    <w:keepNext/>
                    <w:spacing w:after="0" w:before="0" w:line="240" w:lineRule="auto"/>
                    <w:ind w:firstLine="0"/>
                    <w:jc w:val="center"/>
                  </w:pPr>
                  <w:r>
                    <w:rPr>
                      <w:sz w:val="14"/>
                    </w:rPr>
                    <w:t xml:space="preserve">7.0% (3.4%–13.7%)</w:t>
                  </w:r>
                </w:p>
              </w:tc>
              <w:tc>
                <w:tcPr>
                  <w:tcW w:w="393" w:type="dxa"/>
                </w:tcPr>
                <w:p>
                  <w:pPr>
                    <w:pStyle w:val="Compact"/>
                    <w:keepNext/>
                    <w:spacing w:after="0" w:before="0" w:line="240" w:lineRule="auto"/>
                    <w:ind w:firstLine="0"/>
                    <w:jc w:val="center"/>
                  </w:pPr>
                  <w:r>
                    <w:rPr>
                      <w:sz w:val="14"/>
                    </w:rPr>
                    <w:t xml:space="preserve">3.1%</w:t>
                  </w:r>
                </w:p>
              </w:tc>
              <w:tc>
                <w:tcPr>
                  <w:tcW w:w="439" w:type="dxa"/>
                </w:tcPr>
                <w:p>
                  <w:pPr>
                    <w:pStyle w:val="Compact"/>
                    <w:keepNext/>
                    <w:spacing w:after="0" w:before="0" w:line="240" w:lineRule="auto"/>
                    <w:ind w:firstLine="0"/>
                    <w:jc w:val="center"/>
                  </w:pPr>
                  <w:r>
                    <w:rPr>
                      <w:sz w:val="14"/>
                    </w:rPr>
                    <w:t xml:space="preserve">100.0%</w:t>
                  </w:r>
                </w:p>
              </w:tc>
            </w:tr>
            <w:tr>
              <w:trPr>
                <w:cantSplit/>
              </w:trPr>
              <w:tc>
                <w:tcPr>
                  <w:tcW w:w="1170" w:type="dxa"/>
                </w:tcPr>
                <w:p>
                  <w:pPr>
                    <w:pStyle w:val="Compact"/>
                    <w:keepNext/>
                    <w:spacing w:after="0" w:before="0" w:line="240" w:lineRule="auto"/>
                    <w:ind w:firstLine="0"/>
                    <w:jc w:val="left"/>
                  </w:pPr>
                  <w:r>
                    <w:rPr>
                      <w:i/>
                      <w:iCs/>
                      <w:sz w:val="14"/>
                    </w:rPr>
                    <w:t xml:space="preserve">C. freundii</w:t>
                  </w:r>
                  <w:r>
                    <w:rPr>
                      <w:sz w:val="14"/>
                    </w:rPr>
                    <w:t xml:space="preserve"> </w:t>
                  </w:r>
                  <w:r>
                    <w:rPr>
                      <w:sz w:val="14"/>
                    </w:rPr>
                    <w:t xml:space="preserve">cplx.</w:t>
                  </w:r>
                </w:p>
              </w:tc>
              <w:tc>
                <w:tcPr>
                  <w:tcW w:w="393" w:type="dxa"/>
                </w:tcPr>
                <w:p>
                  <w:pPr>
                    <w:pStyle w:val="Compact"/>
                    <w:keepNext/>
                    <w:spacing w:after="0" w:before="0" w:line="240" w:lineRule="auto"/>
                    <w:ind w:firstLine="0"/>
                    <w:jc w:val="center"/>
                  </w:pPr>
                  <w:r>
                    <w:rPr>
                      <w:sz w:val="14"/>
                    </w:rPr>
                    <w:t xml:space="preserve">52</w:t>
                  </w:r>
                </w:p>
              </w:tc>
              <w:tc>
                <w:tcPr>
                  <w:tcW w:w="439" w:type="dxa"/>
                </w:tcPr>
                <w:p>
                  <w:pPr>
                    <w:pStyle w:val="Compact"/>
                    <w:keepNext/>
                    <w:spacing w:after="0" w:before="0" w:line="240" w:lineRule="auto"/>
                    <w:ind w:firstLine="0"/>
                    <w:jc w:val="center"/>
                  </w:pPr>
                  <w:r>
                    <w:rPr>
                      <w:sz w:val="14"/>
                    </w:rPr>
                    <w:t xml:space="preserve">1</w:t>
                  </w:r>
                </w:p>
              </w:tc>
              <w:tc>
                <w:tcPr>
                  <w:tcW w:w="1077" w:type="dxa"/>
                </w:tcPr>
                <w:p>
                  <w:pPr>
                    <w:pStyle w:val="Compact"/>
                    <w:keepNext/>
                    <w:spacing w:after="0" w:before="0" w:line="240" w:lineRule="auto"/>
                    <w:ind w:firstLine="0"/>
                    <w:jc w:val="center"/>
                  </w:pPr>
                  <w:r>
                    <w:rPr>
                      <w:sz w:val="14"/>
                    </w:rPr>
                    <w:t xml:space="preserve">100.0% (20.7%–100.0%)</w:t>
                  </w:r>
                </w:p>
              </w:tc>
              <w:tc>
                <w:tcPr>
                  <w:tcW w:w="985" w:type="dxa"/>
                </w:tcPr>
                <w:p>
                  <w:pPr>
                    <w:pStyle w:val="Compact"/>
                    <w:keepNext/>
                    <w:spacing w:after="0" w:before="0" w:line="240" w:lineRule="auto"/>
                    <w:ind w:firstLine="0"/>
                    <w:jc w:val="center"/>
                  </w:pPr>
                  <w:r>
                    <w:rPr>
                      <w:sz w:val="14"/>
                    </w:rPr>
                    <w:t xml:space="preserve">7.8% (3.1%–18.5%)</w:t>
                  </w:r>
                </w:p>
              </w:tc>
              <w:tc>
                <w:tcPr>
                  <w:tcW w:w="393" w:type="dxa"/>
                </w:tcPr>
                <w:p>
                  <w:pPr>
                    <w:pStyle w:val="Compact"/>
                    <w:keepNext/>
                    <w:spacing w:after="0" w:before="0" w:line="240" w:lineRule="auto"/>
                    <w:ind w:firstLine="0"/>
                    <w:jc w:val="center"/>
                  </w:pPr>
                  <w:r>
                    <w:rPr>
                      <w:sz w:val="14"/>
                    </w:rPr>
                    <w:t xml:space="preserve">2.1%</w:t>
                  </w:r>
                </w:p>
              </w:tc>
              <w:tc>
                <w:tcPr>
                  <w:tcW w:w="439" w:type="dxa"/>
                </w:tcPr>
                <w:p>
                  <w:pPr>
                    <w:pStyle w:val="Compact"/>
                    <w:keepNext/>
                    <w:spacing w:after="0" w:before="0" w:line="240" w:lineRule="auto"/>
                    <w:ind w:firstLine="0"/>
                    <w:jc w:val="center"/>
                  </w:pPr>
                  <w:r>
                    <w:rPr>
                      <w:sz w:val="14"/>
                    </w:rPr>
                    <w:t xml:space="preserve">100.0%</w:t>
                  </w:r>
                </w:p>
              </w:tc>
            </w:tr>
            <w:tr>
              <w:trPr>
                <w:cantSplit/>
              </w:trPr>
              <w:tc>
                <w:tcPr>
                  <w:tcW w:w="1170" w:type="dxa"/>
                </w:tcPr>
                <w:p>
                  <w:pPr>
                    <w:pStyle w:val="Compact"/>
                    <w:keepNext/>
                    <w:spacing w:after="0" w:before="0" w:line="240" w:lineRule="auto"/>
                    <w:ind w:firstLine="0"/>
                    <w:jc w:val="left"/>
                  </w:pPr>
                  <w:r>
                    <w:rPr>
                      <w:i/>
                      <w:iCs/>
                      <w:sz w:val="14"/>
                    </w:rPr>
                    <w:t xml:space="preserve">Serratia</w:t>
                  </w:r>
                  <w:r>
                    <w:rPr>
                      <w:sz w:val="14"/>
                    </w:rPr>
                    <w:t xml:space="preserve"> </w:t>
                  </w:r>
                  <w:r>
                    <w:rPr>
                      <w:sz w:val="14"/>
                    </w:rPr>
                    <w:t xml:space="preserve">spp.</w:t>
                  </w:r>
                </w:p>
              </w:tc>
              <w:tc>
                <w:tcPr>
                  <w:tcW w:w="393" w:type="dxa"/>
                </w:tcPr>
                <w:p>
                  <w:pPr>
                    <w:pStyle w:val="Compact"/>
                    <w:keepNext/>
                    <w:spacing w:after="0" w:before="0" w:line="240" w:lineRule="auto"/>
                    <w:ind w:firstLine="0"/>
                    <w:jc w:val="center"/>
                  </w:pPr>
                  <w:r>
                    <w:rPr>
                      <w:sz w:val="14"/>
                    </w:rPr>
                    <w:t xml:space="preserve">30</w:t>
                  </w:r>
                </w:p>
              </w:tc>
              <w:tc>
                <w:tcPr>
                  <w:tcW w:w="439" w:type="dxa"/>
                </w:tcPr>
                <w:p>
                  <w:pPr>
                    <w:pStyle w:val="Compact"/>
                    <w:keepNext/>
                    <w:spacing w:after="0" w:before="0" w:line="240" w:lineRule="auto"/>
                    <w:ind w:firstLine="0"/>
                    <w:jc w:val="center"/>
                  </w:pPr>
                  <w:r>
                    <w:rPr>
                      <w:sz w:val="14"/>
                    </w:rPr>
                    <w:t xml:space="preserve">0</w:t>
                  </w:r>
                </w:p>
              </w:tc>
              <w:tc>
                <w:tcPr>
                  <w:tcW w:w="1077" w:type="dxa"/>
                </w:tcPr>
                <w:p>
                  <w:pPr>
                    <w:pStyle w:val="Compact"/>
                    <w:keepNext/>
                    <w:spacing w:after="0" w:before="0" w:line="240" w:lineRule="auto"/>
                    <w:ind w:firstLine="0"/>
                    <w:jc w:val="center"/>
                  </w:pPr>
                  <w:r>
                    <w:rPr>
                      <w:sz w:val="14"/>
                    </w:rPr>
                    <w:t xml:space="preserve">–</w:t>
                  </w:r>
                </w:p>
              </w:tc>
              <w:tc>
                <w:tcPr>
                  <w:tcW w:w="985" w:type="dxa"/>
                </w:tcPr>
                <w:p>
                  <w:pPr>
                    <w:pStyle w:val="Compact"/>
                    <w:keepNext/>
                    <w:spacing w:after="0" w:before="0" w:line="240" w:lineRule="auto"/>
                    <w:ind w:firstLine="0"/>
                    <w:jc w:val="center"/>
                  </w:pPr>
                  <w:r>
                    <w:rPr>
                      <w:sz w:val="14"/>
                    </w:rPr>
                    <w:t xml:space="preserve">63.3% (45.5%–78.1%)</w:t>
                  </w:r>
                </w:p>
              </w:tc>
              <w:tc>
                <w:tcPr>
                  <w:tcW w:w="393" w:type="dxa"/>
                </w:tcPr>
                <w:p>
                  <w:pPr>
                    <w:pStyle w:val="Compact"/>
                    <w:keepNext/>
                    <w:spacing w:after="0" w:before="0" w:line="240" w:lineRule="auto"/>
                    <w:ind w:firstLine="0"/>
                    <w:jc w:val="center"/>
                  </w:pPr>
                  <w:r>
                    <w:rPr>
                      <w:sz w:val="14"/>
                    </w:rPr>
                    <w:t xml:space="preserve">0.0%</w:t>
                  </w:r>
                </w:p>
              </w:tc>
              <w:tc>
                <w:tcPr>
                  <w:tcW w:w="439" w:type="dxa"/>
                </w:tcPr>
                <w:p>
                  <w:pPr>
                    <w:pStyle w:val="Compact"/>
                    <w:keepNext/>
                    <w:spacing w:after="0" w:before="0" w:line="240" w:lineRule="auto"/>
                    <w:ind w:firstLine="0"/>
                    <w:jc w:val="center"/>
                  </w:pPr>
                  <w:r>
                    <w:rPr>
                      <w:sz w:val="14"/>
                    </w:rPr>
                    <w:t xml:space="preserve">100.0%</w:t>
                  </w:r>
                </w:p>
              </w:tc>
            </w:tr>
            <w:tr>
              <w:trPr>
                <w:cantSplit/>
              </w:trPr>
              <w:tc>
                <w:tcPr>
                  <w:tcW w:w="1170" w:type="dxa"/>
                </w:tcPr>
                <w:p>
                  <w:pPr>
                    <w:pStyle w:val="Compact"/>
                    <w:keepNext/>
                    <w:spacing w:after="0" w:before="0" w:line="240" w:lineRule="auto"/>
                    <w:ind w:firstLine="0"/>
                    <w:jc w:val="left"/>
                  </w:pPr>
                  <w:r>
                    <w:rPr>
                      <w:i/>
                      <w:iCs/>
                      <w:sz w:val="14"/>
                    </w:rPr>
                    <w:t xml:space="preserve">Morganella</w:t>
                  </w:r>
                  <w:r>
                    <w:rPr>
                      <w:sz w:val="14"/>
                    </w:rPr>
                    <w:t xml:space="preserve">/</w:t>
                  </w:r>
                  <w:r>
                    <w:rPr>
                      <w:i/>
                      <w:iCs/>
                      <w:sz w:val="14"/>
                    </w:rPr>
                    <w:t xml:space="preserve">Providencia</w:t>
                  </w:r>
                </w:p>
              </w:tc>
              <w:tc>
                <w:tcPr>
                  <w:tcW w:w="393" w:type="dxa"/>
                </w:tcPr>
                <w:p>
                  <w:pPr>
                    <w:pStyle w:val="Compact"/>
                    <w:keepNext/>
                    <w:spacing w:after="0" w:before="0" w:line="240" w:lineRule="auto"/>
                    <w:ind w:firstLine="0"/>
                    <w:jc w:val="center"/>
                  </w:pPr>
                  <w:r>
                    <w:rPr>
                      <w:sz w:val="14"/>
                    </w:rPr>
                    <w:t xml:space="preserve">29</w:t>
                  </w:r>
                </w:p>
              </w:tc>
              <w:tc>
                <w:tcPr>
                  <w:tcW w:w="439" w:type="dxa"/>
                </w:tcPr>
                <w:p>
                  <w:pPr>
                    <w:pStyle w:val="Compact"/>
                    <w:keepNext/>
                    <w:spacing w:after="0" w:before="0" w:line="240" w:lineRule="auto"/>
                    <w:ind w:firstLine="0"/>
                    <w:jc w:val="center"/>
                  </w:pPr>
                  <w:r>
                    <w:rPr>
                      <w:sz w:val="14"/>
                    </w:rPr>
                    <w:t xml:space="preserve">4</w:t>
                  </w:r>
                </w:p>
              </w:tc>
              <w:tc>
                <w:tcPr>
                  <w:tcW w:w="1077" w:type="dxa"/>
                </w:tcPr>
                <w:p>
                  <w:pPr>
                    <w:pStyle w:val="Compact"/>
                    <w:keepNext/>
                    <w:spacing w:after="0" w:before="0" w:line="240" w:lineRule="auto"/>
                    <w:ind w:firstLine="0"/>
                    <w:jc w:val="center"/>
                  </w:pPr>
                  <w:r>
                    <w:rPr>
                      <w:sz w:val="14"/>
                    </w:rPr>
                    <w:t xml:space="preserve">100.0% (51.0%–100.0%)</w:t>
                  </w:r>
                </w:p>
              </w:tc>
              <w:tc>
                <w:tcPr>
                  <w:tcW w:w="985" w:type="dxa"/>
                </w:tcPr>
                <w:p>
                  <w:pPr>
                    <w:pStyle w:val="Compact"/>
                    <w:keepNext/>
                    <w:spacing w:after="0" w:before="0" w:line="240" w:lineRule="auto"/>
                    <w:ind w:firstLine="0"/>
                    <w:jc w:val="center"/>
                  </w:pPr>
                  <w:r>
                    <w:rPr>
                      <w:sz w:val="14"/>
                    </w:rPr>
                    <w:t xml:space="preserve">32.0% (17.2%–51.6%)</w:t>
                  </w:r>
                </w:p>
              </w:tc>
              <w:tc>
                <w:tcPr>
                  <w:tcW w:w="393" w:type="dxa"/>
                </w:tcPr>
                <w:p>
                  <w:pPr>
                    <w:pStyle w:val="Compact"/>
                    <w:keepNext/>
                    <w:spacing w:after="0" w:before="0" w:line="240" w:lineRule="auto"/>
                    <w:ind w:firstLine="0"/>
                    <w:jc w:val="center"/>
                  </w:pPr>
                  <w:r>
                    <w:rPr>
                      <w:sz w:val="14"/>
                    </w:rPr>
                    <w:t xml:space="preserve">19.1%</w:t>
                  </w:r>
                </w:p>
              </w:tc>
              <w:tc>
                <w:tcPr>
                  <w:tcW w:w="439" w:type="dxa"/>
                </w:tcPr>
                <w:p>
                  <w:pPr>
                    <w:pStyle w:val="Compact"/>
                    <w:keepNext/>
                    <w:spacing w:after="0" w:before="0" w:line="240" w:lineRule="auto"/>
                    <w:ind w:firstLine="0"/>
                    <w:jc w:val="center"/>
                  </w:pPr>
                  <w:r>
                    <w:rPr>
                      <w:sz w:val="14"/>
                    </w:rPr>
                    <w:t xml:space="preserve">100.0%</w:t>
                  </w:r>
                </w:p>
              </w:tc>
            </w:tr>
            <w:tr>
              <w:trPr>
                <w:cantSplit/>
              </w:trPr>
              <w:tc>
                <w:tcPr>
                  <w:tcW w:w="1170" w:type="dxa"/>
                </w:tcPr>
                <w:p>
                  <w:pPr>
                    <w:pStyle w:val="Compact"/>
                    <w:keepNext/>
                    <w:spacing w:after="0" w:before="0" w:line="240" w:lineRule="auto"/>
                    <w:ind w:firstLine="0"/>
                    <w:jc w:val="left"/>
                  </w:pPr>
                  <w:r>
                    <w:rPr>
                      <w:i/>
                      <w:iCs/>
                      <w:sz w:val="14"/>
                    </w:rPr>
                    <w:t xml:space="preserve">Salmonella enterica</w:t>
                  </w:r>
                </w:p>
              </w:tc>
              <w:tc>
                <w:tcPr>
                  <w:tcW w:w="393" w:type="dxa"/>
                </w:tcPr>
                <w:p>
                  <w:pPr>
                    <w:pStyle w:val="Compact"/>
                    <w:keepNext/>
                    <w:spacing w:after="0" w:before="0" w:line="240" w:lineRule="auto"/>
                    <w:ind w:firstLine="0"/>
                    <w:jc w:val="center"/>
                  </w:pPr>
                  <w:r>
                    <w:rPr>
                      <w:sz w:val="14"/>
                    </w:rPr>
                    <w:t xml:space="preserve">108</w:t>
                  </w:r>
                </w:p>
              </w:tc>
              <w:tc>
                <w:tcPr>
                  <w:tcW w:w="439" w:type="dxa"/>
                </w:tcPr>
                <w:p>
                  <w:pPr>
                    <w:pStyle w:val="Compact"/>
                    <w:keepNext/>
                    <w:spacing w:after="0" w:before="0" w:line="240" w:lineRule="auto"/>
                    <w:ind w:firstLine="0"/>
                    <w:jc w:val="center"/>
                  </w:pPr>
                  <w:r>
                    <w:rPr>
                      <w:sz w:val="14"/>
                    </w:rPr>
                    <w:t xml:space="preserve">1</w:t>
                  </w:r>
                </w:p>
              </w:tc>
              <w:tc>
                <w:tcPr>
                  <w:tcW w:w="1077" w:type="dxa"/>
                </w:tcPr>
                <w:p>
                  <w:pPr>
                    <w:pStyle w:val="Compact"/>
                    <w:keepNext/>
                    <w:spacing w:after="0" w:before="0" w:line="240" w:lineRule="auto"/>
                    <w:ind w:firstLine="0"/>
                    <w:jc w:val="center"/>
                  </w:pPr>
                  <w:r>
                    <w:rPr>
                      <w:sz w:val="14"/>
                    </w:rPr>
                    <w:t xml:space="preserve">100.0% (20.7%–100.0%)</w:t>
                  </w:r>
                </w:p>
              </w:tc>
              <w:tc>
                <w:tcPr>
                  <w:tcW w:w="985" w:type="dxa"/>
                </w:tcPr>
                <w:p>
                  <w:pPr>
                    <w:pStyle w:val="Compact"/>
                    <w:keepNext/>
                    <w:spacing w:after="0" w:before="0" w:line="240" w:lineRule="auto"/>
                    <w:ind w:firstLine="0"/>
                    <w:jc w:val="center"/>
                  </w:pPr>
                  <w:r>
                    <w:rPr>
                      <w:sz w:val="14"/>
                    </w:rPr>
                    <w:t xml:space="preserve">86.9% (79.2%–92.0%)</w:t>
                  </w:r>
                </w:p>
              </w:tc>
              <w:tc>
                <w:tcPr>
                  <w:tcW w:w="393" w:type="dxa"/>
                </w:tcPr>
                <w:p>
                  <w:pPr>
                    <w:pStyle w:val="Compact"/>
                    <w:keepNext/>
                    <w:spacing w:after="0" w:before="0" w:line="240" w:lineRule="auto"/>
                    <w:ind w:firstLine="0"/>
                    <w:jc w:val="center"/>
                  </w:pPr>
                  <w:r>
                    <w:rPr>
                      <w:sz w:val="14"/>
                    </w:rPr>
                    <w:t xml:space="preserve">6.7%</w:t>
                  </w:r>
                </w:p>
              </w:tc>
              <w:tc>
                <w:tcPr>
                  <w:tcW w:w="439" w:type="dxa"/>
                </w:tcPr>
                <w:p>
                  <w:pPr>
                    <w:pStyle w:val="Compact"/>
                    <w:keepNext/>
                    <w:spacing w:after="0" w:before="0" w:line="240" w:lineRule="auto"/>
                    <w:ind w:firstLine="0"/>
                    <w:jc w:val="center"/>
                  </w:pPr>
                  <w:r>
                    <w:rPr>
                      <w:sz w:val="14"/>
                    </w:rPr>
                    <w:t xml:space="preserve">100.0%</w:t>
                  </w:r>
                </w:p>
              </w:tc>
            </w:tr>
            <w:tr>
              <w:trPr>
                <w:cantSplit/>
              </w:trPr>
              <w:tc>
                <w:tcPr>
                  <w:tcW w:w="1170" w:type="dxa"/>
                  <w:tcBorders>
                    <w:bottom w:val="double" w:sz="4" w:space="0" w:color="000000"/>
                  </w:tcBorders>
                </w:tcPr>
                <w:p>
                  <w:pPr>
                    <w:pStyle w:val="Compact"/>
                    <w:spacing w:after="0" w:before="0" w:line="240" w:lineRule="auto"/>
                    <w:ind w:firstLine="0"/>
                    <w:jc w:val="left"/>
                  </w:pPr>
                  <w:r>
                    <w:rPr>
                      <w:sz w:val="14"/>
                    </w:rPr>
                    <w:t xml:space="preserve">Enterobacteralesᵃ</w:t>
                  </w:r>
                </w:p>
              </w:tc>
              <w:tc>
                <w:tcPr>
                  <w:tcW w:w="393" w:type="dxa"/>
                  <w:tcBorders>
                    <w:bottom w:val="double" w:sz="4" w:space="0" w:color="000000"/>
                  </w:tcBorders>
                </w:tcPr>
                <w:p>
                  <w:pPr>
                    <w:pStyle w:val="Compact"/>
                    <w:spacing w:after="0" w:before="0" w:line="240" w:lineRule="auto"/>
                    <w:ind w:firstLine="0"/>
                    <w:jc w:val="center"/>
                  </w:pPr>
                  <w:r>
                    <w:rPr>
                      <w:sz w:val="14"/>
                    </w:rPr>
                    <w:t xml:space="preserve">3,855</w:t>
                  </w:r>
                </w:p>
              </w:tc>
              <w:tc>
                <w:tcPr>
                  <w:tcW w:w="439" w:type="dxa"/>
                  <w:tcBorders>
                    <w:bottom w:val="double" w:sz="4" w:space="0" w:color="000000"/>
                  </w:tcBorders>
                </w:tcPr>
                <w:p>
                  <w:pPr>
                    <w:pStyle w:val="Compact"/>
                    <w:spacing w:after="0" w:before="0" w:line="240" w:lineRule="auto"/>
                    <w:ind w:firstLine="0"/>
                    <w:jc w:val="center"/>
                  </w:pPr>
                  <w:r>
                    <w:rPr>
                      <w:sz w:val="14"/>
                    </w:rPr>
                    <w:t xml:space="preserve">926</w:t>
                  </w:r>
                </w:p>
              </w:tc>
              <w:tc>
                <w:tcPr>
                  <w:tcW w:w="1077" w:type="dxa"/>
                  <w:tcBorders>
                    <w:bottom w:val="double" w:sz="4" w:space="0" w:color="000000"/>
                  </w:tcBorders>
                </w:tcPr>
                <w:p>
                  <w:pPr>
                    <w:pStyle w:val="Compact"/>
                    <w:spacing w:after="0" w:before="0" w:line="240" w:lineRule="auto"/>
                    <w:ind w:firstLine="0"/>
                    <w:jc w:val="center"/>
                  </w:pPr>
                  <w:r>
                    <w:rPr>
                      <w:sz w:val="14"/>
                    </w:rPr>
                    <w:t xml:space="preserve">97.7% (96.6%–98.5%)</w:t>
                  </w:r>
                </w:p>
              </w:tc>
              <w:tc>
                <w:tcPr>
                  <w:tcW w:w="985" w:type="dxa"/>
                  <w:tcBorders>
                    <w:bottom w:val="double" w:sz="4" w:space="0" w:color="000000"/>
                  </w:tcBorders>
                </w:tcPr>
                <w:p>
                  <w:pPr>
                    <w:pStyle w:val="Compact"/>
                    <w:spacing w:after="0" w:before="0" w:line="240" w:lineRule="auto"/>
                    <w:ind w:firstLine="0"/>
                    <w:jc w:val="center"/>
                  </w:pPr>
                  <w:r>
                    <w:rPr>
                      <w:sz w:val="14"/>
                    </w:rPr>
                    <w:t xml:space="preserve">76.2% (74.7%–77.7%)</w:t>
                  </w:r>
                </w:p>
              </w:tc>
              <w:tc>
                <w:tcPr>
                  <w:tcW w:w="393" w:type="dxa"/>
                  <w:tcBorders>
                    <w:bottom w:val="double" w:sz="4" w:space="0" w:color="000000"/>
                  </w:tcBorders>
                </w:tcPr>
                <w:p>
                  <w:pPr>
                    <w:pStyle w:val="Compact"/>
                    <w:spacing w:after="0" w:before="0" w:line="240" w:lineRule="auto"/>
                    <w:ind w:firstLine="0"/>
                    <w:jc w:val="center"/>
                  </w:pPr>
                  <w:r>
                    <w:rPr>
                      <w:sz w:val="14"/>
                    </w:rPr>
                    <w:t xml:space="preserve">56.5%</w:t>
                  </w:r>
                </w:p>
              </w:tc>
              <w:tc>
                <w:tcPr>
                  <w:tcW w:w="439" w:type="dxa"/>
                  <w:tcBorders>
                    <w:bottom w:val="double" w:sz="4" w:space="0" w:color="000000"/>
                  </w:tcBorders>
                </w:tcPr>
                <w:p>
                  <w:pPr>
                    <w:pStyle w:val="Compact"/>
                    <w:spacing w:after="0" w:before="0" w:line="240" w:lineRule="auto"/>
                    <w:ind w:firstLine="0"/>
                    <w:jc w:val="center"/>
                  </w:pPr>
                  <w:r>
                    <w:rPr>
                      <w:sz w:val="14"/>
                    </w:rPr>
                    <w:t xml:space="preserve">99.1%</w:t>
                  </w:r>
                </w:p>
              </w:tc>
            </w:tr>
          </w:tbl>
          <w:p>
            <w:pPr>
              <w:pStyle w:val="TableNote"/>
            </w:pPr>
            <w:r>
              <w:t xml:space="preserve">Note: ᵃExcluding</w:t>
            </w:r>
            <w:r>
              <w:t xml:space="preserve"> </w:t>
            </w:r>
            <w:r>
              <w:rPr>
                <w:i/>
                <w:iCs/>
              </w:rPr>
              <w:t xml:space="preserve">Salmonella</w:t>
            </w:r>
            <w:r>
              <w:t xml:space="preserve">.</w:t>
            </w:r>
          </w:p>
        </w:tc>
      </w:tr>
    </w:tbl>
    <w:p>
      <w:pPr>
        <w:spacing w:before="0" w:after="0" w:line="20" w:lineRule="exact"/>
        <w:rPr>
          <w:sz w:val="2"/>
        </w:rPr>
        <w:sectPr>
          <w:footerReference w:type="default" r:id="rId9"/>
          <w:type w:val="continuous"/>
          <w:pgSz w:w="12240" w:h="15840"/>
          <w:pgMar w:top="1224" w:right="1037" w:bottom="1296" w:left="1037" w:header="720" w:footer="560" w:gutter="0"/>
          <w:cols w:num="2" w:space="374"/>
        </w:sectPr>
      </w:pPr>
    </w:p>
    <w:tbl>
      <w:tblPr>
        <w:tblW w:w="1016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10166"/>
      </w:tblGrid>
      <w:tr>
        <w:trPr>
          <w:cantSplit/>
        </w:trPr>
        <w:tc>
          <w:tcPr>
            <w:tcW w:w="10166" w:type="dxa"/>
          </w:tcPr>
          <w:p>
            <w:pPr>
              <w:pStyle w:val="BodyText"/>
              <w:spacing w:before="60" w:after="0" w:line="240" w:lineRule="auto"/>
              <w:ind w:firstLine="0"/>
              <w:jc w:val="center"/>
            </w:pPr>
            <w:r>
              <w:drawing>
                <wp:inline>
                  <wp:extent cx="5334000" cy="2479183"/>
                  <wp:effectExtent b="0" l="0" r="0" t="0"/>
                  <wp:docPr descr="" title="" id="66" name="Picture"/>
                  <a:graphic>
                    <a:graphicData uri="http://schemas.openxmlformats.org/drawingml/2006/picture">
                      <pic:pic>
                        <pic:nvPicPr>
                          <pic:cNvPr descr="/root/us-rapid-panel-amr-concordance/paper/manuscript/figures/fig5_ctxm.png" id="67" name="Picture"/>
                          <pic:cNvPicPr>
                            <a:picLocks noChangeArrowheads="1" noChangeAspect="1"/>
                          </pic:cNvPicPr>
                        </pic:nvPicPr>
                        <pic:blipFill>
                          <a:blip r:embed="rId65"/>
                          <a:stretch>
                            <a:fillRect/>
                          </a:stretch>
                        </pic:blipFill>
                        <pic:spPr bwMode="auto">
                          <a:xfrm>
                            <a:off x="0" y="0"/>
                            <a:ext cx="5334000" cy="2479183"/>
                          </a:xfrm>
                          <a:prstGeom prst="rect">
                            <a:avLst/>
                          </a:prstGeom>
                          <a:noFill/>
                          <a:ln w="9525">
                            <a:noFill/>
                            <a:headEnd/>
                            <a:tailEnd/>
                          </a:ln>
                        </pic:spPr>
                      </pic:pic>
                    </a:graphicData>
                  </a:graphic>
                </wp:inline>
              </w:drawing>
            </w:r>
          </w:p>
          <w:p>
            <w:pPr>
              <w:pStyle w:val="FigCaption"/>
            </w:pPr>
            <w:bookmarkStart w:id="68" w:name="fig-5"/>
            <w:bookmarkEnd w:id="68"/>
            <w:r>
              <w:t xml:space="preserve">FIG. 5: CTX-M and third-generation cephalosporins. (a) NPV of a CTX-M-negative result for ceftriaxone by organism group (Wilson 95% CI; green,</w:t>
            </w:r>
            <w:r>
              <w:t xml:space="preserve"> </w:t>
            </w:r>
            <w:r>
              <w:rPr>
                <w:i/>
                <w:iCs/>
              </w:rPr>
              <w:t xml:space="preserve">E. coli</w:t>
            </w:r>
            <w:r>
              <w:t xml:space="preserve"> </w:t>
            </w:r>
            <w:r>
              <w:t xml:space="preserve">and</w:t>
            </w:r>
            <w:r>
              <w:t xml:space="preserve"> </w:t>
            </w:r>
            <w:r>
              <w:rPr>
                <w:i/>
                <w:iCs/>
              </w:rPr>
              <w:t xml:space="preserve">Salmonella</w:t>
            </w:r>
            <w:r>
              <w:t xml:space="preserve">; purple,</w:t>
            </w:r>
            <w:r>
              <w:t xml:space="preserve"> </w:t>
            </w:r>
            <w:r>
              <w:rPr>
                <w:i/>
                <w:iCs/>
              </w:rPr>
              <w:t xml:space="preserve">K. pneumoniae</w:t>
            </w:r>
            <w:r>
              <w:t xml:space="preserve"> </w:t>
            </w:r>
            <w:r>
              <w:t xml:space="preserve">complex; gray, species with chromosomal AmpC or other intrinsic cephalosporinases). (b) Share resistant to ceftriaxone and ceftazidime among CTX-M-positive isolates, by CTX-M subgroup (CTX-M-1 group, e.g. CTX-M-15, -55; CTX-M-9 group, e.g. CTX-M-14, -27).</w:t>
            </w:r>
          </w:p>
        </w:tc>
      </w:tr>
    </w:tbl>
    <w:p>
      <w:pPr>
        <w:spacing w:before="0" w:after="0" w:line="20" w:lineRule="exact"/>
        <w:rPr>
          <w:sz w:val="2"/>
        </w:rPr>
        <w:sectPr>
          <w:footerReference w:type="default" r:id="rId9"/>
          <w:type w:val="continuous"/>
          <w:pgSz w:w="12240" w:h="15840"/>
          <w:pgMar w:top="1224" w:right="1037" w:bottom="1296" w:left="1037" w:header="720" w:footer="560" w:gutter="0"/>
          <w:cols w:num="1" w:space="374"/>
        </w:sectPr>
      </w:pPr>
    </w:p>
    <w:tbl>
      <w:tblPr>
        <w:tblW w:w="489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4896"/>
      </w:tblGrid>
      <w:tr>
        <w:trPr>
          <w:cantSplit/>
        </w:trPr>
        <w:tc>
          <w:tcPr>
            <w:tcW w:w="4896" w:type="dxa"/>
          </w:tcPr>
          <w:p>
            <w:pPr>
              <w:pStyle w:val="TabCaption"/>
            </w:pPr>
            <w:bookmarkStart w:id="69" w:name="tab-IX"/>
            <w:bookmarkEnd w:id="69"/>
            <w:r>
              <w:t xml:space="preserve">TABLE IX: Secondary analysis: third-generation cephalosporin resistance among CTX-M-positive isolates by CTX-M subgroup (resistant/tested, percent). Isolates carrying both subgroups or untyped CTX-M are not shown.</w:t>
            </w:r>
          </w:p>
          <w:tbl>
            <w:tblPr>
              <w:tblStyle w:val="Table"/>
              <w:tblW w:w="4896" w:type="dxa"/>
              <w:jc w:val="center"/>
              <w:tblLayout w:type="fixed"/>
              <w:tblCellMar>
                <w:top w:w="0" w:type="dxa"/>
                <w:left w:w="60" w:type="dxa"/>
                <w:bottom w:w="0" w:type="dxa"/>
                <w:right w:w="60" w:type="dxa"/>
              </w:tblCellMar>
              <w:tblLook w:firstRow="1" w:lastRow="0" w:firstColumn="0" w:lastColumn="0" w:noHBand="0" w:noVBand="0" w:val="0020"/>
            </w:tblPr>
            <w:tblGrid>
              <w:gridCol w:w="1271"/>
              <w:gridCol w:w="967"/>
              <w:gridCol w:w="906"/>
              <w:gridCol w:w="846"/>
              <w:gridCol w:w="906"/>
            </w:tblGrid>
            <w:tr>
              <w:trPr>
                <w:cantSplit/>
                <w:tblHeader w:val="true"/>
              </w:trPr>
              <w:tc>
                <w:tcPr>
                  <w:tcW w:w="1271" w:type="dxa"/>
                  <w:tcBorders>
                    <w:top w:val="double" w:sz="4" w:space="0" w:color="000000"/>
                    <w:bottom w:val="single" w:sz="4" w:space="0" w:color="000000"/>
                  </w:tcBorders>
                </w:tcPr>
                <w:p>
                  <w:pPr>
                    <w:pStyle w:val="Compact"/>
                    <w:keepNext/>
                    <w:spacing w:after="0" w:before="0" w:line="240" w:lineRule="auto"/>
                    <w:ind w:firstLine="0"/>
                    <w:jc w:val="left"/>
                  </w:pPr>
                  <w:r>
                    <w:rPr>
                      <w:sz w:val="16"/>
                    </w:rPr>
                    <w:t xml:space="preserve">Organism</w:t>
                  </w:r>
                </w:p>
              </w:tc>
              <w:tc>
                <w:tcPr>
                  <w:tcW w:w="967" w:type="dxa"/>
                  <w:tcBorders>
                    <w:top w:val="double" w:sz="4" w:space="0" w:color="000000"/>
                    <w:bottom w:val="single" w:sz="4" w:space="0" w:color="000000"/>
                  </w:tcBorders>
                </w:tcPr>
                <w:p>
                  <w:pPr>
                    <w:pStyle w:val="Compact"/>
                    <w:keepNext/>
                    <w:spacing w:after="0" w:before="0" w:line="240" w:lineRule="auto"/>
                    <w:ind w:firstLine="0"/>
                    <w:jc w:val="left"/>
                  </w:pPr>
                  <w:r>
                    <w:rPr>
                      <w:sz w:val="16"/>
                    </w:rPr>
                    <w:t xml:space="preserve">CTX-M subgroup</w:t>
                  </w:r>
                </w:p>
              </w:tc>
              <w:tc>
                <w:tcPr>
                  <w:tcW w:w="906" w:type="dxa"/>
                  <w:tcBorders>
                    <w:top w:val="double" w:sz="4" w:space="0" w:color="000000"/>
                    <w:bottom w:val="single" w:sz="4" w:space="0" w:color="000000"/>
                  </w:tcBorders>
                </w:tcPr>
                <w:p>
                  <w:pPr>
                    <w:pStyle w:val="Compact"/>
                    <w:keepNext/>
                    <w:spacing w:after="0" w:before="0" w:line="240" w:lineRule="auto"/>
                    <w:ind w:firstLine="0"/>
                    <w:jc w:val="center"/>
                  </w:pPr>
                  <w:r>
                    <w:rPr>
                      <w:sz w:val="16"/>
                    </w:rPr>
                    <w:t xml:space="preserve">Ceftriaxone R</w:t>
                  </w:r>
                </w:p>
              </w:tc>
              <w:tc>
                <w:tcPr>
                  <w:tcW w:w="846" w:type="dxa"/>
                  <w:tcBorders>
                    <w:top w:val="double" w:sz="4" w:space="0" w:color="000000"/>
                    <w:bottom w:val="single" w:sz="4" w:space="0" w:color="000000"/>
                  </w:tcBorders>
                </w:tcPr>
                <w:p>
                  <w:pPr>
                    <w:pStyle w:val="Compact"/>
                    <w:keepNext/>
                    <w:spacing w:after="0" w:before="0" w:line="240" w:lineRule="auto"/>
                    <w:ind w:firstLine="0"/>
                    <w:jc w:val="center"/>
                  </w:pPr>
                  <w:r>
                    <w:rPr>
                      <w:sz w:val="16"/>
                    </w:rPr>
                    <w:t xml:space="preserve">Cefotaxime R</w:t>
                  </w:r>
                </w:p>
              </w:tc>
              <w:tc>
                <w:tcPr>
                  <w:tcW w:w="906" w:type="dxa"/>
                  <w:tcBorders>
                    <w:top w:val="double" w:sz="4" w:space="0" w:color="000000"/>
                    <w:bottom w:val="single" w:sz="4" w:space="0" w:color="000000"/>
                  </w:tcBorders>
                </w:tcPr>
                <w:p>
                  <w:pPr>
                    <w:pStyle w:val="Compact"/>
                    <w:keepNext/>
                    <w:spacing w:after="0" w:before="0" w:line="240" w:lineRule="auto"/>
                    <w:ind w:firstLine="0"/>
                    <w:jc w:val="center"/>
                  </w:pPr>
                  <w:r>
                    <w:rPr>
                      <w:sz w:val="16"/>
                    </w:rPr>
                    <w:t xml:space="preserve">Ceftazidime R</w:t>
                  </w:r>
                </w:p>
              </w:tc>
            </w:tr>
            <w:tr>
              <w:trPr>
                <w:cantSplit/>
              </w:trPr>
              <w:tc>
                <w:tcPr>
                  <w:tcW w:w="1271" w:type="dxa"/>
                </w:tcPr>
                <w:p>
                  <w:pPr>
                    <w:pStyle w:val="Compact"/>
                    <w:keepNext/>
                    <w:spacing w:after="0" w:before="0" w:line="240" w:lineRule="auto"/>
                    <w:ind w:firstLine="0"/>
                    <w:jc w:val="left"/>
                  </w:pPr>
                  <w:r>
                    <w:rPr>
                      <w:i/>
                      <w:iCs/>
                      <w:sz w:val="16"/>
                    </w:rPr>
                    <w:t xml:space="preserve">E. coli</w:t>
                  </w:r>
                </w:p>
              </w:tc>
              <w:tc>
                <w:tcPr>
                  <w:tcW w:w="967" w:type="dxa"/>
                </w:tcPr>
                <w:p>
                  <w:pPr>
                    <w:pStyle w:val="Compact"/>
                    <w:keepNext/>
                    <w:spacing w:after="0" w:before="0" w:line="240" w:lineRule="auto"/>
                    <w:ind w:firstLine="0"/>
                    <w:jc w:val="left"/>
                  </w:pPr>
                  <w:r>
                    <w:rPr>
                      <w:sz w:val="16"/>
                    </w:rPr>
                    <w:t xml:space="preserve">CTX-M-1 group</w:t>
                  </w:r>
                </w:p>
              </w:tc>
              <w:tc>
                <w:tcPr>
                  <w:tcW w:w="906" w:type="dxa"/>
                </w:tcPr>
                <w:p>
                  <w:pPr>
                    <w:pStyle w:val="Compact"/>
                    <w:keepNext/>
                    <w:spacing w:after="0" w:before="0" w:line="240" w:lineRule="auto"/>
                    <w:ind w:firstLine="0"/>
                    <w:jc w:val="center"/>
                  </w:pPr>
                  <w:r>
                    <w:rPr>
                      <w:sz w:val="16"/>
                    </w:rPr>
                    <w:t xml:space="preserve">432/443 (98%)</w:t>
                  </w:r>
                </w:p>
              </w:tc>
              <w:tc>
                <w:tcPr>
                  <w:tcW w:w="846" w:type="dxa"/>
                </w:tcPr>
                <w:p>
                  <w:pPr>
                    <w:pStyle w:val="Compact"/>
                    <w:keepNext/>
                    <w:spacing w:after="0" w:before="0" w:line="240" w:lineRule="auto"/>
                    <w:ind w:firstLine="0"/>
                    <w:jc w:val="center"/>
                  </w:pPr>
                  <w:r>
                    <w:rPr>
                      <w:sz w:val="16"/>
                    </w:rPr>
                    <w:t xml:space="preserve">21/21 (100%)</w:t>
                  </w:r>
                </w:p>
              </w:tc>
              <w:tc>
                <w:tcPr>
                  <w:tcW w:w="906" w:type="dxa"/>
                </w:tcPr>
                <w:p>
                  <w:pPr>
                    <w:pStyle w:val="Compact"/>
                    <w:keepNext/>
                    <w:spacing w:after="0" w:before="0" w:line="240" w:lineRule="auto"/>
                    <w:ind w:firstLine="0"/>
                    <w:jc w:val="center"/>
                  </w:pPr>
                  <w:r>
                    <w:rPr>
                      <w:sz w:val="16"/>
                    </w:rPr>
                    <w:t xml:space="preserve">235/366 (64%)</w:t>
                  </w:r>
                </w:p>
              </w:tc>
            </w:tr>
            <w:tr>
              <w:trPr>
                <w:cantSplit/>
              </w:trPr>
              <w:tc>
                <w:tcPr>
                  <w:tcW w:w="1271" w:type="dxa"/>
                </w:tcPr>
                <w:p>
                  <w:pPr>
                    <w:pStyle w:val="Compact"/>
                    <w:keepNext/>
                    <w:spacing w:after="0" w:before="0" w:line="240" w:lineRule="auto"/>
                    <w:ind w:firstLine="0"/>
                    <w:jc w:val="left"/>
                  </w:pPr>
                  <w:r>
                    <w:rPr>
                      <w:i/>
                      <w:iCs/>
                      <w:sz w:val="16"/>
                    </w:rPr>
                    <w:t xml:space="preserve">E. coli</w:t>
                  </w:r>
                </w:p>
              </w:tc>
              <w:tc>
                <w:tcPr>
                  <w:tcW w:w="967" w:type="dxa"/>
                </w:tcPr>
                <w:p>
                  <w:pPr>
                    <w:pStyle w:val="Compact"/>
                    <w:keepNext/>
                    <w:spacing w:after="0" w:before="0" w:line="240" w:lineRule="auto"/>
                    <w:ind w:firstLine="0"/>
                    <w:jc w:val="left"/>
                  </w:pPr>
                  <w:r>
                    <w:rPr>
                      <w:sz w:val="16"/>
                    </w:rPr>
                    <w:t xml:space="preserve">CTX-M-9 group</w:t>
                  </w:r>
                </w:p>
              </w:tc>
              <w:tc>
                <w:tcPr>
                  <w:tcW w:w="906" w:type="dxa"/>
                </w:tcPr>
                <w:p>
                  <w:pPr>
                    <w:pStyle w:val="Compact"/>
                    <w:keepNext/>
                    <w:spacing w:after="0" w:before="0" w:line="240" w:lineRule="auto"/>
                    <w:ind w:firstLine="0"/>
                    <w:jc w:val="center"/>
                  </w:pPr>
                  <w:r>
                    <w:rPr>
                      <w:sz w:val="16"/>
                    </w:rPr>
                    <w:t xml:space="preserve">211/218 (97%)</w:t>
                  </w:r>
                </w:p>
              </w:tc>
              <w:tc>
                <w:tcPr>
                  <w:tcW w:w="846" w:type="dxa"/>
                </w:tcPr>
                <w:p>
                  <w:pPr>
                    <w:pStyle w:val="Compact"/>
                    <w:keepNext/>
                    <w:spacing w:after="0" w:before="0" w:line="240" w:lineRule="auto"/>
                    <w:ind w:firstLine="0"/>
                    <w:jc w:val="center"/>
                  </w:pPr>
                  <w:r>
                    <w:rPr>
                      <w:sz w:val="16"/>
                    </w:rPr>
                    <w:t xml:space="preserve">5/5 (100%)</w:t>
                  </w:r>
                </w:p>
              </w:tc>
              <w:tc>
                <w:tcPr>
                  <w:tcW w:w="906" w:type="dxa"/>
                </w:tcPr>
                <w:p>
                  <w:pPr>
                    <w:pStyle w:val="Compact"/>
                    <w:keepNext/>
                    <w:spacing w:after="0" w:before="0" w:line="240" w:lineRule="auto"/>
                    <w:ind w:firstLine="0"/>
                    <w:jc w:val="center"/>
                  </w:pPr>
                  <w:r>
                    <w:rPr>
                      <w:sz w:val="16"/>
                    </w:rPr>
                    <w:t xml:space="preserve">26/179 (15%)</w:t>
                  </w:r>
                </w:p>
              </w:tc>
            </w:tr>
            <w:tr>
              <w:trPr>
                <w:cantSplit/>
              </w:trPr>
              <w:tc>
                <w:tcPr>
                  <w:tcW w:w="1271" w:type="dxa"/>
                </w:tcPr>
                <w:p>
                  <w:pPr>
                    <w:pStyle w:val="Compact"/>
                    <w:keepNext/>
                    <w:spacing w:after="0" w:before="0" w:line="240" w:lineRule="auto"/>
                    <w:ind w:firstLine="0"/>
                    <w:jc w:val="left"/>
                  </w:pPr>
                  <w:r>
                    <w:rPr>
                      <w:i/>
                      <w:iCs/>
                      <w:sz w:val="16"/>
                    </w:rPr>
                    <w:t xml:space="preserve">K. pneumoniae</w:t>
                  </w:r>
                  <w:r>
                    <w:rPr>
                      <w:sz w:val="16"/>
                    </w:rPr>
                    <w:t xml:space="preserve"> </w:t>
                  </w:r>
                  <w:r>
                    <w:rPr>
                      <w:sz w:val="16"/>
                    </w:rPr>
                    <w:t xml:space="preserve">cplx.</w:t>
                  </w:r>
                </w:p>
              </w:tc>
              <w:tc>
                <w:tcPr>
                  <w:tcW w:w="967" w:type="dxa"/>
                </w:tcPr>
                <w:p>
                  <w:pPr>
                    <w:pStyle w:val="Compact"/>
                    <w:keepNext/>
                    <w:spacing w:after="0" w:before="0" w:line="240" w:lineRule="auto"/>
                    <w:ind w:firstLine="0"/>
                    <w:jc w:val="left"/>
                  </w:pPr>
                  <w:r>
                    <w:rPr>
                      <w:sz w:val="16"/>
                    </w:rPr>
                    <w:t xml:space="preserve">CTX-M-1 group</w:t>
                  </w:r>
                </w:p>
              </w:tc>
              <w:tc>
                <w:tcPr>
                  <w:tcW w:w="906" w:type="dxa"/>
                </w:tcPr>
                <w:p>
                  <w:pPr>
                    <w:pStyle w:val="Compact"/>
                    <w:keepNext/>
                    <w:spacing w:after="0" w:before="0" w:line="240" w:lineRule="auto"/>
                    <w:ind w:firstLine="0"/>
                    <w:jc w:val="center"/>
                  </w:pPr>
                  <w:r>
                    <w:rPr>
                      <w:sz w:val="16"/>
                    </w:rPr>
                    <w:t xml:space="preserve">206/208 (99%)</w:t>
                  </w:r>
                </w:p>
              </w:tc>
              <w:tc>
                <w:tcPr>
                  <w:tcW w:w="846" w:type="dxa"/>
                </w:tcPr>
                <w:p>
                  <w:pPr>
                    <w:pStyle w:val="Compact"/>
                    <w:keepNext/>
                    <w:spacing w:after="0" w:before="0" w:line="240" w:lineRule="auto"/>
                    <w:ind w:firstLine="0"/>
                    <w:jc w:val="center"/>
                  </w:pPr>
                  <w:r>
                    <w:rPr>
                      <w:sz w:val="16"/>
                    </w:rPr>
                    <w:t xml:space="preserve">72/72 (100%)</w:t>
                  </w:r>
                </w:p>
              </w:tc>
              <w:tc>
                <w:tcPr>
                  <w:tcW w:w="906" w:type="dxa"/>
                </w:tcPr>
                <w:p>
                  <w:pPr>
                    <w:pStyle w:val="Compact"/>
                    <w:keepNext/>
                    <w:spacing w:after="0" w:before="0" w:line="240" w:lineRule="auto"/>
                    <w:ind w:firstLine="0"/>
                    <w:jc w:val="center"/>
                  </w:pPr>
                  <w:r>
                    <w:rPr>
                      <w:sz w:val="16"/>
                    </w:rPr>
                    <w:t xml:space="preserve">170/212 (80%)</w:t>
                  </w:r>
                </w:p>
              </w:tc>
            </w:tr>
            <w:tr>
              <w:trPr>
                <w:cantSplit/>
              </w:trPr>
              <w:tc>
                <w:tcPr>
                  <w:tcW w:w="1271" w:type="dxa"/>
                  <w:tcBorders>
                    <w:bottom w:val="double" w:sz="4" w:space="0" w:color="000000"/>
                  </w:tcBorders>
                </w:tcPr>
                <w:p>
                  <w:pPr>
                    <w:pStyle w:val="Compact"/>
                    <w:spacing w:after="0" w:before="0" w:line="240" w:lineRule="auto"/>
                    <w:ind w:firstLine="0"/>
                    <w:jc w:val="left"/>
                  </w:pPr>
                  <w:r>
                    <w:rPr>
                      <w:i/>
                      <w:iCs/>
                      <w:sz w:val="16"/>
                    </w:rPr>
                    <w:t xml:space="preserve">K. pneumoniae</w:t>
                  </w:r>
                  <w:r>
                    <w:rPr>
                      <w:sz w:val="16"/>
                    </w:rPr>
                    <w:t xml:space="preserve"> </w:t>
                  </w:r>
                  <w:r>
                    <w:rPr>
                      <w:sz w:val="16"/>
                    </w:rPr>
                    <w:t xml:space="preserve">cplx.</w:t>
                  </w:r>
                </w:p>
              </w:tc>
              <w:tc>
                <w:tcPr>
                  <w:tcW w:w="967" w:type="dxa"/>
                  <w:tcBorders>
                    <w:bottom w:val="double" w:sz="4" w:space="0" w:color="000000"/>
                  </w:tcBorders>
                </w:tcPr>
                <w:p>
                  <w:pPr>
                    <w:pStyle w:val="Compact"/>
                    <w:spacing w:after="0" w:before="0" w:line="240" w:lineRule="auto"/>
                    <w:ind w:firstLine="0"/>
                    <w:jc w:val="left"/>
                  </w:pPr>
                  <w:r>
                    <w:rPr>
                      <w:sz w:val="16"/>
                    </w:rPr>
                    <w:t xml:space="preserve">CTX-M-9 group</w:t>
                  </w:r>
                </w:p>
              </w:tc>
              <w:tc>
                <w:tcPr>
                  <w:tcW w:w="906" w:type="dxa"/>
                  <w:tcBorders>
                    <w:bottom w:val="double" w:sz="4" w:space="0" w:color="000000"/>
                  </w:tcBorders>
                </w:tcPr>
                <w:p>
                  <w:pPr>
                    <w:pStyle w:val="Compact"/>
                    <w:spacing w:after="0" w:before="0" w:line="240" w:lineRule="auto"/>
                    <w:ind w:firstLine="0"/>
                    <w:jc w:val="center"/>
                  </w:pPr>
                  <w:r>
                    <w:rPr>
                      <w:sz w:val="16"/>
                    </w:rPr>
                    <w:t xml:space="preserve">5/5 (100%)</w:t>
                  </w:r>
                </w:p>
              </w:tc>
              <w:tc>
                <w:tcPr>
                  <w:tcW w:w="846" w:type="dxa"/>
                  <w:tcBorders>
                    <w:bottom w:val="double" w:sz="4" w:space="0" w:color="000000"/>
                  </w:tcBorders>
                </w:tcPr>
                <w:p>
                  <w:pPr>
                    <w:pStyle w:val="Compact"/>
                    <w:spacing w:after="0" w:before="0" w:line="240" w:lineRule="auto"/>
                    <w:ind w:firstLine="0"/>
                    <w:jc w:val="center"/>
                  </w:pPr>
                  <w:r>
                    <w:rPr>
                      <w:sz w:val="16"/>
                    </w:rPr>
                    <w:t xml:space="preserve">4/4 (100%)</w:t>
                  </w:r>
                </w:p>
              </w:tc>
              <w:tc>
                <w:tcPr>
                  <w:tcW w:w="906" w:type="dxa"/>
                  <w:tcBorders>
                    <w:bottom w:val="double" w:sz="4" w:space="0" w:color="000000"/>
                  </w:tcBorders>
                </w:tcPr>
                <w:p>
                  <w:pPr>
                    <w:pStyle w:val="Compact"/>
                    <w:spacing w:after="0" w:before="0" w:line="240" w:lineRule="auto"/>
                    <w:ind w:firstLine="0"/>
                    <w:jc w:val="center"/>
                  </w:pPr>
                  <w:r>
                    <w:rPr>
                      <w:sz w:val="16"/>
                    </w:rPr>
                    <w:t xml:space="preserve">3/6 (50%)</w:t>
                  </w:r>
                </w:p>
              </w:tc>
            </w:tr>
          </w:tbl>
          <w:p/>
        </w:tc>
      </w:tr>
    </w:tbl>
    <w:p>
      <w:pPr>
        <w:spacing w:before="0" w:after="0" w:line="20" w:lineRule="exact"/>
        <w:rPr>
          <w:sz w:val="2"/>
        </w:rPr>
        <w:sectPr>
          <w:footerReference w:type="default" r:id="rId9"/>
          <w:type w:val="continuous"/>
          <w:pgSz w:w="12240" w:h="15840"/>
          <w:pgMar w:top="1224" w:right="1037" w:bottom="1296" w:left="1037" w:header="720" w:footer="560" w:gutter="0"/>
          <w:cols w:num="2" w:space="374"/>
        </w:sectPr>
      </w:pPr>
    </w:p>
    <w:tbl>
      <w:tblPr>
        <w:tblW w:w="1016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10166"/>
      </w:tblGrid>
      <w:tr>
        <w:trPr>
          <w:cantSplit/>
        </w:trPr>
        <w:tc>
          <w:tcPr>
            <w:tcW w:w="10166" w:type="dxa"/>
          </w:tcPr>
          <w:p>
            <w:pPr>
              <w:pStyle w:val="BodyText"/>
              <w:spacing w:before="60" w:after="0" w:line="240" w:lineRule="auto"/>
              <w:ind w:firstLine="0"/>
              <w:jc w:val="center"/>
            </w:pPr>
            <w:r>
              <w:drawing>
                <wp:inline>
                  <wp:extent cx="5334000" cy="3569170"/>
                  <wp:effectExtent b="0" l="0" r="0" t="0"/>
                  <wp:docPr descr="" title="" id="71" name="Picture"/>
                  <a:graphic>
                    <a:graphicData uri="http://schemas.openxmlformats.org/drawingml/2006/picture">
                      <pic:pic>
                        <pic:nvPicPr>
                          <pic:cNvPr descr="/root/us-rapid-panel-amr-concordance/paper/manuscript/figures/fig6_mic.png" id="72" name="Picture"/>
                          <pic:cNvPicPr>
                            <a:picLocks noChangeArrowheads="1" noChangeAspect="1"/>
                          </pic:cNvPicPr>
                        </pic:nvPicPr>
                        <pic:blipFill>
                          <a:blip r:embed="rId70"/>
                          <a:stretch>
                            <a:fillRect/>
                          </a:stretch>
                        </pic:blipFill>
                        <pic:spPr bwMode="auto">
                          <a:xfrm>
                            <a:off x="0" y="0"/>
                            <a:ext cx="5334000" cy="3569170"/>
                          </a:xfrm>
                          <a:prstGeom prst="rect">
                            <a:avLst/>
                          </a:prstGeom>
                          <a:noFill/>
                          <a:ln w="9525">
                            <a:noFill/>
                            <a:headEnd/>
                            <a:tailEnd/>
                          </a:ln>
                        </pic:spPr>
                      </pic:pic>
                    </a:graphicData>
                  </a:graphic>
                </wp:inline>
              </w:drawing>
            </w:r>
          </w:p>
          <w:p>
            <w:pPr>
              <w:pStyle w:val="FigCaption"/>
            </w:pPr>
            <w:bookmarkStart w:id="73" w:name="fig-6"/>
            <w:bookmarkEnd w:id="73"/>
            <w:r>
              <w:t xml:space="preserve">FIG. 6: MIC distributions by panel-target status. Bars show the share of isolates in each group at each MIC on the two-fold scale; censored readings are placed at their bound (≤x and ≥x at x, &lt;x at x/2, &gt;x at 2x) and gradient-strip half-steps are rounded up. Dotted line: susceptible breakpoint; dashed line: resistant breakpoint (CLSI M100-Ed35). (a)</w:t>
            </w:r>
            <w:r>
              <w:t xml:space="preserve"> </w:t>
            </w:r>
            <w:r>
              <w:rPr>
                <w:i/>
                <w:iCs/>
              </w:rPr>
              <w:t xml:space="preserve">S. aureus</w:t>
            </w:r>
            <w:r>
              <w:t xml:space="preserve">, oxacillin, by</w:t>
            </w:r>
            <w:r>
              <w:t xml:space="preserve"> </w:t>
            </w:r>
            <w:r>
              <w:rPr>
                <w:i/>
                <w:iCs/>
              </w:rPr>
              <w:t xml:space="preserve">mecA</w:t>
            </w:r>
            <w:r>
              <w:t xml:space="preserve">. (b) Enterococci, vancomycin, by</w:t>
            </w:r>
            <w:r>
              <w:t xml:space="preserve"> </w:t>
            </w:r>
            <w:r>
              <w:rPr>
                <w:i/>
                <w:iCs/>
              </w:rPr>
              <w:t xml:space="preserve">vanA</w:t>
            </w:r>
            <w:r>
              <w:t xml:space="preserve">. (c) Enterobacterales excluding</w:t>
            </w:r>
            <w:r>
              <w:t xml:space="preserve"> </w:t>
            </w:r>
            <w:r>
              <w:rPr>
                <w:i/>
                <w:iCs/>
              </w:rPr>
              <w:t xml:space="preserve">Salmonella</w:t>
            </w:r>
            <w:r>
              <w:t xml:space="preserve">ᵃ, meropenem, by any panel carbapenemase. (d)</w:t>
            </w:r>
            <w:r>
              <w:t xml:space="preserve"> </w:t>
            </w:r>
            <w:r>
              <w:rPr>
                <w:i/>
                <w:iCs/>
              </w:rPr>
              <w:t xml:space="preserve">E. coli</w:t>
            </w:r>
            <w:r>
              <w:t xml:space="preserve">, ceftriaxone, by CTX-M.</w:t>
            </w:r>
          </w:p>
        </w:tc>
      </w:tr>
    </w:tbl>
    <w:p>
      <w:pPr>
        <w:spacing w:before="0" w:after="0" w:line="20" w:lineRule="exact"/>
        <w:rPr>
          <w:sz w:val="2"/>
        </w:rPr>
        <w:sectPr>
          <w:footerReference w:type="default" r:id="rId9"/>
          <w:type w:val="continuous"/>
          <w:pgSz w:w="12240" w:h="15840"/>
          <w:pgMar w:top="1224" w:right="1037" w:bottom="1296" w:left="1037" w:header="720" w:footer="560" w:gutter="0"/>
          <w:cols w:num="1" w:space="374"/>
        </w:sectPr>
      </w:pPr>
    </w:p>
    <w:bookmarkEnd w:id="74"/>
    <w:bookmarkEnd w:id="75"/>
    <w:bookmarkStart w:id="81" w:name="sensitivity-analyses"/>
    <w:p>
      <w:pPr>
        <w:pStyle w:val="Heading3"/>
      </w:pPr>
      <w:r>
        <w:t xml:space="preserve">D. </w:t>
      </w:r>
      <w:r>
        <w:t xml:space="preserve">Sensitivity analyses</w:t>
      </w:r>
    </w:p>
    <w:p>
      <w:pPr>
        <w:pStyle w:val="FirstParagraph"/>
        <w:sectPr>
          <w:footerReference w:type="default" r:id="rId9"/>
          <w:type w:val="continuous"/>
          <w:pgSz w:w="12240" w:h="15840"/>
          <w:pgMar w:top="1224" w:right="1037" w:bottom="1296" w:left="1037" w:header="720" w:footer="560" w:gutter="0"/>
          <w:cols w:num="2" w:space="374"/>
        </w:sectPr>
      </w:pPr>
      <w:r>
        <w:t xml:space="preserve">The headline estimates were stable when I and SDD results were excluded instead of counted as not resistant (Table</w:t>
      </w:r>
      <w:r>
        <w:t xml:space="preserve"> </w:t>
      </w:r>
      <w:hyperlink w:anchor="tab-X">
        <w:r>
          <w:rPr>
            <w:rStyle w:val="Hyperlink"/>
            <w:color w:val="BF0000"/>
            <w:u w:val="none"/>
          </w:rPr>
          <w:t xml:space="preserve">X</w:t>
        </w:r>
      </w:hyperlink>
      <w:r>
        <w:t xml:space="preserve">, Fig.</w:t>
      </w:r>
      <w:r>
        <w:t xml:space="preserve"> </w:t>
      </w:r>
      <w:hyperlink w:anchor="fig-7">
        <w:r>
          <w:rPr>
            <w:rStyle w:val="Hyperlink"/>
            <w:color w:val="BF0000"/>
            <w:u w:val="none"/>
          </w:rPr>
          <w:t xml:space="preserve">7</w:t>
        </w:r>
      </w:hyperlink>
      <w:r>
        <w:t xml:space="preserve">). Excluding them raised the meropenem PPV of any panel carbapenemase from 87.6% to 93.4%, because many carbapenemase producers have meropenem MICs in the intermediate range. Restricting to blood and sterile-site isolates left the</w:t>
      </w:r>
      <w:r>
        <w:t xml:space="preserve"> </w:t>
      </w:r>
      <w:r>
        <w:rPr>
          <w:i/>
          <w:iCs/>
        </w:rPr>
        <w:t xml:space="preserve">mecA</w:t>
      </w:r>
      <w:r>
        <w:t xml:space="preserve"> </w:t>
      </w:r>
      <w:r>
        <w:t xml:space="preserve">and carbapenemase estimates within the confidence intervals of the main analysis, with wider intervals; the NPV of CTX-M for ceftriaxone in</w:t>
      </w:r>
      <w:r>
        <w:t xml:space="preserve"> </w:t>
      </w:r>
      <w:r>
        <w:rPr>
          <w:i/>
          <w:iCs/>
        </w:rPr>
        <w:t xml:space="preserve">E. coli</w:t>
      </w:r>
      <w:r>
        <w:t xml:space="preserve"> </w:t>
      </w:r>
      <w:r>
        <w:t xml:space="preserve">was lower in blood isolates (80.5%, 103/128) than overall (94.2%). Accepting the submitting laboratory’s oxacillin call for</w:t>
      </w:r>
      <w:r>
        <w:t xml:space="preserve"> </w:t>
      </w:r>
      <w:r>
        <w:rPr>
          <w:i/>
          <w:iCs/>
        </w:rPr>
        <w:t xml:space="preserve">S. aureus</w:t>
      </w:r>
      <w:r>
        <w:t xml:space="preserve"> </w:t>
      </w:r>
      <w:r>
        <w:t xml:space="preserve">raised the</w:t>
      </w:r>
      <w:r>
        <w:t xml:space="preserve"> </w:t>
      </w:r>
      <w:r>
        <w:rPr>
          <w:i/>
          <w:iCs/>
        </w:rPr>
        <w:t xml:space="preserve">mecA</w:t>
      </w:r>
      <w:r>
        <w:t xml:space="preserve"> </w:t>
      </w:r>
      <w:r>
        <w:t xml:space="preserve">PPV from 97.7% to 99.1% (218/220).</w:t>
      </w:r>
    </w:p>
    <w:tbl>
      <w:tblPr>
        <w:tblW w:w="1016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10166"/>
      </w:tblGrid>
      <w:tr>
        <w:trPr>
          <w:cantSplit/>
        </w:trPr>
        <w:tc>
          <w:tcPr>
            <w:tcW w:w="10166" w:type="dxa"/>
          </w:tcPr>
          <w:p>
            <w:pPr>
              <w:pStyle w:val="TabCaption"/>
              <w:jc w:val="center"/>
            </w:pPr>
            <w:bookmarkStart w:id="76" w:name="tab-X"/>
            <w:bookmarkEnd w:id="76"/>
            <w:r>
              <w:t xml:space="preserve">TABLE X: Sensitivity analyses for the headline estimates.</w:t>
            </w:r>
          </w:p>
          <w:tbl>
            <w:tblPr>
              <w:tblStyle w:val="Table"/>
              <w:tblW w:w="10166" w:type="dxa"/>
              <w:jc w:val="center"/>
              <w:tblLayout w:type="fixed"/>
              <w:tblCellMar>
                <w:top w:w="0" w:type="dxa"/>
                <w:left w:w="60" w:type="dxa"/>
                <w:bottom w:w="0" w:type="dxa"/>
                <w:right w:w="60" w:type="dxa"/>
              </w:tblCellMar>
              <w:tblLook w:firstRow="1" w:lastRow="0" w:firstColumn="0" w:lastColumn="0" w:noHBand="0" w:noVBand="0" w:val="0020"/>
            </w:tblPr>
            <w:tblGrid>
              <w:gridCol w:w="1290"/>
              <w:gridCol w:w="837"/>
              <w:gridCol w:w="926"/>
              <w:gridCol w:w="926"/>
              <w:gridCol w:w="882"/>
              <w:gridCol w:w="971"/>
              <w:gridCol w:w="971"/>
              <w:gridCol w:w="1061"/>
              <w:gridCol w:w="1151"/>
              <w:gridCol w:w="1151"/>
            </w:tblGrid>
            <w:tr>
              <w:trPr>
                <w:tblHeader w:val="true"/>
              </w:trPr>
              <w:tc>
                <w:tcPr>
                  <w:tcW w:w="1290" w:type="dxa"/>
                  <w:tcBorders>
                    <w:top w:val="double" w:sz="4" w:space="0" w:color="000000"/>
                    <w:bottom w:val="single" w:sz="4" w:space="0" w:color="000000"/>
                  </w:tcBorders>
                </w:tcPr>
                <w:p>
                  <w:pPr>
                    <w:pStyle w:val="Compact"/>
                    <w:spacing w:after="0" w:before="0" w:line="240" w:lineRule="auto"/>
                    <w:ind w:firstLine="0"/>
                    <w:jc w:val="left"/>
                  </w:pPr>
                  <w:r>
                    <w:rPr>
                      <w:sz w:val="16"/>
                    </w:rPr>
                    <w:t xml:space="preserve">Analysis</w:t>
                  </w:r>
                </w:p>
              </w:tc>
              <w:tc>
                <w:tcPr>
                  <w:tcW w:w="837" w:type="dxa"/>
                  <w:tcBorders>
                    <w:top w:val="double" w:sz="4" w:space="0" w:color="000000"/>
                    <w:bottom w:val="single" w:sz="4" w:space="0" w:color="000000"/>
                  </w:tcBorders>
                </w:tcPr>
                <w:p>
                  <w:pPr>
                    <w:pStyle w:val="Compact"/>
                    <w:spacing w:after="0" w:before="0" w:line="240" w:lineRule="auto"/>
                    <w:ind w:firstLine="0"/>
                    <w:jc w:val="center"/>
                  </w:pPr>
                  <w:r>
                    <w:rPr>
                      <w:sz w:val="16"/>
                    </w:rPr>
                    <w:t xml:space="preserve">Main analysis: n</w:t>
                  </w:r>
                </w:p>
              </w:tc>
              <w:tc>
                <w:tcPr>
                  <w:tcW w:w="926" w:type="dxa"/>
                  <w:tcBorders>
                    <w:top w:val="double" w:sz="4" w:space="0" w:color="000000"/>
                    <w:bottom w:val="single" w:sz="4" w:space="0" w:color="000000"/>
                  </w:tcBorders>
                </w:tcPr>
                <w:p>
                  <w:pPr>
                    <w:pStyle w:val="Compact"/>
                    <w:spacing w:after="0" w:before="0" w:line="240" w:lineRule="auto"/>
                    <w:ind w:firstLine="0"/>
                    <w:jc w:val="center"/>
                  </w:pPr>
                  <w:r>
                    <w:rPr>
                      <w:sz w:val="16"/>
                    </w:rPr>
                    <w:t xml:space="preserve">Main analysis: PPV</w:t>
                  </w:r>
                </w:p>
              </w:tc>
              <w:tc>
                <w:tcPr>
                  <w:tcW w:w="926" w:type="dxa"/>
                  <w:tcBorders>
                    <w:top w:val="double" w:sz="4" w:space="0" w:color="000000"/>
                    <w:bottom w:val="single" w:sz="4" w:space="0" w:color="000000"/>
                  </w:tcBorders>
                </w:tcPr>
                <w:p>
                  <w:pPr>
                    <w:pStyle w:val="Compact"/>
                    <w:spacing w:after="0" w:before="0" w:line="240" w:lineRule="auto"/>
                    <w:ind w:firstLine="0"/>
                    <w:jc w:val="center"/>
                  </w:pPr>
                  <w:r>
                    <w:rPr>
                      <w:sz w:val="16"/>
                    </w:rPr>
                    <w:t xml:space="preserve">Main analysis: NPV</w:t>
                  </w:r>
                </w:p>
              </w:tc>
              <w:tc>
                <w:tcPr>
                  <w:tcW w:w="882" w:type="dxa"/>
                  <w:tcBorders>
                    <w:top w:val="double" w:sz="4" w:space="0" w:color="000000"/>
                    <w:bottom w:val="single" w:sz="4" w:space="0" w:color="000000"/>
                  </w:tcBorders>
                </w:tcPr>
                <w:p>
                  <w:pPr>
                    <w:pStyle w:val="Compact"/>
                    <w:spacing w:after="0" w:before="0" w:line="240" w:lineRule="auto"/>
                    <w:ind w:firstLine="0"/>
                    <w:jc w:val="center"/>
                  </w:pPr>
                  <w:r>
                    <w:rPr>
                      <w:sz w:val="16"/>
                    </w:rPr>
                    <w:t xml:space="preserve">I/SDD excluded: n</w:t>
                  </w:r>
                </w:p>
              </w:tc>
              <w:tc>
                <w:tcPr>
                  <w:tcW w:w="971" w:type="dxa"/>
                  <w:tcBorders>
                    <w:top w:val="double" w:sz="4" w:space="0" w:color="000000"/>
                    <w:bottom w:val="single" w:sz="4" w:space="0" w:color="000000"/>
                  </w:tcBorders>
                </w:tcPr>
                <w:p>
                  <w:pPr>
                    <w:pStyle w:val="Compact"/>
                    <w:spacing w:after="0" w:before="0" w:line="240" w:lineRule="auto"/>
                    <w:ind w:firstLine="0"/>
                    <w:jc w:val="center"/>
                  </w:pPr>
                  <w:r>
                    <w:rPr>
                      <w:sz w:val="16"/>
                    </w:rPr>
                    <w:t xml:space="preserve">I/SDD excluded: PPV</w:t>
                  </w:r>
                </w:p>
              </w:tc>
              <w:tc>
                <w:tcPr>
                  <w:tcW w:w="971" w:type="dxa"/>
                  <w:tcBorders>
                    <w:top w:val="double" w:sz="4" w:space="0" w:color="000000"/>
                    <w:bottom w:val="single" w:sz="4" w:space="0" w:color="000000"/>
                  </w:tcBorders>
                </w:tcPr>
                <w:p>
                  <w:pPr>
                    <w:pStyle w:val="Compact"/>
                    <w:spacing w:after="0" w:before="0" w:line="240" w:lineRule="auto"/>
                    <w:ind w:firstLine="0"/>
                    <w:jc w:val="center"/>
                  </w:pPr>
                  <w:r>
                    <w:rPr>
                      <w:sz w:val="16"/>
                    </w:rPr>
                    <w:t xml:space="preserve">I/SDD excluded: NPV</w:t>
                  </w:r>
                </w:p>
              </w:tc>
              <w:tc>
                <w:tcPr>
                  <w:tcW w:w="1061" w:type="dxa"/>
                  <w:tcBorders>
                    <w:top w:val="double" w:sz="4" w:space="0" w:color="000000"/>
                    <w:bottom w:val="single" w:sz="4" w:space="0" w:color="000000"/>
                  </w:tcBorders>
                </w:tcPr>
                <w:p>
                  <w:pPr>
                    <w:pStyle w:val="Compact"/>
                    <w:spacing w:after="0" w:before="0" w:line="240" w:lineRule="auto"/>
                    <w:ind w:firstLine="0"/>
                    <w:jc w:val="center"/>
                  </w:pPr>
                  <w:r>
                    <w:rPr>
                      <w:sz w:val="16"/>
                    </w:rPr>
                    <w:t xml:space="preserve">Blood/sterile site: n</w:t>
                  </w:r>
                </w:p>
              </w:tc>
              <w:tc>
                <w:tcPr>
                  <w:tcW w:w="1151" w:type="dxa"/>
                  <w:tcBorders>
                    <w:top w:val="double" w:sz="4" w:space="0" w:color="000000"/>
                    <w:bottom w:val="single" w:sz="4" w:space="0" w:color="000000"/>
                  </w:tcBorders>
                </w:tcPr>
                <w:p>
                  <w:pPr>
                    <w:pStyle w:val="Compact"/>
                    <w:spacing w:after="0" w:before="0" w:line="240" w:lineRule="auto"/>
                    <w:ind w:firstLine="0"/>
                    <w:jc w:val="center"/>
                  </w:pPr>
                  <w:r>
                    <w:rPr>
                      <w:sz w:val="16"/>
                    </w:rPr>
                    <w:t xml:space="preserve">Blood/sterile site: PPV</w:t>
                  </w:r>
                </w:p>
              </w:tc>
              <w:tc>
                <w:tcPr>
                  <w:tcW w:w="1151" w:type="dxa"/>
                  <w:tcBorders>
                    <w:top w:val="double" w:sz="4" w:space="0" w:color="000000"/>
                    <w:bottom w:val="single" w:sz="4" w:space="0" w:color="000000"/>
                  </w:tcBorders>
                </w:tcPr>
                <w:p>
                  <w:pPr>
                    <w:pStyle w:val="Compact"/>
                    <w:spacing w:after="0" w:before="0" w:line="240" w:lineRule="auto"/>
                    <w:ind w:firstLine="0"/>
                    <w:jc w:val="center"/>
                  </w:pPr>
                  <w:r>
                    <w:rPr>
                      <w:sz w:val="16"/>
                    </w:rPr>
                    <w:t xml:space="preserve">Blood/sterile site: NPV</w:t>
                  </w:r>
                </w:p>
              </w:tc>
            </w:tr>
            <w:tr>
              <w:tc>
                <w:tcPr>
                  <w:tcW w:w="1290" w:type="dxa"/>
                </w:tcPr>
                <w:p>
                  <w:pPr>
                    <w:pStyle w:val="Compact"/>
                    <w:spacing w:after="0" w:before="0" w:line="240" w:lineRule="auto"/>
                    <w:ind w:firstLine="0"/>
                    <w:jc w:val="left"/>
                  </w:pPr>
                  <w:r>
                    <w:rPr>
                      <w:i/>
                      <w:iCs/>
                      <w:sz w:val="16"/>
                    </w:rPr>
                    <w:t xml:space="preserve">mecA</w:t>
                  </w:r>
                  <w:r>
                    <w:rPr>
                      <w:sz w:val="16"/>
                    </w:rPr>
                    <w:t xml:space="preserve">,</w:t>
                  </w:r>
                  <w:r>
                    <w:rPr>
                      <w:sz w:val="16"/>
                    </w:rPr>
                    <w:t xml:space="preserve"> </w:t>
                  </w:r>
                  <w:r>
                    <w:rPr>
                      <w:i/>
                      <w:iCs/>
                      <w:sz w:val="16"/>
                    </w:rPr>
                    <w:t xml:space="preserve">S. aureus</w:t>
                  </w:r>
                  <w:r>
                    <w:rPr>
                      <w:sz w:val="16"/>
                    </w:rPr>
                    <w:t xml:space="preserve">, OXA/FOX</w:t>
                  </w:r>
                </w:p>
              </w:tc>
              <w:tc>
                <w:tcPr>
                  <w:tcW w:w="837" w:type="dxa"/>
                </w:tcPr>
                <w:p>
                  <w:pPr>
                    <w:pStyle w:val="Compact"/>
                    <w:spacing w:after="0" w:before="0" w:line="240" w:lineRule="auto"/>
                    <w:ind w:firstLine="0"/>
                    <w:jc w:val="center"/>
                  </w:pPr>
                  <w:r>
                    <w:rPr>
                      <w:sz w:val="16"/>
                    </w:rPr>
                    <w:t xml:space="preserve">550</w:t>
                  </w:r>
                </w:p>
              </w:tc>
              <w:tc>
                <w:tcPr>
                  <w:tcW w:w="926" w:type="dxa"/>
                </w:tcPr>
                <w:p>
                  <w:pPr>
                    <w:pStyle w:val="Compact"/>
                    <w:spacing w:after="0" w:before="0" w:line="240" w:lineRule="auto"/>
                    <w:ind w:firstLine="0"/>
                    <w:jc w:val="center"/>
                  </w:pPr>
                  <w:r>
                    <w:rPr>
                      <w:sz w:val="16"/>
                    </w:rPr>
                    <w:t xml:space="preserve">97.7%</w:t>
                  </w:r>
                </w:p>
              </w:tc>
              <w:tc>
                <w:tcPr>
                  <w:tcW w:w="926" w:type="dxa"/>
                </w:tcPr>
                <w:p>
                  <w:pPr>
                    <w:pStyle w:val="Compact"/>
                    <w:spacing w:after="0" w:before="0" w:line="240" w:lineRule="auto"/>
                    <w:ind w:firstLine="0"/>
                    <w:jc w:val="center"/>
                  </w:pPr>
                  <w:r>
                    <w:rPr>
                      <w:sz w:val="16"/>
                    </w:rPr>
                    <w:t xml:space="preserve">99.7%</w:t>
                  </w:r>
                </w:p>
              </w:tc>
              <w:tc>
                <w:tcPr>
                  <w:tcW w:w="882" w:type="dxa"/>
                </w:tcPr>
                <w:p>
                  <w:pPr>
                    <w:pStyle w:val="Compact"/>
                    <w:spacing w:after="0" w:before="0" w:line="240" w:lineRule="auto"/>
                    <w:ind w:firstLine="0"/>
                    <w:jc w:val="center"/>
                  </w:pPr>
                  <w:r>
                    <w:rPr>
                      <w:sz w:val="16"/>
                    </w:rPr>
                    <w:t xml:space="preserve">550</w:t>
                  </w:r>
                </w:p>
              </w:tc>
              <w:tc>
                <w:tcPr>
                  <w:tcW w:w="971" w:type="dxa"/>
                </w:tcPr>
                <w:p>
                  <w:pPr>
                    <w:pStyle w:val="Compact"/>
                    <w:spacing w:after="0" w:before="0" w:line="240" w:lineRule="auto"/>
                    <w:ind w:firstLine="0"/>
                    <w:jc w:val="center"/>
                  </w:pPr>
                  <w:r>
                    <w:rPr>
                      <w:sz w:val="16"/>
                    </w:rPr>
                    <w:t xml:space="preserve">97.7%</w:t>
                  </w:r>
                </w:p>
              </w:tc>
              <w:tc>
                <w:tcPr>
                  <w:tcW w:w="971" w:type="dxa"/>
                </w:tcPr>
                <w:p>
                  <w:pPr>
                    <w:pStyle w:val="Compact"/>
                    <w:spacing w:after="0" w:before="0" w:line="240" w:lineRule="auto"/>
                    <w:ind w:firstLine="0"/>
                    <w:jc w:val="center"/>
                  </w:pPr>
                  <w:r>
                    <w:rPr>
                      <w:sz w:val="16"/>
                    </w:rPr>
                    <w:t xml:space="preserve">99.7%</w:t>
                  </w:r>
                </w:p>
              </w:tc>
              <w:tc>
                <w:tcPr>
                  <w:tcW w:w="1061" w:type="dxa"/>
                </w:tcPr>
                <w:p>
                  <w:pPr>
                    <w:pStyle w:val="Compact"/>
                    <w:spacing w:after="0" w:before="0" w:line="240" w:lineRule="auto"/>
                    <w:ind w:firstLine="0"/>
                    <w:jc w:val="center"/>
                  </w:pPr>
                  <w:r>
                    <w:rPr>
                      <w:sz w:val="16"/>
                    </w:rPr>
                    <w:t xml:space="preserve">260</w:t>
                  </w:r>
                </w:p>
              </w:tc>
              <w:tc>
                <w:tcPr>
                  <w:tcW w:w="1151" w:type="dxa"/>
                </w:tcPr>
                <w:p>
                  <w:pPr>
                    <w:pStyle w:val="Compact"/>
                    <w:spacing w:after="0" w:before="0" w:line="240" w:lineRule="auto"/>
                    <w:ind w:firstLine="0"/>
                    <w:jc w:val="center"/>
                  </w:pPr>
                  <w:r>
                    <w:rPr>
                      <w:sz w:val="16"/>
                    </w:rPr>
                    <w:t xml:space="preserve">98.7%</w:t>
                  </w:r>
                </w:p>
              </w:tc>
              <w:tc>
                <w:tcPr>
                  <w:tcW w:w="1151" w:type="dxa"/>
                </w:tcPr>
                <w:p>
                  <w:pPr>
                    <w:pStyle w:val="Compact"/>
                    <w:spacing w:after="0" w:before="0" w:line="240" w:lineRule="auto"/>
                    <w:ind w:firstLine="0"/>
                    <w:jc w:val="center"/>
                  </w:pPr>
                  <w:r>
                    <w:rPr>
                      <w:sz w:val="16"/>
                    </w:rPr>
                    <w:t xml:space="preserve">100.0%</w:t>
                  </w:r>
                </w:p>
              </w:tc>
            </w:tr>
            <w:tr>
              <w:tc>
                <w:tcPr>
                  <w:tcW w:w="1290" w:type="dxa"/>
                </w:tcPr>
                <w:p>
                  <w:pPr>
                    <w:pStyle w:val="Compact"/>
                    <w:spacing w:after="0" w:before="0" w:line="240" w:lineRule="auto"/>
                    <w:ind w:firstLine="0"/>
                    <w:jc w:val="left"/>
                  </w:pPr>
                  <w:r>
                    <w:rPr>
                      <w:i/>
                      <w:iCs/>
                      <w:sz w:val="16"/>
                    </w:rPr>
                    <w:t xml:space="preserve">vanA</w:t>
                  </w:r>
                  <w:r>
                    <w:rPr>
                      <w:sz w:val="16"/>
                    </w:rPr>
                    <w:t xml:space="preserve">/</w:t>
                  </w:r>
                  <w:r>
                    <w:rPr>
                      <w:i/>
                      <w:iCs/>
                      <w:sz w:val="16"/>
                    </w:rPr>
                    <w:t xml:space="preserve">B</w:t>
                  </w:r>
                  <w:r>
                    <w:rPr>
                      <w:sz w:val="16"/>
                    </w:rPr>
                    <w:t xml:space="preserve">, enterococci, VAN</w:t>
                  </w:r>
                </w:p>
              </w:tc>
              <w:tc>
                <w:tcPr>
                  <w:tcW w:w="837" w:type="dxa"/>
                </w:tcPr>
                <w:p>
                  <w:pPr>
                    <w:pStyle w:val="Compact"/>
                    <w:spacing w:after="0" w:before="0" w:line="240" w:lineRule="auto"/>
                    <w:ind w:firstLine="0"/>
                    <w:jc w:val="center"/>
                  </w:pPr>
                  <w:r>
                    <w:rPr>
                      <w:sz w:val="16"/>
                    </w:rPr>
                    <w:t xml:space="preserve">119</w:t>
                  </w:r>
                </w:p>
              </w:tc>
              <w:tc>
                <w:tcPr>
                  <w:tcW w:w="926" w:type="dxa"/>
                </w:tcPr>
                <w:p>
                  <w:pPr>
                    <w:pStyle w:val="Compact"/>
                    <w:spacing w:after="0" w:before="0" w:line="240" w:lineRule="auto"/>
                    <w:ind w:firstLine="0"/>
                    <w:jc w:val="center"/>
                  </w:pPr>
                  <w:r>
                    <w:rPr>
                      <w:sz w:val="16"/>
                    </w:rPr>
                    <w:t xml:space="preserve">89.7%</w:t>
                  </w:r>
                </w:p>
              </w:tc>
              <w:tc>
                <w:tcPr>
                  <w:tcW w:w="926" w:type="dxa"/>
                </w:tcPr>
                <w:p>
                  <w:pPr>
                    <w:pStyle w:val="Compact"/>
                    <w:spacing w:after="0" w:before="0" w:line="240" w:lineRule="auto"/>
                    <w:ind w:firstLine="0"/>
                    <w:jc w:val="center"/>
                  </w:pPr>
                  <w:r>
                    <w:rPr>
                      <w:sz w:val="16"/>
                    </w:rPr>
                    <w:t xml:space="preserve">96.7%</w:t>
                  </w:r>
                </w:p>
              </w:tc>
              <w:tc>
                <w:tcPr>
                  <w:tcW w:w="882" w:type="dxa"/>
                </w:tcPr>
                <w:p>
                  <w:pPr>
                    <w:pStyle w:val="Compact"/>
                    <w:spacing w:after="0" w:before="0" w:line="240" w:lineRule="auto"/>
                    <w:ind w:firstLine="0"/>
                    <w:jc w:val="center"/>
                  </w:pPr>
                  <w:r>
                    <w:rPr>
                      <w:sz w:val="16"/>
                    </w:rPr>
                    <w:t xml:space="preserve">119</w:t>
                  </w:r>
                </w:p>
              </w:tc>
              <w:tc>
                <w:tcPr>
                  <w:tcW w:w="971" w:type="dxa"/>
                </w:tcPr>
                <w:p>
                  <w:pPr>
                    <w:pStyle w:val="Compact"/>
                    <w:spacing w:after="0" w:before="0" w:line="240" w:lineRule="auto"/>
                    <w:ind w:firstLine="0"/>
                    <w:jc w:val="center"/>
                  </w:pPr>
                  <w:r>
                    <w:rPr>
                      <w:sz w:val="16"/>
                    </w:rPr>
                    <w:t xml:space="preserve">89.7%</w:t>
                  </w:r>
                </w:p>
              </w:tc>
              <w:tc>
                <w:tcPr>
                  <w:tcW w:w="971" w:type="dxa"/>
                </w:tcPr>
                <w:p>
                  <w:pPr>
                    <w:pStyle w:val="Compact"/>
                    <w:spacing w:after="0" w:before="0" w:line="240" w:lineRule="auto"/>
                    <w:ind w:firstLine="0"/>
                    <w:jc w:val="center"/>
                  </w:pPr>
                  <w:r>
                    <w:rPr>
                      <w:sz w:val="16"/>
                    </w:rPr>
                    <w:t xml:space="preserve">96.7%</w:t>
                  </w:r>
                </w:p>
              </w:tc>
              <w:tc>
                <w:tcPr>
                  <w:tcW w:w="1061" w:type="dxa"/>
                </w:tcPr>
                <w:p>
                  <w:pPr>
                    <w:pStyle w:val="Compact"/>
                    <w:spacing w:after="0" w:before="0" w:line="240" w:lineRule="auto"/>
                    <w:ind w:firstLine="0"/>
                    <w:jc w:val="center"/>
                  </w:pPr>
                  <w:r>
                    <w:rPr>
                      <w:sz w:val="16"/>
                    </w:rPr>
                    <w:t xml:space="preserve">19</w:t>
                  </w:r>
                </w:p>
              </w:tc>
              <w:tc>
                <w:tcPr>
                  <w:tcW w:w="1151" w:type="dxa"/>
                </w:tcPr>
                <w:p>
                  <w:pPr>
                    <w:pStyle w:val="Compact"/>
                    <w:spacing w:after="0" w:before="0" w:line="240" w:lineRule="auto"/>
                    <w:ind w:firstLine="0"/>
                    <w:jc w:val="center"/>
                  </w:pPr>
                  <w:r>
                    <w:rPr>
                      <w:sz w:val="16"/>
                    </w:rPr>
                    <w:t xml:space="preserve">77.8%</w:t>
                  </w:r>
                </w:p>
              </w:tc>
              <w:tc>
                <w:tcPr>
                  <w:tcW w:w="1151" w:type="dxa"/>
                </w:tcPr>
                <w:p>
                  <w:pPr>
                    <w:pStyle w:val="Compact"/>
                    <w:spacing w:after="0" w:before="0" w:line="240" w:lineRule="auto"/>
                    <w:ind w:firstLine="0"/>
                    <w:jc w:val="center"/>
                  </w:pPr>
                  <w:r>
                    <w:rPr>
                      <w:sz w:val="16"/>
                    </w:rPr>
                    <w:t xml:space="preserve">100.0%</w:t>
                  </w:r>
                </w:p>
              </w:tc>
            </w:tr>
            <w:tr>
              <w:tc>
                <w:tcPr>
                  <w:tcW w:w="1290" w:type="dxa"/>
                </w:tcPr>
                <w:p>
                  <w:pPr>
                    <w:pStyle w:val="Compact"/>
                    <w:spacing w:after="0" w:before="0" w:line="240" w:lineRule="auto"/>
                    <w:ind w:firstLine="0"/>
                    <w:jc w:val="left"/>
                  </w:pPr>
                  <w:r>
                    <w:rPr>
                      <w:sz w:val="16"/>
                    </w:rPr>
                    <w:t xml:space="preserve">KPC, Enterobacterales, any CBP</w:t>
                  </w:r>
                </w:p>
              </w:tc>
              <w:tc>
                <w:tcPr>
                  <w:tcW w:w="837" w:type="dxa"/>
                </w:tcPr>
                <w:p>
                  <w:pPr>
                    <w:pStyle w:val="Compact"/>
                    <w:spacing w:after="0" w:before="0" w:line="240" w:lineRule="auto"/>
                    <w:ind w:firstLine="0"/>
                    <w:jc w:val="center"/>
                  </w:pPr>
                  <w:r>
                    <w:rPr>
                      <w:sz w:val="16"/>
                    </w:rPr>
                    <w:t xml:space="preserve">4,147</w:t>
                  </w:r>
                </w:p>
              </w:tc>
              <w:tc>
                <w:tcPr>
                  <w:tcW w:w="926" w:type="dxa"/>
                </w:tcPr>
                <w:p>
                  <w:pPr>
                    <w:pStyle w:val="Compact"/>
                    <w:spacing w:after="0" w:before="0" w:line="240" w:lineRule="auto"/>
                    <w:ind w:firstLine="0"/>
                    <w:jc w:val="center"/>
                  </w:pPr>
                  <w:r>
                    <w:rPr>
                      <w:sz w:val="16"/>
                    </w:rPr>
                    <w:t xml:space="preserve">98.0%</w:t>
                  </w:r>
                </w:p>
              </w:tc>
              <w:tc>
                <w:tcPr>
                  <w:tcW w:w="926" w:type="dxa"/>
                </w:tcPr>
                <w:p>
                  <w:pPr>
                    <w:pStyle w:val="Compact"/>
                    <w:spacing w:after="0" w:before="0" w:line="240" w:lineRule="auto"/>
                    <w:ind w:firstLine="0"/>
                    <w:jc w:val="center"/>
                  </w:pPr>
                  <w:r>
                    <w:rPr>
                      <w:sz w:val="16"/>
                    </w:rPr>
                    <w:t xml:space="preserve">94.3%</w:t>
                  </w:r>
                </w:p>
              </w:tc>
              <w:tc>
                <w:tcPr>
                  <w:tcW w:w="882" w:type="dxa"/>
                </w:tcPr>
                <w:p>
                  <w:pPr>
                    <w:pStyle w:val="Compact"/>
                    <w:spacing w:after="0" w:before="0" w:line="240" w:lineRule="auto"/>
                    <w:ind w:firstLine="0"/>
                    <w:jc w:val="center"/>
                  </w:pPr>
                  <w:r>
                    <w:rPr>
                      <w:sz w:val="16"/>
                    </w:rPr>
                    <w:t xml:space="preserve">4,101</w:t>
                  </w:r>
                </w:p>
              </w:tc>
              <w:tc>
                <w:tcPr>
                  <w:tcW w:w="971" w:type="dxa"/>
                </w:tcPr>
                <w:p>
                  <w:pPr>
                    <w:pStyle w:val="Compact"/>
                    <w:spacing w:after="0" w:before="0" w:line="240" w:lineRule="auto"/>
                    <w:ind w:firstLine="0"/>
                    <w:jc w:val="center"/>
                  </w:pPr>
                  <w:r>
                    <w:rPr>
                      <w:sz w:val="16"/>
                    </w:rPr>
                    <w:t xml:space="preserve">99.5%</w:t>
                  </w:r>
                </w:p>
              </w:tc>
              <w:tc>
                <w:tcPr>
                  <w:tcW w:w="971" w:type="dxa"/>
                </w:tcPr>
                <w:p>
                  <w:pPr>
                    <w:pStyle w:val="Compact"/>
                    <w:spacing w:after="0" w:before="0" w:line="240" w:lineRule="auto"/>
                    <w:ind w:firstLine="0"/>
                    <w:jc w:val="center"/>
                  </w:pPr>
                  <w:r>
                    <w:rPr>
                      <w:sz w:val="16"/>
                    </w:rPr>
                    <w:t xml:space="preserve">94.3%</w:t>
                  </w:r>
                </w:p>
              </w:tc>
              <w:tc>
                <w:tcPr>
                  <w:tcW w:w="1061" w:type="dxa"/>
                </w:tcPr>
                <w:p>
                  <w:pPr>
                    <w:pStyle w:val="Compact"/>
                    <w:spacing w:after="0" w:before="0" w:line="240" w:lineRule="auto"/>
                    <w:ind w:firstLine="0"/>
                    <w:jc w:val="center"/>
                  </w:pPr>
                  <w:r>
                    <w:rPr>
                      <w:sz w:val="16"/>
                    </w:rPr>
                    <w:t xml:space="preserve">420</w:t>
                  </w:r>
                </w:p>
              </w:tc>
              <w:tc>
                <w:tcPr>
                  <w:tcW w:w="1151" w:type="dxa"/>
                </w:tcPr>
                <w:p>
                  <w:pPr>
                    <w:pStyle w:val="Compact"/>
                    <w:spacing w:after="0" w:before="0" w:line="240" w:lineRule="auto"/>
                    <w:ind w:firstLine="0"/>
                    <w:jc w:val="center"/>
                  </w:pPr>
                  <w:r>
                    <w:rPr>
                      <w:sz w:val="16"/>
                    </w:rPr>
                    <w:t xml:space="preserve">100.0%</w:t>
                  </w:r>
                </w:p>
              </w:tc>
              <w:tc>
                <w:tcPr>
                  <w:tcW w:w="1151" w:type="dxa"/>
                </w:tcPr>
                <w:p>
                  <w:pPr>
                    <w:pStyle w:val="Compact"/>
                    <w:spacing w:after="0" w:before="0" w:line="240" w:lineRule="auto"/>
                    <w:ind w:firstLine="0"/>
                    <w:jc w:val="center"/>
                  </w:pPr>
                  <w:r>
                    <w:rPr>
                      <w:sz w:val="16"/>
                    </w:rPr>
                    <w:t xml:space="preserve">93.6%</w:t>
                  </w:r>
                </w:p>
              </w:tc>
            </w:tr>
            <w:tr>
              <w:tc>
                <w:tcPr>
                  <w:tcW w:w="1290" w:type="dxa"/>
                </w:tcPr>
                <w:p>
                  <w:pPr>
                    <w:pStyle w:val="Compact"/>
                    <w:spacing w:after="0" w:before="0" w:line="240" w:lineRule="auto"/>
                    <w:ind w:firstLine="0"/>
                    <w:jc w:val="left"/>
                  </w:pPr>
                  <w:r>
                    <w:rPr>
                      <w:sz w:val="16"/>
                    </w:rPr>
                    <w:t xml:space="preserve">Any carbapenemase, any CBP</w:t>
                  </w:r>
                </w:p>
              </w:tc>
              <w:tc>
                <w:tcPr>
                  <w:tcW w:w="837" w:type="dxa"/>
                </w:tcPr>
                <w:p>
                  <w:pPr>
                    <w:pStyle w:val="Compact"/>
                    <w:spacing w:after="0" w:before="0" w:line="240" w:lineRule="auto"/>
                    <w:ind w:firstLine="0"/>
                    <w:jc w:val="center"/>
                  </w:pPr>
                  <w:r>
                    <w:rPr>
                      <w:sz w:val="16"/>
                    </w:rPr>
                    <w:t xml:space="preserve">4,147</w:t>
                  </w:r>
                </w:p>
              </w:tc>
              <w:tc>
                <w:tcPr>
                  <w:tcW w:w="926" w:type="dxa"/>
                </w:tcPr>
                <w:p>
                  <w:pPr>
                    <w:pStyle w:val="Compact"/>
                    <w:spacing w:after="0" w:before="0" w:line="240" w:lineRule="auto"/>
                    <w:ind w:firstLine="0"/>
                    <w:jc w:val="center"/>
                  </w:pPr>
                  <w:r>
                    <w:rPr>
                      <w:sz w:val="16"/>
                    </w:rPr>
                    <w:t xml:space="preserve">97.8%</w:t>
                  </w:r>
                </w:p>
              </w:tc>
              <w:tc>
                <w:tcPr>
                  <w:tcW w:w="926" w:type="dxa"/>
                </w:tcPr>
                <w:p>
                  <w:pPr>
                    <w:pStyle w:val="Compact"/>
                    <w:spacing w:after="0" w:before="0" w:line="240" w:lineRule="auto"/>
                    <w:ind w:firstLine="0"/>
                    <w:jc w:val="center"/>
                  </w:pPr>
                  <w:r>
                    <w:rPr>
                      <w:sz w:val="16"/>
                    </w:rPr>
                    <w:t xml:space="preserve">96.1%</w:t>
                  </w:r>
                </w:p>
              </w:tc>
              <w:tc>
                <w:tcPr>
                  <w:tcW w:w="882" w:type="dxa"/>
                </w:tcPr>
                <w:p>
                  <w:pPr>
                    <w:pStyle w:val="Compact"/>
                    <w:spacing w:after="0" w:before="0" w:line="240" w:lineRule="auto"/>
                    <w:ind w:firstLine="0"/>
                    <w:jc w:val="center"/>
                  </w:pPr>
                  <w:r>
                    <w:rPr>
                      <w:sz w:val="16"/>
                    </w:rPr>
                    <w:t xml:space="preserve">4,101</w:t>
                  </w:r>
                </w:p>
              </w:tc>
              <w:tc>
                <w:tcPr>
                  <w:tcW w:w="971" w:type="dxa"/>
                </w:tcPr>
                <w:p>
                  <w:pPr>
                    <w:pStyle w:val="Compact"/>
                    <w:spacing w:after="0" w:before="0" w:line="240" w:lineRule="auto"/>
                    <w:ind w:firstLine="0"/>
                    <w:jc w:val="center"/>
                  </w:pPr>
                  <w:r>
                    <w:rPr>
                      <w:sz w:val="16"/>
                    </w:rPr>
                    <w:t xml:space="preserve">98.9%</w:t>
                  </w:r>
                </w:p>
              </w:tc>
              <w:tc>
                <w:tcPr>
                  <w:tcW w:w="971" w:type="dxa"/>
                </w:tcPr>
                <w:p>
                  <w:pPr>
                    <w:pStyle w:val="Compact"/>
                    <w:spacing w:after="0" w:before="0" w:line="240" w:lineRule="auto"/>
                    <w:ind w:firstLine="0"/>
                    <w:jc w:val="center"/>
                  </w:pPr>
                  <w:r>
                    <w:rPr>
                      <w:sz w:val="16"/>
                    </w:rPr>
                    <w:t xml:space="preserve">96.0%</w:t>
                  </w:r>
                </w:p>
              </w:tc>
              <w:tc>
                <w:tcPr>
                  <w:tcW w:w="1061" w:type="dxa"/>
                </w:tcPr>
                <w:p>
                  <w:pPr>
                    <w:pStyle w:val="Compact"/>
                    <w:spacing w:after="0" w:before="0" w:line="240" w:lineRule="auto"/>
                    <w:ind w:firstLine="0"/>
                    <w:jc w:val="center"/>
                  </w:pPr>
                  <w:r>
                    <w:rPr>
                      <w:sz w:val="16"/>
                    </w:rPr>
                    <w:t xml:space="preserve">420</w:t>
                  </w:r>
                </w:p>
              </w:tc>
              <w:tc>
                <w:tcPr>
                  <w:tcW w:w="1151" w:type="dxa"/>
                </w:tcPr>
                <w:p>
                  <w:pPr>
                    <w:pStyle w:val="Compact"/>
                    <w:spacing w:after="0" w:before="0" w:line="240" w:lineRule="auto"/>
                    <w:ind w:firstLine="0"/>
                    <w:jc w:val="center"/>
                  </w:pPr>
                  <w:r>
                    <w:rPr>
                      <w:sz w:val="16"/>
                    </w:rPr>
                    <w:t xml:space="preserve">97.3%</w:t>
                  </w:r>
                </w:p>
              </w:tc>
              <w:tc>
                <w:tcPr>
                  <w:tcW w:w="1151" w:type="dxa"/>
                </w:tcPr>
                <w:p>
                  <w:pPr>
                    <w:pStyle w:val="Compact"/>
                    <w:spacing w:after="0" w:before="0" w:line="240" w:lineRule="auto"/>
                    <w:ind w:firstLine="0"/>
                    <w:jc w:val="center"/>
                  </w:pPr>
                  <w:r>
                    <w:rPr>
                      <w:sz w:val="16"/>
                    </w:rPr>
                    <w:t xml:space="preserve">95.0%</w:t>
                  </w:r>
                </w:p>
              </w:tc>
            </w:tr>
            <w:tr>
              <w:tc>
                <w:tcPr>
                  <w:tcW w:w="1290" w:type="dxa"/>
                </w:tcPr>
                <w:p>
                  <w:pPr>
                    <w:pStyle w:val="Compact"/>
                    <w:spacing w:after="0" w:before="0" w:line="240" w:lineRule="auto"/>
                    <w:ind w:firstLine="0"/>
                    <w:jc w:val="left"/>
                  </w:pPr>
                  <w:r>
                    <w:rPr>
                      <w:sz w:val="16"/>
                    </w:rPr>
                    <w:t xml:space="preserve">Any carbapenemase, MEM</w:t>
                  </w:r>
                </w:p>
              </w:tc>
              <w:tc>
                <w:tcPr>
                  <w:tcW w:w="837" w:type="dxa"/>
                </w:tcPr>
                <w:p>
                  <w:pPr>
                    <w:pStyle w:val="Compact"/>
                    <w:spacing w:after="0" w:before="0" w:line="240" w:lineRule="auto"/>
                    <w:ind w:firstLine="0"/>
                    <w:jc w:val="center"/>
                  </w:pPr>
                  <w:r>
                    <w:rPr>
                      <w:sz w:val="16"/>
                    </w:rPr>
                    <w:t xml:space="preserve">3,834</w:t>
                  </w:r>
                </w:p>
              </w:tc>
              <w:tc>
                <w:tcPr>
                  <w:tcW w:w="926" w:type="dxa"/>
                </w:tcPr>
                <w:p>
                  <w:pPr>
                    <w:pStyle w:val="Compact"/>
                    <w:spacing w:after="0" w:before="0" w:line="240" w:lineRule="auto"/>
                    <w:ind w:firstLine="0"/>
                    <w:jc w:val="center"/>
                  </w:pPr>
                  <w:r>
                    <w:rPr>
                      <w:sz w:val="16"/>
                    </w:rPr>
                    <w:t xml:space="preserve">87.6%</w:t>
                  </w:r>
                </w:p>
              </w:tc>
              <w:tc>
                <w:tcPr>
                  <w:tcW w:w="926" w:type="dxa"/>
                </w:tcPr>
                <w:p>
                  <w:pPr>
                    <w:pStyle w:val="Compact"/>
                    <w:spacing w:after="0" w:before="0" w:line="240" w:lineRule="auto"/>
                    <w:ind w:firstLine="0"/>
                    <w:jc w:val="center"/>
                  </w:pPr>
                  <w:r>
                    <w:rPr>
                      <w:sz w:val="16"/>
                    </w:rPr>
                    <w:t xml:space="preserve">97.5%</w:t>
                  </w:r>
                </w:p>
              </w:tc>
              <w:tc>
                <w:tcPr>
                  <w:tcW w:w="882" w:type="dxa"/>
                </w:tcPr>
                <w:p>
                  <w:pPr>
                    <w:pStyle w:val="Compact"/>
                    <w:spacing w:after="0" w:before="0" w:line="240" w:lineRule="auto"/>
                    <w:ind w:firstLine="0"/>
                    <w:jc w:val="center"/>
                  </w:pPr>
                  <w:r>
                    <w:rPr>
                      <w:sz w:val="16"/>
                    </w:rPr>
                    <w:t xml:space="preserve">3,793</w:t>
                  </w:r>
                </w:p>
              </w:tc>
              <w:tc>
                <w:tcPr>
                  <w:tcW w:w="971" w:type="dxa"/>
                </w:tcPr>
                <w:p>
                  <w:pPr>
                    <w:pStyle w:val="Compact"/>
                    <w:spacing w:after="0" w:before="0" w:line="240" w:lineRule="auto"/>
                    <w:ind w:firstLine="0"/>
                    <w:jc w:val="center"/>
                  </w:pPr>
                  <w:r>
                    <w:rPr>
                      <w:sz w:val="16"/>
                    </w:rPr>
                    <w:t xml:space="preserve">93.4%</w:t>
                  </w:r>
                </w:p>
              </w:tc>
              <w:tc>
                <w:tcPr>
                  <w:tcW w:w="971" w:type="dxa"/>
                </w:tcPr>
                <w:p>
                  <w:pPr>
                    <w:pStyle w:val="Compact"/>
                    <w:spacing w:after="0" w:before="0" w:line="240" w:lineRule="auto"/>
                    <w:ind w:firstLine="0"/>
                    <w:jc w:val="center"/>
                  </w:pPr>
                  <w:r>
                    <w:rPr>
                      <w:sz w:val="16"/>
                    </w:rPr>
                    <w:t xml:space="preserve">97.5%</w:t>
                  </w:r>
                </w:p>
              </w:tc>
              <w:tc>
                <w:tcPr>
                  <w:tcW w:w="1061" w:type="dxa"/>
                </w:tcPr>
                <w:p>
                  <w:pPr>
                    <w:pStyle w:val="Compact"/>
                    <w:spacing w:after="0" w:before="0" w:line="240" w:lineRule="auto"/>
                    <w:ind w:firstLine="0"/>
                    <w:jc w:val="center"/>
                  </w:pPr>
                  <w:r>
                    <w:rPr>
                      <w:sz w:val="16"/>
                    </w:rPr>
                    <w:t xml:space="preserve">420</w:t>
                  </w:r>
                </w:p>
              </w:tc>
              <w:tc>
                <w:tcPr>
                  <w:tcW w:w="1151" w:type="dxa"/>
                </w:tcPr>
                <w:p>
                  <w:pPr>
                    <w:pStyle w:val="Compact"/>
                    <w:spacing w:after="0" w:before="0" w:line="240" w:lineRule="auto"/>
                    <w:ind w:firstLine="0"/>
                    <w:jc w:val="center"/>
                  </w:pPr>
                  <w:r>
                    <w:rPr>
                      <w:sz w:val="16"/>
                    </w:rPr>
                    <w:t xml:space="preserve">86.5%</w:t>
                  </w:r>
                </w:p>
              </w:tc>
              <w:tc>
                <w:tcPr>
                  <w:tcW w:w="1151" w:type="dxa"/>
                </w:tcPr>
                <w:p>
                  <w:pPr>
                    <w:pStyle w:val="Compact"/>
                    <w:spacing w:after="0" w:before="0" w:line="240" w:lineRule="auto"/>
                    <w:ind w:firstLine="0"/>
                    <w:jc w:val="center"/>
                  </w:pPr>
                  <w:r>
                    <w:rPr>
                      <w:sz w:val="16"/>
                    </w:rPr>
                    <w:t xml:space="preserve">97.1%</w:t>
                  </w:r>
                </w:p>
              </w:tc>
            </w:tr>
            <w:tr>
              <w:tc>
                <w:tcPr>
                  <w:tcW w:w="1290" w:type="dxa"/>
                </w:tcPr>
                <w:p>
                  <w:pPr>
                    <w:pStyle w:val="Compact"/>
                    <w:spacing w:after="0" w:before="0" w:line="240" w:lineRule="auto"/>
                    <w:ind w:firstLine="0"/>
                    <w:jc w:val="left"/>
                  </w:pPr>
                  <w:r>
                    <w:rPr>
                      <w:sz w:val="16"/>
                    </w:rPr>
                    <w:t xml:space="preserve">CTX-M,</w:t>
                  </w:r>
                  <w:r>
                    <w:rPr>
                      <w:sz w:val="16"/>
                    </w:rPr>
                    <w:t xml:space="preserve"> </w:t>
                  </w:r>
                  <w:r>
                    <w:rPr>
                      <w:i/>
                      <w:iCs/>
                      <w:sz w:val="16"/>
                    </w:rPr>
                    <w:t xml:space="preserve">E. coli</w:t>
                  </w:r>
                  <w:r>
                    <w:rPr>
                      <w:sz w:val="16"/>
                    </w:rPr>
                    <w:t xml:space="preserve">, CRO</w:t>
                  </w:r>
                </w:p>
              </w:tc>
              <w:tc>
                <w:tcPr>
                  <w:tcW w:w="837" w:type="dxa"/>
                </w:tcPr>
                <w:p>
                  <w:pPr>
                    <w:pStyle w:val="Compact"/>
                    <w:spacing w:after="0" w:before="0" w:line="240" w:lineRule="auto"/>
                    <w:ind w:firstLine="0"/>
                    <w:jc w:val="center"/>
                  </w:pPr>
                  <w:r>
                    <w:rPr>
                      <w:sz w:val="16"/>
                    </w:rPr>
                    <w:t xml:space="preserve">2,828</w:t>
                  </w:r>
                </w:p>
              </w:tc>
              <w:tc>
                <w:tcPr>
                  <w:tcW w:w="926" w:type="dxa"/>
                </w:tcPr>
                <w:p>
                  <w:pPr>
                    <w:pStyle w:val="Compact"/>
                    <w:spacing w:after="0" w:before="0" w:line="240" w:lineRule="auto"/>
                    <w:ind w:firstLine="0"/>
                    <w:jc w:val="center"/>
                  </w:pPr>
                  <w:r>
                    <w:rPr>
                      <w:sz w:val="16"/>
                    </w:rPr>
                    <w:t xml:space="preserve">97.2%</w:t>
                  </w:r>
                </w:p>
              </w:tc>
              <w:tc>
                <w:tcPr>
                  <w:tcW w:w="926" w:type="dxa"/>
                </w:tcPr>
                <w:p>
                  <w:pPr>
                    <w:pStyle w:val="Compact"/>
                    <w:spacing w:after="0" w:before="0" w:line="240" w:lineRule="auto"/>
                    <w:ind w:firstLine="0"/>
                    <w:jc w:val="center"/>
                  </w:pPr>
                  <w:r>
                    <w:rPr>
                      <w:sz w:val="16"/>
                    </w:rPr>
                    <w:t xml:space="preserve">94.2%</w:t>
                  </w:r>
                </w:p>
              </w:tc>
              <w:tc>
                <w:tcPr>
                  <w:tcW w:w="882" w:type="dxa"/>
                </w:tcPr>
                <w:p>
                  <w:pPr>
                    <w:pStyle w:val="Compact"/>
                    <w:spacing w:after="0" w:before="0" w:line="240" w:lineRule="auto"/>
                    <w:ind w:firstLine="0"/>
                    <w:jc w:val="center"/>
                  </w:pPr>
                  <w:r>
                    <w:rPr>
                      <w:sz w:val="16"/>
                    </w:rPr>
                    <w:t xml:space="preserve">2,825</w:t>
                  </w:r>
                </w:p>
              </w:tc>
              <w:tc>
                <w:tcPr>
                  <w:tcW w:w="971" w:type="dxa"/>
                </w:tcPr>
                <w:p>
                  <w:pPr>
                    <w:pStyle w:val="Compact"/>
                    <w:spacing w:after="0" w:before="0" w:line="240" w:lineRule="auto"/>
                    <w:ind w:firstLine="0"/>
                    <w:jc w:val="center"/>
                  </w:pPr>
                  <w:r>
                    <w:rPr>
                      <w:sz w:val="16"/>
                    </w:rPr>
                    <w:t xml:space="preserve">97.5%</w:t>
                  </w:r>
                </w:p>
              </w:tc>
              <w:tc>
                <w:tcPr>
                  <w:tcW w:w="971" w:type="dxa"/>
                </w:tcPr>
                <w:p>
                  <w:pPr>
                    <w:pStyle w:val="Compact"/>
                    <w:spacing w:after="0" w:before="0" w:line="240" w:lineRule="auto"/>
                    <w:ind w:firstLine="0"/>
                    <w:jc w:val="center"/>
                  </w:pPr>
                  <w:r>
                    <w:rPr>
                      <w:sz w:val="16"/>
                    </w:rPr>
                    <w:t xml:space="preserve">94.2%</w:t>
                  </w:r>
                </w:p>
              </w:tc>
              <w:tc>
                <w:tcPr>
                  <w:tcW w:w="1061" w:type="dxa"/>
                </w:tcPr>
                <w:p>
                  <w:pPr>
                    <w:pStyle w:val="Compact"/>
                    <w:spacing w:after="0" w:before="0" w:line="240" w:lineRule="auto"/>
                    <w:ind w:firstLine="0"/>
                    <w:jc w:val="center"/>
                  </w:pPr>
                  <w:r>
                    <w:rPr>
                      <w:sz w:val="16"/>
                    </w:rPr>
                    <w:t xml:space="preserve">262</w:t>
                  </w:r>
                </w:p>
              </w:tc>
              <w:tc>
                <w:tcPr>
                  <w:tcW w:w="1151" w:type="dxa"/>
                </w:tcPr>
                <w:p>
                  <w:pPr>
                    <w:pStyle w:val="Compact"/>
                    <w:spacing w:after="0" w:before="0" w:line="240" w:lineRule="auto"/>
                    <w:ind w:firstLine="0"/>
                    <w:jc w:val="center"/>
                  </w:pPr>
                  <w:r>
                    <w:rPr>
                      <w:sz w:val="16"/>
                    </w:rPr>
                    <w:t xml:space="preserve">98.5%</w:t>
                  </w:r>
                </w:p>
              </w:tc>
              <w:tc>
                <w:tcPr>
                  <w:tcW w:w="1151" w:type="dxa"/>
                </w:tcPr>
                <w:p>
                  <w:pPr>
                    <w:pStyle w:val="Compact"/>
                    <w:spacing w:after="0" w:before="0" w:line="240" w:lineRule="auto"/>
                    <w:ind w:firstLine="0"/>
                    <w:jc w:val="center"/>
                  </w:pPr>
                  <w:r>
                    <w:rPr>
                      <w:sz w:val="16"/>
                    </w:rPr>
                    <w:t xml:space="preserve">80.5%</w:t>
                  </w:r>
                </w:p>
              </w:tc>
            </w:tr>
            <w:tr>
              <w:tc>
                <w:tcPr>
                  <w:tcW w:w="1290" w:type="dxa"/>
                  <w:tcBorders>
                    <w:bottom w:val="double" w:sz="4" w:space="0" w:color="000000"/>
                  </w:tcBorders>
                </w:tcPr>
                <w:p>
                  <w:pPr>
                    <w:pStyle w:val="Compact"/>
                    <w:spacing w:after="0" w:before="0" w:line="240" w:lineRule="auto"/>
                    <w:ind w:firstLine="0"/>
                    <w:jc w:val="left"/>
                  </w:pPr>
                  <w:r>
                    <w:rPr>
                      <w:sz w:val="16"/>
                    </w:rPr>
                    <w:t xml:space="preserve">CTX-M,</w:t>
                  </w:r>
                  <w:r>
                    <w:rPr>
                      <w:sz w:val="16"/>
                    </w:rPr>
                    <w:t xml:space="preserve"> </w:t>
                  </w:r>
                  <w:r>
                    <w:rPr>
                      <w:i/>
                      <w:iCs/>
                      <w:sz w:val="16"/>
                    </w:rPr>
                    <w:t xml:space="preserve">K. pneumoniae</w:t>
                  </w:r>
                  <w:r>
                    <w:rPr>
                      <w:sz w:val="16"/>
                    </w:rPr>
                    <w:t xml:space="preserve"> </w:t>
                  </w:r>
                  <w:r>
                    <w:rPr>
                      <w:sz w:val="16"/>
                    </w:rPr>
                    <w:t xml:space="preserve">cplx., CRO</w:t>
                  </w:r>
                </w:p>
              </w:tc>
              <w:tc>
                <w:tcPr>
                  <w:tcW w:w="837" w:type="dxa"/>
                  <w:tcBorders>
                    <w:bottom w:val="double" w:sz="4" w:space="0" w:color="000000"/>
                  </w:tcBorders>
                </w:tcPr>
                <w:p>
                  <w:pPr>
                    <w:pStyle w:val="Compact"/>
                    <w:spacing w:after="0" w:before="0" w:line="240" w:lineRule="auto"/>
                    <w:ind w:firstLine="0"/>
                    <w:jc w:val="center"/>
                  </w:pPr>
                  <w:r>
                    <w:rPr>
                      <w:sz w:val="16"/>
                    </w:rPr>
                    <w:t xml:space="preserve">636</w:t>
                  </w:r>
                </w:p>
              </w:tc>
              <w:tc>
                <w:tcPr>
                  <w:tcW w:w="926" w:type="dxa"/>
                  <w:tcBorders>
                    <w:bottom w:val="double" w:sz="4" w:space="0" w:color="000000"/>
                  </w:tcBorders>
                </w:tcPr>
                <w:p>
                  <w:pPr>
                    <w:pStyle w:val="Compact"/>
                    <w:spacing w:after="0" w:before="0" w:line="240" w:lineRule="auto"/>
                    <w:ind w:firstLine="0"/>
                    <w:jc w:val="center"/>
                  </w:pPr>
                  <w:r>
                    <w:rPr>
                      <w:sz w:val="16"/>
                    </w:rPr>
                    <w:t xml:space="preserve">99.1%</w:t>
                  </w:r>
                </w:p>
              </w:tc>
              <w:tc>
                <w:tcPr>
                  <w:tcW w:w="926" w:type="dxa"/>
                  <w:tcBorders>
                    <w:bottom w:val="double" w:sz="4" w:space="0" w:color="000000"/>
                  </w:tcBorders>
                </w:tcPr>
                <w:p>
                  <w:pPr>
                    <w:pStyle w:val="Compact"/>
                    <w:spacing w:after="0" w:before="0" w:line="240" w:lineRule="auto"/>
                    <w:ind w:firstLine="0"/>
                    <w:jc w:val="center"/>
                  </w:pPr>
                  <w:r>
                    <w:rPr>
                      <w:sz w:val="16"/>
                    </w:rPr>
                    <w:t xml:space="preserve">37.3%</w:t>
                  </w:r>
                </w:p>
              </w:tc>
              <w:tc>
                <w:tcPr>
                  <w:tcW w:w="882" w:type="dxa"/>
                  <w:tcBorders>
                    <w:bottom w:val="double" w:sz="4" w:space="0" w:color="000000"/>
                  </w:tcBorders>
                </w:tcPr>
                <w:p>
                  <w:pPr>
                    <w:pStyle w:val="Compact"/>
                    <w:spacing w:after="0" w:before="0" w:line="240" w:lineRule="auto"/>
                    <w:ind w:firstLine="0"/>
                    <w:jc w:val="center"/>
                  </w:pPr>
                  <w:r>
                    <w:rPr>
                      <w:sz w:val="16"/>
                    </w:rPr>
                    <w:t xml:space="preserve">601</w:t>
                  </w:r>
                </w:p>
              </w:tc>
              <w:tc>
                <w:tcPr>
                  <w:tcW w:w="971" w:type="dxa"/>
                  <w:tcBorders>
                    <w:bottom w:val="double" w:sz="4" w:space="0" w:color="000000"/>
                  </w:tcBorders>
                </w:tcPr>
                <w:p>
                  <w:pPr>
                    <w:pStyle w:val="Compact"/>
                    <w:spacing w:after="0" w:before="0" w:line="240" w:lineRule="auto"/>
                    <w:ind w:firstLine="0"/>
                    <w:jc w:val="center"/>
                  </w:pPr>
                  <w:r>
                    <w:rPr>
                      <w:sz w:val="16"/>
                    </w:rPr>
                    <w:t xml:space="preserve">99.1%</w:t>
                  </w:r>
                </w:p>
              </w:tc>
              <w:tc>
                <w:tcPr>
                  <w:tcW w:w="971" w:type="dxa"/>
                  <w:tcBorders>
                    <w:bottom w:val="double" w:sz="4" w:space="0" w:color="000000"/>
                  </w:tcBorders>
                </w:tcPr>
                <w:p>
                  <w:pPr>
                    <w:pStyle w:val="Compact"/>
                    <w:spacing w:after="0" w:before="0" w:line="240" w:lineRule="auto"/>
                    <w:ind w:firstLine="0"/>
                    <w:jc w:val="center"/>
                  </w:pPr>
                  <w:r>
                    <w:rPr>
                      <w:sz w:val="16"/>
                    </w:rPr>
                    <w:t xml:space="preserve">31.6%</w:t>
                  </w:r>
                </w:p>
              </w:tc>
              <w:tc>
                <w:tcPr>
                  <w:tcW w:w="1061" w:type="dxa"/>
                  <w:tcBorders>
                    <w:bottom w:val="double" w:sz="4" w:space="0" w:color="000000"/>
                  </w:tcBorders>
                </w:tcPr>
                <w:p>
                  <w:pPr>
                    <w:pStyle w:val="Compact"/>
                    <w:spacing w:after="0" w:before="0" w:line="240" w:lineRule="auto"/>
                    <w:ind w:firstLine="0"/>
                    <w:jc w:val="center"/>
                  </w:pPr>
                  <w:r>
                    <w:rPr>
                      <w:sz w:val="16"/>
                    </w:rPr>
                    <w:t xml:space="preserve">63</w:t>
                  </w:r>
                </w:p>
              </w:tc>
              <w:tc>
                <w:tcPr>
                  <w:tcW w:w="1151" w:type="dxa"/>
                  <w:tcBorders>
                    <w:bottom w:val="double" w:sz="4" w:space="0" w:color="000000"/>
                  </w:tcBorders>
                </w:tcPr>
                <w:p>
                  <w:pPr>
                    <w:pStyle w:val="Compact"/>
                    <w:spacing w:after="0" w:before="0" w:line="240" w:lineRule="auto"/>
                    <w:ind w:firstLine="0"/>
                    <w:jc w:val="center"/>
                  </w:pPr>
                  <w:r>
                    <w:rPr>
                      <w:sz w:val="16"/>
                    </w:rPr>
                    <w:t xml:space="preserve">94.4%</w:t>
                  </w:r>
                </w:p>
              </w:tc>
              <w:tc>
                <w:tcPr>
                  <w:tcW w:w="1151" w:type="dxa"/>
                  <w:tcBorders>
                    <w:bottom w:val="double" w:sz="4" w:space="0" w:color="000000"/>
                  </w:tcBorders>
                </w:tcPr>
                <w:p>
                  <w:pPr>
                    <w:pStyle w:val="Compact"/>
                    <w:spacing w:after="0" w:before="0" w:line="240" w:lineRule="auto"/>
                    <w:ind w:firstLine="0"/>
                    <w:jc w:val="center"/>
                  </w:pPr>
                  <w:r>
                    <w:rPr>
                      <w:sz w:val="16"/>
                    </w:rPr>
                    <w:t xml:space="preserve">28.9%</w:t>
                  </w:r>
                </w:p>
              </w:tc>
            </w:tr>
          </w:tbl>
          <w:p/>
        </w:tc>
      </w:tr>
    </w:tbl>
    <w:p>
      <w:pPr>
        <w:spacing w:before="0" w:after="0" w:line="20" w:lineRule="exact"/>
        <w:rPr>
          <w:sz w:val="2"/>
        </w:rPr>
        <w:sectPr>
          <w:footerReference w:type="default" r:id="rId9"/>
          <w:type w:val="continuous"/>
          <w:pgSz w:w="12240" w:h="15840"/>
          <w:pgMar w:top="1224" w:right="1037" w:bottom="1296" w:left="1037" w:header="720" w:footer="560" w:gutter="0"/>
          <w:cols w:num="1" w:space="374"/>
        </w:sectPr>
      </w:pPr>
    </w:p>
    <w:p>
      <w:pPr>
        <w:keepNext w:val="0"/>
        <w:spacing w:before="0" w:after="0" w:line="20" w:lineRule="exact"/>
        <w:rPr>
          <w:sz w:val="2"/>
        </w:rPr>
        <w:sectPr>
          <w:footerReference w:type="default" r:id="rId9"/>
          <w:type w:val="continuous"/>
          <w:pgSz w:w="12240" w:h="15840"/>
          <w:pgMar w:top="1224" w:right="1037" w:bottom="1296" w:left="1037" w:header="720" w:footer="560" w:gutter="0"/>
          <w:cols w:num="2" w:space="374"/>
        </w:sectPr>
      </w:pPr>
    </w:p>
    <w:tbl>
      <w:tblPr>
        <w:tblW w:w="1016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10166"/>
      </w:tblGrid>
      <w:tr>
        <w:trPr>
          <w:cantSplit/>
        </w:trPr>
        <w:tc>
          <w:tcPr>
            <w:tcW w:w="10166" w:type="dxa"/>
          </w:tcPr>
          <w:p>
            <w:pPr>
              <w:pStyle w:val="BodyText"/>
              <w:spacing w:before="60" w:after="0" w:line="240" w:lineRule="auto"/>
              <w:ind w:firstLine="0"/>
              <w:jc w:val="center"/>
            </w:pPr>
            <w:r>
              <w:drawing>
                <wp:inline>
                  <wp:extent cx="5334000" cy="2069799"/>
                  <wp:effectExtent b="0" l="0" r="0" t="0"/>
                  <wp:docPr descr="" title="" id="78" name="Picture"/>
                  <a:graphic>
                    <a:graphicData uri="http://schemas.openxmlformats.org/drawingml/2006/picture">
                      <pic:pic>
                        <pic:nvPicPr>
                          <pic:cNvPr descr="/root/us-rapid-panel-amr-concordance/paper/manuscript/figures/fig8_robustness.png" id="79" name="Picture"/>
                          <pic:cNvPicPr>
                            <a:picLocks noChangeArrowheads="1" noChangeAspect="1"/>
                          </pic:cNvPicPr>
                        </pic:nvPicPr>
                        <pic:blipFill>
                          <a:blip r:embed="rId77"/>
                          <a:stretch>
                            <a:fillRect/>
                          </a:stretch>
                        </pic:blipFill>
                        <pic:spPr bwMode="auto">
                          <a:xfrm>
                            <a:off x="0" y="0"/>
                            <a:ext cx="5334000" cy="2069799"/>
                          </a:xfrm>
                          <a:prstGeom prst="rect">
                            <a:avLst/>
                          </a:prstGeom>
                          <a:noFill/>
                          <a:ln w="9525">
                            <a:noFill/>
                            <a:headEnd/>
                            <a:tailEnd/>
                          </a:ln>
                        </pic:spPr>
                      </pic:pic>
                    </a:graphicData>
                  </a:graphic>
                </wp:inline>
              </w:drawing>
            </w:r>
          </w:p>
          <w:p>
            <w:pPr>
              <w:pStyle w:val="FigCaption"/>
            </w:pPr>
            <w:bookmarkStart w:id="80" w:name="fig-7"/>
            <w:bookmarkEnd w:id="80"/>
            <w:r>
              <w:t xml:space="preserve">FIG. 7: Robustness of PPV (a) and NPV (b) to excluding intermediate and SDD results and to restricting to blood and sterile-site isolates, with Wilson 95% CIs. CBP, carbapenem; MEM, meropenem; CRO, ceftriaxone.</w:t>
            </w:r>
          </w:p>
        </w:tc>
      </w:tr>
    </w:tbl>
    <w:p>
      <w:pPr>
        <w:spacing w:before="0" w:after="0" w:line="20" w:lineRule="exact"/>
        <w:rPr>
          <w:sz w:val="2"/>
        </w:rPr>
        <w:sectPr>
          <w:footerReference w:type="default" r:id="rId9"/>
          <w:type w:val="continuous"/>
          <w:pgSz w:w="12240" w:h="15840"/>
          <w:pgMar w:top="1224" w:right="1037" w:bottom="1296" w:left="1037" w:header="720" w:footer="560" w:gutter="0"/>
          <w:cols w:num="1" w:space="374"/>
        </w:sectPr>
      </w:pPr>
    </w:p>
    <w:bookmarkEnd w:id="81"/>
    <w:bookmarkStart w:id="87" w:name="discordant-isolates"/>
    <w:p>
      <w:pPr>
        <w:pStyle w:val="Heading3"/>
      </w:pPr>
      <w:r>
        <w:t xml:space="preserve">E. </w:t>
      </w:r>
      <w:r>
        <w:t xml:space="preserve">Discordant isolates</w:t>
      </w:r>
    </w:p>
    <w:p>
      <w:pPr>
        <w:pStyle w:val="FirstParagraph"/>
      </w:pPr>
      <w:r>
        <w:t xml:space="preserve">The discordance collection contains 970 isolate-target pairs from 872 isolates: 37 with the gene detected but no resistance, and 933 resistant without the panel target (Table</w:t>
      </w:r>
      <w:r>
        <w:t xml:space="preserve"> </w:t>
      </w:r>
      <w:hyperlink w:anchor="tab-XI">
        <w:r>
          <w:rPr>
            <w:rStyle w:val="Hyperlink"/>
            <w:color w:val="BF0000"/>
            <w:u w:val="none"/>
          </w:rPr>
          <w:t xml:space="preserve">XI</w:t>
        </w:r>
      </w:hyperlink>
      <w:r>
        <w:t xml:space="preserve">, Fig.</w:t>
      </w:r>
      <w:r>
        <w:t xml:space="preserve"> </w:t>
      </w:r>
      <w:hyperlink w:anchor="fig-8">
        <w:r>
          <w:rPr>
            <w:rStyle w:val="Hyperlink"/>
            <w:color w:val="BF0000"/>
            <w:u w:val="none"/>
          </w:rPr>
          <w:t xml:space="preserve">8</w:t>
        </w:r>
      </w:hyperlink>
      <w:r>
        <w:t xml:space="preserve">).</w:t>
      </w:r>
    </w:p>
    <w:p>
      <w:pPr>
        <w:pStyle w:val="BodyText"/>
      </w:pPr>
      <w:r>
        <w:t xml:space="preserve">Gene-detected, not-resistant isolates were few. Of the 37, 7 had a measured value at or within one dilution of the resistant breakpoint, 2 had a submitter call that differed from our reinterpretation, and 28 had no explanation in the available data (Appendix Table AI). For</w:t>
      </w:r>
      <w:r>
        <w:t xml:space="preserve"> </w:t>
      </w:r>
      <w:r>
        <w:rPr>
          <w:i/>
          <w:iCs/>
        </w:rPr>
        <w:t xml:space="preserve">S. aureus</w:t>
      </w:r>
      <w:r>
        <w:t xml:space="preserve">, in 3 of the 5 cases the submitting laboratory had reported oxacillin resistance despite the MIC. No gene-detected, not-resistant case involved a partial gene call.</w:t>
      </w:r>
    </w:p>
    <w:p>
      <w:pPr>
        <w:pStyle w:val="BodyText"/>
      </w:pPr>
      <w:r>
        <w:t xml:space="preserve">Gene-negative resistant isolates were dominated by third-generation cephalosporin resistance without CTX-M (778 of 933). Of these, 268 carried an acquired non-CTX-M ESBL or AmpC, 254 belonged to a species with chromosomal AmpC, and 201 carried a panel carbapenemase, which itself confers cephalosporin resistance; 31 were unexplained. Among 151 carbapenem-resistant isolates without a panel carbapenemase, 14 carried an ESBL or AmpC with a porin change, 44 an ESBL or AmpC without a called porin change, and 31 a porin change alone, consistent with non-carbapenemase carbapenem resistance [</w:t>
      </w:r>
      <w:hyperlink w:anchor="ref-11">
        <w:r>
          <w:rPr>
            <w:rStyle w:val="Hyperlink"/>
            <w:color w:val="0000B3"/>
            <w:u w:val="none"/>
          </w:rPr>
          <w:t xml:space="preserve">11</w:t>
        </w:r>
      </w:hyperlink>
      <w:r>
        <w:t xml:space="preserve">,</w:t>
      </w:r>
      <w:r>
        <w:t xml:space="preserve"> </w:t>
      </w:r>
      <w:hyperlink w:anchor="ref-12">
        <w:r>
          <w:rPr>
            <w:rStyle w:val="Hyperlink"/>
            <w:color w:val="0000B3"/>
            <w:u w:val="none"/>
          </w:rPr>
          <w:t xml:space="preserve">12</w:t>
        </w:r>
      </w:hyperlink>
      <w:r>
        <w:t xml:space="preserve">]; 36 had a value within one dilution of the breakpoint, and 3 carried a non-panel carbapenemase (</w:t>
      </w:r>
      <w:r>
        <w:rPr>
          <w:i/>
          <w:iCs/>
        </w:rPr>
        <w:t xml:space="preserve">blaNMC-A</w:t>
      </w:r>
      <w:r>
        <w:t xml:space="preserve">,</w:t>
      </w:r>
      <w:r>
        <w:t xml:space="preserve"> </w:t>
      </w:r>
      <w:r>
        <w:rPr>
          <w:i/>
          <w:iCs/>
        </w:rPr>
        <w:t xml:space="preserve">blaSME-2</w:t>
      </w:r>
      <w:r>
        <w:t xml:space="preserve">).</w:t>
      </w:r>
    </w:p>
    <w:tbl>
      <w:tblPr>
        <w:tblW w:w="489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4896"/>
      </w:tblGrid>
      <w:tr>
        <w:trPr>
          <w:cantSplit/>
        </w:trPr>
        <w:tc>
          <w:tcPr>
            <w:tcW w:w="4896" w:type="dxa"/>
          </w:tcPr>
          <w:p>
            <w:pPr>
              <w:pStyle w:val="TabCaption"/>
            </w:pPr>
            <w:bookmarkStart w:id="82" w:name="tab-XI"/>
            <w:bookmarkEnd w:id="82"/>
            <w:r>
              <w:t xml:space="preserve">TABLE XI: Discordant isolate-target pairs by primary cause and drug class.</w:t>
            </w:r>
          </w:p>
          <w:tbl>
            <w:tblPr>
              <w:tblStyle w:val="Table"/>
              <w:tblW w:w="4896" w:type="dxa"/>
              <w:jc w:val="center"/>
              <w:tblLayout w:type="fixed"/>
              <w:tblCellMar>
                <w:top w:w="0" w:type="dxa"/>
                <w:left w:w="60" w:type="dxa"/>
                <w:bottom w:w="0" w:type="dxa"/>
                <w:right w:w="60" w:type="dxa"/>
              </w:tblCellMar>
              <w:tblLook w:firstRow="1" w:lastRow="0" w:firstColumn="0" w:lastColumn="0" w:noHBand="0" w:noVBand="0" w:val="0020"/>
            </w:tblPr>
            <w:tblGrid>
              <w:gridCol w:w="1653"/>
              <w:gridCol w:w="825"/>
              <w:gridCol w:w="766"/>
              <w:gridCol w:w="766"/>
              <w:gridCol w:w="414"/>
              <w:gridCol w:w="472"/>
            </w:tblGrid>
            <w:tr>
              <w:trPr>
                <w:cantSplit/>
                <w:tblHeader w:val="true"/>
              </w:trPr>
              <w:tc>
                <w:tcPr>
                  <w:tcW w:w="1653" w:type="dxa"/>
                  <w:tcBorders>
                    <w:top w:val="double" w:sz="4" w:space="0" w:color="000000"/>
                    <w:bottom w:val="single" w:sz="4" w:space="0" w:color="000000"/>
                  </w:tcBorders>
                </w:tcPr>
                <w:p>
                  <w:pPr>
                    <w:pStyle w:val="Compact"/>
                    <w:keepNext/>
                    <w:spacing w:after="0" w:before="0" w:line="240" w:lineRule="auto"/>
                    <w:ind w:firstLine="0"/>
                    <w:jc w:val="left"/>
                  </w:pPr>
                  <w:r>
                    <w:rPr>
                      <w:sz w:val="14"/>
                    </w:rPr>
                    <w:t xml:space="preserve">Primary cause</w:t>
                  </w:r>
                </w:p>
              </w:tc>
              <w:tc>
                <w:tcPr>
                  <w:tcW w:w="825"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Methicillin</w:t>
                  </w:r>
                </w:p>
              </w:tc>
              <w:tc>
                <w:tcPr>
                  <w:tcW w:w="766"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Vancomycin</w:t>
                  </w:r>
                </w:p>
              </w:tc>
              <w:tc>
                <w:tcPr>
                  <w:tcW w:w="766"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Carbapenem</w:t>
                  </w:r>
                </w:p>
              </w:tc>
              <w:tc>
                <w:tcPr>
                  <w:tcW w:w="414"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3GCᵃ</w:t>
                  </w:r>
                </w:p>
              </w:tc>
              <w:tc>
                <w:tcPr>
                  <w:tcW w:w="472" w:type="dxa"/>
                  <w:tcBorders>
                    <w:top w:val="double" w:sz="4" w:space="0" w:color="000000"/>
                    <w:bottom w:val="single" w:sz="4" w:space="0" w:color="000000"/>
                  </w:tcBorders>
                </w:tcPr>
                <w:p>
                  <w:pPr>
                    <w:pStyle w:val="Compact"/>
                    <w:keepNext/>
                    <w:spacing w:after="0" w:before="0" w:line="240" w:lineRule="auto"/>
                    <w:ind w:firstLine="0"/>
                    <w:jc w:val="center"/>
                  </w:pPr>
                  <w:r>
                    <w:rPr>
                      <w:sz w:val="14"/>
                    </w:rPr>
                    <w:t xml:space="preserve">Total</w:t>
                  </w:r>
                </w:p>
              </w:tc>
            </w:tr>
            <w:tr>
              <w:trPr>
                <w:cantSplit/>
              </w:trPr>
              <w:tc>
                <w:tcPr>
                  <w:tcW w:w="1653" w:type="dxa"/>
                </w:tcPr>
                <w:p>
                  <w:pPr>
                    <w:pStyle w:val="Compact"/>
                    <w:keepNext/>
                    <w:spacing w:after="0" w:before="0" w:line="240" w:lineRule="auto"/>
                    <w:ind w:firstLine="0"/>
                    <w:jc w:val="left"/>
                  </w:pPr>
                  <w:r>
                    <w:rPr>
                      <w:bCs/>
                      <w:i/>
                      <w:iCs/>
                      <w:sz w:val="14"/>
                    </w:rPr>
                    <w:t xml:space="preserve">Gene detected, not resistant</w:t>
                  </w:r>
                </w:p>
              </w:tc>
              <w:tc>
                <w:tcPr>
                  <w:tcW w:w="825" w:type="dxa"/>
                </w:tcPr>
                <w:p>
                  <w:pPr>
                    <w:pStyle w:val="Compact"/>
                    <w:keepNext/>
                    <w:spacing w:after="0" w:before="0" w:line="240" w:lineRule="auto"/>
                    <w:ind w:firstLine="0"/>
                    <w:jc w:val="center"/>
                  </w:pPr>
                </w:p>
              </w:tc>
              <w:tc>
                <w:tcPr>
                  <w:tcW w:w="766" w:type="dxa"/>
                </w:tcPr>
                <w:p>
                  <w:pPr>
                    <w:pStyle w:val="Compact"/>
                    <w:keepNext/>
                    <w:spacing w:after="0" w:before="0" w:line="240" w:lineRule="auto"/>
                    <w:ind w:firstLine="0"/>
                    <w:jc w:val="center"/>
                  </w:pPr>
                </w:p>
              </w:tc>
              <w:tc>
                <w:tcPr>
                  <w:tcW w:w="766" w:type="dxa"/>
                </w:tcPr>
                <w:p>
                  <w:pPr>
                    <w:pStyle w:val="Compact"/>
                    <w:keepNext/>
                    <w:spacing w:after="0" w:before="0" w:line="240" w:lineRule="auto"/>
                    <w:ind w:firstLine="0"/>
                    <w:jc w:val="center"/>
                  </w:pPr>
                </w:p>
              </w:tc>
              <w:tc>
                <w:tcPr>
                  <w:tcW w:w="414" w:type="dxa"/>
                </w:tcPr>
                <w:p>
                  <w:pPr>
                    <w:pStyle w:val="Compact"/>
                    <w:keepNext/>
                    <w:spacing w:after="0" w:before="0" w:line="240" w:lineRule="auto"/>
                    <w:ind w:firstLine="0"/>
                    <w:jc w:val="center"/>
                  </w:pPr>
                </w:p>
              </w:tc>
              <w:tc>
                <w:tcPr>
                  <w:tcW w:w="472" w:type="dxa"/>
                </w:tcPr>
                <w:p>
                  <w:pPr>
                    <w:pStyle w:val="Compact"/>
                    <w:keepNext/>
                    <w:spacing w:after="0" w:before="0" w:line="240" w:lineRule="auto"/>
                    <w:ind w:firstLine="0"/>
                    <w:jc w:val="center"/>
                  </w:pPr>
                </w:p>
              </w:tc>
            </w:tr>
            <w:tr>
              <w:trPr>
                <w:cantSplit/>
              </w:trPr>
              <w:tc>
                <w:tcPr>
                  <w:tcW w:w="1653" w:type="dxa"/>
                </w:tcPr>
                <w:p>
                  <w:pPr>
                    <w:pStyle w:val="Compact"/>
                    <w:keepNext/>
                    <w:spacing w:after="0" w:before="0" w:line="240" w:lineRule="auto"/>
                    <w:ind w:firstLine="0"/>
                    <w:jc w:val="left"/>
                  </w:pPr>
                  <w:r>
                    <w:rPr>
                      <w:sz w:val="14"/>
                    </w:rPr>
                    <w:t xml:space="preserve">Unexplained by available data</w:t>
                  </w:r>
                </w:p>
              </w:tc>
              <w:tc>
                <w:tcPr>
                  <w:tcW w:w="825" w:type="dxa"/>
                </w:tcPr>
                <w:p>
                  <w:pPr>
                    <w:pStyle w:val="Compact"/>
                    <w:keepNext/>
                    <w:spacing w:after="0" w:before="0" w:line="240" w:lineRule="auto"/>
                    <w:ind w:firstLine="0"/>
                    <w:jc w:val="center"/>
                  </w:pPr>
                  <w:r>
                    <w:rPr>
                      <w:sz w:val="14"/>
                    </w:rPr>
                    <w:t xml:space="preserve">1</w:t>
                  </w:r>
                </w:p>
              </w:tc>
              <w:tc>
                <w:tcPr>
                  <w:tcW w:w="766" w:type="dxa"/>
                </w:tcPr>
                <w:p>
                  <w:pPr>
                    <w:pStyle w:val="Compact"/>
                    <w:keepNext/>
                    <w:spacing w:after="0" w:before="0" w:line="240" w:lineRule="auto"/>
                    <w:ind w:firstLine="0"/>
                    <w:jc w:val="center"/>
                  </w:pPr>
                  <w:r>
                    <w:rPr>
                      <w:sz w:val="14"/>
                    </w:rPr>
                    <w:t xml:space="preserve">3</w:t>
                  </w:r>
                </w:p>
              </w:tc>
              <w:tc>
                <w:tcPr>
                  <w:tcW w:w="766" w:type="dxa"/>
                </w:tcPr>
                <w:p>
                  <w:pPr>
                    <w:pStyle w:val="Compact"/>
                    <w:keepNext/>
                    <w:spacing w:after="0" w:before="0" w:line="240" w:lineRule="auto"/>
                    <w:ind w:firstLine="0"/>
                    <w:jc w:val="center"/>
                  </w:pPr>
                  <w:r>
                    <w:rPr>
                      <w:sz w:val="14"/>
                    </w:rPr>
                    <w:t xml:space="preserve">3</w:t>
                  </w:r>
                </w:p>
              </w:tc>
              <w:tc>
                <w:tcPr>
                  <w:tcW w:w="414" w:type="dxa"/>
                </w:tcPr>
                <w:p>
                  <w:pPr>
                    <w:pStyle w:val="Compact"/>
                    <w:keepNext/>
                    <w:spacing w:after="0" w:before="0" w:line="240" w:lineRule="auto"/>
                    <w:ind w:firstLine="0"/>
                    <w:jc w:val="center"/>
                  </w:pPr>
                  <w:r>
                    <w:rPr>
                      <w:sz w:val="14"/>
                    </w:rPr>
                    <w:t xml:space="preserve">21</w:t>
                  </w:r>
                </w:p>
              </w:tc>
              <w:tc>
                <w:tcPr>
                  <w:tcW w:w="472" w:type="dxa"/>
                </w:tcPr>
                <w:p>
                  <w:pPr>
                    <w:pStyle w:val="Compact"/>
                    <w:keepNext/>
                    <w:spacing w:after="0" w:before="0" w:line="240" w:lineRule="auto"/>
                    <w:ind w:firstLine="0"/>
                    <w:jc w:val="center"/>
                  </w:pPr>
                  <w:r>
                    <w:rPr>
                      <w:sz w:val="14"/>
                    </w:rPr>
                    <w:t xml:space="preserve">28</w:t>
                  </w:r>
                </w:p>
              </w:tc>
            </w:tr>
            <w:tr>
              <w:trPr>
                <w:cantSplit/>
              </w:trPr>
              <w:tc>
                <w:tcPr>
                  <w:tcW w:w="1653" w:type="dxa"/>
                </w:tcPr>
                <w:p>
                  <w:pPr>
                    <w:pStyle w:val="Compact"/>
                    <w:keepNext/>
                    <w:spacing w:after="0" w:before="0" w:line="240" w:lineRule="auto"/>
                    <w:ind w:firstLine="0"/>
                    <w:jc w:val="left"/>
                  </w:pPr>
                  <w:r>
                    <w:rPr>
                      <w:sz w:val="14"/>
                    </w:rPr>
                    <w:t xml:space="preserve">MIC within one dilution of R breakpoint</w:t>
                  </w:r>
                </w:p>
              </w:tc>
              <w:tc>
                <w:tcPr>
                  <w:tcW w:w="825" w:type="dxa"/>
                </w:tcPr>
                <w:p>
                  <w:pPr>
                    <w:pStyle w:val="Compact"/>
                    <w:keepNext/>
                    <w:spacing w:after="0" w:before="0" w:line="240" w:lineRule="auto"/>
                    <w:ind w:firstLine="0"/>
                    <w:jc w:val="center"/>
                  </w:pPr>
                  <w:r>
                    <w:rPr>
                      <w:sz w:val="14"/>
                    </w:rPr>
                    <w:t xml:space="preserve">2</w:t>
                  </w:r>
                </w:p>
              </w:tc>
              <w:tc>
                <w:tcPr>
                  <w:tcW w:w="766"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3</w:t>
                  </w:r>
                </w:p>
              </w:tc>
              <w:tc>
                <w:tcPr>
                  <w:tcW w:w="414" w:type="dxa"/>
                </w:tcPr>
                <w:p>
                  <w:pPr>
                    <w:pStyle w:val="Compact"/>
                    <w:keepNext/>
                    <w:spacing w:after="0" w:before="0" w:line="240" w:lineRule="auto"/>
                    <w:ind w:firstLine="0"/>
                    <w:jc w:val="center"/>
                  </w:pPr>
                  <w:r>
                    <w:rPr>
                      <w:sz w:val="14"/>
                    </w:rPr>
                    <w:t xml:space="preserve">2</w:t>
                  </w:r>
                </w:p>
              </w:tc>
              <w:tc>
                <w:tcPr>
                  <w:tcW w:w="472" w:type="dxa"/>
                </w:tcPr>
                <w:p>
                  <w:pPr>
                    <w:pStyle w:val="Compact"/>
                    <w:keepNext/>
                    <w:spacing w:after="0" w:before="0" w:line="240" w:lineRule="auto"/>
                    <w:ind w:firstLine="0"/>
                    <w:jc w:val="center"/>
                  </w:pPr>
                  <w:r>
                    <w:rPr>
                      <w:sz w:val="14"/>
                    </w:rPr>
                    <w:t xml:space="preserve">7</w:t>
                  </w:r>
                </w:p>
              </w:tc>
            </w:tr>
            <w:tr>
              <w:trPr>
                <w:cantSplit/>
              </w:trPr>
              <w:tc>
                <w:tcPr>
                  <w:tcW w:w="1653" w:type="dxa"/>
                </w:tcPr>
                <w:p>
                  <w:pPr>
                    <w:pStyle w:val="Compact"/>
                    <w:keepNext/>
                    <w:spacing w:after="0" w:before="0" w:line="240" w:lineRule="auto"/>
                    <w:ind w:firstLine="0"/>
                    <w:jc w:val="left"/>
                  </w:pPr>
                  <w:r>
                    <w:rPr>
                      <w:sz w:val="14"/>
                    </w:rPr>
                    <w:t xml:space="preserve">Submitter call differs from M100-Ed35</w:t>
                  </w:r>
                </w:p>
              </w:tc>
              <w:tc>
                <w:tcPr>
                  <w:tcW w:w="825" w:type="dxa"/>
                </w:tcPr>
                <w:p>
                  <w:pPr>
                    <w:pStyle w:val="Compact"/>
                    <w:keepNext/>
                    <w:spacing w:after="0" w:before="0" w:line="240" w:lineRule="auto"/>
                    <w:ind w:firstLine="0"/>
                    <w:jc w:val="center"/>
                  </w:pPr>
                  <w:r>
                    <w:rPr>
                      <w:sz w:val="14"/>
                    </w:rPr>
                    <w:t xml:space="preserve">2</w:t>
                  </w:r>
                </w:p>
              </w:tc>
              <w:tc>
                <w:tcPr>
                  <w:tcW w:w="766"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w:t>
                  </w:r>
                </w:p>
              </w:tc>
              <w:tc>
                <w:tcPr>
                  <w:tcW w:w="414" w:type="dxa"/>
                </w:tcPr>
                <w:p>
                  <w:pPr>
                    <w:pStyle w:val="Compact"/>
                    <w:keepNext/>
                    <w:spacing w:after="0" w:before="0" w:line="240" w:lineRule="auto"/>
                    <w:ind w:firstLine="0"/>
                    <w:jc w:val="center"/>
                  </w:pPr>
                  <w:r>
                    <w:rPr>
                      <w:sz w:val="14"/>
                    </w:rPr>
                    <w:t xml:space="preserve">–</w:t>
                  </w:r>
                </w:p>
              </w:tc>
              <w:tc>
                <w:tcPr>
                  <w:tcW w:w="472" w:type="dxa"/>
                </w:tcPr>
                <w:p>
                  <w:pPr>
                    <w:pStyle w:val="Compact"/>
                    <w:keepNext/>
                    <w:spacing w:after="0" w:before="0" w:line="240" w:lineRule="auto"/>
                    <w:ind w:firstLine="0"/>
                    <w:jc w:val="center"/>
                  </w:pPr>
                  <w:r>
                    <w:rPr>
                      <w:sz w:val="14"/>
                    </w:rPr>
                    <w:t xml:space="preserve">2</w:t>
                  </w:r>
                </w:p>
              </w:tc>
            </w:tr>
            <w:tr>
              <w:trPr>
                <w:cantSplit/>
              </w:trPr>
              <w:tc>
                <w:tcPr>
                  <w:tcW w:w="1653" w:type="dxa"/>
                </w:tcPr>
                <w:p>
                  <w:pPr>
                    <w:pStyle w:val="Compact"/>
                    <w:keepNext/>
                    <w:spacing w:after="0" w:before="0" w:line="240" w:lineRule="auto"/>
                    <w:ind w:firstLine="0"/>
                    <w:jc w:val="left"/>
                  </w:pPr>
                  <w:r>
                    <w:rPr>
                      <w:i/>
                      <w:iCs/>
                      <w:sz w:val="14"/>
                    </w:rPr>
                    <w:t xml:space="preserve">Subtotal</w:t>
                  </w:r>
                </w:p>
              </w:tc>
              <w:tc>
                <w:tcPr>
                  <w:tcW w:w="825" w:type="dxa"/>
                </w:tcPr>
                <w:p>
                  <w:pPr>
                    <w:pStyle w:val="Compact"/>
                    <w:keepNext/>
                    <w:spacing w:after="0" w:before="0" w:line="240" w:lineRule="auto"/>
                    <w:ind w:firstLine="0"/>
                    <w:jc w:val="center"/>
                  </w:pPr>
                  <w:r>
                    <w:rPr>
                      <w:sz w:val="14"/>
                    </w:rPr>
                    <w:t xml:space="preserve">5</w:t>
                  </w:r>
                </w:p>
              </w:tc>
              <w:tc>
                <w:tcPr>
                  <w:tcW w:w="766" w:type="dxa"/>
                </w:tcPr>
                <w:p>
                  <w:pPr>
                    <w:pStyle w:val="Compact"/>
                    <w:keepNext/>
                    <w:spacing w:after="0" w:before="0" w:line="240" w:lineRule="auto"/>
                    <w:ind w:firstLine="0"/>
                    <w:jc w:val="center"/>
                  </w:pPr>
                  <w:r>
                    <w:rPr>
                      <w:sz w:val="14"/>
                    </w:rPr>
                    <w:t xml:space="preserve">3</w:t>
                  </w:r>
                </w:p>
              </w:tc>
              <w:tc>
                <w:tcPr>
                  <w:tcW w:w="766" w:type="dxa"/>
                </w:tcPr>
                <w:p>
                  <w:pPr>
                    <w:pStyle w:val="Compact"/>
                    <w:keepNext/>
                    <w:spacing w:after="0" w:before="0" w:line="240" w:lineRule="auto"/>
                    <w:ind w:firstLine="0"/>
                    <w:jc w:val="center"/>
                  </w:pPr>
                  <w:r>
                    <w:rPr>
                      <w:sz w:val="14"/>
                    </w:rPr>
                    <w:t xml:space="preserve">6</w:t>
                  </w:r>
                </w:p>
              </w:tc>
              <w:tc>
                <w:tcPr>
                  <w:tcW w:w="414" w:type="dxa"/>
                </w:tcPr>
                <w:p>
                  <w:pPr>
                    <w:pStyle w:val="Compact"/>
                    <w:keepNext/>
                    <w:spacing w:after="0" w:before="0" w:line="240" w:lineRule="auto"/>
                    <w:ind w:firstLine="0"/>
                    <w:jc w:val="center"/>
                  </w:pPr>
                  <w:r>
                    <w:rPr>
                      <w:sz w:val="14"/>
                    </w:rPr>
                    <w:t xml:space="preserve">23</w:t>
                  </w:r>
                </w:p>
              </w:tc>
              <w:tc>
                <w:tcPr>
                  <w:tcW w:w="472" w:type="dxa"/>
                </w:tcPr>
                <w:p>
                  <w:pPr>
                    <w:pStyle w:val="Compact"/>
                    <w:keepNext/>
                    <w:spacing w:after="0" w:before="0" w:line="240" w:lineRule="auto"/>
                    <w:ind w:firstLine="0"/>
                    <w:jc w:val="center"/>
                  </w:pPr>
                  <w:r>
                    <w:rPr>
                      <w:sz w:val="14"/>
                    </w:rPr>
                    <w:t xml:space="preserve">37</w:t>
                  </w:r>
                </w:p>
              </w:tc>
            </w:tr>
            <w:tr>
              <w:trPr>
                <w:cantSplit/>
              </w:trPr>
              <w:tc>
                <w:tcPr>
                  <w:tcW w:w="1653" w:type="dxa"/>
                </w:tcPr>
                <w:p>
                  <w:pPr>
                    <w:pStyle w:val="Compact"/>
                    <w:keepNext/>
                    <w:spacing w:after="0" w:before="0" w:line="240" w:lineRule="auto"/>
                    <w:ind w:firstLine="0"/>
                    <w:jc w:val="left"/>
                  </w:pPr>
                  <w:r>
                    <w:rPr>
                      <w:bCs/>
                      <w:i/>
                      <w:iCs/>
                      <w:sz w:val="14"/>
                    </w:rPr>
                    <w:t xml:space="preserve">Gene not detected, resistant</w:t>
                  </w:r>
                </w:p>
              </w:tc>
              <w:tc>
                <w:tcPr>
                  <w:tcW w:w="825" w:type="dxa"/>
                </w:tcPr>
                <w:p>
                  <w:pPr>
                    <w:pStyle w:val="Compact"/>
                    <w:keepNext/>
                    <w:spacing w:after="0" w:before="0" w:line="240" w:lineRule="auto"/>
                    <w:ind w:firstLine="0"/>
                    <w:jc w:val="center"/>
                  </w:pPr>
                </w:p>
              </w:tc>
              <w:tc>
                <w:tcPr>
                  <w:tcW w:w="766" w:type="dxa"/>
                </w:tcPr>
                <w:p>
                  <w:pPr>
                    <w:pStyle w:val="Compact"/>
                    <w:keepNext/>
                    <w:spacing w:after="0" w:before="0" w:line="240" w:lineRule="auto"/>
                    <w:ind w:firstLine="0"/>
                    <w:jc w:val="center"/>
                  </w:pPr>
                </w:p>
              </w:tc>
              <w:tc>
                <w:tcPr>
                  <w:tcW w:w="766" w:type="dxa"/>
                </w:tcPr>
                <w:p>
                  <w:pPr>
                    <w:pStyle w:val="Compact"/>
                    <w:keepNext/>
                    <w:spacing w:after="0" w:before="0" w:line="240" w:lineRule="auto"/>
                    <w:ind w:firstLine="0"/>
                    <w:jc w:val="center"/>
                  </w:pPr>
                </w:p>
              </w:tc>
              <w:tc>
                <w:tcPr>
                  <w:tcW w:w="414" w:type="dxa"/>
                </w:tcPr>
                <w:p>
                  <w:pPr>
                    <w:pStyle w:val="Compact"/>
                    <w:keepNext/>
                    <w:spacing w:after="0" w:before="0" w:line="240" w:lineRule="auto"/>
                    <w:ind w:firstLine="0"/>
                    <w:jc w:val="center"/>
                  </w:pPr>
                </w:p>
              </w:tc>
              <w:tc>
                <w:tcPr>
                  <w:tcW w:w="472" w:type="dxa"/>
                </w:tcPr>
                <w:p>
                  <w:pPr>
                    <w:pStyle w:val="Compact"/>
                    <w:keepNext/>
                    <w:spacing w:after="0" w:before="0" w:line="240" w:lineRule="auto"/>
                    <w:ind w:firstLine="0"/>
                    <w:jc w:val="center"/>
                  </w:pPr>
                </w:p>
              </w:tc>
            </w:tr>
            <w:tr>
              <w:trPr>
                <w:cantSplit/>
              </w:trPr>
              <w:tc>
                <w:tcPr>
                  <w:tcW w:w="1653" w:type="dxa"/>
                </w:tcPr>
                <w:p>
                  <w:pPr>
                    <w:pStyle w:val="Compact"/>
                    <w:keepNext/>
                    <w:spacing w:after="0" w:before="0" w:line="240" w:lineRule="auto"/>
                    <w:ind w:firstLine="0"/>
                    <w:jc w:val="left"/>
                  </w:pPr>
                  <w:r>
                    <w:rPr>
                      <w:sz w:val="14"/>
                    </w:rPr>
                    <w:t xml:space="preserve">Acquired non-CTX-M ESBL or AmpC</w:t>
                  </w:r>
                </w:p>
              </w:tc>
              <w:tc>
                <w:tcPr>
                  <w:tcW w:w="825"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w:t>
                  </w:r>
                </w:p>
              </w:tc>
              <w:tc>
                <w:tcPr>
                  <w:tcW w:w="414" w:type="dxa"/>
                </w:tcPr>
                <w:p>
                  <w:pPr>
                    <w:pStyle w:val="Compact"/>
                    <w:keepNext/>
                    <w:spacing w:after="0" w:before="0" w:line="240" w:lineRule="auto"/>
                    <w:ind w:firstLine="0"/>
                    <w:jc w:val="center"/>
                  </w:pPr>
                  <w:r>
                    <w:rPr>
                      <w:sz w:val="14"/>
                    </w:rPr>
                    <w:t xml:space="preserve">268</w:t>
                  </w:r>
                </w:p>
              </w:tc>
              <w:tc>
                <w:tcPr>
                  <w:tcW w:w="472" w:type="dxa"/>
                </w:tcPr>
                <w:p>
                  <w:pPr>
                    <w:pStyle w:val="Compact"/>
                    <w:keepNext/>
                    <w:spacing w:after="0" w:before="0" w:line="240" w:lineRule="auto"/>
                    <w:ind w:firstLine="0"/>
                    <w:jc w:val="center"/>
                  </w:pPr>
                  <w:r>
                    <w:rPr>
                      <w:sz w:val="14"/>
                    </w:rPr>
                    <w:t xml:space="preserve">268</w:t>
                  </w:r>
                </w:p>
              </w:tc>
            </w:tr>
            <w:tr>
              <w:trPr>
                <w:cantSplit/>
              </w:trPr>
              <w:tc>
                <w:tcPr>
                  <w:tcW w:w="1653" w:type="dxa"/>
                </w:tcPr>
                <w:p>
                  <w:pPr>
                    <w:pStyle w:val="Compact"/>
                    <w:keepNext/>
                    <w:spacing w:after="0" w:before="0" w:line="240" w:lineRule="auto"/>
                    <w:ind w:firstLine="0"/>
                    <w:jc w:val="left"/>
                  </w:pPr>
                  <w:r>
                    <w:rPr>
                      <w:sz w:val="14"/>
                    </w:rPr>
                    <w:t xml:space="preserve">Chromosomal AmpC organism</w:t>
                  </w:r>
                </w:p>
              </w:tc>
              <w:tc>
                <w:tcPr>
                  <w:tcW w:w="825"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w:t>
                  </w:r>
                </w:p>
              </w:tc>
              <w:tc>
                <w:tcPr>
                  <w:tcW w:w="414" w:type="dxa"/>
                </w:tcPr>
                <w:p>
                  <w:pPr>
                    <w:pStyle w:val="Compact"/>
                    <w:keepNext/>
                    <w:spacing w:after="0" w:before="0" w:line="240" w:lineRule="auto"/>
                    <w:ind w:firstLine="0"/>
                    <w:jc w:val="center"/>
                  </w:pPr>
                  <w:r>
                    <w:rPr>
                      <w:sz w:val="14"/>
                    </w:rPr>
                    <w:t xml:space="preserve">254</w:t>
                  </w:r>
                </w:p>
              </w:tc>
              <w:tc>
                <w:tcPr>
                  <w:tcW w:w="472" w:type="dxa"/>
                </w:tcPr>
                <w:p>
                  <w:pPr>
                    <w:pStyle w:val="Compact"/>
                    <w:keepNext/>
                    <w:spacing w:after="0" w:before="0" w:line="240" w:lineRule="auto"/>
                    <w:ind w:firstLine="0"/>
                    <w:jc w:val="center"/>
                  </w:pPr>
                  <w:r>
                    <w:rPr>
                      <w:sz w:val="14"/>
                    </w:rPr>
                    <w:t xml:space="preserve">254</w:t>
                  </w:r>
                </w:p>
              </w:tc>
            </w:tr>
            <w:tr>
              <w:trPr>
                <w:cantSplit/>
              </w:trPr>
              <w:tc>
                <w:tcPr>
                  <w:tcW w:w="1653" w:type="dxa"/>
                </w:tcPr>
                <w:p>
                  <w:pPr>
                    <w:pStyle w:val="Compact"/>
                    <w:keepNext/>
                    <w:spacing w:after="0" w:before="0" w:line="240" w:lineRule="auto"/>
                    <w:ind w:firstLine="0"/>
                    <w:jc w:val="left"/>
                  </w:pPr>
                  <w:r>
                    <w:rPr>
                      <w:sz w:val="14"/>
                    </w:rPr>
                    <w:t xml:space="preserve">Panel carbapenemase present</w:t>
                  </w:r>
                </w:p>
              </w:tc>
              <w:tc>
                <w:tcPr>
                  <w:tcW w:w="825"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w:t>
                  </w:r>
                </w:p>
              </w:tc>
              <w:tc>
                <w:tcPr>
                  <w:tcW w:w="414" w:type="dxa"/>
                </w:tcPr>
                <w:p>
                  <w:pPr>
                    <w:pStyle w:val="Compact"/>
                    <w:keepNext/>
                    <w:spacing w:after="0" w:before="0" w:line="240" w:lineRule="auto"/>
                    <w:ind w:firstLine="0"/>
                    <w:jc w:val="center"/>
                  </w:pPr>
                  <w:r>
                    <w:rPr>
                      <w:sz w:val="14"/>
                    </w:rPr>
                    <w:t xml:space="preserve">201</w:t>
                  </w:r>
                </w:p>
              </w:tc>
              <w:tc>
                <w:tcPr>
                  <w:tcW w:w="472" w:type="dxa"/>
                </w:tcPr>
                <w:p>
                  <w:pPr>
                    <w:pStyle w:val="Compact"/>
                    <w:keepNext/>
                    <w:spacing w:after="0" w:before="0" w:line="240" w:lineRule="auto"/>
                    <w:ind w:firstLine="0"/>
                    <w:jc w:val="center"/>
                  </w:pPr>
                  <w:r>
                    <w:rPr>
                      <w:sz w:val="14"/>
                    </w:rPr>
                    <w:t xml:space="preserve">201</w:t>
                  </w:r>
                </w:p>
              </w:tc>
            </w:tr>
            <w:tr>
              <w:trPr>
                <w:cantSplit/>
              </w:trPr>
              <w:tc>
                <w:tcPr>
                  <w:tcW w:w="1653" w:type="dxa"/>
                </w:tcPr>
                <w:p>
                  <w:pPr>
                    <w:pStyle w:val="Compact"/>
                    <w:keepNext/>
                    <w:spacing w:after="0" w:before="0" w:line="240" w:lineRule="auto"/>
                    <w:ind w:firstLine="0"/>
                    <w:jc w:val="left"/>
                  </w:pPr>
                  <w:r>
                    <w:rPr>
                      <w:sz w:val="14"/>
                    </w:rPr>
                    <w:t xml:space="preserve">MIC within one dilution of R breakpoint</w:t>
                  </w:r>
                </w:p>
              </w:tc>
              <w:tc>
                <w:tcPr>
                  <w:tcW w:w="825"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36</w:t>
                  </w:r>
                </w:p>
              </w:tc>
              <w:tc>
                <w:tcPr>
                  <w:tcW w:w="414" w:type="dxa"/>
                </w:tcPr>
                <w:p>
                  <w:pPr>
                    <w:pStyle w:val="Compact"/>
                    <w:keepNext/>
                    <w:spacing w:after="0" w:before="0" w:line="240" w:lineRule="auto"/>
                    <w:ind w:firstLine="0"/>
                    <w:jc w:val="center"/>
                  </w:pPr>
                  <w:r>
                    <w:rPr>
                      <w:sz w:val="14"/>
                    </w:rPr>
                    <w:t xml:space="preserve">23</w:t>
                  </w:r>
                </w:p>
              </w:tc>
              <w:tc>
                <w:tcPr>
                  <w:tcW w:w="472" w:type="dxa"/>
                </w:tcPr>
                <w:p>
                  <w:pPr>
                    <w:pStyle w:val="Compact"/>
                    <w:keepNext/>
                    <w:spacing w:after="0" w:before="0" w:line="240" w:lineRule="auto"/>
                    <w:ind w:firstLine="0"/>
                    <w:jc w:val="center"/>
                  </w:pPr>
                  <w:r>
                    <w:rPr>
                      <w:sz w:val="14"/>
                    </w:rPr>
                    <w:t xml:space="preserve">59</w:t>
                  </w:r>
                </w:p>
              </w:tc>
            </w:tr>
            <w:tr>
              <w:trPr>
                <w:cantSplit/>
              </w:trPr>
              <w:tc>
                <w:tcPr>
                  <w:tcW w:w="1653" w:type="dxa"/>
                </w:tcPr>
                <w:p>
                  <w:pPr>
                    <w:pStyle w:val="Compact"/>
                    <w:keepNext/>
                    <w:spacing w:after="0" w:before="0" w:line="240" w:lineRule="auto"/>
                    <w:ind w:firstLine="0"/>
                    <w:jc w:val="left"/>
                  </w:pPr>
                  <w:r>
                    <w:rPr>
                      <w:sz w:val="14"/>
                    </w:rPr>
                    <w:t xml:space="preserve">Unexplained by available data</w:t>
                  </w:r>
                </w:p>
              </w:tc>
              <w:tc>
                <w:tcPr>
                  <w:tcW w:w="825" w:type="dxa"/>
                </w:tcPr>
                <w:p>
                  <w:pPr>
                    <w:pStyle w:val="Compact"/>
                    <w:keepNext/>
                    <w:spacing w:after="0" w:before="0" w:line="240" w:lineRule="auto"/>
                    <w:ind w:firstLine="0"/>
                    <w:jc w:val="center"/>
                  </w:pPr>
                  <w:r>
                    <w:rPr>
                      <w:sz w:val="14"/>
                    </w:rPr>
                    <w:t xml:space="preserve">1</w:t>
                  </w:r>
                </w:p>
              </w:tc>
              <w:tc>
                <w:tcPr>
                  <w:tcW w:w="766" w:type="dxa"/>
                </w:tcPr>
                <w:p>
                  <w:pPr>
                    <w:pStyle w:val="Compact"/>
                    <w:keepNext/>
                    <w:spacing w:after="0" w:before="0" w:line="240" w:lineRule="auto"/>
                    <w:ind w:firstLine="0"/>
                    <w:jc w:val="center"/>
                  </w:pPr>
                  <w:r>
                    <w:rPr>
                      <w:sz w:val="14"/>
                    </w:rPr>
                    <w:t xml:space="preserve">2</w:t>
                  </w:r>
                </w:p>
              </w:tc>
              <w:tc>
                <w:tcPr>
                  <w:tcW w:w="766" w:type="dxa"/>
                </w:tcPr>
                <w:p>
                  <w:pPr>
                    <w:pStyle w:val="Compact"/>
                    <w:keepNext/>
                    <w:spacing w:after="0" w:before="0" w:line="240" w:lineRule="auto"/>
                    <w:ind w:firstLine="0"/>
                    <w:jc w:val="center"/>
                  </w:pPr>
                  <w:r>
                    <w:rPr>
                      <w:sz w:val="14"/>
                    </w:rPr>
                    <w:t xml:space="preserve">23</w:t>
                  </w:r>
                </w:p>
              </w:tc>
              <w:tc>
                <w:tcPr>
                  <w:tcW w:w="414" w:type="dxa"/>
                </w:tcPr>
                <w:p>
                  <w:pPr>
                    <w:pStyle w:val="Compact"/>
                    <w:keepNext/>
                    <w:spacing w:after="0" w:before="0" w:line="240" w:lineRule="auto"/>
                    <w:ind w:firstLine="0"/>
                    <w:jc w:val="center"/>
                  </w:pPr>
                  <w:r>
                    <w:rPr>
                      <w:sz w:val="14"/>
                    </w:rPr>
                    <w:t xml:space="preserve">31</w:t>
                  </w:r>
                </w:p>
              </w:tc>
              <w:tc>
                <w:tcPr>
                  <w:tcW w:w="472" w:type="dxa"/>
                </w:tcPr>
                <w:p>
                  <w:pPr>
                    <w:pStyle w:val="Compact"/>
                    <w:keepNext/>
                    <w:spacing w:after="0" w:before="0" w:line="240" w:lineRule="auto"/>
                    <w:ind w:firstLine="0"/>
                    <w:jc w:val="center"/>
                  </w:pPr>
                  <w:r>
                    <w:rPr>
                      <w:sz w:val="14"/>
                    </w:rPr>
                    <w:t xml:space="preserve">57</w:t>
                  </w:r>
                </w:p>
              </w:tc>
            </w:tr>
            <w:tr>
              <w:trPr>
                <w:cantSplit/>
              </w:trPr>
              <w:tc>
                <w:tcPr>
                  <w:tcW w:w="1653" w:type="dxa"/>
                </w:tcPr>
                <w:p>
                  <w:pPr>
                    <w:pStyle w:val="Compact"/>
                    <w:keepNext/>
                    <w:spacing w:after="0" w:before="0" w:line="240" w:lineRule="auto"/>
                    <w:ind w:firstLine="0"/>
                    <w:jc w:val="left"/>
                  </w:pPr>
                  <w:r>
                    <w:rPr>
                      <w:sz w:val="14"/>
                    </w:rPr>
                    <w:t xml:space="preserve">ESBL/AmpC, no porin call</w:t>
                  </w:r>
                </w:p>
              </w:tc>
              <w:tc>
                <w:tcPr>
                  <w:tcW w:w="825"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44</w:t>
                  </w:r>
                </w:p>
              </w:tc>
              <w:tc>
                <w:tcPr>
                  <w:tcW w:w="414" w:type="dxa"/>
                </w:tcPr>
                <w:p>
                  <w:pPr>
                    <w:pStyle w:val="Compact"/>
                    <w:keepNext/>
                    <w:spacing w:after="0" w:before="0" w:line="240" w:lineRule="auto"/>
                    <w:ind w:firstLine="0"/>
                    <w:jc w:val="center"/>
                  </w:pPr>
                  <w:r>
                    <w:rPr>
                      <w:sz w:val="14"/>
                    </w:rPr>
                    <w:t xml:space="preserve">–</w:t>
                  </w:r>
                </w:p>
              </w:tc>
              <w:tc>
                <w:tcPr>
                  <w:tcW w:w="472" w:type="dxa"/>
                </w:tcPr>
                <w:p>
                  <w:pPr>
                    <w:pStyle w:val="Compact"/>
                    <w:keepNext/>
                    <w:spacing w:after="0" w:before="0" w:line="240" w:lineRule="auto"/>
                    <w:ind w:firstLine="0"/>
                    <w:jc w:val="center"/>
                  </w:pPr>
                  <w:r>
                    <w:rPr>
                      <w:sz w:val="14"/>
                    </w:rPr>
                    <w:t xml:space="preserve">44</w:t>
                  </w:r>
                </w:p>
              </w:tc>
            </w:tr>
            <w:tr>
              <w:trPr>
                <w:cantSplit/>
              </w:trPr>
              <w:tc>
                <w:tcPr>
                  <w:tcW w:w="1653" w:type="dxa"/>
                </w:tcPr>
                <w:p>
                  <w:pPr>
                    <w:pStyle w:val="Compact"/>
                    <w:keepNext/>
                    <w:spacing w:after="0" w:before="0" w:line="240" w:lineRule="auto"/>
                    <w:ind w:firstLine="0"/>
                    <w:jc w:val="left"/>
                  </w:pPr>
                  <w:r>
                    <w:rPr>
                      <w:sz w:val="14"/>
                    </w:rPr>
                    <w:t xml:space="preserve">Porin change only</w:t>
                  </w:r>
                </w:p>
              </w:tc>
              <w:tc>
                <w:tcPr>
                  <w:tcW w:w="825"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31</w:t>
                  </w:r>
                </w:p>
              </w:tc>
              <w:tc>
                <w:tcPr>
                  <w:tcW w:w="414" w:type="dxa"/>
                </w:tcPr>
                <w:p>
                  <w:pPr>
                    <w:pStyle w:val="Compact"/>
                    <w:keepNext/>
                    <w:spacing w:after="0" w:before="0" w:line="240" w:lineRule="auto"/>
                    <w:ind w:firstLine="0"/>
                    <w:jc w:val="center"/>
                  </w:pPr>
                  <w:r>
                    <w:rPr>
                      <w:sz w:val="14"/>
                    </w:rPr>
                    <w:t xml:space="preserve">–</w:t>
                  </w:r>
                </w:p>
              </w:tc>
              <w:tc>
                <w:tcPr>
                  <w:tcW w:w="472" w:type="dxa"/>
                </w:tcPr>
                <w:p>
                  <w:pPr>
                    <w:pStyle w:val="Compact"/>
                    <w:keepNext/>
                    <w:spacing w:after="0" w:before="0" w:line="240" w:lineRule="auto"/>
                    <w:ind w:firstLine="0"/>
                    <w:jc w:val="center"/>
                  </w:pPr>
                  <w:r>
                    <w:rPr>
                      <w:sz w:val="14"/>
                    </w:rPr>
                    <w:t xml:space="preserve">31</w:t>
                  </w:r>
                </w:p>
              </w:tc>
            </w:tr>
            <w:tr>
              <w:trPr>
                <w:cantSplit/>
              </w:trPr>
              <w:tc>
                <w:tcPr>
                  <w:tcW w:w="1653" w:type="dxa"/>
                </w:tcPr>
                <w:p>
                  <w:pPr>
                    <w:pStyle w:val="Compact"/>
                    <w:keepNext/>
                    <w:spacing w:after="0" w:before="0" w:line="240" w:lineRule="auto"/>
                    <w:ind w:firstLine="0"/>
                    <w:jc w:val="left"/>
                  </w:pPr>
                  <w:r>
                    <w:rPr>
                      <w:sz w:val="14"/>
                    </w:rPr>
                    <w:t xml:space="preserve">ESBL/AmpC plus porin change</w:t>
                  </w:r>
                </w:p>
              </w:tc>
              <w:tc>
                <w:tcPr>
                  <w:tcW w:w="825"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14</w:t>
                  </w:r>
                </w:p>
              </w:tc>
              <w:tc>
                <w:tcPr>
                  <w:tcW w:w="414" w:type="dxa"/>
                </w:tcPr>
                <w:p>
                  <w:pPr>
                    <w:pStyle w:val="Compact"/>
                    <w:keepNext/>
                    <w:spacing w:after="0" w:before="0" w:line="240" w:lineRule="auto"/>
                    <w:ind w:firstLine="0"/>
                    <w:jc w:val="center"/>
                  </w:pPr>
                  <w:r>
                    <w:rPr>
                      <w:sz w:val="14"/>
                    </w:rPr>
                    <w:t xml:space="preserve">–</w:t>
                  </w:r>
                </w:p>
              </w:tc>
              <w:tc>
                <w:tcPr>
                  <w:tcW w:w="472" w:type="dxa"/>
                </w:tcPr>
                <w:p>
                  <w:pPr>
                    <w:pStyle w:val="Compact"/>
                    <w:keepNext/>
                    <w:spacing w:after="0" w:before="0" w:line="240" w:lineRule="auto"/>
                    <w:ind w:firstLine="0"/>
                    <w:jc w:val="center"/>
                  </w:pPr>
                  <w:r>
                    <w:rPr>
                      <w:sz w:val="14"/>
                    </w:rPr>
                    <w:t xml:space="preserve">14</w:t>
                  </w:r>
                </w:p>
              </w:tc>
            </w:tr>
            <w:tr>
              <w:trPr>
                <w:cantSplit/>
              </w:trPr>
              <w:tc>
                <w:tcPr>
                  <w:tcW w:w="1653" w:type="dxa"/>
                </w:tcPr>
                <w:p>
                  <w:pPr>
                    <w:pStyle w:val="Compact"/>
                    <w:keepNext/>
                    <w:spacing w:after="0" w:before="0" w:line="240" w:lineRule="auto"/>
                    <w:ind w:firstLine="0"/>
                    <w:jc w:val="left"/>
                  </w:pPr>
                  <w:r>
                    <w:rPr>
                      <w:sz w:val="14"/>
                    </w:rPr>
                    <w:t xml:space="preserve">Non-panel carbapenemase</w:t>
                  </w:r>
                </w:p>
              </w:tc>
              <w:tc>
                <w:tcPr>
                  <w:tcW w:w="825"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3</w:t>
                  </w:r>
                </w:p>
              </w:tc>
              <w:tc>
                <w:tcPr>
                  <w:tcW w:w="414" w:type="dxa"/>
                </w:tcPr>
                <w:p>
                  <w:pPr>
                    <w:pStyle w:val="Compact"/>
                    <w:keepNext/>
                    <w:spacing w:after="0" w:before="0" w:line="240" w:lineRule="auto"/>
                    <w:ind w:firstLine="0"/>
                    <w:jc w:val="center"/>
                  </w:pPr>
                  <w:r>
                    <w:rPr>
                      <w:sz w:val="14"/>
                    </w:rPr>
                    <w:t xml:space="preserve">–</w:t>
                  </w:r>
                </w:p>
              </w:tc>
              <w:tc>
                <w:tcPr>
                  <w:tcW w:w="472" w:type="dxa"/>
                </w:tcPr>
                <w:p>
                  <w:pPr>
                    <w:pStyle w:val="Compact"/>
                    <w:keepNext/>
                    <w:spacing w:after="0" w:before="0" w:line="240" w:lineRule="auto"/>
                    <w:ind w:firstLine="0"/>
                    <w:jc w:val="center"/>
                  </w:pPr>
                  <w:r>
                    <w:rPr>
                      <w:sz w:val="14"/>
                    </w:rPr>
                    <w:t xml:space="preserve">3</w:t>
                  </w:r>
                </w:p>
              </w:tc>
            </w:tr>
            <w:tr>
              <w:trPr>
                <w:cantSplit/>
              </w:trPr>
              <w:tc>
                <w:tcPr>
                  <w:tcW w:w="1653" w:type="dxa"/>
                </w:tcPr>
                <w:p>
                  <w:pPr>
                    <w:pStyle w:val="Compact"/>
                    <w:keepNext/>
                    <w:spacing w:after="0" w:before="0" w:line="240" w:lineRule="auto"/>
                    <w:ind w:firstLine="0"/>
                    <w:jc w:val="left"/>
                  </w:pPr>
                  <w:r>
                    <w:rPr>
                      <w:sz w:val="14"/>
                    </w:rPr>
                    <w:t xml:space="preserve">Submitter call differs from M100-Ed35</w:t>
                  </w:r>
                </w:p>
              </w:tc>
              <w:tc>
                <w:tcPr>
                  <w:tcW w:w="825"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w:t>
                  </w:r>
                </w:p>
              </w:tc>
              <w:tc>
                <w:tcPr>
                  <w:tcW w:w="414" w:type="dxa"/>
                </w:tcPr>
                <w:p>
                  <w:pPr>
                    <w:pStyle w:val="Compact"/>
                    <w:keepNext/>
                    <w:spacing w:after="0" w:before="0" w:line="240" w:lineRule="auto"/>
                    <w:ind w:firstLine="0"/>
                    <w:jc w:val="center"/>
                  </w:pPr>
                  <w:r>
                    <w:rPr>
                      <w:sz w:val="14"/>
                    </w:rPr>
                    <w:t xml:space="preserve">1</w:t>
                  </w:r>
                </w:p>
              </w:tc>
              <w:tc>
                <w:tcPr>
                  <w:tcW w:w="472" w:type="dxa"/>
                </w:tcPr>
                <w:p>
                  <w:pPr>
                    <w:pStyle w:val="Compact"/>
                    <w:keepNext/>
                    <w:spacing w:after="0" w:before="0" w:line="240" w:lineRule="auto"/>
                    <w:ind w:firstLine="0"/>
                    <w:jc w:val="center"/>
                  </w:pPr>
                  <w:r>
                    <w:rPr>
                      <w:sz w:val="14"/>
                    </w:rPr>
                    <w:t xml:space="preserve">1</w:t>
                  </w:r>
                </w:p>
              </w:tc>
            </w:tr>
            <w:tr>
              <w:trPr>
                <w:cantSplit/>
              </w:trPr>
              <w:tc>
                <w:tcPr>
                  <w:tcW w:w="1653" w:type="dxa"/>
                </w:tcPr>
                <w:p>
                  <w:pPr>
                    <w:pStyle w:val="Compact"/>
                    <w:keepNext/>
                    <w:spacing w:after="0" w:before="0" w:line="240" w:lineRule="auto"/>
                    <w:ind w:firstLine="0"/>
                    <w:jc w:val="left"/>
                  </w:pPr>
                  <w:r>
                    <w:rPr>
                      <w:i/>
                      <w:iCs/>
                      <w:sz w:val="14"/>
                    </w:rPr>
                    <w:t xml:space="preserve">vanA</w:t>
                  </w:r>
                  <w:r>
                    <w:rPr>
                      <w:sz w:val="14"/>
                    </w:rPr>
                    <w:t xml:space="preserve"> </w:t>
                  </w:r>
                  <w:r>
                    <w:rPr>
                      <w:sz w:val="14"/>
                    </w:rPr>
                    <w:t xml:space="preserve">operon, no ligase call</w:t>
                  </w:r>
                </w:p>
              </w:tc>
              <w:tc>
                <w:tcPr>
                  <w:tcW w:w="825" w:type="dxa"/>
                </w:tcPr>
                <w:p>
                  <w:pPr>
                    <w:pStyle w:val="Compact"/>
                    <w:keepNext/>
                    <w:spacing w:after="0" w:before="0" w:line="240" w:lineRule="auto"/>
                    <w:ind w:firstLine="0"/>
                    <w:jc w:val="center"/>
                  </w:pPr>
                  <w:r>
                    <w:rPr>
                      <w:sz w:val="14"/>
                    </w:rPr>
                    <w:t xml:space="preserve">–</w:t>
                  </w:r>
                </w:p>
              </w:tc>
              <w:tc>
                <w:tcPr>
                  <w:tcW w:w="766" w:type="dxa"/>
                </w:tcPr>
                <w:p>
                  <w:pPr>
                    <w:pStyle w:val="Compact"/>
                    <w:keepNext/>
                    <w:spacing w:after="0" w:before="0" w:line="240" w:lineRule="auto"/>
                    <w:ind w:firstLine="0"/>
                    <w:jc w:val="center"/>
                  </w:pPr>
                  <w:r>
                    <w:rPr>
                      <w:sz w:val="14"/>
                    </w:rPr>
                    <w:t xml:space="preserve">1</w:t>
                  </w:r>
                </w:p>
              </w:tc>
              <w:tc>
                <w:tcPr>
                  <w:tcW w:w="766" w:type="dxa"/>
                </w:tcPr>
                <w:p>
                  <w:pPr>
                    <w:pStyle w:val="Compact"/>
                    <w:keepNext/>
                    <w:spacing w:after="0" w:before="0" w:line="240" w:lineRule="auto"/>
                    <w:ind w:firstLine="0"/>
                    <w:jc w:val="center"/>
                  </w:pPr>
                  <w:r>
                    <w:rPr>
                      <w:sz w:val="14"/>
                    </w:rPr>
                    <w:t xml:space="preserve">–</w:t>
                  </w:r>
                </w:p>
              </w:tc>
              <w:tc>
                <w:tcPr>
                  <w:tcW w:w="414" w:type="dxa"/>
                </w:tcPr>
                <w:p>
                  <w:pPr>
                    <w:pStyle w:val="Compact"/>
                    <w:keepNext/>
                    <w:spacing w:after="0" w:before="0" w:line="240" w:lineRule="auto"/>
                    <w:ind w:firstLine="0"/>
                    <w:jc w:val="center"/>
                  </w:pPr>
                  <w:r>
                    <w:rPr>
                      <w:sz w:val="14"/>
                    </w:rPr>
                    <w:t xml:space="preserve">–</w:t>
                  </w:r>
                </w:p>
              </w:tc>
              <w:tc>
                <w:tcPr>
                  <w:tcW w:w="472" w:type="dxa"/>
                </w:tcPr>
                <w:p>
                  <w:pPr>
                    <w:pStyle w:val="Compact"/>
                    <w:keepNext/>
                    <w:spacing w:after="0" w:before="0" w:line="240" w:lineRule="auto"/>
                    <w:ind w:firstLine="0"/>
                    <w:jc w:val="center"/>
                  </w:pPr>
                  <w:r>
                    <w:rPr>
                      <w:sz w:val="14"/>
                    </w:rPr>
                    <w:t xml:space="preserve">1</w:t>
                  </w:r>
                </w:p>
              </w:tc>
            </w:tr>
            <w:tr>
              <w:trPr>
                <w:cantSplit/>
              </w:trPr>
              <w:tc>
                <w:tcPr>
                  <w:tcW w:w="1653" w:type="dxa"/>
                  <w:tcBorders>
                    <w:bottom w:val="double" w:sz="4" w:space="0" w:color="000000"/>
                  </w:tcBorders>
                </w:tcPr>
                <w:p>
                  <w:pPr>
                    <w:pStyle w:val="Compact"/>
                    <w:spacing w:after="0" w:before="0" w:line="240" w:lineRule="auto"/>
                    <w:ind w:firstLine="0"/>
                    <w:jc w:val="left"/>
                  </w:pPr>
                  <w:r>
                    <w:rPr>
                      <w:i/>
                      <w:iCs/>
                      <w:sz w:val="14"/>
                    </w:rPr>
                    <w:t xml:space="preserve">Subtotal</w:t>
                  </w:r>
                </w:p>
              </w:tc>
              <w:tc>
                <w:tcPr>
                  <w:tcW w:w="825" w:type="dxa"/>
                  <w:tcBorders>
                    <w:bottom w:val="double" w:sz="4" w:space="0" w:color="000000"/>
                  </w:tcBorders>
                </w:tcPr>
                <w:p>
                  <w:pPr>
                    <w:pStyle w:val="Compact"/>
                    <w:spacing w:after="0" w:before="0" w:line="240" w:lineRule="auto"/>
                    <w:ind w:firstLine="0"/>
                    <w:jc w:val="center"/>
                  </w:pPr>
                  <w:r>
                    <w:rPr>
                      <w:sz w:val="14"/>
                    </w:rPr>
                    <w:t xml:space="preserve">1</w:t>
                  </w:r>
                </w:p>
              </w:tc>
              <w:tc>
                <w:tcPr>
                  <w:tcW w:w="766" w:type="dxa"/>
                  <w:tcBorders>
                    <w:bottom w:val="double" w:sz="4" w:space="0" w:color="000000"/>
                  </w:tcBorders>
                </w:tcPr>
                <w:p>
                  <w:pPr>
                    <w:pStyle w:val="Compact"/>
                    <w:spacing w:after="0" w:before="0" w:line="240" w:lineRule="auto"/>
                    <w:ind w:firstLine="0"/>
                    <w:jc w:val="center"/>
                  </w:pPr>
                  <w:r>
                    <w:rPr>
                      <w:sz w:val="14"/>
                    </w:rPr>
                    <w:t xml:space="preserve">3</w:t>
                  </w:r>
                </w:p>
              </w:tc>
              <w:tc>
                <w:tcPr>
                  <w:tcW w:w="766" w:type="dxa"/>
                  <w:tcBorders>
                    <w:bottom w:val="double" w:sz="4" w:space="0" w:color="000000"/>
                  </w:tcBorders>
                </w:tcPr>
                <w:p>
                  <w:pPr>
                    <w:pStyle w:val="Compact"/>
                    <w:spacing w:after="0" w:before="0" w:line="240" w:lineRule="auto"/>
                    <w:ind w:firstLine="0"/>
                    <w:jc w:val="center"/>
                  </w:pPr>
                  <w:r>
                    <w:rPr>
                      <w:sz w:val="14"/>
                    </w:rPr>
                    <w:t xml:space="preserve">151</w:t>
                  </w:r>
                </w:p>
              </w:tc>
              <w:tc>
                <w:tcPr>
                  <w:tcW w:w="414" w:type="dxa"/>
                  <w:tcBorders>
                    <w:bottom w:val="double" w:sz="4" w:space="0" w:color="000000"/>
                  </w:tcBorders>
                </w:tcPr>
                <w:p>
                  <w:pPr>
                    <w:pStyle w:val="Compact"/>
                    <w:spacing w:after="0" w:before="0" w:line="240" w:lineRule="auto"/>
                    <w:ind w:firstLine="0"/>
                    <w:jc w:val="center"/>
                  </w:pPr>
                  <w:r>
                    <w:rPr>
                      <w:sz w:val="14"/>
                    </w:rPr>
                    <w:t xml:space="preserve">778</w:t>
                  </w:r>
                </w:p>
              </w:tc>
              <w:tc>
                <w:tcPr>
                  <w:tcW w:w="472" w:type="dxa"/>
                  <w:tcBorders>
                    <w:bottom w:val="double" w:sz="4" w:space="0" w:color="000000"/>
                  </w:tcBorders>
                </w:tcPr>
                <w:p>
                  <w:pPr>
                    <w:pStyle w:val="Compact"/>
                    <w:spacing w:after="0" w:before="0" w:line="240" w:lineRule="auto"/>
                    <w:ind w:firstLine="0"/>
                    <w:jc w:val="center"/>
                  </w:pPr>
                  <w:r>
                    <w:rPr>
                      <w:sz w:val="14"/>
                    </w:rPr>
                    <w:t xml:space="preserve">933</w:t>
                  </w:r>
                </w:p>
              </w:tc>
            </w:tr>
          </w:tbl>
          <w:p>
            <w:pPr>
              <w:pStyle w:val="TableNote"/>
            </w:pPr>
            <w:r>
              <w:t xml:space="preserve">Note: ᵃThird-generation cephalosporins.</w:t>
            </w:r>
          </w:p>
        </w:tc>
      </w:tr>
    </w:tbl>
    <w:p>
      <w:pPr>
        <w:spacing w:before="0" w:after="0" w:line="20" w:lineRule="exact"/>
        <w:rPr>
          <w:sz w:val="2"/>
        </w:rPr>
        <w:sectPr>
          <w:footerReference w:type="default" r:id="rId9"/>
          <w:type w:val="continuous"/>
          <w:pgSz w:w="12240" w:h="15840"/>
          <w:pgMar w:top="1224" w:right="1037" w:bottom="1296" w:left="1037" w:header="720" w:footer="560" w:gutter="0"/>
          <w:cols w:num="2" w:space="374"/>
        </w:sectPr>
      </w:pPr>
    </w:p>
    <w:tbl>
      <w:tblPr>
        <w:tblW w:w="10166"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10166"/>
      </w:tblGrid>
      <w:tr>
        <w:trPr>
          <w:cantSplit/>
        </w:trPr>
        <w:tc>
          <w:tcPr>
            <w:tcW w:w="10166" w:type="dxa"/>
          </w:tcPr>
          <w:p>
            <w:pPr>
              <w:pStyle w:val="BodyText"/>
              <w:spacing w:before="60" w:after="0" w:line="240" w:lineRule="auto"/>
              <w:ind w:firstLine="0"/>
              <w:jc w:val="center"/>
            </w:pPr>
            <w:r>
              <w:drawing>
                <wp:inline>
                  <wp:extent cx="5334000" cy="2292652"/>
                  <wp:effectExtent b="0" l="0" r="0" t="0"/>
                  <wp:docPr descr="" title="" id="84" name="Picture"/>
                  <a:graphic>
                    <a:graphicData uri="http://schemas.openxmlformats.org/drawingml/2006/picture">
                      <pic:pic>
                        <pic:nvPicPr>
                          <pic:cNvPr descr="/root/us-rapid-panel-amr-concordance/paper/manuscript/figures/fig7_discordance.png" id="85" name="Picture"/>
                          <pic:cNvPicPr>
                            <a:picLocks noChangeArrowheads="1" noChangeAspect="1"/>
                          </pic:cNvPicPr>
                        </pic:nvPicPr>
                        <pic:blipFill>
                          <a:blip r:embed="rId83"/>
                          <a:stretch>
                            <a:fillRect/>
                          </a:stretch>
                        </pic:blipFill>
                        <pic:spPr bwMode="auto">
                          <a:xfrm>
                            <a:off x="0" y="0"/>
                            <a:ext cx="5334000" cy="2292652"/>
                          </a:xfrm>
                          <a:prstGeom prst="rect">
                            <a:avLst/>
                          </a:prstGeom>
                          <a:noFill/>
                          <a:ln w="9525">
                            <a:noFill/>
                            <a:headEnd/>
                            <a:tailEnd/>
                          </a:ln>
                        </pic:spPr>
                      </pic:pic>
                    </a:graphicData>
                  </a:graphic>
                </wp:inline>
              </w:drawing>
            </w:r>
          </w:p>
          <w:p>
            <w:pPr>
              <w:pStyle w:val="FigCaption"/>
            </w:pPr>
            <w:bookmarkStart w:id="86" w:name="fig-8"/>
            <w:bookmarkEnd w:id="86"/>
            <w:r>
              <w:t xml:space="preserve">FIG. 8: Discordant isolate-target pairs by primary cause, colored by drug class. (a) Gene detected, not resistant. (b) Gene not detected, resistant. Causes are rule-based likely causes, not proven mechanisms.</w:t>
            </w:r>
          </w:p>
        </w:tc>
      </w:tr>
    </w:tbl>
    <w:p>
      <w:pPr>
        <w:spacing w:before="0" w:after="0" w:line="20" w:lineRule="exact"/>
        <w:rPr>
          <w:sz w:val="2"/>
        </w:rPr>
        <w:sectPr>
          <w:footerReference w:type="default" r:id="rId9"/>
          <w:type w:val="continuous"/>
          <w:pgSz w:w="12240" w:h="15840"/>
          <w:pgMar w:top="1224" w:right="1037" w:bottom="1296" w:left="1037" w:header="720" w:footer="560" w:gutter="0"/>
          <w:cols w:num="1" w:space="374"/>
        </w:sectPr>
      </w:pPr>
    </w:p>
    <w:bookmarkEnd w:id="87"/>
    <w:bookmarkEnd w:id="88"/>
    <w:bookmarkStart w:id="98" w:name="sec-IV"/>
    <w:p>
      <w:pPr>
        <w:pStyle w:val="Heading2"/>
      </w:pPr>
      <w:r>
        <w:t xml:space="preserve">IV. Discussion</w:t>
      </w:r>
    </w:p>
    <w:bookmarkStart w:id="89" w:name="principal-findings"/>
    <w:p>
      <w:pPr>
        <w:pStyle w:val="Heading3"/>
      </w:pPr>
      <w:r>
        <w:t xml:space="preserve">A. </w:t>
      </w:r>
      <w:r>
        <w:t xml:space="preserve">Principal findings</w:t>
      </w:r>
    </w:p>
    <w:p>
      <w:pPr>
        <w:pStyle w:val="FirstParagraph"/>
      </w:pPr>
      <w:r>
        <w:t xml:space="preserve">Using public data alone, this benchmark measures how well the resistance targets on rapid blood culture panels predict the susceptibility result that follows, for 5,168 U.S. clinical isolates. Three patterns stand out. First, a</w:t>
      </w:r>
      <w:r>
        <w:t xml:space="preserve"> </w:t>
      </w:r>
      <w:r>
        <w:rPr>
          <w:i/>
          <w:iCs/>
        </w:rPr>
        <w:t xml:space="preserve">detected</w:t>
      </w:r>
      <w:r>
        <w:t xml:space="preserve"> </w:t>
      </w:r>
      <w:r>
        <w:t xml:space="preserve">target was a strong signal for most combinations:</w:t>
      </w:r>
      <w:r>
        <w:t xml:space="preserve"> </w:t>
      </w:r>
      <w:r>
        <w:rPr>
          <w:i/>
          <w:iCs/>
        </w:rPr>
        <w:t xml:space="preserve">mecA</w:t>
      </w:r>
      <w:r>
        <w:t xml:space="preserve"> </w:t>
      </w:r>
      <w:r>
        <w:t xml:space="preserve">for oxacillin or cefoxitin in</w:t>
      </w:r>
      <w:r>
        <w:t xml:space="preserve"> </w:t>
      </w:r>
      <w:r>
        <w:rPr>
          <w:i/>
          <w:iCs/>
        </w:rPr>
        <w:t xml:space="preserve">S. aureus</w:t>
      </w:r>
      <w:r>
        <w:t xml:space="preserve"> </w:t>
      </w:r>
      <w:r>
        <w:t xml:space="preserve">(97.7%), KPC and NDM for any carbapenem (98.0% and 100.0%), and CTX-M for ceftriaxone (97.7%) all had PPVs above 97%. Second, a</w:t>
      </w:r>
      <w:r>
        <w:t xml:space="preserve"> </w:t>
      </w:r>
      <w:r>
        <w:rPr>
          <w:i/>
          <w:iCs/>
        </w:rPr>
        <w:t xml:space="preserve">negative</w:t>
      </w:r>
      <w:r>
        <w:t xml:space="preserve"> </w:t>
      </w:r>
      <w:r>
        <w:t xml:space="preserve">result was organism-dependent: excellent for</w:t>
      </w:r>
      <w:r>
        <w:t xml:space="preserve"> </w:t>
      </w:r>
      <w:r>
        <w:rPr>
          <w:i/>
          <w:iCs/>
        </w:rPr>
        <w:t xml:space="preserve">mecA</w:t>
      </w:r>
      <w:r>
        <w:t xml:space="preserve"> </w:t>
      </w:r>
      <w:r>
        <w:t xml:space="preserve">in</w:t>
      </w:r>
      <w:r>
        <w:t xml:space="preserve"> </w:t>
      </w:r>
      <w:r>
        <w:rPr>
          <w:i/>
          <w:iCs/>
        </w:rPr>
        <w:t xml:space="preserve">S. aureus</w:t>
      </w:r>
      <w:r>
        <w:t xml:space="preserve"> </w:t>
      </w:r>
      <w:r>
        <w:t xml:space="preserve">and good for CTX-M in</w:t>
      </w:r>
      <w:r>
        <w:t xml:space="preserve"> </w:t>
      </w:r>
      <w:r>
        <w:rPr>
          <w:i/>
          <w:iCs/>
        </w:rPr>
        <w:t xml:space="preserve">E. coli</w:t>
      </w:r>
      <w:r>
        <w:t xml:space="preserve">, but weak for CTX-M in</w:t>
      </w:r>
      <w:r>
        <w:t xml:space="preserve"> </w:t>
      </w:r>
      <w:r>
        <w:rPr>
          <w:i/>
          <w:iCs/>
        </w:rPr>
        <w:t xml:space="preserve">K. pneumoniae</w:t>
      </w:r>
      <w:r>
        <w:t xml:space="preserve"> </w:t>
      </w:r>
      <w:r>
        <w:t xml:space="preserve">and nearly uninformative in chromosomal AmpC species. Third, the drug matters as much as the gene: carbapenemase producers were almost always ertapenem-resistant but often meropenem-susceptible, and CTX-M-9-group producers were usually ceftazidime-susceptible.</w:t>
      </w:r>
    </w:p>
    <w:bookmarkEnd w:id="89"/>
    <w:bookmarkStart w:id="94" w:name="interpretation-by-target"/>
    <w:p>
      <w:pPr>
        <w:pStyle w:val="Heading3"/>
      </w:pPr>
      <w:r>
        <w:t xml:space="preserve">B. </w:t>
      </w:r>
      <w:r>
        <w:t xml:space="preserve">Interpretation by target</w:t>
      </w:r>
    </w:p>
    <w:bookmarkStart w:id="90" w:name="meca"/>
    <w:p>
      <w:pPr>
        <w:pStyle w:val="FirstParagraph"/>
      </w:pPr>
      <w:r>
        <w:rPr>
          <w:i/>
          <w:sz w:val="18"/>
        </w:rPr>
        <w:t xml:space="preserve">1. </w:t>
      </w:r>
      <w:r>
        <w:rPr>
          <w:i/>
          <w:iCs/>
          <w:sz w:val="18"/>
        </w:rPr>
        <w:t xml:space="preserve">mecA</w:t>
      </w:r>
      <w:r>
        <w:rPr>
          <w:i/>
          <w:sz w:val="18"/>
        </w:rPr>
        <w:t xml:space="preserve">. </w:t>
      </w:r>
      <w:r>
        <w:t xml:space="preserve">The near-complete separation of oxacillin MICs by</w:t>
      </w:r>
      <w:r>
        <w:t xml:space="preserve"> </w:t>
      </w:r>
      <w:r>
        <w:rPr>
          <w:i/>
          <w:iCs/>
        </w:rPr>
        <w:t xml:space="preserve">mecA</w:t>
      </w:r>
      <w:r>
        <w:t xml:space="preserve"> </w:t>
      </w:r>
      <w:r>
        <w:t xml:space="preserve">status agrees with earlier genome-based studies of</w:t>
      </w:r>
      <w:r>
        <w:t xml:space="preserve"> </w:t>
      </w:r>
      <w:r>
        <w:rPr>
          <w:i/>
          <w:iCs/>
        </w:rPr>
        <w:t xml:space="preserve">S. aureus</w:t>
      </w:r>
      <w:r>
        <w:t xml:space="preserve"> </w:t>
      </w:r>
      <w:r>
        <w:t xml:space="preserve">[</w:t>
      </w:r>
      <w:hyperlink w:anchor="ref-17">
        <w:r>
          <w:rPr>
            <w:rStyle w:val="Hyperlink"/>
            <w:color w:val="0000B3"/>
            <w:u w:val="none"/>
          </w:rPr>
          <w:t xml:space="preserve">17</w:t>
        </w:r>
      </w:hyperlink>
      <w:r>
        <w:t xml:space="preserve">]. The</w:t>
      </w:r>
      <w:r>
        <w:t xml:space="preserve"> </w:t>
      </w:r>
      <w:r>
        <w:rPr>
          <w:i/>
          <w:iCs/>
        </w:rPr>
        <w:t xml:space="preserve">mecA</w:t>
      </w:r>
      <w:r>
        <w:t xml:space="preserve">-positive, oxacillin-susceptible isolates resemble oxacillin-susceptible MRSA, which can be missed by phenotypic testing [</w:t>
      </w:r>
      <w:hyperlink w:anchor="ref-33">
        <w:r>
          <w:rPr>
            <w:rStyle w:val="Hyperlink"/>
            <w:color w:val="0000B3"/>
            <w:u w:val="none"/>
          </w:rPr>
          <w:t xml:space="preserve">33</w:t>
        </w:r>
      </w:hyperlink>
      <w:r>
        <w:t xml:space="preserve">]. Because CLSI directs that</w:t>
      </w:r>
      <w:r>
        <w:t xml:space="preserve"> </w:t>
      </w:r>
      <w:r>
        <w:rPr>
          <w:i/>
          <w:iCs/>
        </w:rPr>
        <w:t xml:space="preserve">S. aureus</w:t>
      </w:r>
      <w:r>
        <w:t xml:space="preserve"> </w:t>
      </w:r>
      <w:r>
        <w:t xml:space="preserve">positive for</w:t>
      </w:r>
      <w:r>
        <w:t xml:space="preserve"> </w:t>
      </w:r>
      <w:r>
        <w:rPr>
          <w:i/>
          <w:iCs/>
        </w:rPr>
        <w:t xml:space="preserve">mecA</w:t>
      </w:r>
      <w:r>
        <w:t xml:space="preserve"> </w:t>
      </w:r>
      <w:r>
        <w:t xml:space="preserve">or PBP2a be reported as oxacillin-resistant [</w:t>
      </w:r>
      <w:hyperlink w:anchor="ref-26">
        <w:r>
          <w:rPr>
            <w:rStyle w:val="Hyperlink"/>
            <w:color w:val="0000B3"/>
            <w:u w:val="none"/>
          </w:rPr>
          <w:t xml:space="preserve">26</w:t>
        </w:r>
      </w:hyperlink>
      <w:r>
        <w:t xml:space="preserve">], the laboratory call and the MIC can legitimately differ; we kept the MIC to avoid circularity and report both.</w:t>
      </w:r>
    </w:p>
    <w:bookmarkEnd w:id="90"/>
    <w:bookmarkStart w:id="91" w:name="vana"/>
    <w:p>
      <w:pPr>
        <w:pStyle w:val="FirstParagraph"/>
      </w:pPr>
      <w:r>
        <w:rPr>
          <w:i/>
          <w:sz w:val="18"/>
        </w:rPr>
        <w:t xml:space="preserve">2. </w:t>
      </w:r>
      <w:r>
        <w:rPr>
          <w:i/>
          <w:iCs/>
          <w:sz w:val="18"/>
        </w:rPr>
        <w:t xml:space="preserve">vanA</w:t>
      </w:r>
      <w:r>
        <w:rPr>
          <w:i/>
          <w:sz w:val="18"/>
        </w:rPr>
        <w:t xml:space="preserve">. </w:t>
      </w:r>
      <w:r>
        <w:t xml:space="preserve">The</w:t>
      </w:r>
      <w:r>
        <w:t xml:space="preserve"> </w:t>
      </w:r>
      <w:r>
        <w:rPr>
          <w:i/>
          <w:iCs/>
        </w:rPr>
        <w:t xml:space="preserve">vanA</w:t>
      </w:r>
      <w:r>
        <w:t xml:space="preserve">-positive, vancomycin-susceptible</w:t>
      </w:r>
      <w:r>
        <w:t xml:space="preserve"> </w:t>
      </w:r>
      <w:r>
        <w:rPr>
          <w:i/>
          <w:iCs/>
        </w:rPr>
        <w:t xml:space="preserve">E. faecium</w:t>
      </w:r>
      <w:r>
        <w:t xml:space="preserve"> </w:t>
      </w:r>
      <w:r>
        <w:t xml:space="preserve">are consistent with vancomycin-variable enterococci, which can revert to resistance under glycopeptide exposure [</w:t>
      </w:r>
      <w:hyperlink w:anchor="ref-14">
        <w:r>
          <w:rPr>
            <w:rStyle w:val="Hyperlink"/>
            <w:color w:val="0000B3"/>
            <w:u w:val="none"/>
          </w:rPr>
          <w:t xml:space="preserve">14</w:t>
        </w:r>
      </w:hyperlink>
      <w:r>
        <w:t xml:space="preserve">,</w:t>
      </w:r>
      <w:r>
        <w:t xml:space="preserve"> </w:t>
      </w:r>
      <w:hyperlink w:anchor="ref-15">
        <w:r>
          <w:rPr>
            <w:rStyle w:val="Hyperlink"/>
            <w:color w:val="0000B3"/>
            <w:u w:val="none"/>
          </w:rPr>
          <w:t xml:space="preserve">15</w:t>
        </w:r>
      </w:hyperlink>
      <w:r>
        <w:t xml:space="preserve">]. For a panel result this means that a positive</w:t>
      </w:r>
      <w:r>
        <w:t xml:space="preserve"> </w:t>
      </w:r>
      <w:r>
        <w:rPr>
          <w:i/>
          <w:iCs/>
        </w:rPr>
        <w:t xml:space="preserve">vanA</w:t>
      </w:r>
      <w:r>
        <w:t xml:space="preserve"> </w:t>
      </w:r>
      <w:r>
        <w:t xml:space="preserve">should not be over-ruled by an early susceptible phenotype. The enterococcal sample is small, and the absence of</w:t>
      </w:r>
      <w:r>
        <w:t xml:space="preserve"> </w:t>
      </w:r>
      <w:r>
        <w:rPr>
          <w:i/>
          <w:iCs/>
        </w:rPr>
        <w:t xml:space="preserve">vanB</w:t>
      </w:r>
      <w:r>
        <w:t xml:space="preserve"> </w:t>
      </w:r>
      <w:r>
        <w:t xml:space="preserve">means this release cannot estimate</w:t>
      </w:r>
      <w:r>
        <w:t xml:space="preserve"> </w:t>
      </w:r>
      <w:r>
        <w:rPr>
          <w:i/>
          <w:iCs/>
        </w:rPr>
        <w:t xml:space="preserve">vanB</w:t>
      </w:r>
      <w:r>
        <w:t xml:space="preserve"> </w:t>
      </w:r>
      <w:r>
        <w:t xml:space="preserve">performance.</w:t>
      </w:r>
    </w:p>
    <w:bookmarkEnd w:id="91"/>
    <w:bookmarkStart w:id="92" w:name="carbapenemases"/>
    <w:p>
      <w:pPr>
        <w:pStyle w:val="FirstParagraph"/>
      </w:pPr>
      <w:r>
        <w:rPr>
          <w:i/>
          <w:sz w:val="18"/>
        </w:rPr>
        <w:t xml:space="preserve">3. </w:t>
      </w:r>
      <w:r>
        <w:rPr>
          <w:i/>
          <w:sz w:val="18"/>
        </w:rPr>
        <w:t xml:space="preserve">Carbapenemases</w:t>
      </w:r>
      <w:r>
        <w:rPr>
          <w:i/>
          <w:sz w:val="18"/>
        </w:rPr>
        <w:t xml:space="preserve">. </w:t>
      </w:r>
      <w:r>
        <w:t xml:space="preserve">High PPV for</w:t>
      </w:r>
      <w:r>
        <w:t xml:space="preserve"> </w:t>
      </w:r>
      <w:r>
        <w:t xml:space="preserve">“</w:t>
      </w:r>
      <w:r>
        <w:t xml:space="preserve">any carbapenem</w:t>
      </w:r>
      <w:r>
        <w:t xml:space="preserve">”</w:t>
      </w:r>
      <w:r>
        <w:t xml:space="preserve"> </w:t>
      </w:r>
      <w:r>
        <w:t xml:space="preserve">coexisted with lower PPV for meropenem. OXA-48-like enzymes hydrolyze carbapenems weakly and often leave meropenem MICs below the resistant breakpoint [</w:t>
      </w:r>
      <w:hyperlink w:anchor="ref-13">
        <w:r>
          <w:rPr>
            <w:rStyle w:val="Hyperlink"/>
            <w:color w:val="0000B3"/>
            <w:u w:val="none"/>
          </w:rPr>
          <w:t xml:space="preserve">13</w:t>
        </w:r>
      </w:hyperlink>
      <w:r>
        <w:t xml:space="preserve">]. The same pattern was common for IMP (only 3/8 meropenem-resistant) and less common for KPC (182/201). Treatment guidance distinguishes carbapenemase producers by enzyme class rather than by meropenem MIC [</w:t>
      </w:r>
      <w:hyperlink w:anchor="ref-34">
        <w:r>
          <w:rPr>
            <w:rStyle w:val="Hyperlink"/>
            <w:color w:val="0000B3"/>
            <w:u w:val="none"/>
          </w:rPr>
          <w:t xml:space="preserve">34</w:t>
        </w:r>
      </w:hyperlink>
      <w:r>
        <w:t xml:space="preserve">], so a carbapenemase-positive, meropenem-susceptible isolate is not a panel error but a reason to report enzyme and MIC together. Conversely, about a third of carbapenem-resistant isolates had no panel carbapenemase, most with an ESBL or AmpC and porin change; non-carbapenemase carbapenem-resistant Enterobacterales differ clinically from carbapenemase producers [</w:t>
      </w:r>
      <w:hyperlink w:anchor="ref-11">
        <w:r>
          <w:rPr>
            <w:rStyle w:val="Hyperlink"/>
            <w:color w:val="0000B3"/>
            <w:u w:val="none"/>
          </w:rPr>
          <w:t xml:space="preserve">11</w:t>
        </w:r>
      </w:hyperlink>
      <w:r>
        <w:t xml:space="preserve">]. A negative carbapenemase panel therefore rules out the five enzymes, not carbapenem resistance, particularly in</w:t>
      </w:r>
      <w:r>
        <w:t xml:space="preserve"> </w:t>
      </w:r>
      <w:r>
        <w:rPr>
          <w:i/>
          <w:iCs/>
        </w:rPr>
        <w:t xml:space="preserve">Enterobacter</w:t>
      </w:r>
      <w:r>
        <w:t xml:space="preserve"> </w:t>
      </w:r>
      <w:r>
        <w:t xml:space="preserve">and</w:t>
      </w:r>
      <w:r>
        <w:t xml:space="preserve"> </w:t>
      </w:r>
      <w:r>
        <w:rPr>
          <w:i/>
          <w:iCs/>
        </w:rPr>
        <w:t xml:space="preserve">K. aerogenes</w:t>
      </w:r>
      <w:r>
        <w:t xml:space="preserve">.</w:t>
      </w:r>
    </w:p>
    <w:bookmarkEnd w:id="92"/>
    <w:bookmarkStart w:id="93" w:name="ctx-m"/>
    <w:p>
      <w:pPr>
        <w:pStyle w:val="FirstParagraph"/>
      </w:pPr>
      <w:r>
        <w:rPr>
          <w:i/>
          <w:sz w:val="18"/>
        </w:rPr>
        <w:t xml:space="preserve">4. </w:t>
      </w:r>
      <w:r>
        <w:rPr>
          <w:i/>
          <w:sz w:val="18"/>
        </w:rPr>
        <w:t xml:space="preserve">CTX-M</w:t>
      </w:r>
      <w:r>
        <w:rPr>
          <w:i/>
          <w:sz w:val="18"/>
        </w:rPr>
        <w:t xml:space="preserve">. </w:t>
      </w:r>
      <w:r>
        <w:t xml:space="preserve">The weak NPV of CTX-M outside</w:t>
      </w:r>
      <w:r>
        <w:t xml:space="preserve"> </w:t>
      </w:r>
      <w:r>
        <w:rPr>
          <w:i/>
          <w:iCs/>
        </w:rPr>
        <w:t xml:space="preserve">E. coli</w:t>
      </w:r>
      <w:r>
        <w:t xml:space="preserve"> </w:t>
      </w:r>
      <w:r>
        <w:t xml:space="preserve">reflects well-known biology: SHV- and TEM-type ESBLs and plasmid AmpC in</w:t>
      </w:r>
      <w:r>
        <w:t xml:space="preserve"> </w:t>
      </w:r>
      <w:r>
        <w:rPr>
          <w:i/>
          <w:iCs/>
        </w:rPr>
        <w:t xml:space="preserve">K. pneumoniae</w:t>
      </w:r>
      <w:r>
        <w:t xml:space="preserve"> </w:t>
      </w:r>
      <w:r>
        <w:t xml:space="preserve">[</w:t>
      </w:r>
      <w:hyperlink w:anchor="ref-9">
        <w:r>
          <w:rPr>
            <w:rStyle w:val="Hyperlink"/>
            <w:color w:val="0000B3"/>
            <w:u w:val="none"/>
          </w:rPr>
          <w:t xml:space="preserve">9</w:t>
        </w:r>
      </w:hyperlink>
      <w:r>
        <w:t xml:space="preserve">], and chromosomal AmpC in</w:t>
      </w:r>
      <w:r>
        <w:t xml:space="preserve"> </w:t>
      </w:r>
      <w:r>
        <w:rPr>
          <w:i/>
          <w:iCs/>
        </w:rPr>
        <w:t xml:space="preserve">Enterobacter</w:t>
      </w:r>
      <w:r>
        <w:t xml:space="preserve">,</w:t>
      </w:r>
      <w:r>
        <w:t xml:space="preserve"> </w:t>
      </w:r>
      <w:r>
        <w:rPr>
          <w:i/>
          <w:iCs/>
        </w:rPr>
        <w:t xml:space="preserve">K. aerogenes</w:t>
      </w:r>
      <w:r>
        <w:t xml:space="preserve"> </w:t>
      </w:r>
      <w:r>
        <w:t xml:space="preserve">and</w:t>
      </w:r>
      <w:r>
        <w:t xml:space="preserve"> </w:t>
      </w:r>
      <w:r>
        <w:rPr>
          <w:i/>
          <w:iCs/>
        </w:rPr>
        <w:t xml:space="preserve">Citrobacter</w:t>
      </w:r>
      <w:r>
        <w:t xml:space="preserve"> </w:t>
      </w:r>
      <w:r>
        <w:t xml:space="preserve">[</w:t>
      </w:r>
      <w:hyperlink w:anchor="ref-10">
        <w:r>
          <w:rPr>
            <w:rStyle w:val="Hyperlink"/>
            <w:color w:val="0000B3"/>
            <w:u w:val="none"/>
          </w:rPr>
          <w:t xml:space="preserve">10</w:t>
        </w:r>
      </w:hyperlink>
      <w:r>
        <w:t xml:space="preserve">]. The subgroup analysis shows that CTX-M is not one phenotype: CTX-M-15 and related CTX-M-1-group enzymes commonly confer ceftazidime resistance, whereas CTX-M-14 and CTX-M-27 usually do not; together these two were the second and third commonest CTX-M alleles in this collection (CTX-M-27 in 182 isolates and CTX-M-14 in 64), consistent with the spread of CTX-M-27 described elsewhere [</w:t>
      </w:r>
      <w:hyperlink w:anchor="ref-8">
        <w:r>
          <w:rPr>
            <w:rStyle w:val="Hyperlink"/>
            <w:color w:val="0000B3"/>
            <w:u w:val="none"/>
          </w:rPr>
          <w:t xml:space="preserve">8</w:t>
        </w:r>
      </w:hyperlink>
      <w:r>
        <w:t xml:space="preserve">]. Panels report</w:t>
      </w:r>
      <w:r>
        <w:t xml:space="preserve"> </w:t>
      </w:r>
      <w:r>
        <w:t xml:space="preserve">“</w:t>
      </w:r>
      <w:r>
        <w:t xml:space="preserve">CTX-M</w:t>
      </w:r>
      <w:r>
        <w:t xml:space="preserve">”</w:t>
      </w:r>
      <w:r>
        <w:t xml:space="preserve"> </w:t>
      </w:r>
      <w:r>
        <w:t xml:space="preserve">without the subgroup, so a CTX-M result predicts ceftriaxone resistance far better than ceftazidime resistance.</w:t>
      </w:r>
    </w:p>
    <w:bookmarkEnd w:id="93"/>
    <w:bookmarkEnd w:id="94"/>
    <w:bookmarkStart w:id="95" w:name="implications"/>
    <w:p>
      <w:pPr>
        <w:pStyle w:val="Heading3"/>
      </w:pPr>
      <w:r>
        <w:t xml:space="preserve">C. </w:t>
      </w:r>
      <w:r>
        <w:t xml:space="preserve">Implications</w:t>
      </w:r>
    </w:p>
    <w:p>
      <w:pPr>
        <w:pStyle w:val="FirstParagraph"/>
      </w:pPr>
      <w:r>
        <w:t xml:space="preserve">These estimates can inform how laboratories word panel reports and how stewardship programs write escalation and de-escalation rules, for example by pairing a negative CTX-M result in</w:t>
      </w:r>
      <w:r>
        <w:t xml:space="preserve"> </w:t>
      </w:r>
      <w:r>
        <w:rPr>
          <w:i/>
          <w:iCs/>
        </w:rPr>
        <w:t xml:space="preserve">Enterobacter</w:t>
      </w:r>
      <w:r>
        <w:t xml:space="preserve"> </w:t>
      </w:r>
      <w:r>
        <w:t xml:space="preserve">with a comment that cephalosporin resistance remains possible, or by reporting a carbapenemase result together with the eventual meropenem MIC. They are not a substitute for local validation; predictive values depend on local prevalence, and this collection is enriched for resistance. Because the benchmark is open and versioned, a laboratory can filter it to the organisms, specimens and years that resemble its own population, and the annual update will show whether estimates drift as new genomes are deposited.</w:t>
      </w:r>
    </w:p>
    <w:bookmarkEnd w:id="95"/>
    <w:bookmarkStart w:id="96" w:name="strengths"/>
    <w:p>
      <w:pPr>
        <w:pStyle w:val="Heading3"/>
      </w:pPr>
      <w:r>
        <w:t xml:space="preserve">D. </w:t>
      </w:r>
      <w:r>
        <w:t xml:space="preserve">Strengths</w:t>
      </w:r>
    </w:p>
    <w:p>
      <w:pPr>
        <w:pStyle w:val="FirstParagraph"/>
      </w:pPr>
      <w:r>
        <w:t xml:space="preserve">The benchmark uses only public data, so every number can be checked against NCBI records by anyone. All isolate-drug results were reinterpreted against one breakpoint edition rather than taken from submitters’ mixed interpretations. Genes were mapped through NCBI’s own hierarchy, and every discordant isolate is released with its genotype, its measured values and the rule that labeled it. The full pipeline rebuilds the release byte for byte.</w:t>
      </w:r>
    </w:p>
    <w:bookmarkEnd w:id="96"/>
    <w:bookmarkStart w:id="97" w:name="limitations"/>
    <w:p>
      <w:pPr>
        <w:pStyle w:val="Heading3"/>
      </w:pPr>
      <w:r>
        <w:t xml:space="preserve">E. </w:t>
      </w:r>
      <w:r>
        <w:t xml:space="preserve">Limitations</w:t>
      </w:r>
    </w:p>
    <w:p>
      <w:pPr>
        <w:numPr>
          <w:ilvl w:val="0"/>
          <w:numId w:val="1001"/>
        </w:numPr>
      </w:pPr>
      <w:r>
        <w:rPr>
          <w:i/>
          <w:iCs/>
        </w:rPr>
        <w:t xml:space="preserve">Genome calls stand in for panel calls.</w:t>
      </w:r>
      <w:r>
        <w:t xml:space="preserve"> </w:t>
      </w:r>
      <w:r>
        <w:t xml:space="preserve">AMRFinderPlus results from assembled genomes do not capture panel primer coverage, limits of detection, mixed cultures or specimen effects. The benchmark estimates how well the presence of the gene predicts the phenotype, not how a commercial panel performs.</w:t>
      </w:r>
    </w:p>
    <w:p>
      <w:pPr>
        <w:numPr>
          <w:ilvl w:val="0"/>
          <w:numId w:val="1001"/>
        </w:numPr>
      </w:pPr>
      <w:r>
        <w:rPr>
          <w:i/>
          <w:iCs/>
        </w:rPr>
        <w:t xml:space="preserve">Selection.</w:t>
      </w:r>
      <w:r>
        <w:t xml:space="preserve"> </w:t>
      </w:r>
      <w:r>
        <w:t xml:space="preserve">Isolates are those that laboratories and surveillance programs chose to sequence with susceptibility data. Resistant organisms and outbreak investigations are over-represented, which raises PPV and lowers NPV relative to an unselected population.</w:t>
      </w:r>
    </w:p>
    <w:p>
      <w:pPr>
        <w:numPr>
          <w:ilvl w:val="0"/>
          <w:numId w:val="1001"/>
        </w:numPr>
      </w:pPr>
      <w:r>
        <w:rPr>
          <w:i/>
          <w:iCs/>
        </w:rPr>
        <w:t xml:space="preserve">Concentration.</w:t>
      </w:r>
      <w:r>
        <w:t xml:space="preserve"> </w:t>
      </w:r>
      <w:r>
        <w:t xml:space="preserve">One submitter contributed 40% of isolates; its platform, drug panel and selection rules shape the results. All District of Columbia locations are the submitter’s.</w:t>
      </w:r>
    </w:p>
    <w:p>
      <w:pPr>
        <w:numPr>
          <w:ilvl w:val="0"/>
          <w:numId w:val="1001"/>
        </w:numPr>
      </w:pPr>
      <w:r>
        <w:rPr>
          <w:i/>
          <w:iCs/>
        </w:rPr>
        <w:t xml:space="preserve">Sparse arms.</w:t>
      </w:r>
      <w:r>
        <w:t xml:space="preserve"> </w:t>
      </w:r>
      <w:r>
        <w:t xml:space="preserve">Enterococci, VIM and IMP are few, and</w:t>
      </w:r>
      <w:r>
        <w:t xml:space="preserve"> </w:t>
      </w:r>
      <w:r>
        <w:rPr>
          <w:i/>
          <w:iCs/>
        </w:rPr>
        <w:t xml:space="preserve">vanB</w:t>
      </w:r>
      <w:r>
        <w:t xml:space="preserve"> </w:t>
      </w:r>
      <w:r>
        <w:t xml:space="preserve">and</w:t>
      </w:r>
      <w:r>
        <w:t xml:space="preserve"> </w:t>
      </w:r>
      <w:r>
        <w:rPr>
          <w:i/>
          <w:iCs/>
        </w:rPr>
        <w:t xml:space="preserve">mecC</w:t>
      </w:r>
      <w:r>
        <w:t xml:space="preserve"> </w:t>
      </w:r>
      <w:r>
        <w:t xml:space="preserve">are absent.</w:t>
      </w:r>
    </w:p>
    <w:p>
      <w:pPr>
        <w:numPr>
          <w:ilvl w:val="0"/>
          <w:numId w:val="1001"/>
        </w:numPr>
      </w:pPr>
      <w:r>
        <w:rPr>
          <w:i/>
          <w:iCs/>
        </w:rPr>
        <w:t xml:space="preserve">Heterogeneous testing.</w:t>
      </w:r>
      <w:r>
        <w:t xml:space="preserve"> </w:t>
      </w:r>
      <w:r>
        <w:t xml:space="preserve">Results come from many laboratories and methods without central re-testing; a small number of submitted values were not valid MICs.</w:t>
      </w:r>
    </w:p>
    <w:p>
      <w:pPr>
        <w:numPr>
          <w:ilvl w:val="0"/>
          <w:numId w:val="1001"/>
        </w:numPr>
      </w:pPr>
      <w:r>
        <w:rPr>
          <w:i/>
          <w:iCs/>
        </w:rPr>
        <w:t xml:space="preserve">Cause labels are rule-based.</w:t>
      </w:r>
      <w:r>
        <w:t xml:space="preserve"> </w:t>
      </w:r>
      <w:r>
        <w:t xml:space="preserve">Expression changes, porin loss not called by AMRFinderPlus, heteroresistance, mixed cultures and assembly errors cannot be distinguished with public data.</w:t>
      </w:r>
    </w:p>
    <w:p>
      <w:pPr>
        <w:numPr>
          <w:ilvl w:val="0"/>
          <w:numId w:val="1001"/>
        </w:numPr>
      </w:pPr>
      <w:r>
        <w:rPr>
          <w:i/>
          <w:iCs/>
        </w:rPr>
        <w:t xml:space="preserve">Mixed AMRFinderPlus versions.</w:t>
      </w:r>
      <w:r>
        <w:t xml:space="preserve"> </w:t>
      </w:r>
      <w:r>
        <w:t xml:space="preserve">NCBI analyzed isolates with several database versions; newer versions may call genes that older runs missed.</w:t>
      </w:r>
    </w:p>
    <w:p>
      <w:pPr>
        <w:numPr>
          <w:ilvl w:val="0"/>
          <w:numId w:val="1001"/>
        </w:numPr>
      </w:pPr>
      <w:r>
        <w:rPr>
          <w:i/>
          <w:iCs/>
        </w:rPr>
        <w:t xml:space="preserve">Coverage.</w:t>
      </w:r>
      <w:r>
        <w:t xml:space="preserve"> </w:t>
      </w:r>
      <w:r>
        <w:t xml:space="preserve">NCBI Pathogen Detection has no</w:t>
      </w:r>
      <w:r>
        <w:t xml:space="preserve"> </w:t>
      </w:r>
      <w:r>
        <w:rPr>
          <w:i/>
          <w:iCs/>
        </w:rPr>
        <w:t xml:space="preserve">Proteus</w:t>
      </w:r>
      <w:r>
        <w:t xml:space="preserve"> </w:t>
      </w:r>
      <w:r>
        <w:t xml:space="preserve">group, so</w:t>
      </w:r>
      <w:r>
        <w:t xml:space="preserve"> </w:t>
      </w:r>
      <w:r>
        <w:rPr>
          <w:i/>
          <w:iCs/>
        </w:rPr>
        <w:t xml:space="preserve">Proteus</w:t>
      </w:r>
      <w:r>
        <w:t xml:space="preserve"> </w:t>
      </w:r>
      <w:r>
        <w:t xml:space="preserve">is absent; specimen categories are inferred from free text.</w:t>
      </w:r>
    </w:p>
    <w:bookmarkEnd w:id="97"/>
    <w:bookmarkEnd w:id="98"/>
    <w:bookmarkStart w:id="99" w:name="sec-V"/>
    <w:p>
      <w:pPr>
        <w:pStyle w:val="Heading2"/>
      </w:pPr>
      <w:r>
        <w:t xml:space="preserve">V. Conclusions</w:t>
      </w:r>
    </w:p>
    <w:p>
      <w:pPr>
        <w:pStyle w:val="FirstParagraph"/>
      </w:pPr>
      <w:r>
        <w:t xml:space="preserve">Public genome and susceptibility data are now sufficient to measure, gene by gene and organism by organism, how well the resistance targets on rapid blood culture panels predict the susceptibility result that follows. In 5,168 U.S. clinical isolates, detected targets were strong predictors of resistance, while negative results were reliable only for some organisms; the drug, the enzyme and the CTX-M subgroup all changed the answer. The benchmark, crosswalk, discordance collection, code and lookup page are released openly and will be updated annually, so that laboratories can check these figures against their own populations and track how they change.</w:t>
      </w:r>
    </w:p>
    <w:bookmarkEnd w:id="99"/>
    <w:bookmarkStart w:id="100" w:name="data-and-code-availability"/>
    <w:p>
      <w:pPr>
        <w:pStyle w:val="Heading2"/>
      </w:pPr>
      <w:r>
        <w:t xml:space="preserve">Data and code availability</w:t>
      </w:r>
    </w:p>
    <w:p>
      <w:pPr>
        <w:pStyle w:val="FirstParagraph"/>
      </w:pPr>
      <w:r>
        <w:t xml:space="preserve">All data, code and documentation are available at https://github.com/FatimaAbdulwahab/us-rapid-panel-amr-concordance [</w:t>
      </w:r>
      <w:hyperlink w:anchor="ref-24">
        <w:r>
          <w:rPr>
            <w:rStyle w:val="Hyperlink"/>
            <w:color w:val="0000B3"/>
            <w:u w:val="none"/>
          </w:rPr>
          <w:t xml:space="preserve">24</w:t>
        </w:r>
      </w:hyperlink>
      <w:r>
        <w:t xml:space="preserve">], including the isolate-level benchmark, the full concordance table (1,033 rows), the discordance case collection, the gene-to-panel crosswalk, the breakpoint table, a codebook and a provenance log with source URLs, access dates, sizes and SHA-256 fingerprints. The public lookup page is at https://fatimaabdulwahab.github.io/us-rapid-panel-amr-concordance/. Zenodo archives: benchmark, DOI to be assigned on deposit; crosswalk, DOI to be assigned on deposit; discordance collection, DOI to be assigned on deposit. Data are released under CC BY 4.0 and code under the MIT license.</w:t>
      </w:r>
    </w:p>
    <w:bookmarkEnd w:id="100"/>
    <w:bookmarkStart w:id="101" w:name="author-contributions"/>
    <w:p>
      <w:pPr>
        <w:pStyle w:val="Heading2"/>
      </w:pPr>
      <w:r>
        <w:t xml:space="preserve">Author contributions</w:t>
      </w:r>
    </w:p>
    <w:p>
      <w:pPr>
        <w:pStyle w:val="FirstParagraph"/>
      </w:pPr>
      <w:r>
        <w:t xml:space="preserve">F.A.: conceptualization, methodology, data curation, formal analysis, validation, visualization, writing (original draft, review and editing).</w:t>
      </w:r>
    </w:p>
    <w:bookmarkEnd w:id="101"/>
    <w:bookmarkStart w:id="102" w:name="competing-interests"/>
    <w:p>
      <w:pPr>
        <w:pStyle w:val="Heading2"/>
      </w:pPr>
      <w:r>
        <w:t xml:space="preserve">Competing interests</w:t>
      </w:r>
    </w:p>
    <w:p>
      <w:pPr>
        <w:pStyle w:val="FirstParagraph"/>
      </w:pPr>
      <w:r>
        <w:t xml:space="preserve">The author declares no competing interests and no relationship with any manufacturer of rapid diagnostic panels.</w:t>
      </w:r>
    </w:p>
    <w:bookmarkEnd w:id="102"/>
    <w:bookmarkStart w:id="103" w:name="funding"/>
    <w:p>
      <w:pPr>
        <w:pStyle w:val="Heading2"/>
      </w:pPr>
      <w:r>
        <w:t xml:space="preserve">Funding</w:t>
      </w:r>
    </w:p>
    <w:p>
      <w:pPr>
        <w:pStyle w:val="FirstParagraph"/>
      </w:pPr>
      <w:r>
        <w:t xml:space="preserve">This work received no specific funding.</w:t>
      </w:r>
    </w:p>
    <w:bookmarkEnd w:id="103"/>
    <w:bookmarkStart w:id="104" w:name="use-of-ai-tools"/>
    <w:p>
      <w:pPr>
        <w:pStyle w:val="Heading2"/>
      </w:pPr>
      <w:r>
        <w:t xml:space="preserve">Use of AI tools</w:t>
      </w:r>
    </w:p>
    <w:p>
      <w:pPr>
        <w:pStyle w:val="FirstParagraph"/>
      </w:pPr>
      <w:r>
        <w:t xml:space="preserve">Claude (Anthropic) assisted with code, data processing, figure generation and drafting of this manuscript. The author made the analytic decisions, verified the outputs against NCBI records and the published breakpoint standard, and takes responsibility for the content.</w:t>
      </w:r>
    </w:p>
    <w:bookmarkEnd w:id="104"/>
    <w:bookmarkStart w:id="105" w:name="acknowledgments"/>
    <w:p>
      <w:pPr>
        <w:pStyle w:val="Heading2"/>
      </w:pPr>
      <w:r>
        <w:t xml:space="preserve">Acknowledgments</w:t>
      </w:r>
    </w:p>
    <w:p>
      <w:pPr>
        <w:pStyle w:val="FirstParagraph"/>
      </w:pPr>
      <w:r>
        <w:t xml:space="preserve">The author thanks the laboratories and public-health programs that deposited genomes and susceptibility results at NCBI, and the NCBI Pathogen Detection team for maintaining AMRFinderPlus and the Reference Gene Catalog.</w:t>
      </w:r>
    </w:p>
    <w:bookmarkEnd w:id="105"/>
    <w:bookmarkStart w:id="168" w:name="references"/>
    <w:p>
      <w:pPr>
        <w:pStyle w:val="Heading2"/>
      </w:pPr>
      <w:r>
        <w:t xml:space="preserve">References</w:t>
      </w:r>
    </w:p>
    <w:p>
      <w:pPr>
        <w:pStyle w:val="Reference"/>
        <w:tabs>
          <w:tab w:pos="400" w:val="left"/>
        </w:tabs>
      </w:pPr>
      <w:bookmarkStart w:id="106" w:name="ref-1"/>
      <w:bookmarkEnd w:id="106"/>
      <w:r>
        <w:t>[1]</w:t>
        <w:tab/>
        <w:t>Centers for Disease Control and Prevention.</w:t>
      </w:r>
      <w:r>
        <w:t xml:space="preserve"> </w:t>
      </w:r>
      <w:r>
        <w:rPr>
          <w:i/>
          <w:iCs/>
        </w:rPr>
        <w:t xml:space="preserve">Antibiotic Resistance Threats in the United States, 2019</w:t>
      </w:r>
      <w:r>
        <w:t xml:space="preserve">. U.S. Department of Health and Human Services, CDC, Atlanta, GA, 2019.</w:t>
      </w:r>
      <w:r>
        <w:t xml:space="preserve"> </w:t>
      </w:r>
      <w:hyperlink r:id="rId107">
        <w:r>
          <w:rPr>
            <w:rStyle w:val="Hyperlink"/>
            <w:color w:val="0000B3"/>
            <w:u w:val="none"/>
          </w:rPr>
          <w:t xml:space="preserve">doi:10.15620/cdc:82532</w:t>
        </w:r>
      </w:hyperlink>
      <w:r>
        <w:t xml:space="preserve">.</w:t>
      </w:r>
    </w:p>
    <w:p>
      <w:pPr>
        <w:pStyle w:val="Reference"/>
        <w:tabs>
          <w:tab w:pos="400" w:val="left"/>
        </w:tabs>
      </w:pPr>
      <w:bookmarkStart w:id="108" w:name="ref-2"/>
      <w:bookmarkEnd w:id="108"/>
      <w:r>
        <w:t>[2]</w:t>
        <w:tab/>
        <w:t>Mohsen Naghavi et al. Global burden of bacterial antimicrobial resistance 1990–2021: a systematic analysis with forecasts to 2050.</w:t>
      </w:r>
      <w:r>
        <w:t xml:space="preserve"> </w:t>
      </w:r>
      <w:r>
        <w:rPr>
          <w:i/>
          <w:iCs/>
        </w:rPr>
        <w:t xml:space="preserve">The Lancet</w:t>
      </w:r>
      <w:r>
        <w:t xml:space="preserve">, 404(10459):1199-1226, 2024.</w:t>
      </w:r>
      <w:r>
        <w:t xml:space="preserve"> </w:t>
      </w:r>
      <w:hyperlink r:id="rId109">
        <w:r>
          <w:rPr>
            <w:rStyle w:val="Hyperlink"/>
            <w:color w:val="0000B3"/>
            <w:u w:val="none"/>
          </w:rPr>
          <w:t xml:space="preserve">doi:10.1016/s0140-6736(24)01867-1</w:t>
        </w:r>
      </w:hyperlink>
    </w:p>
    <w:p>
      <w:pPr>
        <w:pStyle w:val="Reference"/>
        <w:tabs>
          <w:tab w:pos="400" w:val="left"/>
        </w:tabs>
      </w:pPr>
      <w:bookmarkStart w:id="110" w:name="ref-3"/>
      <w:bookmarkEnd w:id="110"/>
      <w:r>
        <w:t>[3]</w:t>
        <w:tab/>
        <w:t>Federal Task Force on Combating Antibiotic-Resistant Bacteria.</w:t>
      </w:r>
      <w:r>
        <w:t xml:space="preserve"> </w:t>
      </w:r>
      <w:r>
        <w:rPr>
          <w:i/>
          <w:iCs/>
        </w:rPr>
        <w:t xml:space="preserve">National Action Plan for Combating Antibiotic-Resistant Bacteria, 2020–2025</w:t>
      </w:r>
      <w:r>
        <w:t xml:space="preserve">. U.S. Department of Health and Human Services, Washington, DC, 2020. https://aspe.hhs.gov/reports/national-action-plan-combating-antibiotic-resistant-bacteria-2020-2025.</w:t>
      </w:r>
    </w:p>
    <w:p>
      <w:pPr>
        <w:pStyle w:val="Reference"/>
        <w:tabs>
          <w:tab w:pos="400" w:val="left"/>
        </w:tabs>
      </w:pPr>
      <w:bookmarkStart w:id="111" w:name="ref-4"/>
      <w:bookmarkEnd w:id="111"/>
      <w:r>
        <w:t>[4]</w:t>
        <w:tab/>
        <w:t>Tristan T. Timbrook et al. The Effect of Molecular Rapid Diagnostic Testing on Clinical Outcomes in Bloodstream Infections: A Systematic Review and Meta-analysis.</w:t>
      </w:r>
      <w:r>
        <w:t xml:space="preserve"> </w:t>
      </w:r>
      <w:r>
        <w:rPr>
          <w:i/>
          <w:iCs/>
        </w:rPr>
        <w:t xml:space="preserve">Clin Infect Dis.</w:t>
      </w:r>
      <w:r>
        <w:t xml:space="preserve">, 64(1):15-23, 2017.</w:t>
      </w:r>
      <w:r>
        <w:t xml:space="preserve"> </w:t>
      </w:r>
      <w:hyperlink r:id="rId112">
        <w:r>
          <w:rPr>
            <w:rStyle w:val="Hyperlink"/>
            <w:color w:val="0000B3"/>
            <w:u w:val="none"/>
          </w:rPr>
          <w:t xml:space="preserve">doi:10.1093/cid/ciw649</w:t>
        </w:r>
      </w:hyperlink>
    </w:p>
    <w:p>
      <w:pPr>
        <w:pStyle w:val="Reference"/>
        <w:tabs>
          <w:tab w:pos="400" w:val="left"/>
        </w:tabs>
      </w:pPr>
      <w:bookmarkStart w:id="113" w:name="ref-5"/>
      <w:bookmarkEnd w:id="113"/>
      <w:r>
        <w:t>[5]</w:t>
        <w:tab/>
        <w:t>Ritu Banerjee and Romney Humphries. Rapid Antimicrobial Susceptibility Testing Methods for Blood Cultures and Their Clinical Impact.</w:t>
      </w:r>
      <w:r>
        <w:t xml:space="preserve"> </w:t>
      </w:r>
      <w:r>
        <w:rPr>
          <w:i/>
          <w:iCs/>
        </w:rPr>
        <w:t xml:space="preserve">Front. Med.</w:t>
      </w:r>
      <w:r>
        <w:t xml:space="preserve">, 8:635831, 2021.</w:t>
      </w:r>
      <w:r>
        <w:t xml:space="preserve"> </w:t>
      </w:r>
      <w:hyperlink r:id="rId114">
        <w:r>
          <w:rPr>
            <w:rStyle w:val="Hyperlink"/>
            <w:color w:val="0000B3"/>
            <w:u w:val="none"/>
          </w:rPr>
          <w:t xml:space="preserve">doi:10.3389/fmed.2021.635831</w:t>
        </w:r>
      </w:hyperlink>
    </w:p>
    <w:p>
      <w:pPr>
        <w:pStyle w:val="Reference"/>
        <w:tabs>
          <w:tab w:pos="400" w:val="left"/>
        </w:tabs>
      </w:pPr>
      <w:bookmarkStart w:id="115" w:name="ref-6"/>
      <w:bookmarkEnd w:id="115"/>
      <w:r>
        <w:t>[6]</w:t>
        <w:tab/>
        <w:t>Anna Maria Peri et al. Performance of BioFire Blood Culture Identification 2 Panel (BCID2) for the detection of bloodstream pathogens and their associated resistance markers: a systematic review and meta-analysis of diagnostic test accuracy studies.</w:t>
      </w:r>
      <w:r>
        <w:t xml:space="preserve"> </w:t>
      </w:r>
      <w:r>
        <w:rPr>
          <w:i/>
          <w:iCs/>
        </w:rPr>
        <w:t xml:space="preserve">BMC Infect Dis</w:t>
      </w:r>
      <w:r>
        <w:t xml:space="preserve">, 22(1):794, 2022.</w:t>
      </w:r>
      <w:r>
        <w:t xml:space="preserve"> </w:t>
      </w:r>
      <w:hyperlink r:id="rId116">
        <w:r>
          <w:rPr>
            <w:rStyle w:val="Hyperlink"/>
            <w:color w:val="0000B3"/>
            <w:u w:val="none"/>
          </w:rPr>
          <w:t xml:space="preserve">doi:10.1186/s12879-022-07772-x</w:t>
        </w:r>
      </w:hyperlink>
    </w:p>
    <w:p>
      <w:pPr>
        <w:pStyle w:val="Reference"/>
        <w:tabs>
          <w:tab w:pos="400" w:val="left"/>
        </w:tabs>
      </w:pPr>
      <w:bookmarkStart w:id="117" w:name="ref-7"/>
      <w:bookmarkEnd w:id="117"/>
      <w:r>
        <w:t>[7]</w:t>
        <w:tab/>
        <w:t>Naoki Uno et al. Multicenter evaluation of the Verigene Gram-negative blood culture nucleic acid test for rapid detection of bacteria and resistance determinants in positive blood cultures.</w:t>
      </w:r>
      <w:r>
        <w:t xml:space="preserve"> </w:t>
      </w:r>
      <w:r>
        <w:rPr>
          <w:i/>
          <w:iCs/>
        </w:rPr>
        <w:t xml:space="preserve">Diagnostic Microbiology and Infectious Disease</w:t>
      </w:r>
      <w:r>
        <w:t xml:space="preserve">, 83(4):344-348, 2015.</w:t>
      </w:r>
      <w:r>
        <w:t xml:space="preserve"> </w:t>
      </w:r>
      <w:hyperlink r:id="rId118">
        <w:r>
          <w:rPr>
            <w:rStyle w:val="Hyperlink"/>
            <w:color w:val="0000B3"/>
            <w:u w:val="none"/>
          </w:rPr>
          <w:t xml:space="preserve">doi:10.1016/j.diagmicrobio.2015.08.004</w:t>
        </w:r>
      </w:hyperlink>
    </w:p>
    <w:p>
      <w:pPr>
        <w:pStyle w:val="Reference"/>
        <w:tabs>
          <w:tab w:pos="400" w:val="left"/>
        </w:tabs>
      </w:pPr>
      <w:bookmarkStart w:id="119" w:name="ref-8"/>
      <w:bookmarkEnd w:id="119"/>
      <w:r>
        <w:t>[8]</w:t>
        <w:tab/>
        <w:t>Edward R. Bevan, Annie M. Jones, and Peter M. Hawkey. Global epidemiology of CTX-M β-lactamases: temporal and geographical shifts in genotype.</w:t>
      </w:r>
      <w:r>
        <w:t xml:space="preserve"> </w:t>
      </w:r>
      <w:r>
        <w:rPr>
          <w:i/>
          <w:iCs/>
        </w:rPr>
        <w:t xml:space="preserve">Journal of Antimicrobial Chemotherapy</w:t>
      </w:r>
      <w:r>
        <w:t xml:space="preserve">, 72(8):2145-2155, 2017.</w:t>
      </w:r>
      <w:r>
        <w:t xml:space="preserve"> </w:t>
      </w:r>
      <w:hyperlink r:id="rId120">
        <w:r>
          <w:rPr>
            <w:rStyle w:val="Hyperlink"/>
            <w:color w:val="0000B3"/>
            <w:u w:val="none"/>
          </w:rPr>
          <w:t xml:space="preserve">doi:10.1093/jac/dkx146</w:t>
        </w:r>
      </w:hyperlink>
    </w:p>
    <w:p>
      <w:pPr>
        <w:pStyle w:val="Reference"/>
        <w:tabs>
          <w:tab w:pos="400" w:val="left"/>
        </w:tabs>
      </w:pPr>
      <w:bookmarkStart w:id="121" w:name="ref-9"/>
      <w:bookmarkEnd w:id="121"/>
      <w:r>
        <w:t>[9]</w:t>
        <w:tab/>
        <w:t>Karen Bush and Patricia A. Bradford. Epidemiology of β-Lactamase-Producing Pathogens.</w:t>
      </w:r>
      <w:r>
        <w:t xml:space="preserve"> </w:t>
      </w:r>
      <w:r>
        <w:rPr>
          <w:i/>
          <w:iCs/>
        </w:rPr>
        <w:t xml:space="preserve">Clin Microbiol Rev</w:t>
      </w:r>
      <w:r>
        <w:t xml:space="preserve">, 33(2):e00047-19, 2020.</w:t>
      </w:r>
      <w:r>
        <w:t xml:space="preserve"> </w:t>
      </w:r>
      <w:hyperlink r:id="rId122">
        <w:r>
          <w:rPr>
            <w:rStyle w:val="Hyperlink"/>
            <w:color w:val="0000B3"/>
            <w:u w:val="none"/>
          </w:rPr>
          <w:t xml:space="preserve">doi:10.1128/cmr.00047-19</w:t>
        </w:r>
      </w:hyperlink>
    </w:p>
    <w:p>
      <w:pPr>
        <w:pStyle w:val="Reference"/>
        <w:tabs>
          <w:tab w:pos="400" w:val="left"/>
        </w:tabs>
      </w:pPr>
      <w:bookmarkStart w:id="123" w:name="ref-10"/>
      <w:bookmarkEnd w:id="123"/>
      <w:r>
        <w:t>[10]</w:t>
        <w:tab/>
        <w:t>George A. Jacoby. AmpC β-Lactamases.</w:t>
      </w:r>
      <w:r>
        <w:t xml:space="preserve"> </w:t>
      </w:r>
      <w:r>
        <w:rPr>
          <w:i/>
          <w:iCs/>
        </w:rPr>
        <w:t xml:space="preserve">Clin Microbiol Rev</w:t>
      </w:r>
      <w:r>
        <w:t xml:space="preserve">, 22(1):161-182, 2009.</w:t>
      </w:r>
      <w:r>
        <w:t xml:space="preserve"> </w:t>
      </w:r>
      <w:hyperlink r:id="rId124">
        <w:r>
          <w:rPr>
            <w:rStyle w:val="Hyperlink"/>
            <w:color w:val="0000B3"/>
            <w:u w:val="none"/>
          </w:rPr>
          <w:t xml:space="preserve">doi:10.1128/cmr.00036-08</w:t>
        </w:r>
      </w:hyperlink>
    </w:p>
    <w:p>
      <w:pPr>
        <w:pStyle w:val="Reference"/>
        <w:tabs>
          <w:tab w:pos="400" w:val="left"/>
        </w:tabs>
      </w:pPr>
      <w:bookmarkStart w:id="125" w:name="ref-11"/>
      <w:bookmarkEnd w:id="125"/>
      <w:r>
        <w:t>[11]</w:t>
        <w:tab/>
        <w:t>Pranita D. Tamma et al. Comparing the Outcomes of Patients With Carbapenemase-Producing and Non-Carbapenemase-Producing Carbapenem-Resistant Enterobacteriaceae Bacteremia.</w:t>
      </w:r>
      <w:r>
        <w:t xml:space="preserve"> </w:t>
      </w:r>
      <w:r>
        <w:rPr>
          <w:i/>
          <w:iCs/>
        </w:rPr>
        <w:t xml:space="preserve">Clinical Infectious Diseases</w:t>
      </w:r>
      <w:r>
        <w:t xml:space="preserve">, 64(3):257-264, 2017.</w:t>
      </w:r>
      <w:r>
        <w:t xml:space="preserve"> </w:t>
      </w:r>
      <w:hyperlink r:id="rId126">
        <w:r>
          <w:rPr>
            <w:rStyle w:val="Hyperlink"/>
            <w:color w:val="0000B3"/>
            <w:u w:val="none"/>
          </w:rPr>
          <w:t xml:space="preserve">doi:10.1093/cid/ciw741</w:t>
        </w:r>
      </w:hyperlink>
    </w:p>
    <w:p>
      <w:pPr>
        <w:pStyle w:val="Reference"/>
        <w:tabs>
          <w:tab w:pos="400" w:val="left"/>
        </w:tabs>
      </w:pPr>
      <w:bookmarkStart w:id="127" w:name="ref-12"/>
      <w:bookmarkEnd w:id="127"/>
      <w:r>
        <w:t>[12]</w:t>
        <w:tab/>
        <w:t>Johann D. D. Pitout, Patrice Nordmann, and Laurent Poirel. Carbapenemase-Producing</w:t>
      </w:r>
      <w:r>
        <w:t xml:space="preserve"> </w:t>
      </w:r>
      <w:r>
        <w:rPr>
          <w:i/>
          <w:iCs/>
        </w:rPr>
        <w:t xml:space="preserve">Klebsiella pneumoniae</w:t>
      </w:r>
      <w:r>
        <w:t xml:space="preserve">, a Key Pathogen Set for Global Nosocomial Dominance.</w:t>
      </w:r>
      <w:r>
        <w:t xml:space="preserve"> </w:t>
      </w:r>
      <w:r>
        <w:rPr>
          <w:i/>
          <w:iCs/>
        </w:rPr>
        <w:t xml:space="preserve">Antimicrob Agents Chemother</w:t>
      </w:r>
      <w:r>
        <w:t xml:space="preserve">, 59(10):5873-5884, 2015.</w:t>
      </w:r>
      <w:r>
        <w:t xml:space="preserve"> </w:t>
      </w:r>
      <w:hyperlink r:id="rId128">
        <w:r>
          <w:rPr>
            <w:rStyle w:val="Hyperlink"/>
            <w:color w:val="0000B3"/>
            <w:u w:val="none"/>
          </w:rPr>
          <w:t xml:space="preserve">doi:10.1128/aac.01019-15</w:t>
        </w:r>
      </w:hyperlink>
    </w:p>
    <w:p>
      <w:pPr>
        <w:pStyle w:val="Reference"/>
        <w:tabs>
          <w:tab w:pos="400" w:val="left"/>
        </w:tabs>
      </w:pPr>
      <w:bookmarkStart w:id="129" w:name="ref-13"/>
      <w:bookmarkEnd w:id="129"/>
      <w:r>
        <w:t>[13]</w:t>
        <w:tab/>
        <w:t>L. Poirel, A. Potron, and P. Nordmann. OXA-48-like carbapenemases: the phantom menace.</w:t>
      </w:r>
      <w:r>
        <w:t xml:space="preserve"> </w:t>
      </w:r>
      <w:r>
        <w:rPr>
          <w:i/>
          <w:iCs/>
        </w:rPr>
        <w:t xml:space="preserve">Journal of Antimicrobial Chemotherapy</w:t>
      </w:r>
      <w:r>
        <w:t xml:space="preserve">, 67(7):1597-1606, 2012.</w:t>
      </w:r>
      <w:r>
        <w:t xml:space="preserve"> </w:t>
      </w:r>
      <w:hyperlink r:id="rId130">
        <w:r>
          <w:rPr>
            <w:rStyle w:val="Hyperlink"/>
            <w:color w:val="0000B3"/>
            <w:u w:val="none"/>
          </w:rPr>
          <w:t xml:space="preserve">doi:10.1093/jac/dks121</w:t>
        </w:r>
      </w:hyperlink>
    </w:p>
    <w:p>
      <w:pPr>
        <w:pStyle w:val="Reference"/>
        <w:tabs>
          <w:tab w:pos="400" w:val="left"/>
        </w:tabs>
      </w:pPr>
      <w:bookmarkStart w:id="131" w:name="ref-14"/>
      <w:bookmarkEnd w:id="131"/>
      <w:r>
        <w:t>[14]</w:t>
        <w:tab/>
        <w:t>Tom A. Szakacs et al. Outbreak of Vancomycin-Susceptible</w:t>
      </w:r>
      <w:r>
        <w:t xml:space="preserve"> </w:t>
      </w:r>
      <w:r>
        <w:rPr>
          <w:i/>
          <w:iCs/>
        </w:rPr>
        <w:t xml:space="preserve">Enterococcus faecium</w:t>
      </w:r>
      <w:r>
        <w:t xml:space="preserve"> </w:t>
      </w:r>
      <w:r>
        <w:t xml:space="preserve">Containing the Wild-Type</w:t>
      </w:r>
      <w:r>
        <w:t xml:space="preserve"> </w:t>
      </w:r>
      <w:r>
        <w:rPr>
          <w:i/>
          <w:iCs/>
        </w:rPr>
        <w:t xml:space="preserve">vanA</w:t>
      </w:r>
      <w:r>
        <w:t xml:space="preserve"> </w:t>
      </w:r>
      <w:r>
        <w:t xml:space="preserve">Gene.</w:t>
      </w:r>
      <w:r>
        <w:t xml:space="preserve"> </w:t>
      </w:r>
      <w:r>
        <w:rPr>
          <w:i/>
          <w:iCs/>
        </w:rPr>
        <w:t xml:space="preserve">J Clin Microbiol</w:t>
      </w:r>
      <w:r>
        <w:t xml:space="preserve">, 52(5):1682-1686, 2014.</w:t>
      </w:r>
      <w:r>
        <w:t xml:space="preserve"> </w:t>
      </w:r>
      <w:hyperlink r:id="rId132">
        <w:r>
          <w:rPr>
            <w:rStyle w:val="Hyperlink"/>
            <w:color w:val="0000B3"/>
            <w:u w:val="none"/>
          </w:rPr>
          <w:t xml:space="preserve">doi:10.1128/jcm.03563-13</w:t>
        </w:r>
      </w:hyperlink>
    </w:p>
    <w:p>
      <w:pPr>
        <w:pStyle w:val="Reference"/>
        <w:tabs>
          <w:tab w:pos="400" w:val="left"/>
        </w:tabs>
      </w:pPr>
      <w:bookmarkStart w:id="133" w:name="ref-15"/>
      <w:bookmarkEnd w:id="133"/>
      <w:r>
        <w:t>[15]</w:t>
        <w:tab/>
        <w:t>Victoria Jordan and Hemalatha Varadhan. Detection of</w:t>
      </w:r>
      <w:r>
        <w:t xml:space="preserve"> </w:t>
      </w:r>
      <w:r>
        <w:rPr>
          <w:i/>
          <w:iCs/>
        </w:rPr>
        <w:t xml:space="preserve">vanA</w:t>
      </w:r>
      <w:r>
        <w:t xml:space="preserve"> </w:t>
      </w:r>
      <w:r>
        <w:t xml:space="preserve">genes in vancomycin-susceptible</w:t>
      </w:r>
      <w:r>
        <w:t xml:space="preserve"> </w:t>
      </w:r>
      <w:r>
        <w:rPr>
          <w:i/>
          <w:iCs/>
        </w:rPr>
        <w:t xml:space="preserve">Enterococcus faecium</w:t>
      </w:r>
      <w:r>
        <w:t xml:space="preserve"> </w:t>
      </w:r>
      <w:r>
        <w:t xml:space="preserve">isolates: implications for additional testing.</w:t>
      </w:r>
      <w:r>
        <w:t xml:space="preserve"> </w:t>
      </w:r>
      <w:r>
        <w:rPr>
          <w:i/>
          <w:iCs/>
        </w:rPr>
        <w:t xml:space="preserve">Access Microbiology</w:t>
      </w:r>
      <w:r>
        <w:t xml:space="preserve">, 7(4), 2025.</w:t>
      </w:r>
      <w:r>
        <w:t xml:space="preserve"> </w:t>
      </w:r>
      <w:hyperlink r:id="rId134">
        <w:r>
          <w:rPr>
            <w:rStyle w:val="Hyperlink"/>
            <w:color w:val="0000B3"/>
            <w:u w:val="none"/>
          </w:rPr>
          <w:t xml:space="preserve">doi:10.1099/acmi.0.000959.v4</w:t>
        </w:r>
      </w:hyperlink>
    </w:p>
    <w:p>
      <w:pPr>
        <w:pStyle w:val="Reference"/>
        <w:tabs>
          <w:tab w:pos="400" w:val="left"/>
        </w:tabs>
      </w:pPr>
      <w:bookmarkStart w:id="135" w:name="ref-16"/>
      <w:bookmarkEnd w:id="135"/>
      <w:r>
        <w:t>[16]</w:t>
        <w:tab/>
        <w:t>N. Stoesser et al. Predicting antimicrobial susceptibilities for</w:t>
      </w:r>
      <w:r>
        <w:t xml:space="preserve"> </w:t>
      </w:r>
      <w:r>
        <w:rPr>
          <w:i/>
          <w:iCs/>
        </w:rPr>
        <w:t xml:space="preserve">Escherichia coli</w:t>
      </w:r>
      <w:r>
        <w:t xml:space="preserve"> </w:t>
      </w:r>
      <w:r>
        <w:t xml:space="preserve">and</w:t>
      </w:r>
      <w:r>
        <w:t xml:space="preserve"> </w:t>
      </w:r>
      <w:r>
        <w:rPr>
          <w:i/>
          <w:iCs/>
        </w:rPr>
        <w:t xml:space="preserve">Klebsiella pneumoniae</w:t>
      </w:r>
      <w:r>
        <w:t xml:space="preserve"> </w:t>
      </w:r>
      <w:r>
        <w:t xml:space="preserve">isolates using whole genomic sequence data.</w:t>
      </w:r>
      <w:r>
        <w:t xml:space="preserve"> </w:t>
      </w:r>
      <w:r>
        <w:rPr>
          <w:i/>
          <w:iCs/>
        </w:rPr>
        <w:t xml:space="preserve">Journal of Antimicrobial Chemotherapy</w:t>
      </w:r>
      <w:r>
        <w:t xml:space="preserve">, 68(10):2234-2244, 2013.</w:t>
      </w:r>
      <w:r>
        <w:t xml:space="preserve"> </w:t>
      </w:r>
      <w:hyperlink r:id="rId136">
        <w:r>
          <w:rPr>
            <w:rStyle w:val="Hyperlink"/>
            <w:color w:val="0000B3"/>
            <w:u w:val="none"/>
          </w:rPr>
          <w:t xml:space="preserve">doi:10.1093/jac/dkt180</w:t>
        </w:r>
      </w:hyperlink>
    </w:p>
    <w:p>
      <w:pPr>
        <w:pStyle w:val="Reference"/>
        <w:tabs>
          <w:tab w:pos="400" w:val="left"/>
        </w:tabs>
      </w:pPr>
      <w:bookmarkStart w:id="137" w:name="ref-17"/>
      <w:bookmarkEnd w:id="137"/>
      <w:r>
        <w:t>[17]</w:t>
        <w:tab/>
        <w:t>N. C. Gordon et al. Prediction of</w:t>
      </w:r>
      <w:r>
        <w:t xml:space="preserve"> </w:t>
      </w:r>
      <w:r>
        <w:rPr>
          <w:i/>
          <w:iCs/>
        </w:rPr>
        <w:t xml:space="preserve">Staphylococcus aureus</w:t>
      </w:r>
      <w:r>
        <w:t xml:space="preserve"> </w:t>
      </w:r>
      <w:r>
        <w:t xml:space="preserve">Antimicrobial Resistance by Whole-Genome Sequencing.</w:t>
      </w:r>
      <w:r>
        <w:t xml:space="preserve"> </w:t>
      </w:r>
      <w:r>
        <w:rPr>
          <w:i/>
          <w:iCs/>
        </w:rPr>
        <w:t xml:space="preserve">J Clin Microbiol</w:t>
      </w:r>
      <w:r>
        <w:t xml:space="preserve">, 52(4):1182-1191, 2014.</w:t>
      </w:r>
      <w:r>
        <w:t xml:space="preserve"> </w:t>
      </w:r>
      <w:hyperlink r:id="rId138">
        <w:r>
          <w:rPr>
            <w:rStyle w:val="Hyperlink"/>
            <w:color w:val="0000B3"/>
            <w:u w:val="none"/>
          </w:rPr>
          <w:t xml:space="preserve">doi:10.1128/jcm.03117-13</w:t>
        </w:r>
      </w:hyperlink>
    </w:p>
    <w:p>
      <w:pPr>
        <w:pStyle w:val="Reference"/>
        <w:tabs>
          <w:tab w:pos="400" w:val="left"/>
        </w:tabs>
      </w:pPr>
      <w:bookmarkStart w:id="139" w:name="ref-18"/>
      <w:bookmarkEnd w:id="139"/>
      <w:r>
        <w:t>[18]</w:t>
        <w:tab/>
        <w:t>Michael Feldgarden et al. Validating the AMRFinder Tool and Resistance Gene Database by Using Antimicrobial Resistance Genotype-Phenotype Correlations in a Collection of Isolates.</w:t>
      </w:r>
      <w:r>
        <w:t xml:space="preserve"> </w:t>
      </w:r>
      <w:r>
        <w:rPr>
          <w:i/>
          <w:iCs/>
        </w:rPr>
        <w:t xml:space="preserve">Antimicrob Agents Chemother</w:t>
      </w:r>
      <w:r>
        <w:t xml:space="preserve">, 63(11):e00483-19, 2019.</w:t>
      </w:r>
      <w:r>
        <w:t xml:space="preserve"> </w:t>
      </w:r>
      <w:hyperlink r:id="rId140">
        <w:r>
          <w:rPr>
            <w:rStyle w:val="Hyperlink"/>
            <w:color w:val="0000B3"/>
            <w:u w:val="none"/>
          </w:rPr>
          <w:t xml:space="preserve">doi:10.1128/aac.00483-19</w:t>
        </w:r>
      </w:hyperlink>
    </w:p>
    <w:p>
      <w:pPr>
        <w:pStyle w:val="Reference"/>
        <w:tabs>
          <w:tab w:pos="400" w:val="left"/>
        </w:tabs>
      </w:pPr>
      <w:bookmarkStart w:id="141" w:name="ref-19"/>
      <w:bookmarkEnd w:id="141"/>
      <w:r>
        <w:t>[19]</w:t>
        <w:tab/>
        <w:t>Michelle Su, Sarah W. Satola, and Timothy D. Read. Genome-Based Prediction of Bacterial Antibiotic Resistance.</w:t>
      </w:r>
      <w:r>
        <w:t xml:space="preserve"> </w:t>
      </w:r>
      <w:r>
        <w:rPr>
          <w:i/>
          <w:iCs/>
        </w:rPr>
        <w:t xml:space="preserve">J Clin Microbiol</w:t>
      </w:r>
      <w:r>
        <w:t xml:space="preserve">, 57(3):e01405-18, 2019.</w:t>
      </w:r>
      <w:r>
        <w:t xml:space="preserve"> </w:t>
      </w:r>
      <w:hyperlink r:id="rId142">
        <w:r>
          <w:rPr>
            <w:rStyle w:val="Hyperlink"/>
            <w:color w:val="0000B3"/>
            <w:u w:val="none"/>
          </w:rPr>
          <w:t xml:space="preserve">doi:10.1128/jcm.01405-18</w:t>
        </w:r>
      </w:hyperlink>
    </w:p>
    <w:p>
      <w:pPr>
        <w:pStyle w:val="Reference"/>
        <w:tabs>
          <w:tab w:pos="400" w:val="left"/>
        </w:tabs>
      </w:pPr>
      <w:bookmarkStart w:id="143" w:name="ref-20"/>
      <w:bookmarkEnd w:id="143"/>
      <w:r>
        <w:t>[20]</w:t>
        <w:tab/>
        <w:t>M.J. Ellington et al. The role of whole genome sequencing in antimicrobial susceptibility testing of bacteria: report from the EUCAST Subcommittee.</w:t>
      </w:r>
      <w:r>
        <w:t xml:space="preserve"> </w:t>
      </w:r>
      <w:r>
        <w:rPr>
          <w:i/>
          <w:iCs/>
        </w:rPr>
        <w:t xml:space="preserve">Clinical Microbiology and Infection</w:t>
      </w:r>
      <w:r>
        <w:t xml:space="preserve">, 23(1):2-22, 2017.</w:t>
      </w:r>
      <w:r>
        <w:t xml:space="preserve"> </w:t>
      </w:r>
      <w:hyperlink r:id="rId144">
        <w:r>
          <w:rPr>
            <w:rStyle w:val="Hyperlink"/>
            <w:color w:val="0000B3"/>
            <w:u w:val="none"/>
          </w:rPr>
          <w:t xml:space="preserve">doi:10.1016/j.cmi.2016.11.012</w:t>
        </w:r>
      </w:hyperlink>
    </w:p>
    <w:p>
      <w:pPr>
        <w:pStyle w:val="Reference"/>
        <w:tabs>
          <w:tab w:pos="400" w:val="left"/>
        </w:tabs>
      </w:pPr>
      <w:bookmarkStart w:id="145" w:name="ref-21"/>
      <w:bookmarkEnd w:id="145"/>
      <w:r>
        <w:t>[21]</w:t>
        <w:tab/>
        <w:t>Michael Feldgarden et al. AMRFinderPlus and the Reference Gene Catalog facilitate examination of the genomic links among antimicrobial resistance, stress response, and virulence.</w:t>
      </w:r>
      <w:r>
        <w:t xml:space="preserve"> </w:t>
      </w:r>
      <w:r>
        <w:rPr>
          <w:i/>
          <w:iCs/>
        </w:rPr>
        <w:t xml:space="preserve">Sci Rep</w:t>
      </w:r>
      <w:r>
        <w:t xml:space="preserve">, 11(1):12728, 2021.</w:t>
      </w:r>
      <w:r>
        <w:t xml:space="preserve"> </w:t>
      </w:r>
      <w:hyperlink r:id="rId146">
        <w:r>
          <w:rPr>
            <w:rStyle w:val="Hyperlink"/>
            <w:color w:val="0000B3"/>
            <w:u w:val="none"/>
          </w:rPr>
          <w:t xml:space="preserve">doi:10.1038/s41598-021-91456-0</w:t>
        </w:r>
      </w:hyperlink>
    </w:p>
    <w:p>
      <w:pPr>
        <w:pStyle w:val="Reference"/>
        <w:tabs>
          <w:tab w:pos="400" w:val="left"/>
        </w:tabs>
      </w:pPr>
      <w:bookmarkStart w:id="147" w:name="ref-22"/>
      <w:bookmarkEnd w:id="147"/>
      <w:r>
        <w:t>[22]</w:t>
        <w:tab/>
        <w:t>Eric W Sayers et al. Database resources of the National Center for Biotechnology Information in 2025.</w:t>
      </w:r>
      <w:r>
        <w:t xml:space="preserve"> </w:t>
      </w:r>
      <w:r>
        <w:rPr>
          <w:i/>
          <w:iCs/>
        </w:rPr>
        <w:t xml:space="preserve">Nucleic Acids Research</w:t>
      </w:r>
      <w:r>
        <w:t xml:space="preserve">, 53(D1):D20-D29, 2025.</w:t>
      </w:r>
      <w:r>
        <w:t xml:space="preserve"> </w:t>
      </w:r>
      <w:hyperlink r:id="rId148">
        <w:r>
          <w:rPr>
            <w:rStyle w:val="Hyperlink"/>
            <w:color w:val="0000B3"/>
            <w:u w:val="none"/>
          </w:rPr>
          <w:t xml:space="preserve">doi:10.1093/nar/gkae979</w:t>
        </w:r>
      </w:hyperlink>
    </w:p>
    <w:p>
      <w:pPr>
        <w:pStyle w:val="Reference"/>
        <w:tabs>
          <w:tab w:pos="400" w:val="left"/>
        </w:tabs>
      </w:pPr>
      <w:bookmarkStart w:id="149" w:name="ref-23"/>
      <w:bookmarkEnd w:id="149"/>
      <w:r>
        <w:t>[23]</w:t>
        <w:tab/>
        <w:t>National Center for Biotechnology Information. Pathogen Detection. https://www.ncbi.nlm.nih.gov/pathogens/. Data accessed 24 October 2026.</w:t>
      </w:r>
    </w:p>
    <w:p>
      <w:pPr>
        <w:pStyle w:val="Reference"/>
        <w:tabs>
          <w:tab w:pos="400" w:val="left"/>
        </w:tabs>
      </w:pPr>
      <w:bookmarkStart w:id="150" w:name="ref-24"/>
      <w:bookmarkEnd w:id="150"/>
      <w:r>
        <w:t>[24]</w:t>
        <w:tab/>
        <w:t>Fatima Abdulwahab. U.S. Rapid Panel Resistance Marker Concordance Benchmark, version 1.0.0. Code and data: https://github.com/FatimaAbdulwahab/us-rapid-panel-amr-concordance; lookup page: https://fatimaabdulwahab.github.io/us-rapid-panel-amr-concordance/; Zenodo archive DOI to be assigned on deposit.</w:t>
      </w:r>
    </w:p>
    <w:p>
      <w:pPr>
        <w:pStyle w:val="Reference"/>
        <w:tabs>
          <w:tab w:pos="400" w:val="left"/>
        </w:tabs>
      </w:pPr>
      <w:bookmarkStart w:id="151" w:name="ref-25"/>
      <w:bookmarkEnd w:id="151"/>
      <w:r>
        <w:t>[25]</w:t>
        <w:tab/>
        <w:t>Eric Sayers. A General Introduction to the E-utilities. In</w:t>
      </w:r>
      <w:r>
        <w:t xml:space="preserve"> </w:t>
      </w:r>
      <w:r>
        <w:rPr>
          <w:i/>
          <w:iCs/>
        </w:rPr>
        <w:t xml:space="preserve">Entrez Programming Utilities Help</w:t>
      </w:r>
      <w:r>
        <w:t xml:space="preserve">. National Center for Biotechnology Information, Bethesda, MD. https://www.ncbi.nlm.nih.gov/books/NBK25499/.</w:t>
      </w:r>
    </w:p>
    <w:p>
      <w:pPr>
        <w:pStyle w:val="Reference"/>
        <w:tabs>
          <w:tab w:pos="400" w:val="left"/>
        </w:tabs>
      </w:pPr>
      <w:bookmarkStart w:id="152" w:name="ref-26"/>
      <w:bookmarkEnd w:id="152"/>
      <w:r>
        <w:t>[26]</w:t>
        <w:tab/>
        <w:t>Clinical and Laboratory Standards Institute.</w:t>
      </w:r>
      <w:r>
        <w:t xml:space="preserve"> </w:t>
      </w:r>
      <w:r>
        <w:rPr>
          <w:i/>
          <w:iCs/>
        </w:rPr>
        <w:t xml:space="preserve">Performance Standards for Antimicrobial Susceptibility Testing</w:t>
      </w:r>
      <w:r>
        <w:t xml:space="preserve">. CLSI supplement M100, 35th edition. Clinical and Laboratory Standards Institute, Wayne, PA, 2025.</w:t>
      </w:r>
    </w:p>
    <w:p>
      <w:pPr>
        <w:pStyle w:val="Reference"/>
        <w:tabs>
          <w:tab w:pos="400" w:val="left"/>
        </w:tabs>
      </w:pPr>
      <w:bookmarkStart w:id="153" w:name="ref-27"/>
      <w:bookmarkEnd w:id="153"/>
      <w:r>
        <w:t>[27]</w:t>
        <w:tab/>
        <w:t>U.S. Food and Drug Administration. Antibacterial Susceptibility Test Interpretive Criteria. https://www.fda.gov/drugs/development-resources/antibacterial-susceptibility-test-interpretive-criteria. Accessed 24 October 2026.</w:t>
      </w:r>
    </w:p>
    <w:p>
      <w:pPr>
        <w:pStyle w:val="Reference"/>
        <w:tabs>
          <w:tab w:pos="400" w:val="left"/>
        </w:tabs>
      </w:pPr>
      <w:bookmarkStart w:id="154" w:name="ref-28"/>
      <w:bookmarkEnd w:id="154"/>
      <w:r>
        <w:t>[28]</w:t>
        <w:tab/>
        <w:t>N. Caroff et al. Analysis of the effects of -42 and -32 ampC promoter mutations in clinical isolates of</w:t>
      </w:r>
      <w:r>
        <w:t xml:space="preserve"> </w:t>
      </w:r>
      <w:r>
        <w:rPr>
          <w:i/>
          <w:iCs/>
        </w:rPr>
        <w:t xml:space="preserve">Escherichia coli</w:t>
      </w:r>
      <w:r>
        <w:t xml:space="preserve"> </w:t>
      </w:r>
      <w:r>
        <w:t xml:space="preserve">hyperproducing AmpC.</w:t>
      </w:r>
      <w:r>
        <w:t xml:space="preserve"> </w:t>
      </w:r>
      <w:r>
        <w:rPr>
          <w:i/>
          <w:iCs/>
        </w:rPr>
        <w:t xml:space="preserve">Journal of Antimicrobial Chemotherapy</w:t>
      </w:r>
      <w:r>
        <w:t xml:space="preserve">, 45(6):783-788, 2000.</w:t>
      </w:r>
      <w:r>
        <w:t xml:space="preserve"> </w:t>
      </w:r>
      <w:hyperlink r:id="rId155">
        <w:r>
          <w:rPr>
            <w:rStyle w:val="Hyperlink"/>
            <w:color w:val="0000B3"/>
            <w:u w:val="none"/>
          </w:rPr>
          <w:t xml:space="preserve">doi:10.1093/jac/45.6.783</w:t>
        </w:r>
      </w:hyperlink>
    </w:p>
    <w:p>
      <w:pPr>
        <w:pStyle w:val="Reference"/>
        <w:tabs>
          <w:tab w:pos="400" w:val="left"/>
        </w:tabs>
      </w:pPr>
      <w:bookmarkStart w:id="156" w:name="ref-29"/>
      <w:bookmarkEnd w:id="156"/>
      <w:r>
        <w:t>[29]</w:t>
        <w:tab/>
        <w:t>Edwin B. Wilson. Probable Inference, the Law of Succession, and Statistical Inference.</w:t>
      </w:r>
      <w:r>
        <w:t xml:space="preserve"> </w:t>
      </w:r>
      <w:r>
        <w:rPr>
          <w:i/>
          <w:iCs/>
        </w:rPr>
        <w:t xml:space="preserve">Journal of the American Statistical Association</w:t>
      </w:r>
      <w:r>
        <w:t xml:space="preserve">, 22(158):209-212, 1927.</w:t>
      </w:r>
      <w:r>
        <w:t xml:space="preserve"> </w:t>
      </w:r>
      <w:hyperlink r:id="rId157">
        <w:r>
          <w:rPr>
            <w:rStyle w:val="Hyperlink"/>
            <w:color w:val="0000B3"/>
            <w:u w:val="none"/>
          </w:rPr>
          <w:t xml:space="preserve">doi:10.1080/01621459.1927.10502953</w:t>
        </w:r>
      </w:hyperlink>
    </w:p>
    <w:p>
      <w:pPr>
        <w:pStyle w:val="Reference"/>
        <w:tabs>
          <w:tab w:pos="400" w:val="left"/>
        </w:tabs>
      </w:pPr>
      <w:bookmarkStart w:id="158" w:name="ref-30"/>
      <w:bookmarkEnd w:id="158"/>
      <w:r>
        <w:t>[30]</w:t>
        <w:tab/>
        <w:t>Wes McKinney. Data Structures for Statistical Computing in Python.</w:t>
      </w:r>
      <w:r>
        <w:t xml:space="preserve"> </w:t>
      </w:r>
      <w:r>
        <w:rPr>
          <w:i/>
          <w:iCs/>
        </w:rPr>
        <w:t xml:space="preserve">Proceedings of the Python in Science Conference</w:t>
      </w:r>
      <w:r>
        <w:t xml:space="preserve">, 56–61, 2010.</w:t>
      </w:r>
      <w:r>
        <w:t xml:space="preserve"> </w:t>
      </w:r>
      <w:hyperlink r:id="rId159">
        <w:r>
          <w:rPr>
            <w:rStyle w:val="Hyperlink"/>
            <w:color w:val="0000B3"/>
            <w:u w:val="none"/>
          </w:rPr>
          <w:t xml:space="preserve">doi:10.25080/majora-92bf1922-00a</w:t>
        </w:r>
      </w:hyperlink>
    </w:p>
    <w:p>
      <w:pPr>
        <w:pStyle w:val="Reference"/>
        <w:tabs>
          <w:tab w:pos="400" w:val="left"/>
        </w:tabs>
      </w:pPr>
      <w:bookmarkStart w:id="160" w:name="ref-31"/>
      <w:bookmarkEnd w:id="160"/>
      <w:r>
        <w:t>[31]</w:t>
        <w:tab/>
        <w:t>John D. Hunter. Matplotlib: A 2D Graphics Environment.</w:t>
      </w:r>
      <w:r>
        <w:t xml:space="preserve"> </w:t>
      </w:r>
      <w:r>
        <w:rPr>
          <w:i/>
          <w:iCs/>
        </w:rPr>
        <w:t xml:space="preserve">Comput. Sci. Eng.</w:t>
      </w:r>
      <w:r>
        <w:t xml:space="preserve">, 9(3):90-95, 2007.</w:t>
      </w:r>
      <w:r>
        <w:t xml:space="preserve"> </w:t>
      </w:r>
      <w:hyperlink r:id="rId161">
        <w:r>
          <w:rPr>
            <w:rStyle w:val="Hyperlink"/>
            <w:color w:val="0000B3"/>
            <w:u w:val="none"/>
          </w:rPr>
          <w:t xml:space="preserve">doi:10.1109/mcse.2007.55</w:t>
        </w:r>
      </w:hyperlink>
    </w:p>
    <w:p>
      <w:pPr>
        <w:pStyle w:val="Reference"/>
        <w:tabs>
          <w:tab w:pos="400" w:val="left"/>
        </w:tabs>
      </w:pPr>
      <w:bookmarkStart w:id="162" w:name="ref-32"/>
      <w:bookmarkEnd w:id="162"/>
      <w:r>
        <w:t>[32]</w:t>
        <w:tab/>
        <w:t>Michael Waskom. seaborn: statistical data visualization.</w:t>
      </w:r>
      <w:r>
        <w:t xml:space="preserve"> </w:t>
      </w:r>
      <w:r>
        <w:rPr>
          <w:i/>
          <w:iCs/>
        </w:rPr>
        <w:t xml:space="preserve">JOSS</w:t>
      </w:r>
      <w:r>
        <w:t xml:space="preserve">, 6(60):3021, 2021.</w:t>
      </w:r>
      <w:r>
        <w:t xml:space="preserve"> </w:t>
      </w:r>
      <w:hyperlink r:id="rId163">
        <w:r>
          <w:rPr>
            <w:rStyle w:val="Hyperlink"/>
            <w:color w:val="0000B3"/>
            <w:u w:val="none"/>
          </w:rPr>
          <w:t xml:space="preserve">doi:10.21105/joss.03021</w:t>
        </w:r>
      </w:hyperlink>
    </w:p>
    <w:p>
      <w:pPr>
        <w:pStyle w:val="Reference"/>
        <w:tabs>
          <w:tab w:pos="400" w:val="left"/>
        </w:tabs>
      </w:pPr>
      <w:bookmarkStart w:id="164" w:name="ref-33"/>
      <w:bookmarkEnd w:id="164"/>
      <w:r>
        <w:t>[33]</w:t>
        <w:tab/>
        <w:t>E. Petinaki. Emergence of two oxacillin-susceptible mecA-positive</w:t>
      </w:r>
      <w:r>
        <w:t xml:space="preserve"> </w:t>
      </w:r>
      <w:r>
        <w:rPr>
          <w:i/>
          <w:iCs/>
        </w:rPr>
        <w:t xml:space="preserve">Staphylococcus aureus</w:t>
      </w:r>
      <w:r>
        <w:t xml:space="preserve"> </w:t>
      </w:r>
      <w:r>
        <w:t xml:space="preserve">clones in a Greek hospital.</w:t>
      </w:r>
      <w:r>
        <w:t xml:space="preserve"> </w:t>
      </w:r>
      <w:r>
        <w:rPr>
          <w:i/>
          <w:iCs/>
        </w:rPr>
        <w:t xml:space="preserve">Journal of Antimicrobial Chemotherapy</w:t>
      </w:r>
      <w:r>
        <w:t xml:space="preserve">, 50(6):1090-1091, 2002.</w:t>
      </w:r>
      <w:r>
        <w:t xml:space="preserve"> </w:t>
      </w:r>
      <w:hyperlink r:id="rId165">
        <w:r>
          <w:rPr>
            <w:rStyle w:val="Hyperlink"/>
            <w:color w:val="0000B3"/>
            <w:u w:val="none"/>
          </w:rPr>
          <w:t xml:space="preserve">doi:10.1093/jac/dkf235</w:t>
        </w:r>
      </w:hyperlink>
    </w:p>
    <w:p>
      <w:pPr>
        <w:pStyle w:val="Reference"/>
        <w:tabs>
          <w:tab w:pos="400" w:val="left"/>
        </w:tabs>
        <w:sectPr>
          <w:footerReference w:type="default" r:id="rId9"/>
          <w:type w:val="continuous"/>
          <w:pgSz w:w="12240" w:h="15840"/>
          <w:pgMar w:top="1224" w:right="1037" w:bottom="1296" w:left="1037" w:header="720" w:footer="560" w:gutter="0"/>
          <w:cols w:num="2" w:space="374"/>
        </w:sectPr>
      </w:pPr>
      <w:bookmarkStart w:id="166" w:name="ref-34"/>
      <w:bookmarkEnd w:id="166"/>
      <w:r>
        <w:t>[34]</w:t>
        <w:tab/>
        <w:t>Pranita D Tamma et al. Infectious Diseases Society of America 2024 Guidance on the Treatment of Antimicrobial-Resistant Gram-Negative Infections.</w:t>
      </w:r>
      <w:r>
        <w:t xml:space="preserve"> </w:t>
      </w:r>
      <w:r>
        <w:rPr>
          <w:i/>
          <w:iCs/>
        </w:rPr>
        <w:t xml:space="preserve">Clinical Infectious Diseases</w:t>
      </w:r>
      <w:r>
        <w:t xml:space="preserve">, ciae403, 2024.</w:t>
      </w:r>
      <w:r>
        <w:t xml:space="preserve"> </w:t>
      </w:r>
      <w:hyperlink r:id="rId167">
        <w:r>
          <w:rPr>
            <w:rStyle w:val="Hyperlink"/>
            <w:color w:val="0000B3"/>
            <w:u w:val="none"/>
          </w:rPr>
          <w:t xml:space="preserve">doi:10.1093/cid/ciae403</w:t>
        </w:r>
      </w:hyperlink>
    </w:p>
    <w:bookmarkEnd w:id="168"/>
    <w:bookmarkStart w:id="170" w:name="X52eaab994dd2f8112401fc9eb973dac452c1e76"/>
    <w:p>
      <w:pPr>
        <w:pStyle w:val="Heading2"/>
      </w:pPr>
      <w:r>
        <w:t xml:space="preserve">Appendix: gene-detected, not-resistant isolates (excluding CTX-M)</w:t>
      </w:r>
    </w:p>
    <w:p>
      <w:pPr>
        <w:pStyle w:val="TabCaption"/>
      </w:pPr>
      <w:bookmarkStart w:id="169" w:name="tab-AI"/>
      <w:bookmarkEnd w:id="169"/>
      <w:r>
        <w:t xml:space="preserve">TABLE AI: Every isolate in which</w:t>
      </w:r>
      <w:r>
        <w:t xml:space="preserve"> </w:t>
      </w:r>
      <w:r>
        <w:rPr>
          <w:i/>
          <w:iCs/>
        </w:rPr>
        <w:t xml:space="preserve">mecA</w:t>
      </w:r>
      <w:r>
        <w:t xml:space="preserve">,</w:t>
      </w:r>
      <w:r>
        <w:t xml:space="preserve"> </w:t>
      </w:r>
      <w:r>
        <w:rPr>
          <w:i/>
          <w:iCs/>
        </w:rPr>
        <w:t xml:space="preserve">vanA</w:t>
      </w:r>
      <w:r>
        <w:t xml:space="preserve"> </w:t>
      </w:r>
      <w:r>
        <w:t xml:space="preserve">or a panel carbapenemase was detected but the isolate was not resistant to the paired drug or composite. Phenotype gives each drug’s MIC (mg/L) or zone diameter (mm) and final category;</w:t>
      </w:r>
      <w:r>
        <w:t xml:space="preserve"> </w:t>
      </w:r>
      <w:r>
        <w:t xml:space="preserve">“</w:t>
      </w:r>
      <w:r>
        <w:t xml:space="preserve">(sub.)</w:t>
      </w:r>
      <w:r>
        <w:t xml:space="preserve">”</w:t>
      </w:r>
      <w:r>
        <w:t xml:space="preserve"> </w:t>
      </w:r>
      <w:r>
        <w:t xml:space="preserve">marks a submitter call. The 23 CTX-M cases are in the released discordance file.</w:t>
      </w:r>
    </w:p>
    <w:tbl>
      <w:tblPr>
        <w:tblStyle w:val="Table"/>
        <w:tblW w:w="10166" w:type="dxa"/>
        <w:jc w:val="center"/>
        <w:tblLayout w:type="fixed"/>
        <w:tblCellMar>
          <w:top w:w="0" w:type="dxa"/>
          <w:left w:w="60" w:type="dxa"/>
          <w:bottom w:w="0" w:type="dxa"/>
          <w:right w:w="60" w:type="dxa"/>
        </w:tblCellMar>
        <w:tblLook w:firstRow="1" w:lastRow="0" w:firstColumn="0" w:lastColumn="0" w:noHBand="0" w:noVBand="0" w:val="0020"/>
      </w:tblPr>
      <w:tblGrid>
        <w:gridCol w:w="1746"/>
        <w:gridCol w:w="2320"/>
        <w:gridCol w:w="885"/>
        <w:gridCol w:w="2608"/>
        <w:gridCol w:w="2607"/>
      </w:tblGrid>
      <w:tr>
        <w:trPr>
          <w:tblHeader w:val="true"/>
        </w:trPr>
        <w:tc>
          <w:tcPr>
            <w:tcW w:w="1746" w:type="dxa"/>
            <w:tcBorders>
              <w:top w:val="double" w:sz="4" w:space="0" w:color="000000"/>
              <w:bottom w:val="single" w:sz="4" w:space="0" w:color="000000"/>
            </w:tcBorders>
          </w:tcPr>
          <w:p>
            <w:pPr>
              <w:pStyle w:val="Compact"/>
              <w:spacing w:after="0" w:before="0" w:line="240" w:lineRule="auto"/>
              <w:ind w:firstLine="0"/>
              <w:jc w:val="left"/>
            </w:pPr>
            <w:r>
              <w:rPr>
                <w:sz w:val="16"/>
              </w:rPr>
              <w:t xml:space="preserve">BioSample</w:t>
            </w:r>
          </w:p>
        </w:tc>
        <w:tc>
          <w:tcPr>
            <w:tcW w:w="2320" w:type="dxa"/>
            <w:tcBorders>
              <w:top w:val="double" w:sz="4" w:space="0" w:color="000000"/>
              <w:bottom w:val="single" w:sz="4" w:space="0" w:color="000000"/>
            </w:tcBorders>
          </w:tcPr>
          <w:p>
            <w:pPr>
              <w:pStyle w:val="Compact"/>
              <w:spacing w:after="0" w:before="0" w:line="240" w:lineRule="auto"/>
              <w:ind w:firstLine="0"/>
              <w:jc w:val="left"/>
            </w:pPr>
            <w:r>
              <w:rPr>
                <w:sz w:val="16"/>
              </w:rPr>
              <w:t xml:space="preserve">Organism</w:t>
            </w:r>
          </w:p>
        </w:tc>
        <w:tc>
          <w:tcPr>
            <w:tcW w:w="885" w:type="dxa"/>
            <w:tcBorders>
              <w:top w:val="double" w:sz="4" w:space="0" w:color="000000"/>
              <w:bottom w:val="single" w:sz="4" w:space="0" w:color="000000"/>
            </w:tcBorders>
          </w:tcPr>
          <w:p>
            <w:pPr>
              <w:pStyle w:val="Compact"/>
              <w:spacing w:after="0" w:before="0" w:line="240" w:lineRule="auto"/>
              <w:ind w:firstLine="0"/>
              <w:jc w:val="left"/>
            </w:pPr>
            <w:r>
              <w:rPr>
                <w:sz w:val="16"/>
              </w:rPr>
              <w:t xml:space="preserve">Allele</w:t>
            </w:r>
          </w:p>
        </w:tc>
        <w:tc>
          <w:tcPr>
            <w:tcW w:w="2608" w:type="dxa"/>
            <w:tcBorders>
              <w:top w:val="double" w:sz="4" w:space="0" w:color="000000"/>
              <w:bottom w:val="single" w:sz="4" w:space="0" w:color="000000"/>
            </w:tcBorders>
          </w:tcPr>
          <w:p>
            <w:pPr>
              <w:pStyle w:val="Compact"/>
              <w:spacing w:after="0" w:before="0" w:line="240" w:lineRule="auto"/>
              <w:ind w:firstLine="0"/>
              <w:jc w:val="left"/>
            </w:pPr>
            <w:r>
              <w:rPr>
                <w:sz w:val="16"/>
              </w:rPr>
              <w:t xml:space="preserve">Phenotype (MIC mg/L or zone mm → category)</w:t>
            </w:r>
          </w:p>
        </w:tc>
        <w:tc>
          <w:tcPr>
            <w:tcW w:w="2607" w:type="dxa"/>
            <w:tcBorders>
              <w:top w:val="double" w:sz="4" w:space="0" w:color="000000"/>
              <w:bottom w:val="single" w:sz="4" w:space="0" w:color="000000"/>
            </w:tcBorders>
          </w:tcPr>
          <w:p>
            <w:pPr>
              <w:pStyle w:val="Compact"/>
              <w:spacing w:after="0" w:before="0" w:line="240" w:lineRule="auto"/>
              <w:ind w:firstLine="0"/>
              <w:jc w:val="left"/>
            </w:pPr>
            <w:r>
              <w:rPr>
                <w:sz w:val="16"/>
              </w:rPr>
              <w:t xml:space="preserve">Primary cause</w:t>
            </w:r>
          </w:p>
        </w:tc>
      </w:tr>
      <w:tr>
        <w:tc>
          <w:tcPr>
            <w:tcW w:w="1746" w:type="dxa"/>
          </w:tcPr>
          <w:p>
            <w:pPr>
              <w:pStyle w:val="Compact"/>
              <w:spacing w:after="0" w:before="0" w:line="240" w:lineRule="auto"/>
              <w:ind w:firstLine="0"/>
              <w:jc w:val="left"/>
            </w:pPr>
            <w:r>
              <w:rPr>
                <w:rStyle w:val="VerbatimChar"/>
                <w:sz w:val="16"/>
              </w:rPr>
              <w:t xml:space="preserve">SAMN04393399</w:t>
            </w:r>
          </w:p>
        </w:tc>
        <w:tc>
          <w:tcPr>
            <w:tcW w:w="2320" w:type="dxa"/>
          </w:tcPr>
          <w:p>
            <w:pPr>
              <w:pStyle w:val="Compact"/>
              <w:spacing w:after="0" w:before="0" w:line="240" w:lineRule="auto"/>
              <w:ind w:firstLine="0"/>
              <w:jc w:val="left"/>
            </w:pPr>
            <w:r>
              <w:rPr>
                <w:i/>
                <w:iCs/>
                <w:sz w:val="16"/>
              </w:rPr>
              <w:t xml:space="preserve">K. pneumoniae</w:t>
            </w:r>
            <w:r>
              <w:rPr>
                <w:sz w:val="16"/>
              </w:rPr>
              <w:t xml:space="preserve"> </w:t>
            </w:r>
            <w:r>
              <w:rPr>
                <w:sz w:val="16"/>
              </w:rPr>
              <w:t xml:space="preserve">cplx.</w:t>
            </w:r>
          </w:p>
        </w:tc>
        <w:tc>
          <w:tcPr>
            <w:tcW w:w="885" w:type="dxa"/>
          </w:tcPr>
          <w:p>
            <w:pPr>
              <w:pStyle w:val="Compact"/>
              <w:spacing w:after="0" w:before="0" w:line="240" w:lineRule="auto"/>
              <w:ind w:firstLine="0"/>
              <w:jc w:val="left"/>
            </w:pPr>
            <w:r>
              <w:rPr>
                <w:sz w:val="16"/>
              </w:rPr>
              <w:t xml:space="preserve">KPC-3</w:t>
            </w:r>
          </w:p>
        </w:tc>
        <w:tc>
          <w:tcPr>
            <w:tcW w:w="2608" w:type="dxa"/>
          </w:tcPr>
          <w:p>
            <w:pPr>
              <w:pStyle w:val="Compact"/>
              <w:spacing w:after="0" w:before="0" w:line="240" w:lineRule="auto"/>
              <w:ind w:firstLine="0"/>
              <w:jc w:val="left"/>
            </w:pPr>
            <w:r>
              <w:rPr>
                <w:sz w:val="16"/>
              </w:rPr>
              <w:t xml:space="preserve">meropenem 21 mm → I (disk); imipenem 21 mm → I (disk); ertapenem 20 mm → I (disk)</w:t>
            </w:r>
          </w:p>
        </w:tc>
        <w:tc>
          <w:tcPr>
            <w:tcW w:w="2607" w:type="dxa"/>
          </w:tcPr>
          <w:p>
            <w:pPr>
              <w:pStyle w:val="Compact"/>
              <w:spacing w:after="0" w:before="0" w:line="240" w:lineRule="auto"/>
              <w:ind w:firstLine="0"/>
              <w:jc w:val="left"/>
            </w:pPr>
            <w:r>
              <w:rPr>
                <w:sz w:val="16"/>
              </w:rPr>
              <w:t xml:space="preserve">MIC within one dilution of R breakpoint</w:t>
            </w:r>
          </w:p>
        </w:tc>
      </w:tr>
      <w:tr>
        <w:tc>
          <w:tcPr>
            <w:tcW w:w="1746" w:type="dxa"/>
          </w:tcPr>
          <w:p>
            <w:pPr>
              <w:pStyle w:val="Compact"/>
              <w:spacing w:after="0" w:before="0" w:line="240" w:lineRule="auto"/>
              <w:ind w:firstLine="0"/>
              <w:jc w:val="left"/>
            </w:pPr>
            <w:r>
              <w:rPr>
                <w:rStyle w:val="VerbatimChar"/>
                <w:sz w:val="16"/>
              </w:rPr>
              <w:t xml:space="preserve">SAMN05170250</w:t>
            </w:r>
          </w:p>
        </w:tc>
        <w:tc>
          <w:tcPr>
            <w:tcW w:w="2320" w:type="dxa"/>
          </w:tcPr>
          <w:p>
            <w:pPr>
              <w:pStyle w:val="Compact"/>
              <w:spacing w:after="0" w:before="0" w:line="240" w:lineRule="auto"/>
              <w:ind w:firstLine="0"/>
              <w:jc w:val="left"/>
            </w:pPr>
            <w:r>
              <w:rPr>
                <w:i/>
                <w:iCs/>
                <w:sz w:val="16"/>
              </w:rPr>
              <w:t xml:space="preserve">E. coli</w:t>
            </w:r>
          </w:p>
        </w:tc>
        <w:tc>
          <w:tcPr>
            <w:tcW w:w="885" w:type="dxa"/>
          </w:tcPr>
          <w:p>
            <w:pPr>
              <w:pStyle w:val="Compact"/>
              <w:spacing w:after="0" w:before="0" w:line="240" w:lineRule="auto"/>
              <w:ind w:firstLine="0"/>
              <w:jc w:val="left"/>
            </w:pPr>
            <w:r>
              <w:rPr>
                <w:sz w:val="16"/>
              </w:rPr>
              <w:t xml:space="preserve">KPC-3</w:t>
            </w:r>
          </w:p>
        </w:tc>
        <w:tc>
          <w:tcPr>
            <w:tcW w:w="2608" w:type="dxa"/>
          </w:tcPr>
          <w:p>
            <w:pPr>
              <w:pStyle w:val="Compact"/>
              <w:spacing w:after="0" w:before="0" w:line="240" w:lineRule="auto"/>
              <w:ind w:firstLine="0"/>
              <w:jc w:val="left"/>
            </w:pPr>
            <w:r>
              <w:rPr>
                <w:sz w:val="16"/>
              </w:rPr>
              <w:t xml:space="preserve">meropenem ≤1 → S; imipenem 2 → I; ertapenem 1 → I; doripenem 2 → I</w:t>
            </w:r>
          </w:p>
        </w:tc>
        <w:tc>
          <w:tcPr>
            <w:tcW w:w="2607" w:type="dxa"/>
          </w:tcPr>
          <w:p>
            <w:pPr>
              <w:pStyle w:val="Compact"/>
              <w:spacing w:after="0" w:before="0" w:line="240" w:lineRule="auto"/>
              <w:ind w:firstLine="0"/>
              <w:jc w:val="left"/>
            </w:pPr>
            <w:r>
              <w:rPr>
                <w:sz w:val="16"/>
              </w:rPr>
              <w:t xml:space="preserve">MIC within one dilution of R breakpoint</w:t>
            </w:r>
          </w:p>
        </w:tc>
      </w:tr>
      <w:tr>
        <w:tc>
          <w:tcPr>
            <w:tcW w:w="1746" w:type="dxa"/>
          </w:tcPr>
          <w:p>
            <w:pPr>
              <w:pStyle w:val="Compact"/>
              <w:spacing w:after="0" w:before="0" w:line="240" w:lineRule="auto"/>
              <w:ind w:firstLine="0"/>
              <w:jc w:val="left"/>
            </w:pPr>
            <w:r>
              <w:rPr>
                <w:rStyle w:val="VerbatimChar"/>
                <w:sz w:val="16"/>
              </w:rPr>
              <w:t xml:space="preserve">SAMN05170257</w:t>
            </w:r>
          </w:p>
        </w:tc>
        <w:tc>
          <w:tcPr>
            <w:tcW w:w="2320" w:type="dxa"/>
          </w:tcPr>
          <w:p>
            <w:pPr>
              <w:pStyle w:val="Compact"/>
              <w:spacing w:after="0" w:before="0" w:line="240" w:lineRule="auto"/>
              <w:ind w:firstLine="0"/>
              <w:jc w:val="left"/>
            </w:pPr>
            <w:r>
              <w:rPr>
                <w:i/>
                <w:iCs/>
                <w:sz w:val="16"/>
              </w:rPr>
              <w:t xml:space="preserve">E. coli</w:t>
            </w:r>
          </w:p>
        </w:tc>
        <w:tc>
          <w:tcPr>
            <w:tcW w:w="885" w:type="dxa"/>
          </w:tcPr>
          <w:p>
            <w:pPr>
              <w:pStyle w:val="Compact"/>
              <w:spacing w:after="0" w:before="0" w:line="240" w:lineRule="auto"/>
              <w:ind w:firstLine="0"/>
              <w:jc w:val="left"/>
            </w:pPr>
            <w:r>
              <w:rPr>
                <w:sz w:val="16"/>
              </w:rPr>
              <w:t xml:space="preserve">KPC-4</w:t>
            </w:r>
          </w:p>
        </w:tc>
        <w:tc>
          <w:tcPr>
            <w:tcW w:w="2608" w:type="dxa"/>
          </w:tcPr>
          <w:p>
            <w:pPr>
              <w:pStyle w:val="Compact"/>
              <w:spacing w:after="0" w:before="0" w:line="240" w:lineRule="auto"/>
              <w:ind w:firstLine="0"/>
              <w:jc w:val="left"/>
            </w:pPr>
            <w:r>
              <w:rPr>
                <w:sz w:val="16"/>
              </w:rPr>
              <w:t xml:space="preserve">meropenem &lt;0.25 → S; imipenem ≤1 → S; ertapenem 1 → I; doripenem &lt;0.25 → S</w:t>
            </w:r>
          </w:p>
        </w:tc>
        <w:tc>
          <w:tcPr>
            <w:tcW w:w="2607" w:type="dxa"/>
          </w:tcPr>
          <w:p>
            <w:pPr>
              <w:pStyle w:val="Compact"/>
              <w:spacing w:after="0" w:before="0" w:line="240" w:lineRule="auto"/>
              <w:ind w:firstLine="0"/>
              <w:jc w:val="left"/>
            </w:pPr>
            <w:r>
              <w:rPr>
                <w:sz w:val="16"/>
              </w:rPr>
              <w:t xml:space="preserve">MIC within one dilution of R breakpoint</w:t>
            </w:r>
          </w:p>
        </w:tc>
      </w:tr>
      <w:tr>
        <w:tc>
          <w:tcPr>
            <w:tcW w:w="1746" w:type="dxa"/>
          </w:tcPr>
          <w:p>
            <w:pPr>
              <w:pStyle w:val="Compact"/>
              <w:spacing w:after="0" w:before="0" w:line="240" w:lineRule="auto"/>
              <w:ind w:firstLine="0"/>
              <w:jc w:val="left"/>
            </w:pPr>
            <w:r>
              <w:rPr>
                <w:rStyle w:val="VerbatimChar"/>
                <w:sz w:val="16"/>
              </w:rPr>
              <w:t xml:space="preserve">SAMN36729117</w:t>
            </w:r>
          </w:p>
        </w:tc>
        <w:tc>
          <w:tcPr>
            <w:tcW w:w="2320" w:type="dxa"/>
          </w:tcPr>
          <w:p>
            <w:pPr>
              <w:pStyle w:val="Compact"/>
              <w:spacing w:after="0" w:before="0" w:line="240" w:lineRule="auto"/>
              <w:ind w:firstLine="0"/>
              <w:jc w:val="left"/>
            </w:pPr>
            <w:r>
              <w:rPr>
                <w:i/>
                <w:iCs/>
                <w:sz w:val="16"/>
              </w:rPr>
              <w:t xml:space="preserve">C. freundii</w:t>
            </w:r>
            <w:r>
              <w:rPr>
                <w:sz w:val="16"/>
              </w:rPr>
              <w:t xml:space="preserve"> </w:t>
            </w:r>
            <w:r>
              <w:rPr>
                <w:sz w:val="16"/>
              </w:rPr>
              <w:t xml:space="preserve">cplx.</w:t>
            </w:r>
          </w:p>
        </w:tc>
        <w:tc>
          <w:tcPr>
            <w:tcW w:w="885" w:type="dxa"/>
          </w:tcPr>
          <w:p>
            <w:pPr>
              <w:pStyle w:val="Compact"/>
              <w:spacing w:after="0" w:before="0" w:line="240" w:lineRule="auto"/>
              <w:ind w:firstLine="0"/>
              <w:jc w:val="left"/>
            </w:pPr>
            <w:r>
              <w:rPr>
                <w:sz w:val="16"/>
              </w:rPr>
              <w:t xml:space="preserve">KPC-4</w:t>
            </w:r>
          </w:p>
        </w:tc>
        <w:tc>
          <w:tcPr>
            <w:tcW w:w="2608" w:type="dxa"/>
          </w:tcPr>
          <w:p>
            <w:pPr>
              <w:pStyle w:val="Compact"/>
              <w:spacing w:after="0" w:before="0" w:line="240" w:lineRule="auto"/>
              <w:ind w:firstLine="0"/>
              <w:jc w:val="left"/>
            </w:pPr>
            <w:r>
              <w:rPr>
                <w:sz w:val="16"/>
              </w:rPr>
              <w:t xml:space="preserve">meropenem ≤0.25 → S</w:t>
            </w:r>
          </w:p>
        </w:tc>
        <w:tc>
          <w:tcPr>
            <w:tcW w:w="2607" w:type="dxa"/>
          </w:tcPr>
          <w:p>
            <w:pPr>
              <w:pStyle w:val="Compact"/>
              <w:spacing w:after="0" w:before="0" w:line="240" w:lineRule="auto"/>
              <w:ind w:firstLine="0"/>
              <w:jc w:val="left"/>
            </w:pPr>
            <w:r>
              <w:rPr>
                <w:sz w:val="16"/>
              </w:rPr>
              <w:t xml:space="preserve">Unexplained by available data</w:t>
            </w:r>
          </w:p>
        </w:tc>
      </w:tr>
      <w:tr>
        <w:tc>
          <w:tcPr>
            <w:tcW w:w="1746" w:type="dxa"/>
          </w:tcPr>
          <w:p>
            <w:pPr>
              <w:pStyle w:val="Compact"/>
              <w:spacing w:after="0" w:before="0" w:line="240" w:lineRule="auto"/>
              <w:ind w:firstLine="0"/>
              <w:jc w:val="left"/>
            </w:pPr>
            <w:r>
              <w:rPr>
                <w:rStyle w:val="VerbatimChar"/>
                <w:sz w:val="16"/>
              </w:rPr>
              <w:t xml:space="preserve">SAMN03075590</w:t>
            </w:r>
          </w:p>
        </w:tc>
        <w:tc>
          <w:tcPr>
            <w:tcW w:w="2320" w:type="dxa"/>
          </w:tcPr>
          <w:p>
            <w:pPr>
              <w:pStyle w:val="Compact"/>
              <w:spacing w:after="0" w:before="0" w:line="240" w:lineRule="auto"/>
              <w:ind w:firstLine="0"/>
              <w:jc w:val="left"/>
            </w:pPr>
            <w:r>
              <w:rPr>
                <w:i/>
                <w:iCs/>
                <w:sz w:val="16"/>
              </w:rPr>
              <w:t xml:space="preserve">Morganella</w:t>
            </w:r>
            <w:r>
              <w:rPr>
                <w:sz w:val="16"/>
              </w:rPr>
              <w:t xml:space="preserve">/</w:t>
            </w:r>
            <w:r>
              <w:rPr>
                <w:i/>
                <w:iCs/>
                <w:sz w:val="16"/>
              </w:rPr>
              <w:t xml:space="preserve">Providencia</w:t>
            </w:r>
          </w:p>
        </w:tc>
        <w:tc>
          <w:tcPr>
            <w:tcW w:w="885" w:type="dxa"/>
          </w:tcPr>
          <w:p>
            <w:pPr>
              <w:pStyle w:val="Compact"/>
              <w:spacing w:after="0" w:before="0" w:line="240" w:lineRule="auto"/>
              <w:ind w:firstLine="0"/>
              <w:jc w:val="left"/>
            </w:pPr>
            <w:r>
              <w:rPr>
                <w:sz w:val="16"/>
              </w:rPr>
              <w:t xml:space="preserve">OXA-181</w:t>
            </w:r>
          </w:p>
        </w:tc>
        <w:tc>
          <w:tcPr>
            <w:tcW w:w="2608" w:type="dxa"/>
          </w:tcPr>
          <w:p>
            <w:pPr>
              <w:pStyle w:val="Compact"/>
              <w:spacing w:after="0" w:before="0" w:line="240" w:lineRule="auto"/>
              <w:ind w:firstLine="0"/>
              <w:jc w:val="left"/>
            </w:pPr>
            <w:r>
              <w:rPr>
                <w:sz w:val="16"/>
              </w:rPr>
              <w:t xml:space="preserve">meropenem 1 → S; ertapenem ≤0.5 → S</w:t>
            </w:r>
          </w:p>
        </w:tc>
        <w:tc>
          <w:tcPr>
            <w:tcW w:w="2607" w:type="dxa"/>
          </w:tcPr>
          <w:p>
            <w:pPr>
              <w:pStyle w:val="Compact"/>
              <w:spacing w:after="0" w:before="0" w:line="240" w:lineRule="auto"/>
              <w:ind w:firstLine="0"/>
              <w:jc w:val="left"/>
            </w:pPr>
            <w:r>
              <w:rPr>
                <w:sz w:val="16"/>
              </w:rPr>
              <w:t xml:space="preserve">Unexplained by available data</w:t>
            </w:r>
          </w:p>
        </w:tc>
      </w:tr>
      <w:tr>
        <w:tc>
          <w:tcPr>
            <w:tcW w:w="1746" w:type="dxa"/>
          </w:tcPr>
          <w:p>
            <w:pPr>
              <w:pStyle w:val="Compact"/>
              <w:spacing w:after="0" w:before="0" w:line="240" w:lineRule="auto"/>
              <w:ind w:firstLine="0"/>
              <w:jc w:val="left"/>
            </w:pPr>
            <w:r>
              <w:rPr>
                <w:rStyle w:val="VerbatimChar"/>
                <w:sz w:val="16"/>
              </w:rPr>
              <w:t xml:space="preserve">SAMN48878816</w:t>
            </w:r>
          </w:p>
        </w:tc>
        <w:tc>
          <w:tcPr>
            <w:tcW w:w="2320" w:type="dxa"/>
          </w:tcPr>
          <w:p>
            <w:pPr>
              <w:pStyle w:val="Compact"/>
              <w:spacing w:after="0" w:before="0" w:line="240" w:lineRule="auto"/>
              <w:ind w:firstLine="0"/>
              <w:jc w:val="left"/>
            </w:pPr>
            <w:r>
              <w:rPr>
                <w:i/>
                <w:iCs/>
                <w:sz w:val="16"/>
              </w:rPr>
              <w:t xml:space="preserve">E. coli</w:t>
            </w:r>
          </w:p>
        </w:tc>
        <w:tc>
          <w:tcPr>
            <w:tcW w:w="885" w:type="dxa"/>
          </w:tcPr>
          <w:p>
            <w:pPr>
              <w:pStyle w:val="Compact"/>
              <w:spacing w:after="0" w:before="0" w:line="240" w:lineRule="auto"/>
              <w:ind w:firstLine="0"/>
              <w:jc w:val="left"/>
            </w:pPr>
            <w:r>
              <w:rPr>
                <w:sz w:val="16"/>
              </w:rPr>
              <w:t xml:space="preserve">OXA-244</w:t>
            </w:r>
          </w:p>
        </w:tc>
        <w:tc>
          <w:tcPr>
            <w:tcW w:w="2608" w:type="dxa"/>
          </w:tcPr>
          <w:p>
            <w:pPr>
              <w:pStyle w:val="Compact"/>
              <w:spacing w:after="0" w:before="0" w:line="240" w:lineRule="auto"/>
              <w:ind w:firstLine="0"/>
              <w:jc w:val="left"/>
            </w:pPr>
            <w:r>
              <w:rPr>
                <w:sz w:val="16"/>
              </w:rPr>
              <w:t xml:space="preserve">meropenem ≤0.25 → S; imipenem ≤0.25 → S</w:t>
            </w:r>
          </w:p>
        </w:tc>
        <w:tc>
          <w:tcPr>
            <w:tcW w:w="2607" w:type="dxa"/>
          </w:tcPr>
          <w:p>
            <w:pPr>
              <w:pStyle w:val="Compact"/>
              <w:spacing w:after="0" w:before="0" w:line="240" w:lineRule="auto"/>
              <w:ind w:firstLine="0"/>
              <w:jc w:val="left"/>
            </w:pPr>
            <w:r>
              <w:rPr>
                <w:sz w:val="16"/>
              </w:rPr>
              <w:t xml:space="preserve">Unexplained by available data</w:t>
            </w:r>
          </w:p>
        </w:tc>
      </w:tr>
      <w:tr>
        <w:tc>
          <w:tcPr>
            <w:tcW w:w="1746" w:type="dxa"/>
          </w:tcPr>
          <w:p>
            <w:pPr>
              <w:pStyle w:val="Compact"/>
              <w:spacing w:after="0" w:before="0" w:line="240" w:lineRule="auto"/>
              <w:ind w:firstLine="0"/>
              <w:jc w:val="left"/>
            </w:pPr>
            <w:r>
              <w:rPr>
                <w:rStyle w:val="VerbatimChar"/>
                <w:sz w:val="16"/>
              </w:rPr>
              <w:t xml:space="preserve">SAMN12476193</w:t>
            </w:r>
          </w:p>
        </w:tc>
        <w:tc>
          <w:tcPr>
            <w:tcW w:w="2320" w:type="dxa"/>
          </w:tcPr>
          <w:p>
            <w:pPr>
              <w:pStyle w:val="Compact"/>
              <w:spacing w:after="0" w:before="0" w:line="240" w:lineRule="auto"/>
              <w:ind w:firstLine="0"/>
              <w:jc w:val="left"/>
            </w:pPr>
            <w:r>
              <w:rPr>
                <w:i/>
                <w:iCs/>
                <w:sz w:val="16"/>
              </w:rPr>
              <w:t xml:space="preserve">S. aureus</w:t>
            </w:r>
          </w:p>
        </w:tc>
        <w:tc>
          <w:tcPr>
            <w:tcW w:w="885" w:type="dxa"/>
          </w:tcPr>
          <w:p>
            <w:pPr>
              <w:pStyle w:val="Compact"/>
              <w:spacing w:after="0" w:before="0" w:line="240" w:lineRule="auto"/>
              <w:ind w:firstLine="0"/>
              <w:jc w:val="left"/>
            </w:pPr>
            <w:r>
              <w:rPr>
                <w:sz w:val="16"/>
              </w:rPr>
              <w:t xml:space="preserve">mecA</w:t>
            </w:r>
          </w:p>
        </w:tc>
        <w:tc>
          <w:tcPr>
            <w:tcW w:w="2608" w:type="dxa"/>
          </w:tcPr>
          <w:p>
            <w:pPr>
              <w:pStyle w:val="Compact"/>
              <w:spacing w:after="0" w:before="0" w:line="240" w:lineRule="auto"/>
              <w:ind w:firstLine="0"/>
              <w:jc w:val="left"/>
            </w:pPr>
            <w:r>
              <w:rPr>
                <w:sz w:val="16"/>
              </w:rPr>
              <w:t xml:space="preserve">oxacillin 2 → S</w:t>
            </w:r>
          </w:p>
        </w:tc>
        <w:tc>
          <w:tcPr>
            <w:tcW w:w="2607" w:type="dxa"/>
          </w:tcPr>
          <w:p>
            <w:pPr>
              <w:pStyle w:val="Compact"/>
              <w:spacing w:after="0" w:before="0" w:line="240" w:lineRule="auto"/>
              <w:ind w:firstLine="0"/>
              <w:jc w:val="left"/>
            </w:pPr>
            <w:r>
              <w:rPr>
                <w:sz w:val="16"/>
              </w:rPr>
              <w:t xml:space="preserve">MIC within one dilution of R breakpoint</w:t>
            </w:r>
          </w:p>
        </w:tc>
      </w:tr>
      <w:tr>
        <w:tc>
          <w:tcPr>
            <w:tcW w:w="1746" w:type="dxa"/>
          </w:tcPr>
          <w:p>
            <w:pPr>
              <w:pStyle w:val="Compact"/>
              <w:spacing w:after="0" w:before="0" w:line="240" w:lineRule="auto"/>
              <w:ind w:firstLine="0"/>
              <w:jc w:val="left"/>
            </w:pPr>
            <w:r>
              <w:rPr>
                <w:rStyle w:val="VerbatimChar"/>
                <w:sz w:val="16"/>
              </w:rPr>
              <w:t xml:space="preserve">SAMN38228831</w:t>
            </w:r>
          </w:p>
        </w:tc>
        <w:tc>
          <w:tcPr>
            <w:tcW w:w="2320" w:type="dxa"/>
          </w:tcPr>
          <w:p>
            <w:pPr>
              <w:pStyle w:val="Compact"/>
              <w:spacing w:after="0" w:before="0" w:line="240" w:lineRule="auto"/>
              <w:ind w:firstLine="0"/>
              <w:jc w:val="left"/>
            </w:pPr>
            <w:r>
              <w:rPr>
                <w:i/>
                <w:iCs/>
                <w:sz w:val="16"/>
              </w:rPr>
              <w:t xml:space="preserve">S. aureus</w:t>
            </w:r>
          </w:p>
        </w:tc>
        <w:tc>
          <w:tcPr>
            <w:tcW w:w="885" w:type="dxa"/>
          </w:tcPr>
          <w:p>
            <w:pPr>
              <w:pStyle w:val="Compact"/>
              <w:spacing w:after="0" w:before="0" w:line="240" w:lineRule="auto"/>
              <w:ind w:firstLine="0"/>
              <w:jc w:val="left"/>
            </w:pPr>
            <w:r>
              <w:rPr>
                <w:sz w:val="16"/>
              </w:rPr>
              <w:t xml:space="preserve">mecA</w:t>
            </w:r>
          </w:p>
        </w:tc>
        <w:tc>
          <w:tcPr>
            <w:tcW w:w="2608" w:type="dxa"/>
          </w:tcPr>
          <w:p>
            <w:pPr>
              <w:pStyle w:val="Compact"/>
              <w:spacing w:after="0" w:before="0" w:line="240" w:lineRule="auto"/>
              <w:ind w:firstLine="0"/>
              <w:jc w:val="left"/>
            </w:pPr>
            <w:r>
              <w:rPr>
                <w:sz w:val="16"/>
              </w:rPr>
              <w:t xml:space="preserve">oxacillin 0.5 → S</w:t>
            </w:r>
          </w:p>
        </w:tc>
        <w:tc>
          <w:tcPr>
            <w:tcW w:w="2607" w:type="dxa"/>
          </w:tcPr>
          <w:p>
            <w:pPr>
              <w:pStyle w:val="Compact"/>
              <w:spacing w:after="0" w:before="0" w:line="240" w:lineRule="auto"/>
              <w:ind w:firstLine="0"/>
              <w:jc w:val="left"/>
            </w:pPr>
            <w:r>
              <w:rPr>
                <w:sz w:val="16"/>
              </w:rPr>
              <w:t xml:space="preserve">Unexplained by available data</w:t>
            </w:r>
          </w:p>
        </w:tc>
      </w:tr>
      <w:tr>
        <w:tc>
          <w:tcPr>
            <w:tcW w:w="1746" w:type="dxa"/>
          </w:tcPr>
          <w:p>
            <w:pPr>
              <w:pStyle w:val="Compact"/>
              <w:spacing w:after="0" w:before="0" w:line="240" w:lineRule="auto"/>
              <w:ind w:firstLine="0"/>
              <w:jc w:val="left"/>
            </w:pPr>
            <w:r>
              <w:rPr>
                <w:rStyle w:val="VerbatimChar"/>
                <w:sz w:val="16"/>
              </w:rPr>
              <w:t xml:space="preserve">SAMN38637651</w:t>
            </w:r>
          </w:p>
        </w:tc>
        <w:tc>
          <w:tcPr>
            <w:tcW w:w="2320" w:type="dxa"/>
          </w:tcPr>
          <w:p>
            <w:pPr>
              <w:pStyle w:val="Compact"/>
              <w:spacing w:after="0" w:before="0" w:line="240" w:lineRule="auto"/>
              <w:ind w:firstLine="0"/>
              <w:jc w:val="left"/>
            </w:pPr>
            <w:r>
              <w:rPr>
                <w:i/>
                <w:iCs/>
                <w:sz w:val="16"/>
              </w:rPr>
              <w:t xml:space="preserve">S. aureus</w:t>
            </w:r>
          </w:p>
        </w:tc>
        <w:tc>
          <w:tcPr>
            <w:tcW w:w="885" w:type="dxa"/>
          </w:tcPr>
          <w:p>
            <w:pPr>
              <w:pStyle w:val="Compact"/>
              <w:spacing w:after="0" w:before="0" w:line="240" w:lineRule="auto"/>
              <w:ind w:firstLine="0"/>
              <w:jc w:val="left"/>
            </w:pPr>
            <w:r>
              <w:rPr>
                <w:sz w:val="16"/>
              </w:rPr>
              <w:t xml:space="preserve">mecA</w:t>
            </w:r>
          </w:p>
        </w:tc>
        <w:tc>
          <w:tcPr>
            <w:tcW w:w="2608" w:type="dxa"/>
          </w:tcPr>
          <w:p>
            <w:pPr>
              <w:pStyle w:val="Compact"/>
              <w:spacing w:after="0" w:before="0" w:line="240" w:lineRule="auto"/>
              <w:ind w:firstLine="0"/>
              <w:jc w:val="left"/>
            </w:pPr>
            <w:r>
              <w:rPr>
                <w:sz w:val="16"/>
              </w:rPr>
              <w:t xml:space="preserve">oxacillin ≤0.25 → S</w:t>
            </w:r>
          </w:p>
        </w:tc>
        <w:tc>
          <w:tcPr>
            <w:tcW w:w="2607" w:type="dxa"/>
          </w:tcPr>
          <w:p>
            <w:pPr>
              <w:pStyle w:val="Compact"/>
              <w:spacing w:after="0" w:before="0" w:line="240" w:lineRule="auto"/>
              <w:ind w:firstLine="0"/>
              <w:jc w:val="left"/>
            </w:pPr>
            <w:r>
              <w:rPr>
                <w:sz w:val="16"/>
              </w:rPr>
              <w:t xml:space="preserve">Submitter call differs from M100-Ed35</w:t>
            </w:r>
          </w:p>
        </w:tc>
      </w:tr>
      <w:tr>
        <w:tc>
          <w:tcPr>
            <w:tcW w:w="1746" w:type="dxa"/>
          </w:tcPr>
          <w:p>
            <w:pPr>
              <w:pStyle w:val="Compact"/>
              <w:spacing w:after="0" w:before="0" w:line="240" w:lineRule="auto"/>
              <w:ind w:firstLine="0"/>
              <w:jc w:val="left"/>
            </w:pPr>
            <w:r>
              <w:rPr>
                <w:rStyle w:val="VerbatimChar"/>
                <w:sz w:val="16"/>
              </w:rPr>
              <w:t xml:space="preserve">SAMN38637652</w:t>
            </w:r>
          </w:p>
        </w:tc>
        <w:tc>
          <w:tcPr>
            <w:tcW w:w="2320" w:type="dxa"/>
          </w:tcPr>
          <w:p>
            <w:pPr>
              <w:pStyle w:val="Compact"/>
              <w:spacing w:after="0" w:before="0" w:line="240" w:lineRule="auto"/>
              <w:ind w:firstLine="0"/>
              <w:jc w:val="left"/>
            </w:pPr>
            <w:r>
              <w:rPr>
                <w:i/>
                <w:iCs/>
                <w:sz w:val="16"/>
              </w:rPr>
              <w:t xml:space="preserve">S. aureus</w:t>
            </w:r>
          </w:p>
        </w:tc>
        <w:tc>
          <w:tcPr>
            <w:tcW w:w="885" w:type="dxa"/>
          </w:tcPr>
          <w:p>
            <w:pPr>
              <w:pStyle w:val="Compact"/>
              <w:spacing w:after="0" w:before="0" w:line="240" w:lineRule="auto"/>
              <w:ind w:firstLine="0"/>
              <w:jc w:val="left"/>
            </w:pPr>
            <w:r>
              <w:rPr>
                <w:sz w:val="16"/>
              </w:rPr>
              <w:t xml:space="preserve">mecA</w:t>
            </w:r>
          </w:p>
        </w:tc>
        <w:tc>
          <w:tcPr>
            <w:tcW w:w="2608" w:type="dxa"/>
          </w:tcPr>
          <w:p>
            <w:pPr>
              <w:pStyle w:val="Compact"/>
              <w:spacing w:after="0" w:before="0" w:line="240" w:lineRule="auto"/>
              <w:ind w:firstLine="0"/>
              <w:jc w:val="left"/>
            </w:pPr>
            <w:r>
              <w:rPr>
                <w:sz w:val="16"/>
              </w:rPr>
              <w:t xml:space="preserve">oxacillin 1 → S</w:t>
            </w:r>
          </w:p>
        </w:tc>
        <w:tc>
          <w:tcPr>
            <w:tcW w:w="2607" w:type="dxa"/>
          </w:tcPr>
          <w:p>
            <w:pPr>
              <w:pStyle w:val="Compact"/>
              <w:spacing w:after="0" w:before="0" w:line="240" w:lineRule="auto"/>
              <w:ind w:firstLine="0"/>
              <w:jc w:val="left"/>
            </w:pPr>
            <w:r>
              <w:rPr>
                <w:sz w:val="16"/>
              </w:rPr>
              <w:t xml:space="preserve">Submitter call differs from M100-Ed35</w:t>
            </w:r>
          </w:p>
        </w:tc>
      </w:tr>
      <w:tr>
        <w:tc>
          <w:tcPr>
            <w:tcW w:w="1746" w:type="dxa"/>
          </w:tcPr>
          <w:p>
            <w:pPr>
              <w:pStyle w:val="Compact"/>
              <w:spacing w:after="0" w:before="0" w:line="240" w:lineRule="auto"/>
              <w:ind w:firstLine="0"/>
              <w:jc w:val="left"/>
            </w:pPr>
            <w:r>
              <w:rPr>
                <w:rStyle w:val="VerbatimChar"/>
                <w:sz w:val="16"/>
              </w:rPr>
              <w:t xml:space="preserve">SAMN48878967</w:t>
            </w:r>
          </w:p>
        </w:tc>
        <w:tc>
          <w:tcPr>
            <w:tcW w:w="2320" w:type="dxa"/>
          </w:tcPr>
          <w:p>
            <w:pPr>
              <w:pStyle w:val="Compact"/>
              <w:spacing w:after="0" w:before="0" w:line="240" w:lineRule="auto"/>
              <w:ind w:firstLine="0"/>
              <w:jc w:val="left"/>
            </w:pPr>
            <w:r>
              <w:rPr>
                <w:i/>
                <w:iCs/>
                <w:sz w:val="16"/>
              </w:rPr>
              <w:t xml:space="preserve">S. aureus</w:t>
            </w:r>
          </w:p>
        </w:tc>
        <w:tc>
          <w:tcPr>
            <w:tcW w:w="885" w:type="dxa"/>
          </w:tcPr>
          <w:p>
            <w:pPr>
              <w:pStyle w:val="Compact"/>
              <w:spacing w:after="0" w:before="0" w:line="240" w:lineRule="auto"/>
              <w:ind w:firstLine="0"/>
              <w:jc w:val="left"/>
            </w:pPr>
            <w:r>
              <w:rPr>
                <w:sz w:val="16"/>
              </w:rPr>
              <w:t xml:space="preserve">mecA</w:t>
            </w:r>
          </w:p>
        </w:tc>
        <w:tc>
          <w:tcPr>
            <w:tcW w:w="2608" w:type="dxa"/>
          </w:tcPr>
          <w:p>
            <w:pPr>
              <w:pStyle w:val="Compact"/>
              <w:spacing w:after="0" w:before="0" w:line="240" w:lineRule="auto"/>
              <w:ind w:firstLine="0"/>
              <w:jc w:val="left"/>
            </w:pPr>
            <w:r>
              <w:rPr>
                <w:sz w:val="16"/>
              </w:rPr>
              <w:t xml:space="preserve">oxacillin 2 → S</w:t>
            </w:r>
          </w:p>
        </w:tc>
        <w:tc>
          <w:tcPr>
            <w:tcW w:w="2607" w:type="dxa"/>
          </w:tcPr>
          <w:p>
            <w:pPr>
              <w:pStyle w:val="Compact"/>
              <w:spacing w:after="0" w:before="0" w:line="240" w:lineRule="auto"/>
              <w:ind w:firstLine="0"/>
              <w:jc w:val="left"/>
            </w:pPr>
            <w:r>
              <w:rPr>
                <w:sz w:val="16"/>
              </w:rPr>
              <w:t xml:space="preserve">MIC within one dilution of R breakpoint</w:t>
            </w:r>
          </w:p>
        </w:tc>
      </w:tr>
      <w:tr>
        <w:tc>
          <w:tcPr>
            <w:tcW w:w="1746" w:type="dxa"/>
          </w:tcPr>
          <w:p>
            <w:pPr>
              <w:pStyle w:val="Compact"/>
              <w:spacing w:after="0" w:before="0" w:line="240" w:lineRule="auto"/>
              <w:ind w:firstLine="0"/>
              <w:jc w:val="left"/>
            </w:pPr>
            <w:r>
              <w:rPr>
                <w:rStyle w:val="VerbatimChar"/>
                <w:sz w:val="16"/>
              </w:rPr>
              <w:t xml:space="preserve">SAMN09728854</w:t>
            </w:r>
          </w:p>
        </w:tc>
        <w:tc>
          <w:tcPr>
            <w:tcW w:w="2320" w:type="dxa"/>
          </w:tcPr>
          <w:p>
            <w:pPr>
              <w:pStyle w:val="Compact"/>
              <w:spacing w:after="0" w:before="0" w:line="240" w:lineRule="auto"/>
              <w:ind w:firstLine="0"/>
              <w:jc w:val="left"/>
            </w:pPr>
            <w:r>
              <w:rPr>
                <w:i/>
                <w:iCs/>
                <w:sz w:val="16"/>
              </w:rPr>
              <w:t xml:space="preserve">E. faecium</w:t>
            </w:r>
          </w:p>
        </w:tc>
        <w:tc>
          <w:tcPr>
            <w:tcW w:w="885" w:type="dxa"/>
          </w:tcPr>
          <w:p>
            <w:pPr>
              <w:pStyle w:val="Compact"/>
              <w:spacing w:after="0" w:before="0" w:line="240" w:lineRule="auto"/>
              <w:ind w:firstLine="0"/>
              <w:jc w:val="left"/>
            </w:pPr>
            <w:r>
              <w:rPr>
                <w:sz w:val="16"/>
              </w:rPr>
              <w:t xml:space="preserve">vanA</w:t>
            </w:r>
          </w:p>
        </w:tc>
        <w:tc>
          <w:tcPr>
            <w:tcW w:w="2608" w:type="dxa"/>
          </w:tcPr>
          <w:p>
            <w:pPr>
              <w:pStyle w:val="Compact"/>
              <w:spacing w:after="0" w:before="0" w:line="240" w:lineRule="auto"/>
              <w:ind w:firstLine="0"/>
              <w:jc w:val="left"/>
            </w:pPr>
            <w:r>
              <w:rPr>
                <w:sz w:val="16"/>
              </w:rPr>
              <w:t xml:space="preserve">vancomycin ≤2 → S</w:t>
            </w:r>
          </w:p>
        </w:tc>
        <w:tc>
          <w:tcPr>
            <w:tcW w:w="2607" w:type="dxa"/>
          </w:tcPr>
          <w:p>
            <w:pPr>
              <w:pStyle w:val="Compact"/>
              <w:spacing w:after="0" w:before="0" w:line="240" w:lineRule="auto"/>
              <w:ind w:firstLine="0"/>
              <w:jc w:val="left"/>
            </w:pPr>
            <w:r>
              <w:rPr>
                <w:sz w:val="16"/>
              </w:rPr>
              <w:t xml:space="preserve">Unexplained by available data</w:t>
            </w:r>
          </w:p>
        </w:tc>
      </w:tr>
      <w:tr>
        <w:tc>
          <w:tcPr>
            <w:tcW w:w="1746" w:type="dxa"/>
          </w:tcPr>
          <w:p>
            <w:pPr>
              <w:pStyle w:val="Compact"/>
              <w:spacing w:after="0" w:before="0" w:line="240" w:lineRule="auto"/>
              <w:ind w:firstLine="0"/>
              <w:jc w:val="left"/>
            </w:pPr>
            <w:r>
              <w:rPr>
                <w:rStyle w:val="VerbatimChar"/>
                <w:sz w:val="16"/>
              </w:rPr>
              <w:t xml:space="preserve">SAMN36892852</w:t>
            </w:r>
          </w:p>
        </w:tc>
        <w:tc>
          <w:tcPr>
            <w:tcW w:w="2320" w:type="dxa"/>
          </w:tcPr>
          <w:p>
            <w:pPr>
              <w:pStyle w:val="Compact"/>
              <w:spacing w:after="0" w:before="0" w:line="240" w:lineRule="auto"/>
              <w:ind w:firstLine="0"/>
              <w:jc w:val="left"/>
            </w:pPr>
            <w:r>
              <w:rPr>
                <w:i/>
                <w:iCs/>
                <w:sz w:val="16"/>
              </w:rPr>
              <w:t xml:space="preserve">E. faecium</w:t>
            </w:r>
          </w:p>
        </w:tc>
        <w:tc>
          <w:tcPr>
            <w:tcW w:w="885" w:type="dxa"/>
          </w:tcPr>
          <w:p>
            <w:pPr>
              <w:pStyle w:val="Compact"/>
              <w:spacing w:after="0" w:before="0" w:line="240" w:lineRule="auto"/>
              <w:ind w:firstLine="0"/>
              <w:jc w:val="left"/>
            </w:pPr>
            <w:r>
              <w:rPr>
                <w:sz w:val="16"/>
              </w:rPr>
              <w:t xml:space="preserve">vanA</w:t>
            </w:r>
          </w:p>
        </w:tc>
        <w:tc>
          <w:tcPr>
            <w:tcW w:w="2608" w:type="dxa"/>
          </w:tcPr>
          <w:p>
            <w:pPr>
              <w:pStyle w:val="Compact"/>
              <w:spacing w:after="0" w:before="0" w:line="240" w:lineRule="auto"/>
              <w:ind w:firstLine="0"/>
              <w:jc w:val="left"/>
            </w:pPr>
            <w:r>
              <w:rPr>
                <w:sz w:val="16"/>
              </w:rPr>
              <w:t xml:space="preserve">vancomycin 1 → S</w:t>
            </w:r>
          </w:p>
        </w:tc>
        <w:tc>
          <w:tcPr>
            <w:tcW w:w="2607" w:type="dxa"/>
          </w:tcPr>
          <w:p>
            <w:pPr>
              <w:pStyle w:val="Compact"/>
              <w:spacing w:after="0" w:before="0" w:line="240" w:lineRule="auto"/>
              <w:ind w:firstLine="0"/>
              <w:jc w:val="left"/>
            </w:pPr>
            <w:r>
              <w:rPr>
                <w:sz w:val="16"/>
              </w:rPr>
              <w:t xml:space="preserve">Unexplained by available data</w:t>
            </w:r>
          </w:p>
        </w:tc>
      </w:tr>
      <w:tr>
        <w:tc>
          <w:tcPr>
            <w:tcW w:w="1746" w:type="dxa"/>
            <w:tcBorders>
              <w:bottom w:val="double" w:sz="4" w:space="0" w:color="000000"/>
            </w:tcBorders>
          </w:tcPr>
          <w:p>
            <w:pPr>
              <w:pStyle w:val="Compact"/>
              <w:spacing w:after="0" w:before="0" w:line="240" w:lineRule="auto"/>
              <w:ind w:firstLine="0"/>
              <w:jc w:val="left"/>
            </w:pPr>
            <w:r>
              <w:rPr>
                <w:rStyle w:val="VerbatimChar"/>
                <w:sz w:val="16"/>
              </w:rPr>
              <w:t xml:space="preserve">SAMN39956425</w:t>
            </w:r>
          </w:p>
        </w:tc>
        <w:tc>
          <w:tcPr>
            <w:tcW w:w="2320" w:type="dxa"/>
            <w:tcBorders>
              <w:bottom w:val="double" w:sz="4" w:space="0" w:color="000000"/>
            </w:tcBorders>
          </w:tcPr>
          <w:p>
            <w:pPr>
              <w:pStyle w:val="Compact"/>
              <w:spacing w:after="0" w:before="0" w:line="240" w:lineRule="auto"/>
              <w:ind w:firstLine="0"/>
              <w:jc w:val="left"/>
            </w:pPr>
            <w:r>
              <w:rPr>
                <w:i/>
                <w:iCs/>
                <w:sz w:val="16"/>
              </w:rPr>
              <w:t xml:space="preserve">E. faecium</w:t>
            </w:r>
          </w:p>
        </w:tc>
        <w:tc>
          <w:tcPr>
            <w:tcW w:w="885" w:type="dxa"/>
            <w:tcBorders>
              <w:bottom w:val="double" w:sz="4" w:space="0" w:color="000000"/>
            </w:tcBorders>
          </w:tcPr>
          <w:p>
            <w:pPr>
              <w:pStyle w:val="Compact"/>
              <w:spacing w:after="0" w:before="0" w:line="240" w:lineRule="auto"/>
              <w:ind w:firstLine="0"/>
              <w:jc w:val="left"/>
            </w:pPr>
            <w:r>
              <w:rPr>
                <w:sz w:val="16"/>
              </w:rPr>
              <w:t xml:space="preserve">vanA</w:t>
            </w:r>
          </w:p>
        </w:tc>
        <w:tc>
          <w:tcPr>
            <w:tcW w:w="2608" w:type="dxa"/>
            <w:tcBorders>
              <w:bottom w:val="double" w:sz="4" w:space="0" w:color="000000"/>
            </w:tcBorders>
          </w:tcPr>
          <w:p>
            <w:pPr>
              <w:pStyle w:val="Compact"/>
              <w:spacing w:after="0" w:before="0" w:line="240" w:lineRule="auto"/>
              <w:ind w:firstLine="0"/>
              <w:jc w:val="left"/>
            </w:pPr>
            <w:r>
              <w:rPr>
                <w:sz w:val="16"/>
              </w:rPr>
              <w:t xml:space="preserve">vancomycin 1 → S</w:t>
            </w:r>
          </w:p>
        </w:tc>
        <w:tc>
          <w:tcPr>
            <w:tcW w:w="2607" w:type="dxa"/>
            <w:tcBorders>
              <w:bottom w:val="double" w:sz="4" w:space="0" w:color="000000"/>
            </w:tcBorders>
          </w:tcPr>
          <w:p>
            <w:pPr>
              <w:pStyle w:val="Compact"/>
              <w:spacing w:after="0" w:before="0" w:line="240" w:lineRule="auto"/>
              <w:ind w:firstLine="0"/>
              <w:jc w:val="left"/>
            </w:pPr>
            <w:r>
              <w:rPr>
                <w:sz w:val="16"/>
              </w:rPr>
              <w:t xml:space="preserve">Unexplained by available data</w:t>
            </w:r>
          </w:p>
        </w:tc>
      </w:tr>
    </w:tbl>
    <w:bookmarkEnd w:id="170"/>
    <w:sectPr>
      <w:footerReference w:type="default" r:id="rId9"/>
      <w:type w:val="nextPage"/>
      <w:pgSz w:w="12240" w:h="15840"/>
      <w:pgMar w:top="1224" w:right="1037" w:bottom="1296" w:left="1037" w:header="720" w:footer="560" w:gutter="0"/>
      <w:cols w:num="1" w:space="3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t>*</w:t>
      </w:r>
      <w:r>
        <w:t xml:space="preserve"> </w:t>
      </w:r>
      <w:hyperlink r:id="rId21">
        <w:r>
          <w:rPr>
            <w:rStyle w:val="Hyperlink"/>
          </w:rPr>
          <w:t xml:space="preserve">abdulwahabfatima43@gmail.com</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Palatino Linotype" w:hAnsi="Palatino Linotype" w:cs="Palatino Linotype" w:eastAsia="Palatino Linotype"/>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0" w:line="228" w:lineRule="auto"/>
      <w:jc w:val="both"/>
    </w:pPr>
    <w:rPr>
      <w:rFonts w:ascii="Palatino Linotype" w:hAnsi="Palatino Linotype" w:cs="Palatino Linotype" w:eastAsia="Palatino Linotype"/>
      <w:color w:val="000000"/>
      <w:sz w:val="20"/>
    </w:rPr>
  </w:style>
  <w:style w:styleId="BodyText" w:type="paragraph">
    <w:name w:val="Body Text"/>
    <w:basedOn w:val="Normal"/>
    <w:link w:val="BodyTextChar"/>
    <w:qFormat/>
    <w:pPr>
      <w:widowControl/>
      <w:spacing w:after="0" w:before="0" w:line="228" w:lineRule="auto"/>
      <w:ind w:firstLine="240"/>
      <w:jc w:val="both"/>
    </w:pPr>
    <w:rPr>
      <w:rFonts w:ascii="Palatino Linotype" w:hAnsi="Palatino Linotype" w:cs="Palatino Linotype" w:eastAsia="Palatino Linotype"/>
      <w:color w:val="000000"/>
      <w:sz w:val="20"/>
    </w:rPr>
  </w:style>
  <w:style w:customStyle="1" w:styleId="FirstParagraph" w:type="paragraph">
    <w:name w:val="First Paragraph"/>
    <w:basedOn w:val="BodyText"/>
    <w:next w:val="BodyText"/>
    <w:qFormat/>
    <w:pPr>
      <w:widowControl/>
      <w:spacing w:before="0" w:after="0" w:line="228" w:lineRule="auto"/>
      <w:ind w:firstLine="0"/>
      <w:jc w:val="both"/>
    </w:pPr>
    <w:rPr>
      <w:rFonts w:ascii="Palatino Linotype" w:hAnsi="Palatino Linotype" w:cs="Palatino Linotype" w:eastAsia="Palatino Linotype"/>
      <w:color w:val="000000"/>
      <w:sz w:val="20"/>
    </w:rPr>
  </w:style>
  <w:style w:customStyle="1" w:styleId="Compact" w:type="paragraph">
    <w:name w:val="Compact"/>
    <w:basedOn w:val="BodyText"/>
    <w:qFormat/>
    <w:pPr>
      <w:widowControl/>
      <w:spacing w:after="0" w:before="0" w:line="228" w:lineRule="auto"/>
      <w:jc w:val="both"/>
    </w:pPr>
    <w:rPr>
      <w:rFonts w:ascii="Palatino Linotype" w:hAnsi="Palatino Linotype" w:cs="Palatino Linotype" w:eastAsia="Palatino Linotype"/>
      <w:color w:val="000000"/>
      <w:sz w:val="20"/>
    </w:rPr>
  </w:style>
  <w:style w:styleId="Title" w:type="paragraph">
    <w:name w:val="Title"/>
    <w:basedOn w:val="Normal"/>
    <w:next w:val="BodyText"/>
    <w:qFormat/>
    <w:pPr>
      <w:keepNext/>
      <w:keepLines/>
      <w:widowControl/>
      <w:spacing w:after="200" w:before="0" w:line="240" w:lineRule="auto"/>
      <w:jc w:val="center"/>
    </w:pPr>
    <w:rPr>
      <w:rFonts w:ascii="Palatino Linotype" w:hAnsi="Palatino Linotype" w:cs="Palatino Linotype" w:eastAsia="Palatino Linotype"/>
      <w:b/>
      <w:bCs/>
      <w:color w:val="000000"/>
      <w:sz w:val="24"/>
      <w:szCs w:val="36"/>
    </w:rPr>
  </w:style>
  <w:style w:styleId="Subtitle" w:type="paragraph">
    <w:name w:val="Subtitle"/>
    <w:basedOn w:val="Title"/>
    <w:next w:val="BodyText"/>
    <w:qFormat/>
    <w:pPr>
      <w:keepNext/>
      <w:keepLines/>
      <w:spacing w:after="240" w:before="240"/>
      <w:jc w:val="center"/>
    </w:pPr>
    <w:rPr>
      <w:rFonts w:ascii="Palatino Linotype" w:hAnsi="Palatino Linotype" w:cs="Palatino Linotype" w:eastAsia="Palatino Linotype"/>
      <w:color w:val="000000"/>
      <w:sz w:val="30"/>
      <w:szCs w:val="30"/>
    </w:rPr>
  </w:style>
  <w:style w:customStyle="1" w:styleId="Author" w:type="paragraph">
    <w:name w:val="Author"/>
    <w:next w:val="BodyText"/>
    <w:qFormat/>
    <w:pPr>
      <w:keepNext/>
      <w:keepLines/>
      <w:widowControl/>
      <w:spacing w:before="0" w:after="60" w:line="228" w:lineRule="auto"/>
      <w:jc w:val="center"/>
    </w:pPr>
    <w:rPr>
      <w:rFonts w:ascii="Palatino Linotype" w:hAnsi="Palatino Linotype" w:cs="Palatino Linotype" w:eastAsia="Palatino Linotype"/>
      <w:color w:val="000000"/>
      <w:sz w:val="20"/>
    </w:rPr>
  </w:style>
  <w:style w:styleId="Date" w:type="paragraph">
    <w:name w:val="Date"/>
    <w:next w:val="BodyText"/>
    <w:qFormat/>
    <w:pPr>
      <w:keepNext/>
      <w:keepLines/>
      <w:jc w:val="center"/>
    </w:pPr>
    <w:rPr>
      <w:rFonts w:ascii="Palatino Linotype" w:hAnsi="Palatino Linotype" w:cs="Palatino Linotype" w:eastAsia="Palatino Linotype"/>
      <w:color w:val="000000"/>
    </w:rPr>
  </w:style>
  <w:style w:customStyle="1" w:styleId="AbstractTitle" w:type="paragraph">
    <w:name w:val="Abstract Title"/>
    <w:basedOn w:val="Normal"/>
    <w:next w:val="Abstract"/>
    <w:qFormat/>
    <w:pPr>
      <w:keepNext/>
      <w:keepLines/>
      <w:spacing w:after="0" w:before="300"/>
      <w:jc w:val="center"/>
    </w:pPr>
    <w:rPr>
      <w:rFonts w:ascii="Palatino Linotype" w:hAnsi="Palatino Linotype" w:cs="Palatino Linotype" w:eastAsia="Palatino Linotype"/>
      <w:b/>
      <w:color w:val="000000"/>
      <w:sz w:val="20"/>
      <w:szCs w:val="20"/>
    </w:rPr>
  </w:style>
  <w:style w:customStyle="1" w:styleId="Abstract" w:type="paragraph">
    <w:name w:val="Abstract"/>
    <w:basedOn w:val="Normal"/>
    <w:next w:val="BodyText"/>
    <w:qFormat/>
    <w:pPr>
      <w:keepNext/>
      <w:keepLines/>
      <w:widowControl/>
      <w:spacing w:after="0" w:before="0" w:line="228" w:lineRule="auto"/>
      <w:ind w:left="914" w:right="914"/>
      <w:jc w:val="both"/>
    </w:pPr>
    <w:rPr>
      <w:rFonts w:ascii="Palatino Linotype" w:hAnsi="Palatino Linotype" w:cs="Palatino Linotype" w:eastAsia="Palatino Linotype"/>
      <w:color w:val="000000"/>
      <w:sz w:val="18"/>
      <w:szCs w:val="20"/>
    </w:rPr>
  </w:style>
  <w:style w:styleId="Bibliography" w:type="paragraph">
    <w:name w:val="Bibliography"/>
    <w:basedOn w:val="Normal"/>
    <w:next w:val="Bibliography"/>
    <w:qFormat/>
    <w:pPr/>
    <w:rPr>
      <w:rFonts w:ascii="Palatino Linotype" w:hAnsi="Palatino Linotype" w:cs="Palatino Linotype" w:eastAsia="Palatino Linotype"/>
      <w:color w:val="000000"/>
    </w:rPr>
  </w:style>
  <w:style w:styleId="Heading1" w:type="paragraph">
    <w:name w:val="Heading 1"/>
    <w:basedOn w:val="Normal"/>
    <w:next w:val="BodyText"/>
    <w:uiPriority w:val="9"/>
    <w:qFormat/>
    <w:pPr>
      <w:keepNext/>
      <w:keepLines/>
      <w:spacing w:after="0" w:before="480"/>
      <w:outlineLvl w:val="0"/>
    </w:pPr>
    <w:rPr>
      <w:rFonts w:ascii="Palatino Linotype" w:hAnsi="Palatino Linotype" w:cs="Palatino Linotype" w:eastAsia="Palatino Linotype"/>
      <w:b/>
      <w:bCs/>
      <w:color w:val="000000"/>
      <w:sz w:val="32"/>
      <w:szCs w:val="32"/>
    </w:rPr>
  </w:style>
  <w:style w:styleId="Heading2" w:type="paragraph">
    <w:name w:val="Heading 2"/>
    <w:basedOn w:val="Normal"/>
    <w:next w:val="BodyText"/>
    <w:uiPriority w:val="9"/>
    <w:unhideWhenUsed/>
    <w:qFormat/>
    <w:pPr>
      <w:keepNext/>
      <w:keepLines/>
      <w:widowControl/>
      <w:spacing w:after="100" w:before="180" w:line="228" w:lineRule="auto"/>
      <w:jc w:val="center"/>
      <w:outlineLvl w:val="1"/>
    </w:pPr>
    <w:rPr>
      <w:rFonts w:ascii="Palatino Linotype" w:hAnsi="Palatino Linotype" w:cs="Palatino Linotype" w:eastAsia="Palatino Linotype"/>
      <w:b/>
      <w:bCs/>
      <w:i w:val="0"/>
      <w:caps/>
      <w:color w:val="000000"/>
      <w:sz w:val="18"/>
      <w:szCs w:val="28"/>
    </w:rPr>
  </w:style>
  <w:style w:styleId="Heading3" w:type="paragraph">
    <w:name w:val="Heading 3"/>
    <w:basedOn w:val="Normal"/>
    <w:next w:val="BodyText"/>
    <w:uiPriority w:val="9"/>
    <w:unhideWhenUsed/>
    <w:qFormat/>
    <w:pPr>
      <w:keepNext/>
      <w:keepLines/>
      <w:widowControl/>
      <w:spacing w:after="80" w:before="140" w:line="228" w:lineRule="auto"/>
      <w:jc w:val="center"/>
      <w:outlineLvl w:val="2"/>
    </w:pPr>
    <w:rPr>
      <w:rFonts w:ascii="Palatino Linotype" w:hAnsi="Palatino Linotype" w:cs="Palatino Linotype" w:eastAsia="Palatino Linotype"/>
      <w:b/>
      <w:bCs/>
      <w:i w:val="0"/>
      <w:color w:val="000000"/>
      <w:sz w:val="18"/>
      <w:szCs w:val="24"/>
    </w:rPr>
  </w:style>
  <w:style w:styleId="Heading4" w:type="paragraph">
    <w:name w:val="Heading 4"/>
    <w:basedOn w:val="Normal"/>
    <w:next w:val="BodyText"/>
    <w:uiPriority w:val="9"/>
    <w:unhideWhenUsed/>
    <w:qFormat/>
    <w:pPr>
      <w:keepNext/>
      <w:keepLines/>
      <w:spacing w:after="0" w:before="200"/>
      <w:outlineLvl w:val="3"/>
    </w:pPr>
    <w:rPr>
      <w:rFonts w:ascii="Palatino Linotype" w:hAnsi="Palatino Linotype" w:cs="Palatino Linotype" w:eastAsia="Palatino Linotype"/>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Palatino Linotype" w:hAnsi="Palatino Linotype" w:cs="Palatino Linotype" w:eastAsia="Palatino Linotype"/>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Palatino Linotype" w:hAnsi="Palatino Linotype" w:cs="Palatino Linotype" w:eastAsia="Palatino Linotype"/>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Palatino Linotype" w:hAnsi="Palatino Linotype" w:cs="Palatino Linotype" w:eastAsia="Palatino Linotype"/>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Palatino Linotype" w:hAnsi="Palatino Linotype" w:cs="Palatino Linotype" w:eastAsia="Palatino Linotype"/>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Palatino Linotype" w:hAnsi="Palatino Linotype" w:cs="Palatino Linotype" w:eastAsia="Palatino Linotype"/>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Palatino Linotype" w:hAnsi="Palatino Linotype" w:cs="Palatino Linotype" w:eastAsia="Palatino Linotype"/>
      <w:color w:val="000000"/>
    </w:rPr>
  </w:style>
  <w:style w:styleId="FootnoteText" w:type="paragraph">
    <w:name w:val="Footnote Text"/>
    <w:basedOn w:val="Normal"/>
    <w:next w:val="FootnoteText"/>
    <w:uiPriority w:val="9"/>
    <w:unhideWhenUsed/>
    <w:qFormat/>
    <w:pPr>
      <w:widowControl/>
      <w:spacing w:before="0" w:after="0" w:line="228" w:lineRule="auto"/>
      <w:jc w:val="both"/>
    </w:pPr>
    <w:rPr>
      <w:rFonts w:ascii="Palatino Linotype" w:hAnsi="Palatino Linotype" w:cs="Palatino Linotype" w:eastAsia="Palatino Linotype"/>
      <w:color w:val="000000"/>
      <w:sz w:val="16"/>
    </w:rPr>
  </w:style>
  <w:style w:default="1" w:styleId="DefaultParagraphFont" w:type="character">
    <w:name w:val="Default Paragraph Font"/>
    <w:semiHidden/>
    <w:unhideWhenUsed/>
    <w:rPr>
      <w:rFonts w:ascii="Palatino Linotype" w:hAnsi="Palatino Linotype" w:cs="Palatino Linotype" w:eastAsia="Palatino Linotype"/>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Palatino Linotype" w:hAnsi="Palatino Linotype" w:cs="Palatino Linotype" w:eastAsia="Palatino Linotype"/>
      <w:b/>
      <w:color w:val="000000"/>
    </w:rPr>
  </w:style>
  <w:style w:customStyle="1" w:styleId="Definition" w:type="paragraph">
    <w:name w:val="Definition"/>
    <w:basedOn w:val="Normal"/>
    <w:rPr>
      <w:rFonts w:ascii="Palatino Linotype" w:hAnsi="Palatino Linotype" w:cs="Palatino Linotype" w:eastAsia="Palatino Linotype"/>
      <w:color w:val="000000"/>
    </w:rPr>
  </w:style>
  <w:style w:styleId="Caption" w:type="paragraph">
    <w:name w:val="Caption"/>
    <w:basedOn w:val="Normal"/>
    <w:link w:val="BodyTextChar"/>
    <w:pPr>
      <w:spacing w:after="120" w:before="0"/>
    </w:pPr>
    <w:rPr>
      <w:rFonts w:ascii="Palatino Linotype" w:hAnsi="Palatino Linotype" w:cs="Palatino Linotype" w:eastAsia="Palatino Linotype"/>
      <w:i/>
      <w:color w:val="000000"/>
    </w:rPr>
  </w:style>
  <w:style w:customStyle="1" w:styleId="TableCaption" w:type="paragraph">
    <w:name w:val="Table Caption"/>
    <w:basedOn w:val="Caption"/>
    <w:pPr>
      <w:keepNext/>
    </w:pPr>
    <w:rPr>
      <w:rFonts w:ascii="Palatino Linotype" w:hAnsi="Palatino Linotype" w:cs="Palatino Linotype" w:eastAsia="Palatino Linotype"/>
      <w:color w:val="000000"/>
    </w:rPr>
  </w:style>
  <w:style w:customStyle="1" w:styleId="ImageCaption" w:type="paragraph">
    <w:name w:val="Image Caption"/>
    <w:basedOn w:val="Caption"/>
    <w:rPr>
      <w:rFonts w:ascii="Palatino Linotype" w:hAnsi="Palatino Linotype" w:cs="Palatino Linotype" w:eastAsia="Palatino Linotype"/>
      <w:color w:val="000000"/>
    </w:rPr>
  </w:style>
  <w:style w:customStyle="1" w:styleId="Figure" w:type="paragraph">
    <w:name w:val="Figure"/>
    <w:basedOn w:val="Normal"/>
    <w:rPr>
      <w:rFonts w:ascii="Palatino Linotype" w:hAnsi="Palatino Linotype" w:cs="Palatino Linotype" w:eastAsia="Palatino Linotype"/>
      <w:color w:val="000000"/>
    </w:rPr>
  </w:style>
  <w:style w:customStyle="1" w:styleId="CaptionedFigure" w:type="paragraph">
    <w:name w:val="Captioned Figure"/>
    <w:basedOn w:val="Figure"/>
    <w:pPr>
      <w:keepNext/>
    </w:pPr>
    <w:rPr>
      <w:rFonts w:ascii="Palatino Linotype" w:hAnsi="Palatino Linotype" w:cs="Palatino Linotype" w:eastAsia="Palatino Linotype"/>
      <w:color w:val="000000"/>
    </w:rPr>
  </w:style>
  <w:style w:customStyle="1" w:styleId="BodyTextChar" w:type="character">
    <w:name w:val="Body Text Char"/>
    <w:basedOn w:val="DefaultParagraphFont"/>
    <w:link w:val="BodyText"/>
    <w:rPr>
      <w:rFonts w:ascii="Palatino Linotype" w:hAnsi="Palatino Linotype" w:cs="Palatino Linotype" w:eastAsia="Palatino Linotype"/>
    </w:rPr>
  </w:style>
  <w:style w:customStyle="1" w:styleId="VerbatimChar" w:type="character">
    <w:name w:val="Verbatim Char"/>
    <w:basedOn w:val="BodyTextChar"/>
    <w:rPr>
      <w:rFonts w:ascii="Palatino Linotype" w:hAnsi="Palatino Linotype" w:cs="Palatino Linotype" w:eastAsia="Palatino Linotype"/>
    </w:rPr>
  </w:style>
  <w:style w:customStyle="1" w:styleId="SectionNumber" w:type="character">
    <w:name w:val="Section Number"/>
    <w:basedOn w:val="BodyTextChar"/>
    <w:rPr>
      <w:rFonts w:ascii="Palatino Linotype" w:hAnsi="Palatino Linotype" w:cs="Palatino Linotype" w:eastAsia="Palatino Linotype"/>
    </w:rPr>
  </w:style>
  <w:style w:styleId="FootnoteReference" w:type="character">
    <w:name w:val="Footnote Reference"/>
    <w:basedOn w:val="BodyTextChar"/>
    <w:rPr>
      <w:rFonts w:ascii="Palatino Linotype" w:hAnsi="Palatino Linotype" w:cs="Palatino Linotype" w:eastAsia="Palatino Linotype"/>
      <w:vertAlign w:val="superscript"/>
    </w:rPr>
  </w:style>
  <w:style w:styleId="Hyperlink" w:type="character">
    <w:name w:val="Hyperlink"/>
    <w:basedOn w:val="BodyTextChar"/>
    <w:rPr>
      <w:color w:val="0000B3"/>
      <w:u w:val="none"/>
    </w:rPr>
  </w:style>
  <w:style w:styleId="TOCHeading" w:type="paragraph">
    <w:name w:val="TOC Heading"/>
    <w:basedOn w:val="Heading1"/>
    <w:next w:val="BodyText"/>
    <w:uiPriority w:val="39"/>
    <w:unhideWhenUsed/>
    <w:qFormat/>
    <w:pPr>
      <w:spacing w:before="240" w:line="259" w:lineRule="auto"/>
      <w:outlineLvl w:val="9"/>
    </w:pPr>
    <w:rPr>
      <w:rFonts w:ascii="Palatino Linotype" w:hAnsi="Palatino Linotype" w:cs="Palatino Linotype" w:eastAsia="Palatino Linotype"/>
      <w:b w:val="0"/>
      <w:bCs w:val="0"/>
      <w:color w:val="000000"/>
    </w:rPr>
  </w:style>
  <w:style w:type="paragraph" w:customStyle="1" w:styleId="Affiliation">
    <w:name w:val="Affiliation"/>
    <w:basedOn w:val="BodyText"/>
    <w:qFormat/>
    <w:pPr>
      <w:widowControl/>
      <w:spacing w:before="0" w:after="240" w:line="228" w:lineRule="auto"/>
      <w:jc w:val="center"/>
    </w:pPr>
    <w:rPr>
      <w:rFonts w:ascii="Palatino Linotype" w:hAnsi="Palatino Linotype" w:cs="Palatino Linotype" w:eastAsia="Palatino Linotype"/>
      <w:i/>
      <w:color w:val="000000"/>
      <w:sz w:val="18"/>
    </w:rPr>
  </w:style>
  <w:style w:type="paragraph" w:customStyle="1" w:styleId="FigCaption">
    <w:name w:val="FigCaption"/>
    <w:basedOn w:val="BodyText"/>
    <w:qFormat/>
    <w:pPr>
      <w:widowControl/>
      <w:spacing w:before="80" w:after="200" w:line="228" w:lineRule="auto"/>
      <w:jc w:val="both"/>
    </w:pPr>
    <w:rPr>
      <w:rFonts w:ascii="Palatino Linotype" w:hAnsi="Palatino Linotype" w:cs="Palatino Linotype" w:eastAsia="Palatino Linotype"/>
      <w:color w:val="000000"/>
      <w:sz w:val="18"/>
    </w:rPr>
  </w:style>
  <w:style w:type="paragraph" w:customStyle="1" w:styleId="Keywords">
    <w:name w:val="Keywords"/>
    <w:basedOn w:val="BodyText"/>
    <w:qFormat/>
    <w:pPr>
      <w:widowControl/>
      <w:spacing w:before="80" w:after="320" w:line="228" w:lineRule="auto"/>
      <w:ind w:left="914" w:right="914"/>
      <w:jc w:val="both"/>
    </w:pPr>
    <w:rPr>
      <w:rFonts w:ascii="Palatino Linotype" w:hAnsi="Palatino Linotype" w:cs="Palatino Linotype" w:eastAsia="Palatino Linotype"/>
      <w:color w:val="000000"/>
      <w:sz w:val="18"/>
    </w:rPr>
  </w:style>
  <w:style w:type="paragraph" w:customStyle="1" w:styleId="Reference">
    <w:name w:val="Reference"/>
    <w:basedOn w:val="BodyText"/>
    <w:qFormat/>
    <w:pPr>
      <w:widowControl/>
      <w:spacing w:before="0" w:after="20" w:line="228" w:lineRule="auto"/>
      <w:ind w:left="400" w:hanging="400"/>
      <w:jc w:val="both"/>
    </w:pPr>
    <w:rPr>
      <w:rFonts w:ascii="Palatino Linotype" w:hAnsi="Palatino Linotype" w:cs="Palatino Linotype" w:eastAsia="Palatino Linotype"/>
      <w:color w:val="000000"/>
      <w:sz w:val="18"/>
    </w:rPr>
  </w:style>
  <w:style w:type="paragraph" w:customStyle="1" w:styleId="TabCaption">
    <w:name w:val="TabCaption"/>
    <w:basedOn w:val="BodyText"/>
    <w:qFormat/>
    <w:pPr>
      <w:keepNext/>
      <w:widowControl/>
      <w:spacing w:before="0" w:after="80" w:line="228" w:lineRule="auto"/>
      <w:jc w:val="both"/>
    </w:pPr>
    <w:rPr>
      <w:rFonts w:ascii="Palatino Linotype" w:hAnsi="Palatino Linotype" w:cs="Palatino Linotype" w:eastAsia="Palatino Linotype"/>
      <w:color w:val="000000"/>
      <w:sz w:val="18"/>
    </w:rPr>
  </w:style>
  <w:style w:type="paragraph" w:customStyle="1" w:styleId="TableNote">
    <w:name w:val="TableNote"/>
    <w:basedOn w:val="BodyText"/>
    <w:qFormat/>
    <w:pPr>
      <w:widowControl/>
      <w:spacing w:before="40" w:after="200" w:line="228" w:lineRule="auto"/>
      <w:jc w:val="left"/>
    </w:pPr>
    <w:rPr>
      <w:rFonts w:ascii="Palatino Linotype" w:hAnsi="Palatino Linotype" w:cs="Palatino Linotype" w:eastAsia="Palatino Linotype"/>
      <w:color w:val="000000"/>
      <w:sz w:val="16"/>
    </w:rPr>
  </w:style>
  <w:style w:type="paragraph" w:customStyle="1" w:styleId="SourceCode">
    <w:name w:val="Source Code"/>
    <w:basedOn w:val="Normal"/>
    <w:link w:val="VerbatimChar"/>
    <w:pPr>
      <w:wordWrap w:val="off"/>
    </w:pPr>
    <w:rPr>
      <w:rFonts w:ascii="Palatino Linotype" w:hAnsi="Palatino Linotype" w:cs="Palatino Linotype" w:eastAsia="Palatino Linotype"/>
      <w:color w:val="000000"/>
    </w:rPr>
  </w:style>
  <w:style w:type="character" w:customStyle="1" w:styleId="KeywordTok">
    <w:name w:val="KeywordTok"/>
    <w:basedOn w:val="VerbatimChar"/>
    <w:rPr>
      <w:rFonts w:ascii="Palatino Linotype" w:hAnsi="Palatino Linotype" w:cs="Palatino Linotype" w:eastAsia="Palatino Linotype"/>
      <w:b/>
      <w:color w:val="007020"/>
    </w:rPr>
  </w:style>
  <w:style w:type="character" w:customStyle="1" w:styleId="DataTypeTok">
    <w:name w:val="DataTypeTok"/>
    <w:basedOn w:val="VerbatimChar"/>
    <w:rPr>
      <w:rFonts w:ascii="Palatino Linotype" w:hAnsi="Palatino Linotype" w:cs="Palatino Linotype" w:eastAsia="Palatino Linotype"/>
      <w:color w:val="902000"/>
    </w:rPr>
  </w:style>
  <w:style w:type="character" w:customStyle="1" w:styleId="DecValTok">
    <w:name w:val="DecValTok"/>
    <w:basedOn w:val="VerbatimChar"/>
    <w:rPr>
      <w:rFonts w:ascii="Palatino Linotype" w:hAnsi="Palatino Linotype" w:cs="Palatino Linotype" w:eastAsia="Palatino Linotype"/>
      <w:color w:val="40a070"/>
    </w:rPr>
  </w:style>
  <w:style w:type="character" w:customStyle="1" w:styleId="BaseNTok">
    <w:name w:val="BaseNTok"/>
    <w:basedOn w:val="VerbatimChar"/>
    <w:rPr>
      <w:rFonts w:ascii="Palatino Linotype" w:hAnsi="Palatino Linotype" w:cs="Palatino Linotype" w:eastAsia="Palatino Linotype"/>
      <w:color w:val="40a070"/>
    </w:rPr>
  </w:style>
  <w:style w:type="character" w:customStyle="1" w:styleId="FloatTok">
    <w:name w:val="FloatTok"/>
    <w:basedOn w:val="VerbatimChar"/>
    <w:rPr>
      <w:rFonts w:ascii="Palatino Linotype" w:hAnsi="Palatino Linotype" w:cs="Palatino Linotype" w:eastAsia="Palatino Linotype"/>
      <w:color w:val="40a070"/>
    </w:rPr>
  </w:style>
  <w:style w:type="character" w:customStyle="1" w:styleId="ConstantTok">
    <w:name w:val="ConstantTok"/>
    <w:basedOn w:val="VerbatimChar"/>
    <w:rPr>
      <w:rFonts w:ascii="Palatino Linotype" w:hAnsi="Palatino Linotype" w:cs="Palatino Linotype" w:eastAsia="Palatino Linotype"/>
      <w:color w:val="880000"/>
    </w:rPr>
  </w:style>
  <w:style w:type="character" w:customStyle="1" w:styleId="CharTok">
    <w:name w:val="CharTok"/>
    <w:basedOn w:val="VerbatimChar"/>
    <w:rPr>
      <w:rFonts w:ascii="Palatino Linotype" w:hAnsi="Palatino Linotype" w:cs="Palatino Linotype" w:eastAsia="Palatino Linotype"/>
      <w:color w:val="4070a0"/>
    </w:rPr>
  </w:style>
  <w:style w:type="character" w:customStyle="1" w:styleId="SpecialCharTok">
    <w:name w:val="SpecialCharTok"/>
    <w:basedOn w:val="VerbatimChar"/>
    <w:rPr>
      <w:rFonts w:ascii="Palatino Linotype" w:hAnsi="Palatino Linotype" w:cs="Palatino Linotype" w:eastAsia="Palatino Linotype"/>
      <w:color w:val="4070a0"/>
    </w:rPr>
  </w:style>
  <w:style w:type="character" w:customStyle="1" w:styleId="StringTok">
    <w:name w:val="StringTok"/>
    <w:basedOn w:val="VerbatimChar"/>
    <w:rPr>
      <w:rFonts w:ascii="Palatino Linotype" w:hAnsi="Palatino Linotype" w:cs="Palatino Linotype" w:eastAsia="Palatino Linotype"/>
      <w:color w:val="4070a0"/>
    </w:rPr>
  </w:style>
  <w:style w:type="character" w:customStyle="1" w:styleId="VerbatimStringTok">
    <w:name w:val="VerbatimStringTok"/>
    <w:basedOn w:val="VerbatimChar"/>
    <w:rPr>
      <w:rFonts w:ascii="Palatino Linotype" w:hAnsi="Palatino Linotype" w:cs="Palatino Linotype" w:eastAsia="Palatino Linotype"/>
      <w:color w:val="4070a0"/>
    </w:rPr>
  </w:style>
  <w:style w:type="character" w:customStyle="1" w:styleId="SpecialStringTok">
    <w:name w:val="SpecialStringTok"/>
    <w:basedOn w:val="VerbatimChar"/>
    <w:rPr>
      <w:rFonts w:ascii="Palatino Linotype" w:hAnsi="Palatino Linotype" w:cs="Palatino Linotype" w:eastAsia="Palatino Linotype"/>
      <w:color w:val="bb6688"/>
    </w:rPr>
  </w:style>
  <w:style w:type="character" w:customStyle="1" w:styleId="ImportTok">
    <w:name w:val="ImportTok"/>
    <w:basedOn w:val="VerbatimChar"/>
    <w:rPr>
      <w:rFonts w:ascii="Palatino Linotype" w:hAnsi="Palatino Linotype" w:cs="Palatino Linotype" w:eastAsia="Palatino Linotype"/>
      <w:b/>
      <w:color w:val="008000"/>
    </w:rPr>
  </w:style>
  <w:style w:type="character" w:customStyle="1" w:styleId="CommentTok">
    <w:name w:val="CommentTok"/>
    <w:basedOn w:val="VerbatimChar"/>
    <w:rPr>
      <w:rFonts w:ascii="Palatino Linotype" w:hAnsi="Palatino Linotype" w:cs="Palatino Linotype" w:eastAsia="Palatino Linotype"/>
      <w:i/>
      <w:color w:val="60a0b0"/>
    </w:rPr>
  </w:style>
  <w:style w:type="character" w:customStyle="1" w:styleId="DocumentationTok">
    <w:name w:val="DocumentationTok"/>
    <w:basedOn w:val="VerbatimChar"/>
    <w:rPr>
      <w:rFonts w:ascii="Palatino Linotype" w:hAnsi="Palatino Linotype" w:cs="Palatino Linotype" w:eastAsia="Palatino Linotype"/>
      <w:i/>
      <w:color w:val="ba2121"/>
    </w:rPr>
  </w:style>
  <w:style w:type="character" w:customStyle="1" w:styleId="AnnotationTok">
    <w:name w:val="AnnotationTok"/>
    <w:basedOn w:val="VerbatimChar"/>
    <w:rPr>
      <w:rFonts w:ascii="Palatino Linotype" w:hAnsi="Palatino Linotype" w:cs="Palatino Linotype" w:eastAsia="Palatino Linotype"/>
      <w:b/>
      <w:i/>
      <w:color w:val="60a0b0"/>
    </w:rPr>
  </w:style>
  <w:style w:type="character" w:customStyle="1" w:styleId="CommentVarTok">
    <w:name w:val="CommentVarTok"/>
    <w:basedOn w:val="VerbatimChar"/>
    <w:rPr>
      <w:rFonts w:ascii="Palatino Linotype" w:hAnsi="Palatino Linotype" w:cs="Palatino Linotype" w:eastAsia="Palatino Linotype"/>
      <w:b/>
      <w:i/>
      <w:color w:val="60a0b0"/>
    </w:rPr>
  </w:style>
  <w:style w:type="character" w:customStyle="1" w:styleId="OtherTok">
    <w:name w:val="OtherTok"/>
    <w:basedOn w:val="VerbatimChar"/>
    <w:rPr>
      <w:rFonts w:ascii="Palatino Linotype" w:hAnsi="Palatino Linotype" w:cs="Palatino Linotype" w:eastAsia="Palatino Linotype"/>
      <w:color w:val="007020"/>
    </w:rPr>
  </w:style>
  <w:style w:type="character" w:customStyle="1" w:styleId="FunctionTok">
    <w:name w:val="FunctionTok"/>
    <w:basedOn w:val="VerbatimChar"/>
    <w:rPr>
      <w:rFonts w:ascii="Palatino Linotype" w:hAnsi="Palatino Linotype" w:cs="Palatino Linotype" w:eastAsia="Palatino Linotype"/>
      <w:color w:val="06287e"/>
    </w:rPr>
  </w:style>
  <w:style w:type="character" w:customStyle="1" w:styleId="VariableTok">
    <w:name w:val="VariableTok"/>
    <w:basedOn w:val="VerbatimChar"/>
    <w:rPr>
      <w:rFonts w:ascii="Palatino Linotype" w:hAnsi="Palatino Linotype" w:cs="Palatino Linotype" w:eastAsia="Palatino Linotype"/>
      <w:color w:val="19177c"/>
    </w:rPr>
  </w:style>
  <w:style w:type="character" w:customStyle="1" w:styleId="ControlFlowTok">
    <w:name w:val="ControlFlowTok"/>
    <w:basedOn w:val="VerbatimChar"/>
    <w:rPr>
      <w:rFonts w:ascii="Palatino Linotype" w:hAnsi="Palatino Linotype" w:cs="Palatino Linotype" w:eastAsia="Palatino Linotype"/>
      <w:b/>
      <w:color w:val="007020"/>
    </w:rPr>
  </w:style>
  <w:style w:type="character" w:customStyle="1" w:styleId="OperatorTok">
    <w:name w:val="OperatorTok"/>
    <w:basedOn w:val="VerbatimChar"/>
    <w:rPr>
      <w:rFonts w:ascii="Palatino Linotype" w:hAnsi="Palatino Linotype" w:cs="Palatino Linotype" w:eastAsia="Palatino Linotype"/>
      <w:color w:val="666666"/>
    </w:rPr>
  </w:style>
  <w:style w:type="character" w:customStyle="1" w:styleId="BuiltInTok">
    <w:name w:val="BuiltInTok"/>
    <w:basedOn w:val="VerbatimChar"/>
    <w:rPr>
      <w:rFonts w:ascii="Palatino Linotype" w:hAnsi="Palatino Linotype" w:cs="Palatino Linotype" w:eastAsia="Palatino Linotype"/>
      <w:color w:val="008000"/>
    </w:rPr>
  </w:style>
  <w:style w:type="character" w:customStyle="1" w:styleId="ExtensionTok">
    <w:name w:val="ExtensionTok"/>
    <w:basedOn w:val="VerbatimChar"/>
    <w:rPr>
      <w:rFonts w:ascii="Palatino Linotype" w:hAnsi="Palatino Linotype" w:cs="Palatino Linotype" w:eastAsia="Palatino Linotype"/>
    </w:rPr>
  </w:style>
  <w:style w:type="character" w:customStyle="1" w:styleId="PreprocessorTok">
    <w:name w:val="PreprocessorTok"/>
    <w:basedOn w:val="VerbatimChar"/>
    <w:rPr>
      <w:rFonts w:ascii="Palatino Linotype" w:hAnsi="Palatino Linotype" w:cs="Palatino Linotype" w:eastAsia="Palatino Linotype"/>
      <w:color w:val="bc7a00"/>
    </w:rPr>
  </w:style>
  <w:style w:type="character" w:customStyle="1" w:styleId="AttributeTok">
    <w:name w:val="AttributeTok"/>
    <w:basedOn w:val="VerbatimChar"/>
    <w:rPr>
      <w:rFonts w:ascii="Palatino Linotype" w:hAnsi="Palatino Linotype" w:cs="Palatino Linotype" w:eastAsia="Palatino Linotype"/>
      <w:color w:val="7d9029"/>
    </w:rPr>
  </w:style>
  <w:style w:type="character" w:customStyle="1" w:styleId="RegionMarkerTok">
    <w:name w:val="RegionMarkerTok"/>
    <w:basedOn w:val="VerbatimChar"/>
    <w:rPr>
      <w:rFonts w:ascii="Palatino Linotype" w:hAnsi="Palatino Linotype" w:cs="Palatino Linotype" w:eastAsia="Palatino Linotype"/>
    </w:rPr>
  </w:style>
  <w:style w:type="character" w:customStyle="1" w:styleId="InformationTok">
    <w:name w:val="InformationTok"/>
    <w:basedOn w:val="VerbatimChar"/>
    <w:rPr>
      <w:rFonts w:ascii="Palatino Linotype" w:hAnsi="Palatino Linotype" w:cs="Palatino Linotype" w:eastAsia="Palatino Linotype"/>
      <w:b/>
      <w:i/>
      <w:color w:val="60a0b0"/>
    </w:rPr>
  </w:style>
  <w:style w:type="character" w:customStyle="1" w:styleId="WarningTok">
    <w:name w:val="WarningTok"/>
    <w:basedOn w:val="VerbatimChar"/>
    <w:rPr>
      <w:rFonts w:ascii="Palatino Linotype" w:hAnsi="Palatino Linotype" w:cs="Palatino Linotype" w:eastAsia="Palatino Linotype"/>
      <w:b/>
      <w:i/>
      <w:color w:val="60a0b0"/>
    </w:rPr>
  </w:style>
  <w:style w:type="character" w:customStyle="1" w:styleId="AlertTok">
    <w:name w:val="AlertTok"/>
    <w:basedOn w:val="VerbatimChar"/>
    <w:rPr>
      <w:rFonts w:ascii="Palatino Linotype" w:hAnsi="Palatino Linotype" w:cs="Palatino Linotype" w:eastAsia="Palatino Linotype"/>
      <w:b/>
      <w:color w:val="ff0000"/>
    </w:rPr>
  </w:style>
  <w:style w:type="character" w:customStyle="1" w:styleId="ErrorTok">
    <w:name w:val="ErrorTok"/>
    <w:basedOn w:val="VerbatimChar"/>
    <w:rPr>
      <w:rFonts w:ascii="Palatino Linotype" w:hAnsi="Palatino Linotype" w:cs="Palatino Linotype" w:eastAsia="Palatino Linotype"/>
      <w:b/>
      <w:color w:val="ff0000"/>
    </w:rPr>
  </w:style>
  <w:style w:type="character" w:customStyle="1" w:styleId="NormalTok">
    <w:name w:val="NormalTok"/>
    <w:basedOn w:val="VerbatimChar"/>
    <w:rPr>
      <w:rFonts w:ascii="Palatino Linotype" w:hAnsi="Palatino Linotype" w:cs="Palatino Linotype" w:eastAsia="Palatino Linotyp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8" Type="http://schemas.openxmlformats.org/officeDocument/2006/relationships/image" Target="media/rId38.png"/><Relationship Id="rId43" Type="http://schemas.openxmlformats.org/officeDocument/2006/relationships/image" Target="media/rId43.png"/><Relationship Id="rId51" Type="http://schemas.openxmlformats.org/officeDocument/2006/relationships/image" Target="media/rId51.png"/><Relationship Id="rId58" Type="http://schemas.openxmlformats.org/officeDocument/2006/relationships/image" Target="media/rId58.png"/><Relationship Id="rId65" Type="http://schemas.openxmlformats.org/officeDocument/2006/relationships/image" Target="media/rId65.png"/><Relationship Id="rId70" Type="http://schemas.openxmlformats.org/officeDocument/2006/relationships/image" Target="media/rId70.png"/><Relationship Id="rId83" Type="http://schemas.openxmlformats.org/officeDocument/2006/relationships/image" Target="media/rId83.png"/><Relationship Id="rId77" Type="http://schemas.openxmlformats.org/officeDocument/2006/relationships/image" Target="media/rId77.png"/><Relationship Id="rId144" Type="http://schemas.openxmlformats.org/officeDocument/2006/relationships/hyperlink" Target="https://doi.org/10.1016/j.cmi.2016.11.012" TargetMode="External"/><Relationship Id="rId118" Type="http://schemas.openxmlformats.org/officeDocument/2006/relationships/hyperlink" Target="https://doi.org/10.1016/j.diagmicrobio.2015.08.004" TargetMode="External"/><Relationship Id="rId109" Type="http://schemas.openxmlformats.org/officeDocument/2006/relationships/hyperlink" Target="https://doi.org/10.1016/s0140-6736(24)01867-1" TargetMode="External"/><Relationship Id="rId146" Type="http://schemas.openxmlformats.org/officeDocument/2006/relationships/hyperlink" Target="https://doi.org/10.1038/s41598-021-91456-0" TargetMode="External"/><Relationship Id="rId157" Type="http://schemas.openxmlformats.org/officeDocument/2006/relationships/hyperlink" Target="https://doi.org/10.1080/01621459.1927.10502953" TargetMode="External"/><Relationship Id="rId167" Type="http://schemas.openxmlformats.org/officeDocument/2006/relationships/hyperlink" Target="https://doi.org/10.1093/cid/ciae403" TargetMode="External"/><Relationship Id="rId112" Type="http://schemas.openxmlformats.org/officeDocument/2006/relationships/hyperlink" Target="https://doi.org/10.1093/cid/ciw649" TargetMode="External"/><Relationship Id="rId126" Type="http://schemas.openxmlformats.org/officeDocument/2006/relationships/hyperlink" Target="https://doi.org/10.1093/cid/ciw741" TargetMode="External"/><Relationship Id="rId155" Type="http://schemas.openxmlformats.org/officeDocument/2006/relationships/hyperlink" Target="https://doi.org/10.1093/jac/45.6.783" TargetMode="External"/><Relationship Id="rId165" Type="http://schemas.openxmlformats.org/officeDocument/2006/relationships/hyperlink" Target="https://doi.org/10.1093/jac/dkf235" TargetMode="External"/><Relationship Id="rId130" Type="http://schemas.openxmlformats.org/officeDocument/2006/relationships/hyperlink" Target="https://doi.org/10.1093/jac/dks121" TargetMode="External"/><Relationship Id="rId136" Type="http://schemas.openxmlformats.org/officeDocument/2006/relationships/hyperlink" Target="https://doi.org/10.1093/jac/dkt180" TargetMode="External"/><Relationship Id="rId120" Type="http://schemas.openxmlformats.org/officeDocument/2006/relationships/hyperlink" Target="https://doi.org/10.1093/jac/dkx146" TargetMode="External"/><Relationship Id="rId148" Type="http://schemas.openxmlformats.org/officeDocument/2006/relationships/hyperlink" Target="https://doi.org/10.1093/nar/gkae979" TargetMode="External"/><Relationship Id="rId134" Type="http://schemas.openxmlformats.org/officeDocument/2006/relationships/hyperlink" Target="https://doi.org/10.1099/acmi.0.000959.v4" TargetMode="External"/><Relationship Id="rId161" Type="http://schemas.openxmlformats.org/officeDocument/2006/relationships/hyperlink" Target="https://doi.org/10.1109/mcse.2007.55" TargetMode="External"/><Relationship Id="rId140" Type="http://schemas.openxmlformats.org/officeDocument/2006/relationships/hyperlink" Target="https://doi.org/10.1128/aac.00483-19" TargetMode="External"/><Relationship Id="rId128" Type="http://schemas.openxmlformats.org/officeDocument/2006/relationships/hyperlink" Target="https://doi.org/10.1128/aac.01019-15" TargetMode="External"/><Relationship Id="rId124" Type="http://schemas.openxmlformats.org/officeDocument/2006/relationships/hyperlink" Target="https://doi.org/10.1128/cmr.00036-08" TargetMode="External"/><Relationship Id="rId122" Type="http://schemas.openxmlformats.org/officeDocument/2006/relationships/hyperlink" Target="https://doi.org/10.1128/cmr.00047-19" TargetMode="External"/><Relationship Id="rId142" Type="http://schemas.openxmlformats.org/officeDocument/2006/relationships/hyperlink" Target="https://doi.org/10.1128/jcm.01405-18" TargetMode="External"/><Relationship Id="rId138" Type="http://schemas.openxmlformats.org/officeDocument/2006/relationships/hyperlink" Target="https://doi.org/10.1128/jcm.03117-13" TargetMode="External"/><Relationship Id="rId132" Type="http://schemas.openxmlformats.org/officeDocument/2006/relationships/hyperlink" Target="https://doi.org/10.1128/jcm.03563-13" TargetMode="External"/><Relationship Id="rId116" Type="http://schemas.openxmlformats.org/officeDocument/2006/relationships/hyperlink" Target="https://doi.org/10.1186/s12879-022-07772-x" TargetMode="External"/><Relationship Id="rId107" Type="http://schemas.openxmlformats.org/officeDocument/2006/relationships/hyperlink" Target="https://doi.org/10.15620/cdc:82532" TargetMode="External"/><Relationship Id="rId163" Type="http://schemas.openxmlformats.org/officeDocument/2006/relationships/hyperlink" Target="https://doi.org/10.21105/joss.03021" TargetMode="External"/><Relationship Id="rId159" Type="http://schemas.openxmlformats.org/officeDocument/2006/relationships/hyperlink" Target="https://doi.org/10.25080/majora-92bf1922-00a" TargetMode="External"/><Relationship Id="rId114" Type="http://schemas.openxmlformats.org/officeDocument/2006/relationships/hyperlink" Target="https://doi.org/10.3389/fmed.2021.635831" TargetMode="External"/><Relationship Id="rId21" Type="http://schemas.openxmlformats.org/officeDocument/2006/relationships/hyperlink" Target="mailto:abdulwahabfatima43@gmail.com" TargetMode="Externa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orcid.org/0009-0008-2298-8386" TargetMode="External"/></Relationships>
</file>

<file path=word/_rels/footnotes.xml.rels><?xml version='1.0' encoding='UTF-8' standalone='yes'?>
<Relationships xmlns="http://schemas.openxmlformats.org/package/2006/relationships"><Relationship Id="rId144" Type="http://schemas.openxmlformats.org/officeDocument/2006/relationships/hyperlink" Target="https://doi.org/10.1016/j.cmi.2016.11.012" TargetMode="External"/><Relationship Id="rId118" Type="http://schemas.openxmlformats.org/officeDocument/2006/relationships/hyperlink" Target="https://doi.org/10.1016/j.diagmicrobio.2015.08.004" TargetMode="External"/><Relationship Id="rId109" Type="http://schemas.openxmlformats.org/officeDocument/2006/relationships/hyperlink" Target="https://doi.org/10.1016/s0140-6736(24)01867-1" TargetMode="External"/><Relationship Id="rId146" Type="http://schemas.openxmlformats.org/officeDocument/2006/relationships/hyperlink" Target="https://doi.org/10.1038/s41598-021-91456-0" TargetMode="External"/><Relationship Id="rId157" Type="http://schemas.openxmlformats.org/officeDocument/2006/relationships/hyperlink" Target="https://doi.org/10.1080/01621459.1927.10502953" TargetMode="External"/><Relationship Id="rId167" Type="http://schemas.openxmlformats.org/officeDocument/2006/relationships/hyperlink" Target="https://doi.org/10.1093/cid/ciae403" TargetMode="External"/><Relationship Id="rId112" Type="http://schemas.openxmlformats.org/officeDocument/2006/relationships/hyperlink" Target="https://doi.org/10.1093/cid/ciw649" TargetMode="External"/><Relationship Id="rId126" Type="http://schemas.openxmlformats.org/officeDocument/2006/relationships/hyperlink" Target="https://doi.org/10.1093/cid/ciw741" TargetMode="External"/><Relationship Id="rId155" Type="http://schemas.openxmlformats.org/officeDocument/2006/relationships/hyperlink" Target="https://doi.org/10.1093/jac/45.6.783" TargetMode="External"/><Relationship Id="rId165" Type="http://schemas.openxmlformats.org/officeDocument/2006/relationships/hyperlink" Target="https://doi.org/10.1093/jac/dkf235" TargetMode="External"/><Relationship Id="rId130" Type="http://schemas.openxmlformats.org/officeDocument/2006/relationships/hyperlink" Target="https://doi.org/10.1093/jac/dks121" TargetMode="External"/><Relationship Id="rId136" Type="http://schemas.openxmlformats.org/officeDocument/2006/relationships/hyperlink" Target="https://doi.org/10.1093/jac/dkt180" TargetMode="External"/><Relationship Id="rId120" Type="http://schemas.openxmlformats.org/officeDocument/2006/relationships/hyperlink" Target="https://doi.org/10.1093/jac/dkx146" TargetMode="External"/><Relationship Id="rId148" Type="http://schemas.openxmlformats.org/officeDocument/2006/relationships/hyperlink" Target="https://doi.org/10.1093/nar/gkae979" TargetMode="External"/><Relationship Id="rId134" Type="http://schemas.openxmlformats.org/officeDocument/2006/relationships/hyperlink" Target="https://doi.org/10.1099/acmi.0.000959.v4" TargetMode="External"/><Relationship Id="rId161" Type="http://schemas.openxmlformats.org/officeDocument/2006/relationships/hyperlink" Target="https://doi.org/10.1109/mcse.2007.55" TargetMode="External"/><Relationship Id="rId140" Type="http://schemas.openxmlformats.org/officeDocument/2006/relationships/hyperlink" Target="https://doi.org/10.1128/aac.00483-19" TargetMode="External"/><Relationship Id="rId128" Type="http://schemas.openxmlformats.org/officeDocument/2006/relationships/hyperlink" Target="https://doi.org/10.1128/aac.01019-15" TargetMode="External"/><Relationship Id="rId124" Type="http://schemas.openxmlformats.org/officeDocument/2006/relationships/hyperlink" Target="https://doi.org/10.1128/cmr.00036-08" TargetMode="External"/><Relationship Id="rId122" Type="http://schemas.openxmlformats.org/officeDocument/2006/relationships/hyperlink" Target="https://doi.org/10.1128/cmr.00047-19" TargetMode="External"/><Relationship Id="rId142" Type="http://schemas.openxmlformats.org/officeDocument/2006/relationships/hyperlink" Target="https://doi.org/10.1128/jcm.01405-18" TargetMode="External"/><Relationship Id="rId138" Type="http://schemas.openxmlformats.org/officeDocument/2006/relationships/hyperlink" Target="https://doi.org/10.1128/jcm.03117-13" TargetMode="External"/><Relationship Id="rId132" Type="http://schemas.openxmlformats.org/officeDocument/2006/relationships/hyperlink" Target="https://doi.org/10.1128/jcm.03563-13" TargetMode="External"/><Relationship Id="rId116" Type="http://schemas.openxmlformats.org/officeDocument/2006/relationships/hyperlink" Target="https://doi.org/10.1186/s12879-022-07772-x" TargetMode="External"/><Relationship Id="rId107" Type="http://schemas.openxmlformats.org/officeDocument/2006/relationships/hyperlink" Target="https://doi.org/10.15620/cdc:82532" TargetMode="External"/><Relationship Id="rId163" Type="http://schemas.openxmlformats.org/officeDocument/2006/relationships/hyperlink" Target="https://doi.org/10.21105/joss.03021" TargetMode="External"/><Relationship Id="rId159" Type="http://schemas.openxmlformats.org/officeDocument/2006/relationships/hyperlink" Target="https://doi.org/10.25080/majora-92bf1922-00a" TargetMode="External"/><Relationship Id="rId114" Type="http://schemas.openxmlformats.org/officeDocument/2006/relationships/hyperlink" Target="https://doi.org/10.3389/fmed.2021.635831" TargetMode="External"/><Relationship Id="rId21" Type="http://schemas.openxmlformats.org/officeDocument/2006/relationships/hyperlink" Target="mailto:abdulwahabfatima4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well do rapid blood culture panel resistance targets predict laboratory susceptibility? An open, gene-by-gene concordance benchmark of U.S. clinical isolates in NCBI Pathogen Detection</dc:title>
  <dc:creator>Fatima Abdulwahab</dc:creator>
  <cp:keywords/>
  <dcterms:created xsi:type="dcterms:W3CDTF">2026-10-24T22:03:54Z</dcterms:created>
  <dcterms:modified xsi:type="dcterms:W3CDTF">2026-10-24T22:03:54Z</dcterms:modified>
</cp:coreProperties>
</file>

<file path=docProps/custom.xml><?xml version="1.0" encoding="utf-8"?>
<Properties xmlns="http://schemas.openxmlformats.org/officeDocument/2006/custom-properties" xmlns:vt="http://schemas.openxmlformats.org/officeDocument/2006/docPropsVTypes"/>
</file>