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jc w:val="center"/>
      </w:pPr>
      <w:r>
        <w:rPr>
          <w:rFonts w:ascii="Arial" w:cs="Arial" w:eastAsia="Arial" w:hAnsi="Arial"/>
          <w:b/>
          <w:bCs/>
          <w:caps/>
          <w:color w:val="888888"/>
          <w:sz w:val="20"/>
          <w:szCs w:val="20"/>
        </w:rPr>
        <w:t xml:space="preserve">TECHNICAL IMPLEMENTATION REPORT</w:t>
      </w:r>
    </w:p>
    <w:p>
      <w:pPr>
        <w:spacing w:before="120" w:after="0"/>
      </w:pPr>
    </w:p>
    <w:p>
      <w:pPr>
        <w:jc w:val="center"/>
      </w:pPr>
      <w:r>
        <w:rPr>
          <w:rFonts w:ascii="Arial" w:cs="Arial" w:eastAsia="Arial" w:hAnsi="Arial"/>
          <w:b/>
          <w:bCs/>
          <w:color w:val="1F3864"/>
          <w:sz w:val="52"/>
          <w:szCs w:val="52"/>
        </w:rPr>
        <w:t xml:space="preserve">query-conditioned-scientific-graphrag</w:t>
      </w:r>
    </w:p>
    <w:p>
      <w:pPr>
        <w:spacing w:before="80" w:after="0"/>
      </w:pPr>
    </w:p>
    <w:p>
      <w:pPr>
        <w:jc w:val="center"/>
      </w:pPr>
      <w:r>
        <w:rPr>
          <w:rFonts w:ascii="Arial" w:cs="Arial" w:eastAsia="Arial" w:hAnsi="Arial"/>
          <w:color w:val="2E75B6"/>
          <w:sz w:val="28"/>
          <w:szCs w:val="28"/>
        </w:rPr>
        <w:t xml:space="preserve">Dynamic GraphRAG for Open Scientific Question Answering</w:t>
      </w:r>
    </w:p>
    <w:p>
      <w:pPr>
        <w:spacing w:before="20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color w:val="888888"/>
                <w:sz w:val="20"/>
                <w:szCs w:val="20"/>
              </w:rPr>
              <w:t xml:space="preserve">Module</w:t>
            </w:r>
          </w:p>
        </w:tc>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sz w:val="20"/>
                <w:szCs w:val="20"/>
              </w:rPr>
              <w:t xml:space="preserve">Generative AI</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color w:val="888888"/>
                <w:sz w:val="20"/>
                <w:szCs w:val="20"/>
              </w:rPr>
              <w:t xml:space="preserve">Date</w:t>
            </w:r>
          </w:p>
        </w:tc>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color w:val="888888"/>
                <w:sz w:val="20"/>
                <w:szCs w:val="20"/>
              </w:rPr>
              <w:t xml:space="preserve">Status</w:t>
            </w:r>
          </w:p>
        </w:tc>
        <w:tc>
          <w:tcPr>
            <w:tcW w:type="dxa" w:w="300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pPr>
              <w:jc w:val="center"/>
            </w:pPr>
            <w:r>
              <w:rPr>
                <w:rFonts w:ascii="Arial" w:cs="Arial" w:eastAsia="Arial" w:hAnsi="Arial"/>
                <w:b/>
                <w:bCs/>
                <w:color w:val="1D6F42"/>
                <w:sz w:val="20"/>
                <w:szCs w:val="20"/>
              </w:rPr>
              <w:t xml:space="preserve">Complete</w:t>
            </w:r>
          </w:p>
        </w:tc>
      </w:tr>
    </w:tbl>
    <w:p>
      <w:pPr>
        <w:spacing w:before="600" w:after="0"/>
      </w:pPr>
    </w:p>
    <w:p>
      <w:r>
        <w:br/>
      </w:r>
    </w:p>
    <w:p>
      <w:pPr>
        <w:pStyle w:val="Heading1"/>
        <w:pBdr>
          <w:bottom w:val="single" w:color="1F3864" w:sz="6" w:space="4"/>
        </w:pBdr>
        <w:spacing w:before="400" w:after="200"/>
      </w:pPr>
      <w:r>
        <w:rPr>
          <w:rFonts w:ascii="Arial" w:cs="Arial" w:eastAsia="Arial" w:hAnsi="Arial"/>
          <w:b/>
          <w:bCs/>
          <w:color w:val="1F3864"/>
          <w:sz w:val="34"/>
          <w:szCs w:val="34"/>
        </w:rPr>
        <w:t xml:space="preserve">1. Introduction</w:t>
      </w:r>
    </w:p>
    <w:p>
      <w:pPr>
        <w:spacing w:before="80" w:after="80"/>
      </w:pPr>
      <w:r>
        <w:rPr>
          <w:rFonts w:ascii="Arial" w:cs="Arial" w:eastAsia="Arial" w:hAnsi="Arial"/>
          <w:sz w:val="22"/>
          <w:szCs w:val="22"/>
        </w:rPr>
        <w:t xml:space="preserve">Large Language Models suffer from two fundamental problems when used for scientific question answering: they hallucinate facts that are not grounded in evidence, and their knowledge is frozen at training time and cannot incorporate new research. Retrieval-Augmented Generation (RAG) addresses both problems by retrieving external documents and using them as context for the LLM.</w:t>
      </w:r>
    </w:p>
    <w:p>
      <w:pPr>
        <w:spacing w:before="80" w:after="0"/>
      </w:pPr>
    </w:p>
    <w:p>
      <w:pPr>
        <w:spacing w:before="80" w:after="80"/>
      </w:pPr>
      <w:r>
        <w:rPr>
          <w:rFonts w:ascii="Arial" w:cs="Arial" w:eastAsia="Arial" w:hAnsi="Arial"/>
          <w:sz w:val="22"/>
          <w:szCs w:val="22"/>
        </w:rPr>
        <w:t xml:space="preserve">However, classical RAG retrieves independent text chunks. It cannot reason across multiple documents simultaneously, cannot represent relationships between concepts, and fails on questions that require combining evidence from several sources. These are precisely the requirements of scientific question answering.</w:t>
      </w:r>
    </w:p>
    <w:p>
      <w:pPr>
        <w:spacing w:before="80" w:after="0"/>
      </w:pPr>
    </w:p>
    <w:p>
      <w:pPr>
        <w:spacing w:before="80" w:after="80"/>
      </w:pPr>
      <w:r>
        <w:rPr>
          <w:rFonts w:ascii="Arial" w:cs="Arial" w:eastAsia="Arial" w:hAnsi="Arial"/>
          <w:sz w:val="22"/>
          <w:szCs w:val="22"/>
        </w:rPr>
        <w:t xml:space="preserve">This project implements a Dynamic GraphRAG system that addresses all three limitations. Instead of retrieving text chunks, it retrieves scientific papers live from external APIs, extracts entities and relationships from those papers, constructs a temporary knowledge graph, and uses graph-based retrieval to provide structured, traceable context to the LLM. The graph is built fresh for every query and discarded after the answer is generated — no static corpus, no prebuilt index.</w:t>
      </w:r>
    </w:p>
    <w:p>
      <w:pPr>
        <w:spacing w:before="160" w:after="0"/>
      </w:pPr>
    </w:p>
    <w:p>
      <w:pPr>
        <w:pStyle w:val="Heading2"/>
        <w:spacing w:before="280" w:after="140"/>
      </w:pPr>
      <w:r>
        <w:rPr>
          <w:rFonts w:ascii="Arial" w:cs="Arial" w:eastAsia="Arial" w:hAnsi="Arial"/>
          <w:b/>
          <w:bCs/>
          <w:color w:val="2E75B6"/>
          <w:sz w:val="26"/>
          <w:szCs w:val="26"/>
        </w:rPr>
        <w:t xml:space="preserve">1.1 Motivation</w:t>
      </w:r>
    </w:p>
    <w:p>
      <w:pPr>
        <w:spacing w:before="80" w:after="80"/>
      </w:pPr>
      <w:r>
        <w:rPr>
          <w:rFonts w:ascii="Arial" w:cs="Arial" w:eastAsia="Arial" w:hAnsi="Arial"/>
          <w:sz w:val="22"/>
          <w:szCs w:val="22"/>
        </w:rPr>
        <w:t xml:space="preserve">The key insight that motivates this system is that scientific knowledge is inherently relational. A question about wheat fungal diseases cannot be answered by a single text chunk. It requires connecting: the disease organism, the environmental conditions that favor it, the treatment methods that exist, and the evidence base across multiple research papers. A knowledge graph represents exactly this structure.</w:t>
      </w:r>
    </w:p>
    <w:p>
      <w:pPr>
        <w:spacing w:before="80" w:after="0"/>
      </w:pPr>
    </w:p>
    <w:p>
      <w:pPr>
        <w:spacing w:before="80" w:after="80"/>
      </w:pPr>
      <w:r>
        <w:rPr>
          <w:rFonts w:ascii="Arial" w:cs="Arial" w:eastAsia="Arial" w:hAnsi="Arial"/>
          <w:sz w:val="22"/>
          <w:szCs w:val="22"/>
        </w:rPr>
        <w:t xml:space="preserve">The dynamic construction approach was chosen over a static prebuilt graph for three reasons. First, no domain-specific dataset needs to be prepared or maintained. Second, the graph for each query contains only information relevant to that query, which keeps retrieval focused. Third, new research is automatically incorporated because papers are fetched live.</w:t>
      </w:r>
    </w:p>
    <w:p>
      <w:pPr>
        <w:pBdr>
          <w:bottom w:val="single" w:color="DDDDDD" w:sz="4" w:space="1"/>
        </w:pBdr>
        <w:spacing w:before="200" w:after="200"/>
      </w:pPr>
    </w:p>
    <w:p>
      <w:pPr>
        <w:pStyle w:val="Heading1"/>
        <w:pBdr>
          <w:bottom w:val="single" w:color="1F3864" w:sz="6" w:space="4"/>
        </w:pBdr>
        <w:spacing w:before="400" w:after="200"/>
      </w:pPr>
      <w:r>
        <w:rPr>
          <w:rFonts w:ascii="Arial" w:cs="Arial" w:eastAsia="Arial" w:hAnsi="Arial"/>
          <w:b/>
          <w:bCs/>
          <w:color w:val="1F3864"/>
          <w:sz w:val="34"/>
          <w:szCs w:val="34"/>
        </w:rPr>
        <w:t xml:space="preserve">2. System Architecture</w:t>
      </w:r>
    </w:p>
    <w:p>
      <w:pPr>
        <w:spacing w:before="80" w:after="80"/>
      </w:pPr>
      <w:r>
        <w:rPr>
          <w:rFonts w:ascii="Arial" w:cs="Arial" w:eastAsia="Arial" w:hAnsi="Arial"/>
          <w:sz w:val="22"/>
          <w:szCs w:val="22"/>
        </w:rPr>
        <w:t xml:space="preserve">The system is organized as a sequential pipeline. Every stage receives the output of the previous stage and passes its output to the next. The question flows through the pipeline once and the graph built during that run is not reused.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Module</w:t>
            </w:r>
          </w:p>
        </w:tc>
        <w:tc>
          <w:tcPr>
            <w:tcW w:type="dxa" w:w="62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domain_detector.py</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Classify the question into a scientific domain</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paper_retriever.py</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Fetch relevant papers from Semantic Scholar / OpenAlex</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paper_filter.py</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Rank and keep the most relevant papers by embedding similarity</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entity_extractor.py</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Extract entities and relations from paper abstracts using LLM</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graph_builder.py</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Build a temporary in-memory directed knowledge graph</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graph_retriever.py</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Retrieve the relevant subgraph for the question</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answer_generator.py</w:t>
            </w:r>
          </w:p>
        </w:tc>
        <w:tc>
          <w:tcPr>
            <w:tcW w:type="dxa" w:w="62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Generate a grounded cited answer using LLM + graph context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evaluator.py</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Benchmark Dynamic GraphRAG vs Classic RAG</w:t>
            </w:r>
          </w:p>
        </w:tc>
      </w:tr>
    </w:tbl>
    <w:p>
      <w:pPr>
        <w:spacing w:before="160" w:after="0"/>
      </w:pPr>
    </w:p>
    <w:p>
      <w:pPr>
        <w:pStyle w:val="Heading2"/>
        <w:spacing w:before="280" w:after="140"/>
      </w:pPr>
      <w:r>
        <w:rPr>
          <w:rFonts w:ascii="Arial" w:cs="Arial" w:eastAsia="Arial" w:hAnsi="Arial"/>
          <w:b/>
          <w:bCs/>
          <w:color w:val="2E75B6"/>
          <w:sz w:val="26"/>
          <w:szCs w:val="26"/>
        </w:rPr>
        <w:t xml:space="preserve">2.1 Technology Stack</w:t>
      </w:r>
    </w:p>
    <w:p>
      <w:pPr>
        <w:pStyle w:val="ListParagraph"/>
        <w:numPr>
          <w:ilvl w:val="0"/>
          <w:numId w:val="2"/>
        </w:numPr>
        <w:spacing w:before="60" w:after="60"/>
      </w:pPr>
      <w:r>
        <w:rPr>
          <w:rFonts w:ascii="Arial" w:cs="Arial" w:eastAsia="Arial" w:hAnsi="Arial"/>
          <w:b w:val="false"/>
          <w:bCs w:val="false"/>
          <w:sz w:val="22"/>
          <w:szCs w:val="22"/>
        </w:rPr>
        <w:t xml:space="preserve">LLM provider: Groq API (llama3-8b-8192) — free tier, used for entity extraction and answer generation</w:t>
      </w:r>
    </w:p>
    <w:p>
      <w:pPr>
        <w:pStyle w:val="ListParagraph"/>
        <w:numPr>
          <w:ilvl w:val="0"/>
          <w:numId w:val="2"/>
        </w:numPr>
        <w:spacing w:before="60" w:after="60"/>
      </w:pPr>
      <w:r>
        <w:rPr>
          <w:rFonts w:ascii="Arial" w:cs="Arial" w:eastAsia="Arial" w:hAnsi="Arial"/>
          <w:b w:val="false"/>
          <w:bCs w:val="false"/>
          <w:sz w:val="22"/>
          <w:szCs w:val="22"/>
        </w:rPr>
        <w:t xml:space="preserve">Embeddings: sentence-transformers (all-MiniLM-L6-v2) — runs fully locally, no API key required</w:t>
      </w:r>
    </w:p>
    <w:p>
      <w:pPr>
        <w:pStyle w:val="ListParagraph"/>
        <w:numPr>
          <w:ilvl w:val="0"/>
          <w:numId w:val="2"/>
        </w:numPr>
        <w:spacing w:before="60" w:after="60"/>
      </w:pPr>
      <w:r>
        <w:rPr>
          <w:rFonts w:ascii="Arial" w:cs="Arial" w:eastAsia="Arial" w:hAnsi="Arial"/>
          <w:b w:val="false"/>
          <w:bCs w:val="false"/>
          <w:sz w:val="22"/>
          <w:szCs w:val="22"/>
        </w:rPr>
        <w:t xml:space="preserve">Graph library: NetworkX (nx.DiGraph) — in-memory directed graph, no database</w:t>
      </w:r>
    </w:p>
    <w:p>
      <w:pPr>
        <w:pStyle w:val="ListParagraph"/>
        <w:numPr>
          <w:ilvl w:val="0"/>
          <w:numId w:val="2"/>
        </w:numPr>
        <w:spacing w:before="60" w:after="60"/>
      </w:pPr>
      <w:r>
        <w:rPr>
          <w:rFonts w:ascii="Arial" w:cs="Arial" w:eastAsia="Arial" w:hAnsi="Arial"/>
          <w:b w:val="false"/>
          <w:bCs w:val="false"/>
          <w:sz w:val="22"/>
          <w:szCs w:val="22"/>
        </w:rPr>
        <w:t xml:space="preserve">Paper sources: Semantic Scholar API (primary), OpenAlex API (fallback)</w:t>
      </w:r>
    </w:p>
    <w:p>
      <w:pPr>
        <w:pStyle w:val="ListParagraph"/>
        <w:numPr>
          <w:ilvl w:val="0"/>
          <w:numId w:val="2"/>
        </w:numPr>
        <w:spacing w:before="60" w:after="60"/>
      </w:pPr>
      <w:r>
        <w:rPr>
          <w:rFonts w:ascii="Arial" w:cs="Arial" w:eastAsia="Arial" w:hAnsi="Arial"/>
          <w:b w:val="false"/>
          <w:bCs w:val="false"/>
          <w:sz w:val="22"/>
          <w:szCs w:val="22"/>
        </w:rPr>
        <w:t xml:space="preserve">Language: Python 3.11, all dependencies installable via pip</w:t>
      </w:r>
    </w:p>
    <w:p>
      <w:pPr>
        <w:pBdr>
          <w:bottom w:val="single" w:color="DDDDDD" w:sz="4" w:space="1"/>
        </w:pBdr>
        <w:spacing w:before="200" w:after="200"/>
      </w:pPr>
    </w:p>
    <w:p>
      <w:pPr>
        <w:pStyle w:val="Heading1"/>
        <w:pBdr>
          <w:bottom w:val="single" w:color="1F3864" w:sz="6" w:space="4"/>
        </w:pBdr>
        <w:spacing w:before="400" w:after="200"/>
      </w:pPr>
      <w:r>
        <w:rPr>
          <w:rFonts w:ascii="Arial" w:cs="Arial" w:eastAsia="Arial" w:hAnsi="Arial"/>
          <w:b/>
          <w:bCs/>
          <w:color w:val="1F3864"/>
          <w:sz w:val="34"/>
          <w:szCs w:val="34"/>
        </w:rPr>
        <w:t xml:space="preserve">3. Pipeline Implementation</w:t>
      </w:r>
    </w:p>
    <w:p>
      <w:pPr>
        <w:pStyle w:val="Heading2"/>
        <w:spacing w:before="280" w:after="140"/>
      </w:pPr>
      <w:r>
        <w:rPr>
          <w:rFonts w:ascii="Arial" w:cs="Arial" w:eastAsia="Arial" w:hAnsi="Arial"/>
          <w:b/>
          <w:bCs/>
          <w:color w:val="2E75B6"/>
          <w:sz w:val="26"/>
          <w:szCs w:val="26"/>
        </w:rPr>
        <w:t xml:space="preserve">Step 1 — Domain Detection</w:t>
      </w:r>
    </w:p>
    <w:p>
      <w:pPr>
        <w:spacing w:before="80" w:after="80"/>
      </w:pPr>
      <w:r>
        <w:rPr>
          <w:rFonts w:ascii="Arial" w:cs="Arial" w:eastAsia="Arial" w:hAnsi="Arial"/>
          <w:sz w:val="22"/>
          <w:szCs w:val="22"/>
        </w:rPr>
        <w:t xml:space="preserve">File: pipeline/domain_detector.py</w:t>
      </w:r>
    </w:p>
    <w:p>
      <w:pPr>
        <w:spacing w:before="80" w:after="0"/>
      </w:pPr>
    </w:p>
    <w:p>
      <w:pPr>
        <w:spacing w:before="80" w:after="80"/>
      </w:pPr>
      <w:r>
        <w:rPr>
          <w:rFonts w:ascii="Arial" w:cs="Arial" w:eastAsia="Arial" w:hAnsi="Arial"/>
          <w:sz w:val="22"/>
          <w:szCs w:val="22"/>
        </w:rPr>
        <w:t xml:space="preserve">The DomainDetector classifies the incoming question into one of four scientific domains: Agriculture, Geoscience, Supply Chain, and Environment. This classification determines which search terms are used in paper retrieval and scopes the downstream graph construction.</w:t>
      </w:r>
    </w:p>
    <w:p>
      <w:pPr>
        <w:spacing w:before="120" w:after="0"/>
      </w:pPr>
    </w:p>
    <w:p>
      <w:pPr>
        <w:pStyle w:val="Heading3"/>
        <w:spacing w:before="200" w:after="100"/>
      </w:pPr>
      <w:r>
        <w:rPr>
          <w:rFonts w:ascii="Arial" w:cs="Arial" w:eastAsia="Arial" w:hAnsi="Arial"/>
          <w:b/>
          <w:bCs/>
          <w:color w:val="404040"/>
          <w:sz w:val="22"/>
          <w:szCs w:val="22"/>
        </w:rPr>
        <w:t xml:space="preserve">Three classification methods</w:t>
      </w:r>
    </w:p>
    <w:p>
      <w:pPr>
        <w:pStyle w:val="ListParagraph"/>
        <w:numPr>
          <w:ilvl w:val="0"/>
          <w:numId w:val="2"/>
        </w:numPr>
        <w:spacing w:before="60" w:after="60"/>
      </w:pPr>
      <w:r>
        <w:rPr>
          <w:rFonts w:ascii="Arial" w:cs="Arial" w:eastAsia="Arial" w:hAnsi="Arial"/>
          <w:b w:val="false"/>
          <w:bCs w:val="false"/>
          <w:sz w:val="22"/>
          <w:szCs w:val="22"/>
        </w:rPr>
        <w:t xml:space="preserve">Keyword method: counts domain-specific keyword matches in the question text and returns the domain with the highest count. A hardcoded keyword dictionary is defined per domain. Falls back to the LLM method if no keywords match.</w:t>
      </w:r>
    </w:p>
    <w:p>
      <w:pPr>
        <w:pStyle w:val="ListParagraph"/>
        <w:numPr>
          <w:ilvl w:val="0"/>
          <w:numId w:val="2"/>
        </w:numPr>
        <w:spacing w:before="60" w:after="60"/>
      </w:pPr>
      <w:r>
        <w:rPr>
          <w:rFonts w:ascii="Arial" w:cs="Arial" w:eastAsia="Arial" w:hAnsi="Arial"/>
          <w:b w:val="false"/>
          <w:bCs w:val="false"/>
          <w:sz w:val="22"/>
          <w:szCs w:val="22"/>
        </w:rPr>
        <w:t xml:space="preserve">Embedding method: embeds the question using sentence-transformers and computes cosine similarity against a representative reference sentence per domain. Returns the domain with the highest similarity score. Runs entirely locally.</w:t>
      </w:r>
    </w:p>
    <w:p>
      <w:pPr>
        <w:pStyle w:val="ListParagraph"/>
        <w:numPr>
          <w:ilvl w:val="0"/>
          <w:numId w:val="2"/>
        </w:numPr>
        <w:spacing w:before="60" w:after="60"/>
      </w:pPr>
      <w:r>
        <w:rPr>
          <w:rFonts w:ascii="Arial" w:cs="Arial" w:eastAsia="Arial" w:hAnsi="Arial"/>
          <w:b w:val="false"/>
          <w:bCs w:val="false"/>
          <w:sz w:val="22"/>
          <w:szCs w:val="22"/>
        </w:rPr>
        <w:t xml:space="preserve">LLM method: sends the question to Groq with a strict prompt instructing the model to return only the domain name as a single word. No explanation or formatting is expected.</w:t>
      </w:r>
    </w:p>
    <w:p>
      <w:pPr>
        <w:spacing w:before="120" w:after="0"/>
      </w:pPr>
    </w:p>
    <w:p>
      <w:pPr>
        <w:pStyle w:val="Heading3"/>
        <w:spacing w:before="200" w:after="100"/>
      </w:pPr>
      <w:r>
        <w:rPr>
          <w:rFonts w:ascii="Arial" w:cs="Arial" w:eastAsia="Arial" w:hAnsi="Arial"/>
          <w:b/>
          <w:bCs/>
          <w:color w:val="404040"/>
          <w:sz w:val="22"/>
          <w:szCs w:val="22"/>
        </w:rPr>
        <w:t xml:space="preserve">Validation results</w:t>
      </w:r>
    </w:p>
    <w:p>
      <w:pPr>
        <w:spacing w:before="80" w:after="80"/>
      </w:pPr>
      <w:r>
        <w:rPr>
          <w:rFonts w:ascii="Arial" w:cs="Arial" w:eastAsia="Arial" w:hAnsi="Arial"/>
          <w:sz w:val="22"/>
          <w:szCs w:val="22"/>
        </w:rPr>
        <w:t xml:space="preserve">Both keyword and embedding methods correctly classified all four test questions across all domains. The LLM method requires a GROQ_API_KEY in the environment but was confirmed working once the key was set.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12"/>
              <w:bottom w:val="single" w:color="C55A11" w:sz="3"/>
              <w:right w:val="single" w:color="C55A11" w:sz="3"/>
            </w:tcBorders>
            <w:shd w:fill="FFF4EC" w:val="clear"/>
            <w:tcMar>
              <w:top w:type="dxa" w:w="120"/>
              <w:left w:type="dxa" w:w="200"/>
              <w:bottom w:type="dxa" w:w="120"/>
              <w:right w:type="dxa" w:w="200"/>
            </w:tcMar>
          </w:tcPr>
          <w:p>
            <w:r>
              <w:rPr>
                <w:rFonts w:ascii="Arial" w:cs="Arial" w:eastAsia="Arial" w:hAnsi="Arial"/>
                <w:b/>
                <w:bCs/>
                <w:color w:val="C55A11"/>
                <w:sz w:val="22"/>
                <w:szCs w:val="22"/>
              </w:rPr>
              <w:t xml:space="preserve">Limitation</w:t>
            </w:r>
          </w:p>
          <w:p>
            <w:r>
              <w:rPr>
                <w:rFonts w:ascii="Arial" w:cs="Arial" w:eastAsia="Arial" w:hAnsi="Arial"/>
                <w:color w:val="444444"/>
                <w:sz w:val="20"/>
                <w:szCs w:val="20"/>
              </w:rPr>
              <w:t xml:space="preserve">The domain list is fixed at four domains. Questions that cross domain boundaries — for example, a question about climate-driven supply chain disruption — will be forced into one domain and may lose relevant papers from the other.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42" w:sz="3"/>
              <w:left w:val="single" w:color="1D6F42" w:sz="12"/>
              <w:bottom w:val="single" w:color="1D6F42" w:sz="3"/>
              <w:right w:val="single" w:color="1D6F42" w:sz="3"/>
            </w:tcBorders>
            <w:shd w:fill="F0FFF4" w:val="clear"/>
            <w:tcMar>
              <w:top w:type="dxa" w:w="120"/>
              <w:left w:type="dxa" w:w="200"/>
              <w:bottom w:type="dxa" w:w="120"/>
              <w:right w:type="dxa" w:w="200"/>
            </w:tcMar>
          </w:tcPr>
          <w:p>
            <w:r>
              <w:rPr>
                <w:rFonts w:ascii="Arial" w:cs="Arial" w:eastAsia="Arial" w:hAnsi="Arial"/>
                <w:b/>
                <w:bCs/>
                <w:color w:val="1D6F42"/>
                <w:sz w:val="22"/>
                <w:szCs w:val="22"/>
              </w:rPr>
              <w:t xml:space="preserve">Mitigation</w:t>
            </w:r>
          </w:p>
          <w:p>
            <w:r>
              <w:rPr>
                <w:rFonts w:ascii="Arial" w:cs="Arial" w:eastAsia="Arial" w:hAnsi="Arial"/>
                <w:color w:val="444444"/>
                <w:sz w:val="20"/>
                <w:szCs w:val="20"/>
              </w:rPr>
              <w:t xml:space="preserve">The classify() method accepts a method parameter so the best classifier can be selected per use case. The keyword method is fast and deterministic for clear domain questions. The LLM method handles ambiguous cases.</w:t>
            </w:r>
          </w:p>
        </w:tc>
      </w:tr>
    </w:tbl>
    <w:p>
      <w:pPr>
        <w:spacing w:before="200" w:after="0"/>
      </w:pPr>
    </w:p>
    <w:p>
      <w:pPr>
        <w:pStyle w:val="Heading2"/>
        <w:spacing w:before="280" w:after="140"/>
      </w:pPr>
      <w:r>
        <w:rPr>
          <w:rFonts w:ascii="Arial" w:cs="Arial" w:eastAsia="Arial" w:hAnsi="Arial"/>
          <w:b/>
          <w:bCs/>
          <w:color w:val="2E75B6"/>
          <w:sz w:val="26"/>
          <w:szCs w:val="26"/>
        </w:rPr>
        <w:t xml:space="preserve">Step 2 — Paper Retrieval</w:t>
      </w:r>
    </w:p>
    <w:p>
      <w:pPr>
        <w:spacing w:before="80" w:after="80"/>
      </w:pPr>
      <w:r>
        <w:rPr>
          <w:rFonts w:ascii="Arial" w:cs="Arial" w:eastAsia="Arial" w:hAnsi="Arial"/>
          <w:sz w:val="22"/>
          <w:szCs w:val="22"/>
        </w:rPr>
        <w:t xml:space="preserve">File: pipeline/paper_retriever.py</w:t>
      </w:r>
    </w:p>
    <w:p>
      <w:pPr>
        <w:spacing w:before="80" w:after="0"/>
      </w:pPr>
    </w:p>
    <w:p>
      <w:pPr>
        <w:spacing w:before="80" w:after="80"/>
      </w:pPr>
      <w:r>
        <w:rPr>
          <w:rFonts w:ascii="Arial" w:cs="Arial" w:eastAsia="Arial" w:hAnsi="Arial"/>
          <w:sz w:val="22"/>
          <w:szCs w:val="22"/>
        </w:rPr>
        <w:t xml:space="preserve">The PaperRetriever fetches scientific papers from external APIs based on the question and detected domain. Papers are retrieved fresh for every query. There is no stored dataset. The retriever returns Paper objects containing paper_id, title, abstract, year, citation_count, authors, and source.</w:t>
      </w:r>
    </w:p>
    <w:p>
      <w:pPr>
        <w:spacing w:before="120" w:after="0"/>
      </w:pPr>
    </w:p>
    <w:p>
      <w:pPr>
        <w:pStyle w:val="Heading3"/>
        <w:spacing w:before="200" w:after="100"/>
      </w:pPr>
      <w:r>
        <w:rPr>
          <w:rFonts w:ascii="Arial" w:cs="Arial" w:eastAsia="Arial" w:hAnsi="Arial"/>
          <w:b/>
          <w:bCs/>
          <w:color w:val="404040"/>
          <w:sz w:val="22"/>
          <w:szCs w:val="22"/>
        </w:rPr>
        <w:t xml:space="preserve">Two-source architecture</w:t>
      </w:r>
    </w:p>
    <w:p>
      <w:pPr>
        <w:pStyle w:val="ListParagraph"/>
        <w:numPr>
          <w:ilvl w:val="0"/>
          <w:numId w:val="2"/>
        </w:numPr>
        <w:spacing w:before="60" w:after="60"/>
      </w:pPr>
      <w:r>
        <w:rPr>
          <w:rFonts w:ascii="Arial" w:cs="Arial" w:eastAsia="Arial" w:hAnsi="Arial"/>
          <w:b w:val="false"/>
          <w:bCs w:val="false"/>
          <w:sz w:val="22"/>
          <w:szCs w:val="22"/>
        </w:rPr>
        <w:t xml:space="preserve">Primary source — Semantic Scholar: returns paperId, title, abstract, year, citation count, and authors via the graph/v1/paper/search endpoint. If a SEMANTIC_SCHOLAR_API_KEY is set in the environment, it is passed as a request header to unlock higher rate limits.</w:t>
      </w:r>
    </w:p>
    <w:p>
      <w:pPr>
        <w:pStyle w:val="ListParagraph"/>
        <w:numPr>
          <w:ilvl w:val="0"/>
          <w:numId w:val="2"/>
        </w:numPr>
        <w:spacing w:before="60" w:after="60"/>
      </w:pPr>
      <w:r>
        <w:rPr>
          <w:rFonts w:ascii="Arial" w:cs="Arial" w:eastAsia="Arial" w:hAnsi="Arial"/>
          <w:b w:val="false"/>
          <w:bCs w:val="false"/>
          <w:sz w:val="22"/>
          <w:szCs w:val="22"/>
        </w:rPr>
        <w:t xml:space="preserve">Fallback source — OpenAlex: used automatically when Semantic Scholar returns empty results or exhausts its retry limit. OpenAlex abstracts are stored as inverted indexes and must be reconstructed into readable text using a rebuild_abstract() method.</w:t>
      </w:r>
    </w:p>
    <w:p>
      <w:pPr>
        <w:spacing w:before="120" w:after="0"/>
      </w:pPr>
    </w:p>
    <w:p>
      <w:pPr>
        <w:pStyle w:val="Heading3"/>
        <w:spacing w:before="200" w:after="100"/>
      </w:pPr>
      <w:r>
        <w:rPr>
          <w:rFonts w:ascii="Arial" w:cs="Arial" w:eastAsia="Arial" w:hAnsi="Arial"/>
          <w:b/>
          <w:bCs/>
          <w:color w:val="404040"/>
          <w:sz w:val="22"/>
          <w:szCs w:val="22"/>
        </w:rPr>
        <w:t xml:space="preserve">Query construction</w:t>
      </w:r>
    </w:p>
    <w:p>
      <w:pPr>
        <w:spacing w:before="80" w:after="80"/>
      </w:pPr>
      <w:r>
        <w:rPr>
          <w:rFonts w:ascii="Arial" w:cs="Arial" w:eastAsia="Arial" w:hAnsi="Arial"/>
          <w:sz w:val="22"/>
          <w:szCs w:val="22"/>
        </w:rPr>
        <w:t xml:space="preserve">The build_query() method removes common stop words from the question, appends the detected domain, and returns a clean search string. For example, the question 'What fungal diseases affect wheat crops in humid environments?' becomes 'fungal diseases wheat crops humid environments Agriculture'.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12"/>
              <w:bottom w:val="single" w:color="C55A11" w:sz="3"/>
              <w:right w:val="single" w:color="C55A11" w:sz="3"/>
            </w:tcBorders>
            <w:shd w:fill="FFF4EC" w:val="clear"/>
            <w:tcMar>
              <w:top w:type="dxa" w:w="120"/>
              <w:left w:type="dxa" w:w="200"/>
              <w:bottom w:type="dxa" w:w="120"/>
              <w:right w:type="dxa" w:w="200"/>
            </w:tcMar>
          </w:tcPr>
          <w:p>
            <w:r>
              <w:rPr>
                <w:rFonts w:ascii="Arial" w:cs="Arial" w:eastAsia="Arial" w:hAnsi="Arial"/>
                <w:b/>
                <w:bCs/>
                <w:color w:val="C55A11"/>
                <w:sz w:val="22"/>
                <w:szCs w:val="22"/>
              </w:rPr>
              <w:t xml:space="preserve">Problem — Semantic Scholar rate limiting (HTTP 429)</w:t>
            </w:r>
          </w:p>
          <w:p>
            <w:r>
              <w:rPr>
                <w:rFonts w:ascii="Arial" w:cs="Arial" w:eastAsia="Arial" w:hAnsi="Arial"/>
                <w:color w:val="444444"/>
                <w:sz w:val="20"/>
                <w:szCs w:val="20"/>
              </w:rPr>
              <w:t xml:space="preserve">During development and all benchmark runs, Semantic Scholar returned HTTP 429 rate limit errors on every request. The system exhausted all three retries before falling back to OpenAlex on every query. This meant all paper retrieval came from OpenAlex, which is a general academic index and does not prioritize domain-specific results as effectively as Semantic Scholar.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42" w:sz="3"/>
              <w:left w:val="single" w:color="1D6F42" w:sz="12"/>
              <w:bottom w:val="single" w:color="1D6F42" w:sz="3"/>
              <w:right w:val="single" w:color="1D6F42" w:sz="3"/>
            </w:tcBorders>
            <w:shd w:fill="F0FFF4" w:val="clear"/>
            <w:tcMar>
              <w:top w:type="dxa" w:w="120"/>
              <w:left w:type="dxa" w:w="200"/>
              <w:bottom w:type="dxa" w:w="120"/>
              <w:right w:type="dxa" w:w="200"/>
            </w:tcMar>
          </w:tcPr>
          <w:p>
            <w:r>
              <w:rPr>
                <w:rFonts w:ascii="Arial" w:cs="Arial" w:eastAsia="Arial" w:hAnsi="Arial"/>
                <w:b/>
                <w:bCs/>
                <w:color w:val="1D6F42"/>
                <w:sz w:val="22"/>
                <w:szCs w:val="22"/>
              </w:rPr>
              <w:t xml:space="preserve">Solution applied</w:t>
            </w:r>
          </w:p>
          <w:p>
            <w:r>
              <w:rPr>
                <w:rFonts w:ascii="Arial" w:cs="Arial" w:eastAsia="Arial" w:hAnsi="Arial"/>
                <w:color w:val="444444"/>
                <w:sz w:val="20"/>
                <w:szCs w:val="20"/>
              </w:rPr>
              <w:t xml:space="preserve">Retry logic with 3 attempts and a 2-second delay was implemented. OpenAlex fallback with abstract reconstruction was implemented and confirmed working. SEMANTIC_SCHOLAR_API_KEY support was added — once set, authenticated requests receive a significantly higher rate limit and 429 errors disappear.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12"/>
              <w:bottom w:val="single" w:color="C55A11" w:sz="3"/>
              <w:right w:val="single" w:color="C55A11" w:sz="3"/>
            </w:tcBorders>
            <w:shd w:fill="FFF4EC" w:val="clear"/>
            <w:tcMar>
              <w:top w:type="dxa" w:w="120"/>
              <w:left w:type="dxa" w:w="200"/>
              <w:bottom w:type="dxa" w:w="120"/>
              <w:right w:type="dxa" w:w="200"/>
            </w:tcMar>
          </w:tcPr>
          <w:p>
            <w:r>
              <w:rPr>
                <w:rFonts w:ascii="Arial" w:cs="Arial" w:eastAsia="Arial" w:hAnsi="Arial"/>
                <w:b/>
                <w:bCs/>
                <w:color w:val="C55A11"/>
                <w:sz w:val="22"/>
                <w:szCs w:val="22"/>
              </w:rPr>
              <w:t xml:space="preserve">Limitation — OpenAlex result relevance</w:t>
            </w:r>
          </w:p>
          <w:p>
            <w:r>
              <w:rPr>
                <w:rFonts w:ascii="Arial" w:cs="Arial" w:eastAsia="Arial" w:hAnsi="Arial"/>
                <w:color w:val="444444"/>
                <w:sz w:val="20"/>
                <w:szCs w:val="20"/>
              </w:rPr>
              <w:t xml:space="preserve">OpenAlex retrieves highly cited general papers rather than the most topically specific ones. For the question about wheat fungal diseases, it returned papers about general climate change effects on agriculture rather than papers specifically about fungal pathogens. This reduced the specificity of entities extracted in Step 4.</w:t>
            </w:r>
          </w:p>
        </w:tc>
      </w:tr>
    </w:tbl>
    <w:p>
      <w:pPr>
        <w:spacing w:before="200" w:after="0"/>
      </w:pPr>
    </w:p>
    <w:p>
      <w:pPr>
        <w:pStyle w:val="Heading2"/>
        <w:spacing w:before="280" w:after="140"/>
      </w:pPr>
      <w:r>
        <w:rPr>
          <w:rFonts w:ascii="Arial" w:cs="Arial" w:eastAsia="Arial" w:hAnsi="Arial"/>
          <w:b/>
          <w:bCs/>
          <w:color w:val="2E75B6"/>
          <w:sz w:val="26"/>
          <w:szCs w:val="26"/>
        </w:rPr>
        <w:t xml:space="preserve">Step 3 — Paper Filtering</w:t>
      </w:r>
    </w:p>
    <w:p>
      <w:pPr>
        <w:spacing w:before="80" w:after="80"/>
      </w:pPr>
      <w:r>
        <w:rPr>
          <w:rFonts w:ascii="Arial" w:cs="Arial" w:eastAsia="Arial" w:hAnsi="Arial"/>
          <w:sz w:val="22"/>
          <w:szCs w:val="22"/>
        </w:rPr>
        <w:t xml:space="preserve">File: pipeline/paper_filter.py</w:t>
      </w:r>
    </w:p>
    <w:p>
      <w:pPr>
        <w:spacing w:before="80" w:after="0"/>
      </w:pPr>
    </w:p>
    <w:p>
      <w:pPr>
        <w:spacing w:before="80" w:after="80"/>
      </w:pPr>
      <w:r>
        <w:rPr>
          <w:rFonts w:ascii="Arial" w:cs="Arial" w:eastAsia="Arial" w:hAnsi="Arial"/>
          <w:sz w:val="22"/>
          <w:szCs w:val="22"/>
        </w:rPr>
        <w:t xml:space="preserve">The PaperFilter reduces the raw list of up to 50 retrieved papers down to the 30 most relevant ones. This filtered set is passed to the entity extractor. Smaller, more focused input produces a denser and more useful graph.</w:t>
      </w:r>
    </w:p>
    <w:p>
      <w:pPr>
        <w:spacing w:before="120" w:after="0"/>
      </w:pPr>
    </w:p>
    <w:p>
      <w:pPr>
        <w:pStyle w:val="Heading3"/>
        <w:spacing w:before="200" w:after="100"/>
      </w:pPr>
      <w:r>
        <w:rPr>
          <w:rFonts w:ascii="Arial" w:cs="Arial" w:eastAsia="Arial" w:hAnsi="Arial"/>
          <w:b/>
          <w:bCs/>
          <w:color w:val="404040"/>
          <w:sz w:val="22"/>
          <w:szCs w:val="22"/>
        </w:rPr>
        <w:t xml:space="preserve">Filtering pipeline</w:t>
      </w:r>
    </w:p>
    <w:p>
      <w:pPr>
        <w:pStyle w:val="ListParagraph"/>
        <w:numPr>
          <w:ilvl w:val="0"/>
          <w:numId w:val="2"/>
        </w:numPr>
        <w:spacing w:before="60" w:after="60"/>
      </w:pPr>
      <w:r>
        <w:rPr>
          <w:rFonts w:ascii="Arial" w:cs="Arial" w:eastAsia="Arial" w:hAnsi="Arial"/>
          <w:b w:val="false"/>
          <w:bCs w:val="false"/>
          <w:sz w:val="22"/>
          <w:szCs w:val="22"/>
        </w:rPr>
        <w:t xml:space="preserve">Abstract filter: removes papers with no abstract or abstracts shorter than 50 characters. These papers cannot contribute entities and would waste LLM extraction calls.</w:t>
      </w:r>
    </w:p>
    <w:p>
      <w:pPr>
        <w:pStyle w:val="ListParagraph"/>
        <w:numPr>
          <w:ilvl w:val="0"/>
          <w:numId w:val="2"/>
        </w:numPr>
        <w:spacing w:before="60" w:after="60"/>
      </w:pPr>
      <w:r>
        <w:rPr>
          <w:rFonts w:ascii="Arial" w:cs="Arial" w:eastAsia="Arial" w:hAnsi="Arial"/>
          <w:b w:val="false"/>
          <w:bCs w:val="false"/>
          <w:sz w:val="22"/>
          <w:szCs w:val="22"/>
        </w:rPr>
        <w:t xml:space="preserve">Date filter: removes papers published before the year 2000. Scientific knowledge before this threshold is generally superseded and may introduce outdated entities.</w:t>
      </w:r>
    </w:p>
    <w:p>
      <w:pPr>
        <w:pStyle w:val="ListParagraph"/>
        <w:numPr>
          <w:ilvl w:val="0"/>
          <w:numId w:val="2"/>
        </w:numPr>
        <w:spacing w:before="60" w:after="60"/>
      </w:pPr>
      <w:r>
        <w:rPr>
          <w:rFonts w:ascii="Arial" w:cs="Arial" w:eastAsia="Arial" w:hAnsi="Arial"/>
          <w:b w:val="false"/>
          <w:bCs w:val="false"/>
          <w:sz w:val="22"/>
          <w:szCs w:val="22"/>
        </w:rPr>
        <w:t xml:space="preserve">Relevance ranking: embeds both the question and each paper's title concatenated with its abstract using sentence-transformers. Cosine similarity is computed between the question embedding and each paper embedding. Papers are sorted by this score and a relevance_score attribute is attached to each Paper object.</w:t>
      </w:r>
    </w:p>
    <w:p>
      <w:pPr>
        <w:pStyle w:val="ListParagraph"/>
        <w:numPr>
          <w:ilvl w:val="0"/>
          <w:numId w:val="2"/>
        </w:numPr>
        <w:spacing w:before="60" w:after="60"/>
      </w:pPr>
      <w:r>
        <w:rPr>
          <w:rFonts w:ascii="Arial" w:cs="Arial" w:eastAsia="Arial" w:hAnsi="Arial"/>
          <w:b w:val="false"/>
          <w:bCs w:val="false"/>
          <w:sz w:val="22"/>
          <w:szCs w:val="22"/>
        </w:rPr>
        <w:t xml:space="preserve">Top-K selection: the top 30 papers by relevance score are returned after all filters are applied.</w:t>
      </w:r>
    </w:p>
    <w:p>
      <w:pPr>
        <w:spacing w:before="120" w:after="0"/>
      </w:pPr>
    </w:p>
    <w:p>
      <w:pPr>
        <w:spacing w:before="80" w:after="80"/>
      </w:pPr>
      <w:r>
        <w:rPr>
          <w:rFonts w:ascii="Arial" w:cs="Arial" w:eastAsia="Arial" w:hAnsi="Arial"/>
          <w:sz w:val="22"/>
          <w:szCs w:val="22"/>
        </w:rPr>
        <w:t xml:space="preserve">In practice, after abstract and date filtering, the 20-paper OpenAlex results typically reduced to 15 papers, of which the top 5 were kept for the benchmark runs. This small number contributed to sparse graphs in some queries.</w:t>
      </w:r>
    </w:p>
    <w:p>
      <w:pPr>
        <w:spacing w:before="200" w:after="0"/>
      </w:pPr>
    </w:p>
    <w:p>
      <w:pPr>
        <w:pStyle w:val="Heading2"/>
        <w:spacing w:before="280" w:after="140"/>
      </w:pPr>
      <w:r>
        <w:rPr>
          <w:rFonts w:ascii="Arial" w:cs="Arial" w:eastAsia="Arial" w:hAnsi="Arial"/>
          <w:b/>
          <w:bCs/>
          <w:color w:val="2E75B6"/>
          <w:sz w:val="26"/>
          <w:szCs w:val="26"/>
        </w:rPr>
        <w:t xml:space="preserve">Step 4 — Entity and Relation Extraction</w:t>
      </w:r>
    </w:p>
    <w:p>
      <w:pPr>
        <w:spacing w:before="80" w:after="80"/>
      </w:pPr>
      <w:r>
        <w:rPr>
          <w:rFonts w:ascii="Arial" w:cs="Arial" w:eastAsia="Arial" w:hAnsi="Arial"/>
          <w:sz w:val="22"/>
          <w:szCs w:val="22"/>
        </w:rPr>
        <w:t xml:space="preserve">File: pipeline/entity_extractor.py</w:t>
      </w:r>
    </w:p>
    <w:p>
      <w:pPr>
        <w:spacing w:before="80" w:after="0"/>
      </w:pPr>
    </w:p>
    <w:p>
      <w:pPr>
        <w:spacing w:before="80" w:after="80"/>
      </w:pPr>
      <w:r>
        <w:rPr>
          <w:rFonts w:ascii="Arial" w:cs="Arial" w:eastAsia="Arial" w:hAnsi="Arial"/>
          <w:sz w:val="22"/>
          <w:szCs w:val="22"/>
        </w:rPr>
        <w:t xml:space="preserve">The EntityExtractor processes each filtered paper abstract using the Groq LLM and extracts structured entities and relationships. This step converts unstructured text into graph-ready data. The extraction prompt was updated to be question-aware, instructing the model to prioritize entities relevant to the user's specific question.</w:t>
      </w:r>
    </w:p>
    <w:p>
      <w:pPr>
        <w:spacing w:before="120" w:after="0"/>
      </w:pPr>
    </w:p>
    <w:p>
      <w:pPr>
        <w:pStyle w:val="Heading3"/>
        <w:spacing w:before="200" w:after="100"/>
      </w:pPr>
      <w:r>
        <w:rPr>
          <w:rFonts w:ascii="Arial" w:cs="Arial" w:eastAsia="Arial" w:hAnsi="Arial"/>
          <w:b/>
          <w:bCs/>
          <w:color w:val="404040"/>
          <w:sz w:val="22"/>
          <w:szCs w:val="22"/>
        </w:rPr>
        <w:t xml:space="preserve">Entity types</w:t>
      </w:r>
    </w:p>
    <w:p>
      <w:pPr>
        <w:pStyle w:val="ListParagraph"/>
        <w:numPr>
          <w:ilvl w:val="0"/>
          <w:numId w:val="2"/>
        </w:numPr>
        <w:spacing w:before="60" w:after="60"/>
      </w:pPr>
      <w:r>
        <w:rPr>
          <w:rFonts w:ascii="Arial" w:cs="Arial" w:eastAsia="Arial" w:hAnsi="Arial"/>
          <w:b w:val="false"/>
          <w:bCs w:val="false"/>
          <w:sz w:val="22"/>
          <w:szCs w:val="22"/>
        </w:rPr>
        <w:t xml:space="preserve">Crop / Organism — e.g. Wheat, Rust fungus</w:t>
      </w:r>
    </w:p>
    <w:p>
      <w:pPr>
        <w:pStyle w:val="ListParagraph"/>
        <w:numPr>
          <w:ilvl w:val="0"/>
          <w:numId w:val="2"/>
        </w:numPr>
        <w:spacing w:before="60" w:after="60"/>
      </w:pPr>
      <w:r>
        <w:rPr>
          <w:rFonts w:ascii="Arial" w:cs="Arial" w:eastAsia="Arial" w:hAnsi="Arial"/>
          <w:b w:val="false"/>
          <w:bCs w:val="false"/>
          <w:sz w:val="22"/>
          <w:szCs w:val="22"/>
        </w:rPr>
        <w:t xml:space="preserve">Disease / Condition — e.g. Powdery mildew, Plant disease</w:t>
      </w:r>
    </w:p>
    <w:p>
      <w:pPr>
        <w:pStyle w:val="ListParagraph"/>
        <w:numPr>
          <w:ilvl w:val="0"/>
          <w:numId w:val="2"/>
        </w:numPr>
        <w:spacing w:before="60" w:after="60"/>
      </w:pPr>
      <w:r>
        <w:rPr>
          <w:rFonts w:ascii="Arial" w:cs="Arial" w:eastAsia="Arial" w:hAnsi="Arial"/>
          <w:b w:val="false"/>
          <w:bCs w:val="false"/>
          <w:sz w:val="22"/>
          <w:szCs w:val="22"/>
        </w:rPr>
        <w:t xml:space="preserve">Treatment / Method — e.g. Fungicide, Biological control</w:t>
      </w:r>
    </w:p>
    <w:p>
      <w:pPr>
        <w:pStyle w:val="ListParagraph"/>
        <w:numPr>
          <w:ilvl w:val="0"/>
          <w:numId w:val="2"/>
        </w:numPr>
        <w:spacing w:before="60" w:after="60"/>
      </w:pPr>
      <w:r>
        <w:rPr>
          <w:rFonts w:ascii="Arial" w:cs="Arial" w:eastAsia="Arial" w:hAnsi="Arial"/>
          <w:b w:val="false"/>
          <w:bCs w:val="false"/>
          <w:sz w:val="22"/>
          <w:szCs w:val="22"/>
        </w:rPr>
        <w:t xml:space="preserve">Environment / Location — e.g. Humid climate, Tropical region</w:t>
      </w:r>
    </w:p>
    <w:p>
      <w:pPr>
        <w:pStyle w:val="ListParagraph"/>
        <w:numPr>
          <w:ilvl w:val="0"/>
          <w:numId w:val="2"/>
        </w:numPr>
        <w:spacing w:before="60" w:after="60"/>
      </w:pPr>
      <w:r>
        <w:rPr>
          <w:rFonts w:ascii="Arial" w:cs="Arial" w:eastAsia="Arial" w:hAnsi="Arial"/>
          <w:b w:val="false"/>
          <w:bCs w:val="false"/>
          <w:sz w:val="22"/>
          <w:szCs w:val="22"/>
        </w:rPr>
        <w:t xml:space="preserve">Cause / Factor — e.g. Climate change, Drought</w:t>
      </w:r>
    </w:p>
    <w:p>
      <w:pPr>
        <w:pStyle w:val="ListParagraph"/>
        <w:numPr>
          <w:ilvl w:val="0"/>
          <w:numId w:val="2"/>
        </w:numPr>
        <w:spacing w:before="60" w:after="60"/>
      </w:pPr>
      <w:r>
        <w:rPr>
          <w:rFonts w:ascii="Arial" w:cs="Arial" w:eastAsia="Arial" w:hAnsi="Arial"/>
          <w:b w:val="false"/>
          <w:bCs w:val="false"/>
          <w:sz w:val="22"/>
          <w:szCs w:val="22"/>
        </w:rPr>
        <w:t xml:space="preserve">Effect / Outcome — e.g. Yield loss, Crop failure</w:t>
      </w:r>
    </w:p>
    <w:p>
      <w:pPr>
        <w:spacing w:before="120" w:after="0"/>
      </w:pPr>
    </w:p>
    <w:p>
      <w:pPr>
        <w:pStyle w:val="Heading3"/>
        <w:spacing w:before="200" w:after="100"/>
      </w:pPr>
      <w:r>
        <w:rPr>
          <w:rFonts w:ascii="Arial" w:cs="Arial" w:eastAsia="Arial" w:hAnsi="Arial"/>
          <w:b/>
          <w:bCs/>
          <w:color w:val="404040"/>
          <w:sz w:val="22"/>
          <w:szCs w:val="22"/>
        </w:rPr>
        <w:t xml:space="preserve">Relation types</w:t>
      </w:r>
    </w:p>
    <w:p>
      <w:pPr>
        <w:pStyle w:val="ListParagraph"/>
        <w:numPr>
          <w:ilvl w:val="0"/>
          <w:numId w:val="2"/>
        </w:numPr>
        <w:spacing w:before="60" w:after="60"/>
      </w:pPr>
      <w:r>
        <w:rPr>
          <w:rFonts w:ascii="Arial" w:cs="Arial" w:eastAsia="Arial" w:hAnsi="Arial"/>
          <w:b w:val="false"/>
          <w:bCs w:val="false"/>
          <w:sz w:val="22"/>
          <w:szCs w:val="22"/>
        </w:rPr>
        <w:t xml:space="preserve">affects, treats, occurs_in, caused_by, leads_to, detected_by, studied_in</w:t>
      </w:r>
    </w:p>
    <w:p>
      <w:pPr>
        <w:spacing w:before="120" w:after="0"/>
      </w:pPr>
    </w:p>
    <w:p>
      <w:pPr>
        <w:pStyle w:val="Heading3"/>
        <w:spacing w:before="200" w:after="100"/>
      </w:pPr>
      <w:r>
        <w:rPr>
          <w:rFonts w:ascii="Arial" w:cs="Arial" w:eastAsia="Arial" w:hAnsi="Arial"/>
          <w:b/>
          <w:bCs/>
          <w:color w:val="404040"/>
          <w:sz w:val="22"/>
          <w:szCs w:val="22"/>
        </w:rPr>
        <w:t xml:space="preserve">Extraction prompt design</w:t>
      </w:r>
    </w:p>
    <w:p>
      <w:pPr>
        <w:spacing w:before="80" w:after="80"/>
      </w:pPr>
      <w:r>
        <w:rPr>
          <w:rFonts w:ascii="Arial" w:cs="Arial" w:eastAsia="Arial" w:hAnsi="Arial"/>
          <w:sz w:val="22"/>
          <w:szCs w:val="22"/>
        </w:rPr>
        <w:t xml:space="preserve">The prompt instructs the model to return only a valid JSON object with no markdown, no explanation, and no preamble. The user question is injected at the top of the prompt to focus extraction. JSON parsing failures are caught per paper — if a paper fails, it is skipped with a logged warning and the pipeline continues.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12"/>
              <w:bottom w:val="single" w:color="C55A11" w:sz="3"/>
              <w:right w:val="single" w:color="C55A11" w:sz="3"/>
            </w:tcBorders>
            <w:shd w:fill="FFF4EC" w:val="clear"/>
            <w:tcMar>
              <w:top w:type="dxa" w:w="120"/>
              <w:left w:type="dxa" w:w="200"/>
              <w:bottom w:type="dxa" w:w="120"/>
              <w:right w:type="dxa" w:w="200"/>
            </w:tcMar>
          </w:tcPr>
          <w:p>
            <w:r>
              <w:rPr>
                <w:rFonts w:ascii="Arial" w:cs="Arial" w:eastAsia="Arial" w:hAnsi="Arial"/>
                <w:b/>
                <w:bCs/>
                <w:color w:val="C55A11"/>
                <w:sz w:val="22"/>
                <w:szCs w:val="22"/>
              </w:rPr>
              <w:t xml:space="preserve">Problem — LLM extraction inconsistency</w:t>
            </w:r>
          </w:p>
          <w:p>
            <w:r>
              <w:rPr>
                <w:rFonts w:ascii="Arial" w:cs="Arial" w:eastAsia="Arial" w:hAnsi="Arial"/>
                <w:color w:val="444444"/>
                <w:sz w:val="20"/>
                <w:szCs w:val="20"/>
              </w:rPr>
              <w:t xml:space="preserve">The Groq LLM occasionally returned malformed JSON or included markdown fences despite the explicit instruction not to. Some abstracts produced zero entities because the model returned an empty object or a text explanation instead of JSON.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42" w:sz="3"/>
              <w:left w:val="single" w:color="1D6F42" w:sz="12"/>
              <w:bottom w:val="single" w:color="1D6F42" w:sz="3"/>
              <w:right w:val="single" w:color="1D6F42" w:sz="3"/>
            </w:tcBorders>
            <w:shd w:fill="F0FFF4" w:val="clear"/>
            <w:tcMar>
              <w:top w:type="dxa" w:w="120"/>
              <w:left w:type="dxa" w:w="200"/>
              <w:bottom w:type="dxa" w:w="120"/>
              <w:right w:type="dxa" w:w="200"/>
            </w:tcMar>
          </w:tcPr>
          <w:p>
            <w:r>
              <w:rPr>
                <w:rFonts w:ascii="Arial" w:cs="Arial" w:eastAsia="Arial" w:hAnsi="Arial"/>
                <w:b/>
                <w:bCs/>
                <w:color w:val="1D6F42"/>
                <w:sz w:val="22"/>
                <w:szCs w:val="22"/>
              </w:rPr>
              <w:t xml:space="preserve">Solution applied</w:t>
            </w:r>
          </w:p>
          <w:p>
            <w:r>
              <w:rPr>
                <w:rFonts w:ascii="Arial" w:cs="Arial" w:eastAsia="Arial" w:hAnsi="Arial"/>
                <w:color w:val="444444"/>
                <w:sz w:val="20"/>
                <w:szCs w:val="20"/>
              </w:rPr>
              <w:t xml:space="preserve">A try/except block wraps every JSON parse. Papers that fail parsing are logged and skipped. Entity IDs are generated by slugifying the label (lowercase, spaces to underscores) which prevents duplicate nodes from minor label variations like 'wheat' vs 'Wheat'.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12"/>
              <w:bottom w:val="single" w:color="C55A11" w:sz="3"/>
              <w:right w:val="single" w:color="C55A11" w:sz="3"/>
            </w:tcBorders>
            <w:shd w:fill="FFF4EC" w:val="clear"/>
            <w:tcMar>
              <w:top w:type="dxa" w:w="120"/>
              <w:left w:type="dxa" w:w="200"/>
              <w:bottom w:type="dxa" w:w="120"/>
              <w:right w:type="dxa" w:w="200"/>
            </w:tcMar>
          </w:tcPr>
          <w:p>
            <w:r>
              <w:rPr>
                <w:rFonts w:ascii="Arial" w:cs="Arial" w:eastAsia="Arial" w:hAnsi="Arial"/>
                <w:b/>
                <w:bCs/>
                <w:color w:val="C55A11"/>
                <w:sz w:val="22"/>
                <w:szCs w:val="22"/>
              </w:rPr>
              <w:t xml:space="preserve">Limitation — Generic entity extraction from general papers</w:t>
            </w:r>
          </w:p>
          <w:p>
            <w:r>
              <w:rPr>
                <w:rFonts w:ascii="Arial" w:cs="Arial" w:eastAsia="Arial" w:hAnsi="Arial"/>
                <w:color w:val="444444"/>
                <w:sz w:val="20"/>
                <w:szCs w:val="20"/>
              </w:rPr>
              <w:t xml:space="preserve">Because OpenAlex returned general climate-agriculture papers, the extracted entities reflected that generality. The graph ended up containing 'climate change' as the dominant hub node rather than specific fungal pathogens like rust or powdery mildew. This reduced the specificity of the retrieved subgraph.</w:t>
            </w:r>
          </w:p>
        </w:tc>
      </w:tr>
    </w:tbl>
    <w:p>
      <w:pPr>
        <w:spacing w:before="200" w:after="0"/>
      </w:pPr>
    </w:p>
    <w:p>
      <w:pPr>
        <w:pStyle w:val="Heading2"/>
        <w:spacing w:before="280" w:after="140"/>
      </w:pPr>
      <w:r>
        <w:rPr>
          <w:rFonts w:ascii="Arial" w:cs="Arial" w:eastAsia="Arial" w:hAnsi="Arial"/>
          <w:b/>
          <w:bCs/>
          <w:color w:val="2E75B6"/>
          <w:sz w:val="26"/>
          <w:szCs w:val="26"/>
        </w:rPr>
        <w:t xml:space="preserve">Step 5 — Knowledge Graph Construction</w:t>
      </w:r>
    </w:p>
    <w:p>
      <w:pPr>
        <w:spacing w:before="80" w:after="80"/>
      </w:pPr>
      <w:r>
        <w:rPr>
          <w:rFonts w:ascii="Arial" w:cs="Arial" w:eastAsia="Arial" w:hAnsi="Arial"/>
          <w:sz w:val="22"/>
          <w:szCs w:val="22"/>
        </w:rPr>
        <w:t xml:space="preserve">File: pipeline/graph_builder.py</w:t>
      </w:r>
    </w:p>
    <w:p>
      <w:pPr>
        <w:spacing w:before="80" w:after="0"/>
      </w:pPr>
    </w:p>
    <w:p>
      <w:pPr>
        <w:spacing w:before="80" w:after="80"/>
      </w:pPr>
      <w:r>
        <w:rPr>
          <w:rFonts w:ascii="Arial" w:cs="Arial" w:eastAsia="Arial" w:hAnsi="Arial"/>
          <w:sz w:val="22"/>
          <w:szCs w:val="22"/>
        </w:rPr>
        <w:t xml:space="preserve">The GraphBuilder assembles a temporary directed knowledge graph from the extracted entities and relations using NetworkX. This is the core of the dynamic GraphRAG approach. The graph is never stored as a class attribute, never written to a database, and never reused across queries.</w:t>
      </w:r>
    </w:p>
    <w:p>
      <w:pPr>
        <w:spacing w:before="120" w:after="0"/>
      </w:pPr>
    </w:p>
    <w:p>
      <w:pPr>
        <w:pStyle w:val="Heading3"/>
        <w:spacing w:before="200" w:after="100"/>
      </w:pPr>
      <w:r>
        <w:rPr>
          <w:rFonts w:ascii="Arial" w:cs="Arial" w:eastAsia="Arial" w:hAnsi="Arial"/>
          <w:b/>
          <w:bCs/>
          <w:color w:val="404040"/>
          <w:sz w:val="22"/>
          <w:szCs w:val="22"/>
        </w:rPr>
        <w:t xml:space="preserve">Graph structure</w:t>
      </w:r>
    </w:p>
    <w:p>
      <w:pPr>
        <w:pStyle w:val="ListParagraph"/>
        <w:numPr>
          <w:ilvl w:val="0"/>
          <w:numId w:val="2"/>
        </w:numPr>
        <w:spacing w:before="60" w:after="60"/>
      </w:pPr>
      <w:r>
        <w:rPr>
          <w:rFonts w:ascii="Arial" w:cs="Arial" w:eastAsia="Arial" w:hAnsi="Arial"/>
          <w:b w:val="false"/>
          <w:bCs w:val="false"/>
          <w:sz w:val="22"/>
          <w:szCs w:val="22"/>
        </w:rPr>
        <w:t xml:space="preserve">Nodes: each entity becomes a node with attributes label, type, and source_paper_id</w:t>
      </w:r>
    </w:p>
    <w:p>
      <w:pPr>
        <w:pStyle w:val="ListParagraph"/>
        <w:numPr>
          <w:ilvl w:val="0"/>
          <w:numId w:val="2"/>
        </w:numPr>
        <w:spacing w:before="60" w:after="60"/>
      </w:pPr>
      <w:r>
        <w:rPr>
          <w:rFonts w:ascii="Arial" w:cs="Arial" w:eastAsia="Arial" w:hAnsi="Arial"/>
          <w:b w:val="false"/>
          <w:bCs w:val="false"/>
          <w:sz w:val="22"/>
          <w:szCs w:val="22"/>
        </w:rPr>
        <w:t xml:space="preserve">Edges: each relation becomes a directed edge with attributes relation_type and source_paper_id. An edge is only added if both its source and target nodes exist in the graph.</w:t>
      </w:r>
    </w:p>
    <w:p>
      <w:pPr>
        <w:pStyle w:val="ListParagraph"/>
        <w:numPr>
          <w:ilvl w:val="0"/>
          <w:numId w:val="2"/>
        </w:numPr>
        <w:spacing w:before="60" w:after="60"/>
      </w:pPr>
      <w:r>
        <w:rPr>
          <w:rFonts w:ascii="Arial" w:cs="Arial" w:eastAsia="Arial" w:hAnsi="Arial"/>
          <w:b w:val="false"/>
          <w:bCs w:val="false"/>
          <w:sz w:val="22"/>
          <w:szCs w:val="22"/>
        </w:rPr>
        <w:t xml:space="preserve">Subgraph retrieval: get_subgraph() traverses the graph up to a configurable depth from a set of seed entity ids and returns the neighborhood as a new directed graph.</w:t>
      </w:r>
    </w:p>
    <w:p>
      <w:pPr>
        <w:spacing w:before="120" w:after="0"/>
      </w:pPr>
    </w:p>
    <w:p>
      <w:pPr>
        <w:spacing w:before="80" w:after="80"/>
      </w:pPr>
      <w:r>
        <w:rPr>
          <w:rFonts w:ascii="Arial" w:cs="Arial" w:eastAsia="Arial" w:hAnsi="Arial"/>
          <w:sz w:val="22"/>
          <w:szCs w:val="22"/>
        </w:rPr>
        <w:t xml:space="preserve">A typical run on 5 filtered papers produces approximately 31 nodes and 19 edges. The graph summary method reports node count, edge count, entity type distribution, and the top 5 most connected nodes by degree.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12"/>
              <w:bottom w:val="single" w:color="C55A11" w:sz="3"/>
              <w:right w:val="single" w:color="C55A11" w:sz="3"/>
            </w:tcBorders>
            <w:shd w:fill="FFF4EC" w:val="clear"/>
            <w:tcMar>
              <w:top w:type="dxa" w:w="120"/>
              <w:left w:type="dxa" w:w="200"/>
              <w:bottom w:type="dxa" w:w="120"/>
              <w:right w:type="dxa" w:w="200"/>
            </w:tcMar>
          </w:tcPr>
          <w:p>
            <w:r>
              <w:rPr>
                <w:rFonts w:ascii="Arial" w:cs="Arial" w:eastAsia="Arial" w:hAnsi="Arial"/>
                <w:b/>
                <w:bCs/>
                <w:color w:val="C55A11"/>
                <w:sz w:val="22"/>
                <w:szCs w:val="22"/>
              </w:rPr>
              <w:t xml:space="preserve">Problem — Missing node edges</w:t>
            </w:r>
          </w:p>
          <w:p>
            <w:r>
              <w:rPr>
                <w:rFonts w:ascii="Arial" w:cs="Arial" w:eastAsia="Arial" w:hAnsi="Arial"/>
                <w:color w:val="444444"/>
                <w:sz w:val="20"/>
                <w:szCs w:val="20"/>
              </w:rPr>
              <w:t xml:space="preserve">On average 2 relations per run were skipped because one of the referenced entity ids did not exist as a node. This happened when the LLM used a slightly different label in the relations list than in the entities list — for example, 'climate_change' in entities but 'Climate Change' in relations before slugification.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42" w:sz="3"/>
              <w:left w:val="single" w:color="1D6F42" w:sz="12"/>
              <w:bottom w:val="single" w:color="1D6F42" w:sz="3"/>
              <w:right w:val="single" w:color="1D6F42" w:sz="3"/>
            </w:tcBorders>
            <w:shd w:fill="F0FFF4" w:val="clear"/>
            <w:tcMar>
              <w:top w:type="dxa" w:w="120"/>
              <w:left w:type="dxa" w:w="200"/>
              <w:bottom w:type="dxa" w:w="120"/>
              <w:right w:type="dxa" w:w="200"/>
            </w:tcMar>
          </w:tcPr>
          <w:p>
            <w:r>
              <w:rPr>
                <w:rFonts w:ascii="Arial" w:cs="Arial" w:eastAsia="Arial" w:hAnsi="Arial"/>
                <w:b/>
                <w:bCs/>
                <w:color w:val="1D6F42"/>
                <w:sz w:val="22"/>
                <w:szCs w:val="22"/>
              </w:rPr>
              <w:t xml:space="preserve">Solution applied</w:t>
            </w:r>
          </w:p>
          <w:p>
            <w:r>
              <w:rPr>
                <w:rFonts w:ascii="Arial" w:cs="Arial" w:eastAsia="Arial" w:hAnsi="Arial"/>
                <w:color w:val="444444"/>
                <w:sz w:val="20"/>
                <w:szCs w:val="20"/>
              </w:rPr>
              <w:t xml:space="preserve">Slugification is applied consistently to all entity ids before graph construction. Skipped edges are logged with a count so the issue is visible but does not break the pipeline.</w:t>
            </w:r>
          </w:p>
        </w:tc>
      </w:tr>
    </w:tbl>
    <w:p>
      <w:pPr>
        <w:spacing w:before="200" w:after="0"/>
      </w:pPr>
    </w:p>
    <w:p>
      <w:pPr>
        <w:pStyle w:val="Heading2"/>
        <w:spacing w:before="280" w:after="140"/>
      </w:pPr>
      <w:r>
        <w:rPr>
          <w:rFonts w:ascii="Arial" w:cs="Arial" w:eastAsia="Arial" w:hAnsi="Arial"/>
          <w:b/>
          <w:bCs/>
          <w:color w:val="2E75B6"/>
          <w:sz w:val="26"/>
          <w:szCs w:val="26"/>
        </w:rPr>
        <w:t xml:space="preserve">Step 6 — Graph-Based Retrieval</w:t>
      </w:r>
    </w:p>
    <w:p>
      <w:pPr>
        <w:spacing w:before="80" w:after="80"/>
      </w:pPr>
      <w:r>
        <w:rPr>
          <w:rFonts w:ascii="Arial" w:cs="Arial" w:eastAsia="Arial" w:hAnsi="Arial"/>
          <w:sz w:val="22"/>
          <w:szCs w:val="22"/>
        </w:rPr>
        <w:t xml:space="preserve">File: pipeline/graph_retriever.py</w:t>
      </w:r>
    </w:p>
    <w:p>
      <w:pPr>
        <w:spacing w:before="80" w:after="0"/>
      </w:pPr>
    </w:p>
    <w:p>
      <w:pPr>
        <w:spacing w:before="80" w:after="80"/>
      </w:pPr>
      <w:r>
        <w:rPr>
          <w:rFonts w:ascii="Arial" w:cs="Arial" w:eastAsia="Arial" w:hAnsi="Arial"/>
          <w:sz w:val="22"/>
          <w:szCs w:val="22"/>
        </w:rPr>
        <w:t xml:space="preserve">The GraphRetriever identifies the most relevant nodes in the graph as seed entities for the user question, extracts the neighborhood subgraph around those seeds, and serializes it into a structured text format for injection into the LLM prompt.</w:t>
      </w:r>
    </w:p>
    <w:p>
      <w:pPr>
        <w:spacing w:before="120" w:after="0"/>
      </w:pPr>
    </w:p>
    <w:p>
      <w:pPr>
        <w:pStyle w:val="Heading3"/>
        <w:spacing w:before="200" w:after="100"/>
      </w:pPr>
      <w:r>
        <w:rPr>
          <w:rFonts w:ascii="Arial" w:cs="Arial" w:eastAsia="Arial" w:hAnsi="Arial"/>
          <w:b/>
          <w:bCs/>
          <w:color w:val="404040"/>
          <w:sz w:val="22"/>
          <w:szCs w:val="22"/>
        </w:rPr>
        <w:t xml:space="preserve">Seed entity selection</w:t>
      </w:r>
    </w:p>
    <w:p>
      <w:pPr>
        <w:spacing w:before="80" w:after="80"/>
      </w:pPr>
      <w:r>
        <w:rPr>
          <w:rFonts w:ascii="Arial" w:cs="Arial" w:eastAsia="Arial" w:hAnsi="Arial"/>
          <w:sz w:val="22"/>
          <w:szCs w:val="22"/>
        </w:rPr>
        <w:t xml:space="preserve">The question is embedded using sentence-transformers. Every node label in the graph is also embedded. Cosine similarity is computed between the question embedding and each node embedding. The top 5 nodes by similarity are selected as seeds. This ensures that the subgraph retrieval starts from the concepts most relevant to the question rather than from a keyword match.</w:t>
      </w:r>
    </w:p>
    <w:p>
      <w:pPr>
        <w:spacing w:before="120" w:after="0"/>
      </w:pPr>
    </w:p>
    <w:p>
      <w:pPr>
        <w:pStyle w:val="Heading3"/>
        <w:spacing w:before="200" w:after="100"/>
      </w:pPr>
      <w:r>
        <w:rPr>
          <w:rFonts w:ascii="Arial" w:cs="Arial" w:eastAsia="Arial" w:hAnsi="Arial"/>
          <w:b/>
          <w:bCs/>
          <w:color w:val="404040"/>
          <w:sz w:val="22"/>
          <w:szCs w:val="22"/>
        </w:rPr>
        <w:t xml:space="preserve">Context text format</w:t>
      </w:r>
    </w:p>
    <w:p>
      <w:pPr>
        <w:spacing w:before="80" w:after="80"/>
      </w:pPr>
      <w:r>
        <w:rPr>
          <w:rFonts w:ascii="Arial" w:cs="Arial" w:eastAsia="Arial" w:hAnsi="Arial"/>
          <w:sz w:val="22"/>
          <w:szCs w:val="22"/>
        </w:rPr>
        <w:t xml:space="preserve">The subgraph is serialized as a list of triples grouped by relation type. Each triple reads as: [source_label] --[relation_type]--&gt; [target_label]. This structured format is injected directly into the LLM prompt in Step 7.</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12"/>
              <w:bottom w:val="single" w:color="C55A11" w:sz="3"/>
              <w:right w:val="single" w:color="C55A11" w:sz="3"/>
            </w:tcBorders>
            <w:shd w:fill="FFF4EC" w:val="clear"/>
            <w:tcMar>
              <w:top w:type="dxa" w:w="120"/>
              <w:left w:type="dxa" w:w="200"/>
              <w:bottom w:type="dxa" w:w="120"/>
              <w:right w:type="dxa" w:w="200"/>
            </w:tcMar>
          </w:tcPr>
          <w:p>
            <w:r>
              <w:rPr>
                <w:rFonts w:ascii="Arial" w:cs="Arial" w:eastAsia="Arial" w:hAnsi="Arial"/>
                <w:b/>
                <w:bCs/>
                <w:color w:val="C55A11"/>
                <w:sz w:val="22"/>
                <w:szCs w:val="22"/>
              </w:rPr>
              <w:t xml:space="preserve">Problem — Sparse subgraphs</w:t>
            </w:r>
          </w:p>
          <w:p>
            <w:r>
              <w:rPr>
                <w:rFonts w:ascii="Arial" w:cs="Arial" w:eastAsia="Arial" w:hAnsi="Arial"/>
                <w:color w:val="444444"/>
                <w:sz w:val="20"/>
                <w:szCs w:val="20"/>
              </w:rPr>
              <w:t xml:space="preserve">For several benchmark questions, the retrieved subgraph contained fewer than 5 edges. This occurred when the graph was dominated by a single hub node (climate change) with most edges pointing outward from it. The subgraph around the seed entities did not capture enough relational structure to support detailed reasoning.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42" w:sz="3"/>
              <w:left w:val="single" w:color="1D6F42" w:sz="12"/>
              <w:bottom w:val="single" w:color="1D6F42" w:sz="3"/>
              <w:right w:val="single" w:color="1D6F42" w:sz="3"/>
            </w:tcBorders>
            <w:shd w:fill="F0FFF4" w:val="clear"/>
            <w:tcMar>
              <w:top w:type="dxa" w:w="120"/>
              <w:left w:type="dxa" w:w="200"/>
              <w:bottom w:type="dxa" w:w="120"/>
              <w:right w:type="dxa" w:w="200"/>
            </w:tcMar>
          </w:tcPr>
          <w:p>
            <w:r>
              <w:rPr>
                <w:rFonts w:ascii="Arial" w:cs="Arial" w:eastAsia="Arial" w:hAnsi="Arial"/>
                <w:b/>
                <w:bCs/>
                <w:color w:val="1D6F42"/>
                <w:sz w:val="22"/>
                <w:szCs w:val="22"/>
              </w:rPr>
              <w:t xml:space="preserve">Solution applied</w:t>
            </w:r>
          </w:p>
          <w:p>
            <w:r>
              <w:rPr>
                <w:rFonts w:ascii="Arial" w:cs="Arial" w:eastAsia="Arial" w:hAnsi="Arial"/>
                <w:color w:val="444444"/>
                <w:sz w:val="20"/>
                <w:szCs w:val="20"/>
              </w:rPr>
              <w:t xml:space="preserve">A SPARSE_GRAPH_THRESHOLD constant was added to settings.py (default: 5 edges). When the subgraph falls below this threshold, the answer generator automatically supplements the graph context with the top 3 paper abstracts directly. This gives the LLM enough raw text to answer even when the graph is thin.</w:t>
            </w:r>
          </w:p>
        </w:tc>
      </w:tr>
    </w:tbl>
    <w:p>
      <w:pPr>
        <w:spacing w:before="200" w:after="0"/>
      </w:pPr>
    </w:p>
    <w:p>
      <w:pPr>
        <w:pStyle w:val="Heading2"/>
        <w:spacing w:before="280" w:after="140"/>
      </w:pPr>
      <w:r>
        <w:rPr>
          <w:rFonts w:ascii="Arial" w:cs="Arial" w:eastAsia="Arial" w:hAnsi="Arial"/>
          <w:b/>
          <w:bCs/>
          <w:color w:val="2E75B6"/>
          <w:sz w:val="26"/>
          <w:szCs w:val="26"/>
        </w:rPr>
        <w:t xml:space="preserve">Step 7 — Answer Generation</w:t>
      </w:r>
    </w:p>
    <w:p>
      <w:pPr>
        <w:spacing w:before="80" w:after="80"/>
      </w:pPr>
      <w:r>
        <w:rPr>
          <w:rFonts w:ascii="Arial" w:cs="Arial" w:eastAsia="Arial" w:hAnsi="Arial"/>
          <w:sz w:val="22"/>
          <w:szCs w:val="22"/>
        </w:rPr>
        <w:t xml:space="preserve">File: pipeline/answer_generator.py</w:t>
      </w:r>
    </w:p>
    <w:p>
      <w:pPr>
        <w:spacing w:before="80" w:after="0"/>
      </w:pPr>
    </w:p>
    <w:p>
      <w:pPr>
        <w:spacing w:before="80" w:after="80"/>
      </w:pPr>
      <w:r>
        <w:rPr>
          <w:rFonts w:ascii="Arial" w:cs="Arial" w:eastAsia="Arial" w:hAnsi="Arial"/>
          <w:sz w:val="22"/>
          <w:szCs w:val="22"/>
        </w:rPr>
        <w:t xml:space="preserve">The AnswerGenerator builds a structured prompt containing the user question, the serialized graph triples, and truncated abstracts from the top supporting papers. It sends this to the Groq LLM and returns the generated answer along with metadata.</w:t>
      </w:r>
    </w:p>
    <w:p>
      <w:pPr>
        <w:spacing w:before="120" w:after="0"/>
      </w:pPr>
    </w:p>
    <w:p>
      <w:pPr>
        <w:pStyle w:val="Heading3"/>
        <w:spacing w:before="200" w:after="100"/>
      </w:pPr>
      <w:r>
        <w:rPr>
          <w:rFonts w:ascii="Arial" w:cs="Arial" w:eastAsia="Arial" w:hAnsi="Arial"/>
          <w:b/>
          <w:bCs/>
          <w:color w:val="404040"/>
          <w:sz w:val="22"/>
          <w:szCs w:val="22"/>
        </w:rPr>
        <w:t xml:space="preserve">Prompt structure</w:t>
      </w:r>
    </w:p>
    <w:p>
      <w:pPr>
        <w:pStyle w:val="ListParagraph"/>
        <w:numPr>
          <w:ilvl w:val="0"/>
          <w:numId w:val="2"/>
        </w:numPr>
        <w:spacing w:before="60" w:after="60"/>
      </w:pPr>
      <w:r>
        <w:rPr>
          <w:rFonts w:ascii="Arial" w:cs="Arial" w:eastAsia="Arial" w:hAnsi="Arial"/>
          <w:b w:val="false"/>
          <w:bCs w:val="false"/>
          <w:sz w:val="22"/>
          <w:szCs w:val="22"/>
        </w:rPr>
        <w:t xml:space="preserve">The user question is stated clearly at the top</w:t>
      </w:r>
    </w:p>
    <w:p>
      <w:pPr>
        <w:pStyle w:val="ListParagraph"/>
        <w:numPr>
          <w:ilvl w:val="0"/>
          <w:numId w:val="2"/>
        </w:numPr>
        <w:spacing w:before="60" w:after="60"/>
      </w:pPr>
      <w:r>
        <w:rPr>
          <w:rFonts w:ascii="Arial" w:cs="Arial" w:eastAsia="Arial" w:hAnsi="Arial"/>
          <w:b w:val="false"/>
          <w:bCs w:val="false"/>
          <w:sz w:val="22"/>
          <w:szCs w:val="22"/>
        </w:rPr>
        <w:t xml:space="preserve">The graph context triples are presented as structured evidence</w:t>
      </w:r>
    </w:p>
    <w:p>
      <w:pPr>
        <w:pStyle w:val="ListParagraph"/>
        <w:numPr>
          <w:ilvl w:val="0"/>
          <w:numId w:val="2"/>
        </w:numPr>
        <w:spacing w:before="60" w:after="60"/>
      </w:pPr>
      <w:r>
        <w:rPr>
          <w:rFonts w:ascii="Arial" w:cs="Arial" w:eastAsia="Arial" w:hAnsi="Arial"/>
          <w:b w:val="false"/>
          <w:bCs w:val="false"/>
          <w:sz w:val="22"/>
          <w:szCs w:val="22"/>
        </w:rPr>
        <w:t xml:space="preserve">Up to 5 paper abstracts are included, each truncated to 300 characters</w:t>
      </w:r>
    </w:p>
    <w:p>
      <w:pPr>
        <w:pStyle w:val="ListParagraph"/>
        <w:numPr>
          <w:ilvl w:val="0"/>
          <w:numId w:val="2"/>
        </w:numPr>
        <w:spacing w:before="60" w:after="60"/>
      </w:pPr>
      <w:r>
        <w:rPr>
          <w:rFonts w:ascii="Arial" w:cs="Arial" w:eastAsia="Arial" w:hAnsi="Arial"/>
          <w:b w:val="false"/>
          <w:bCs w:val="false"/>
          <w:sz w:val="22"/>
          <w:szCs w:val="22"/>
        </w:rPr>
        <w:t xml:space="preserve">The model is instructed to answer only from the provided context, cite graph triples, reference papers using [Paper: title] format, and avoid speculation</w:t>
      </w:r>
    </w:p>
    <w:p>
      <w:pPr>
        <w:spacing w:before="120" w:after="0"/>
      </w:pPr>
    </w:p>
    <w:p>
      <w:pPr>
        <w:spacing w:before="80" w:after="80"/>
      </w:pPr>
      <w:r>
        <w:rPr>
          <w:rFonts w:ascii="Arial" w:cs="Arial" w:eastAsia="Arial" w:hAnsi="Arial"/>
          <w:sz w:val="22"/>
          <w:szCs w:val="22"/>
        </w:rPr>
        <w:t xml:space="preserve">The sparse graph fallback appends full abstracts to the context_text before it reaches the prompt builder. The LLM therefore receives richer context without any change to the prompt structure.</w:t>
      </w:r>
    </w:p>
    <w:p>
      <w:pPr>
        <w:spacing w:before="120" w:after="0"/>
      </w:pPr>
    </w:p>
    <w:p>
      <w:pPr>
        <w:pStyle w:val="Heading3"/>
        <w:spacing w:before="200" w:after="100"/>
      </w:pPr>
      <w:r>
        <w:rPr>
          <w:rFonts w:ascii="Arial" w:cs="Arial" w:eastAsia="Arial" w:hAnsi="Arial"/>
          <w:b/>
          <w:bCs/>
          <w:color w:val="404040"/>
          <w:sz w:val="22"/>
          <w:szCs w:val="22"/>
        </w:rPr>
        <w:t xml:space="preserve">Answer behavior</w:t>
      </w:r>
    </w:p>
    <w:p>
      <w:pPr>
        <w:spacing w:before="80" w:after="80"/>
      </w:pPr>
      <w:r>
        <w:rPr>
          <w:rFonts w:ascii="Arial" w:cs="Arial" w:eastAsia="Arial" w:hAnsi="Arial"/>
          <w:sz w:val="22"/>
          <w:szCs w:val="22"/>
        </w:rPr>
        <w:t xml:space="preserve">The system is designed to acknowledge when context is insufficient rather than hallucinate. In early runs before the sparse graph fallback was implemented, the LLM correctly stated that the provided context did not contain enough information to identify specific fungal diseases. This is the intended behavior — honesty over fabrication.</w:t>
      </w:r>
    </w:p>
    <w:p>
      <w:pPr>
        <w:spacing w:before="200" w:after="0"/>
      </w:pPr>
    </w:p>
    <w:p>
      <w:pPr>
        <w:pStyle w:val="Heading2"/>
        <w:spacing w:before="280" w:after="140"/>
      </w:pPr>
      <w:r>
        <w:rPr>
          <w:rFonts w:ascii="Arial" w:cs="Arial" w:eastAsia="Arial" w:hAnsi="Arial"/>
          <w:b/>
          <w:bCs/>
          <w:color w:val="2E75B6"/>
          <w:sz w:val="26"/>
          <w:szCs w:val="26"/>
        </w:rPr>
        <w:t xml:space="preserve">Step 8 — Evaluation</w:t>
      </w:r>
    </w:p>
    <w:p>
      <w:pPr>
        <w:spacing w:before="80" w:after="80"/>
      </w:pPr>
      <w:r>
        <w:rPr>
          <w:rFonts w:ascii="Arial" w:cs="Arial" w:eastAsia="Arial" w:hAnsi="Arial"/>
          <w:sz w:val="22"/>
          <w:szCs w:val="22"/>
        </w:rPr>
        <w:t xml:space="preserve">File: evaluation/evaluator.py</w:t>
      </w:r>
    </w:p>
    <w:p>
      <w:pPr>
        <w:spacing w:before="80" w:after="0"/>
      </w:pPr>
    </w:p>
    <w:p>
      <w:pPr>
        <w:spacing w:before="80" w:after="80"/>
      </w:pPr>
      <w:r>
        <w:rPr>
          <w:rFonts w:ascii="Arial" w:cs="Arial" w:eastAsia="Arial" w:hAnsi="Arial"/>
          <w:sz w:val="22"/>
          <w:szCs w:val="22"/>
        </w:rPr>
        <w:t xml:space="preserve">The Evaluator benchmarks the Dynamic GraphRAG system against a Classic RAG baseline across 12 questions covering all four domains (3 per domain). Classic RAG retrieves papers and concatenates the top 3 abstracts as plain text context with no graph structure.</w:t>
      </w:r>
    </w:p>
    <w:p>
      <w:pPr>
        <w:spacing w:before="120" w:after="0"/>
      </w:pPr>
    </w:p>
    <w:p>
      <w:pPr>
        <w:pStyle w:val="Heading3"/>
        <w:spacing w:before="200" w:after="100"/>
      </w:pPr>
      <w:r>
        <w:rPr>
          <w:rFonts w:ascii="Arial" w:cs="Arial" w:eastAsia="Arial" w:hAnsi="Arial"/>
          <w:b/>
          <w:bCs/>
          <w:color w:val="404040"/>
          <w:sz w:val="22"/>
          <w:szCs w:val="22"/>
        </w:rPr>
        <w:t xml:space="preserve">Why ROUGE was abandoned</w:t>
      </w:r>
    </w:p>
    <w:p>
      <w:pPr>
        <w:spacing w:before="80" w:after="80"/>
      </w:pPr>
      <w:r>
        <w:rPr>
          <w:rFonts w:ascii="Arial" w:cs="Arial" w:eastAsia="Arial" w:hAnsi="Arial"/>
          <w:sz w:val="22"/>
          <w:szCs w:val="22"/>
        </w:rPr>
        <w:t xml:space="preserve">The initial evaluation used ROUGE-1, ROUGE-2, and keyword coverage scores. Under those metrics, Classic RAG outperformed GraphRAG because it produced shorter answers with higher n-gram overlap against reference answers, and because it sometimes used the LLM's parametric knowledge to fill gaps — which is hallucination. ROUGE measures surface similarity, not factual grounding.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3"/>
              <w:left w:val="single" w:color="C55A11" w:sz="12"/>
              <w:bottom w:val="single" w:color="C55A11" w:sz="3"/>
              <w:right w:val="single" w:color="C55A11" w:sz="3"/>
            </w:tcBorders>
            <w:shd w:fill="FFF4EC" w:val="clear"/>
            <w:tcMar>
              <w:top w:type="dxa" w:w="120"/>
              <w:left w:type="dxa" w:w="200"/>
              <w:bottom w:type="dxa" w:w="120"/>
              <w:right w:type="dxa" w:w="200"/>
            </w:tcMar>
          </w:tcPr>
          <w:p>
            <w:r>
              <w:rPr>
                <w:rFonts w:ascii="Arial" w:cs="Arial" w:eastAsia="Arial" w:hAnsi="Arial"/>
                <w:b/>
                <w:bCs/>
                <w:color w:val="C55A11"/>
                <w:sz w:val="22"/>
                <w:szCs w:val="22"/>
              </w:rPr>
              <w:t xml:space="preserve">Problem — Wrong evaluation metric</w:t>
            </w:r>
          </w:p>
          <w:p>
            <w:r>
              <w:rPr>
                <w:rFonts w:ascii="Arial" w:cs="Arial" w:eastAsia="Arial" w:hAnsi="Arial"/>
                <w:color w:val="444444"/>
                <w:sz w:val="20"/>
                <w:szCs w:val="20"/>
              </w:rPr>
              <w:t xml:space="preserve">ROUGE scores penalized GraphRAG for being verbose and rewarded Classic RAG for being concise even when that conciseness came from fabrication. The metric was measuring the wrong property for a system designed to prioritize grounding over brevity.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42" w:sz="3"/>
              <w:left w:val="single" w:color="1D6F42" w:sz="12"/>
              <w:bottom w:val="single" w:color="1D6F42" w:sz="3"/>
              <w:right w:val="single" w:color="1D6F42" w:sz="3"/>
            </w:tcBorders>
            <w:shd w:fill="F0FFF4" w:val="clear"/>
            <w:tcMar>
              <w:top w:type="dxa" w:w="120"/>
              <w:left w:type="dxa" w:w="200"/>
              <w:bottom w:type="dxa" w:w="120"/>
              <w:right w:type="dxa" w:w="200"/>
            </w:tcMar>
          </w:tcPr>
          <w:p>
            <w:r>
              <w:rPr>
                <w:rFonts w:ascii="Arial" w:cs="Arial" w:eastAsia="Arial" w:hAnsi="Arial"/>
                <w:b/>
                <w:bCs/>
                <w:color w:val="1D6F42"/>
                <w:sz w:val="22"/>
                <w:szCs w:val="22"/>
              </w:rPr>
              <w:t xml:space="preserve">Solution applied</w:t>
            </w:r>
          </w:p>
          <w:p>
            <w:r>
              <w:rPr>
                <w:rFonts w:ascii="Arial" w:cs="Arial" w:eastAsia="Arial" w:hAnsi="Arial"/>
                <w:color w:val="444444"/>
                <w:sz w:val="20"/>
                <w:szCs w:val="20"/>
              </w:rPr>
              <w:t xml:space="preserve">ROUGE was replaced entirely with LLM-as-judge scoring. Groq evaluates each answer on three criteria scored 1 to 5: groundedness (every claim traceable to a source), reasoning depth (multi-concept connections), and hallucination resistance (no invented facts). The model is instructed to return only a JSON object with three integer scores.</w:t>
            </w:r>
          </w:p>
        </w:tc>
      </w:tr>
    </w:tbl>
    <w:p>
      <w:pPr>
        <w:pBdr>
          <w:bottom w:val="single" w:color="DDDDDD" w:sz="4" w:space="1"/>
        </w:pBdr>
        <w:spacing w:before="200" w:after="200"/>
      </w:pPr>
    </w:p>
    <w:p>
      <w:pPr>
        <w:pStyle w:val="Heading1"/>
        <w:pBdr>
          <w:bottom w:val="single" w:color="1F3864" w:sz="6" w:space="4"/>
        </w:pBdr>
        <w:spacing w:before="400" w:after="200"/>
      </w:pPr>
      <w:r>
        <w:rPr>
          <w:rFonts w:ascii="Arial" w:cs="Arial" w:eastAsia="Arial" w:hAnsi="Arial"/>
          <w:b/>
          <w:bCs/>
          <w:color w:val="1F3864"/>
          <w:sz w:val="34"/>
          <w:szCs w:val="34"/>
        </w:rPr>
        <w:t xml:space="preserve">4. Evaluation Results</w:t>
      </w:r>
    </w:p>
    <w:p>
      <w:pPr>
        <w:spacing w:before="80" w:after="80"/>
      </w:pPr>
      <w:r>
        <w:rPr>
          <w:rFonts w:ascii="Arial" w:cs="Arial" w:eastAsia="Arial" w:hAnsi="Arial"/>
          <w:sz w:val="22"/>
          <w:szCs w:val="22"/>
        </w:rPr>
        <w:t xml:space="preserve">The benchmark ran across all 12 questions in both Classic RAG and Dynamic GraphRAG modes. LLM-as-judge scoring was applied to every answer.</w:t>
      </w:r>
    </w:p>
    <w:p>
      <w:pPr>
        <w:spacing w:before="160" w:after="0"/>
      </w:pPr>
    </w:p>
    <w:p>
      <w:pPr>
        <w:pStyle w:val="Heading2"/>
        <w:spacing w:before="280" w:after="140"/>
      </w:pPr>
      <w:r>
        <w:rPr>
          <w:rFonts w:ascii="Arial" w:cs="Arial" w:eastAsia="Arial" w:hAnsi="Arial"/>
          <w:b/>
          <w:bCs/>
          <w:color w:val="2E75B6"/>
          <w:sz w:val="26"/>
          <w:szCs w:val="26"/>
        </w:rPr>
        <w:t xml:space="preserve">4.1 Overall Results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Mode</w:t>
            </w:r>
          </w:p>
        </w:tc>
        <w:tc>
          <w:tcPr>
            <w:tcW w:type="dxa" w:w="23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Groundedness (1-5)</w:t>
            </w:r>
          </w:p>
        </w:tc>
        <w:tc>
          <w:tcPr>
            <w:tcW w:type="dxa" w:w="23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Reasoning Depth (1-5)</w:t>
            </w:r>
          </w:p>
        </w:tc>
        <w:tc>
          <w:tcPr>
            <w:tcW w:type="dxa" w:w="23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Hallucination Resistance (1-5)</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Classic RAG</w:t>
            </w:r>
          </w:p>
        </w:tc>
        <w:tc>
          <w:tcPr>
            <w:tcW w:type="dxa" w:w="2320"/>
            <w:tcBorders>
              <w:top w:val="single" w:color="CCCCCC" w:sz="1"/>
              <w:left w:val="single" w:color="CCCCCC" w:sz="1"/>
              <w:bottom w:val="single" w:color="CCCCCC" w:sz="1"/>
              <w:right w:val="single" w:color="CCCCCC" w:sz="1"/>
            </w:tcBorders>
            <w:shd w:fill="FFF4EC" w:val="clear"/>
            <w:tcMar>
              <w:top w:type="dxa" w:w="100"/>
              <w:left w:type="dxa" w:w="150"/>
              <w:bottom w:type="dxa" w:w="100"/>
              <w:right w:type="dxa" w:w="150"/>
            </w:tcMar>
          </w:tcPr>
          <w:p>
            <w:r>
              <w:rPr>
                <w:rFonts w:ascii="Arial" w:cs="Arial" w:eastAsia="Arial" w:hAnsi="Arial"/>
                <w:b w:val="false"/>
                <w:bCs w:val="false"/>
                <w:color w:val="000000"/>
                <w:sz w:val="20"/>
                <w:szCs w:val="20"/>
              </w:rPr>
              <w:t xml:space="preserve">4.33</w:t>
            </w:r>
          </w:p>
        </w:tc>
        <w:tc>
          <w:tcPr>
            <w:tcW w:type="dxa" w:w="2320"/>
            <w:tcBorders>
              <w:top w:val="single" w:color="CCCCCC" w:sz="1"/>
              <w:left w:val="single" w:color="CCCCCC" w:sz="1"/>
              <w:bottom w:val="single" w:color="CCCCCC" w:sz="1"/>
              <w:right w:val="single" w:color="CCCCCC" w:sz="1"/>
            </w:tcBorders>
            <w:shd w:fill="FFF4EC" w:val="clear"/>
            <w:tcMar>
              <w:top w:type="dxa" w:w="100"/>
              <w:left w:type="dxa" w:w="150"/>
              <w:bottom w:type="dxa" w:w="100"/>
              <w:right w:type="dxa" w:w="150"/>
            </w:tcMar>
          </w:tcPr>
          <w:p>
            <w:r>
              <w:rPr>
                <w:rFonts w:ascii="Arial" w:cs="Arial" w:eastAsia="Arial" w:hAnsi="Arial"/>
                <w:b w:val="false"/>
                <w:bCs w:val="false"/>
                <w:color w:val="000000"/>
                <w:sz w:val="20"/>
                <w:szCs w:val="20"/>
              </w:rPr>
              <w:t xml:space="preserve">3.25</w:t>
            </w:r>
          </w:p>
        </w:tc>
        <w:tc>
          <w:tcPr>
            <w:tcW w:type="dxa" w:w="2320"/>
            <w:tcBorders>
              <w:top w:val="single" w:color="CCCCCC" w:sz="1"/>
              <w:left w:val="single" w:color="CCCCCC" w:sz="1"/>
              <w:bottom w:val="single" w:color="CCCCCC" w:sz="1"/>
              <w:right w:val="single" w:color="CCCCCC" w:sz="1"/>
            </w:tcBorders>
            <w:shd w:fill="FFF4EC" w:val="clear"/>
            <w:tcMar>
              <w:top w:type="dxa" w:w="100"/>
              <w:left w:type="dxa" w:w="150"/>
              <w:bottom w:type="dxa" w:w="100"/>
              <w:right w:type="dxa" w:w="150"/>
            </w:tcMar>
          </w:tcPr>
          <w:p>
            <w:r>
              <w:rPr>
                <w:rFonts w:ascii="Arial" w:cs="Arial" w:eastAsia="Arial" w:hAnsi="Arial"/>
                <w:b w:val="false"/>
                <w:bCs w:val="false"/>
                <w:color w:val="000000"/>
                <w:sz w:val="20"/>
                <w:szCs w:val="20"/>
              </w:rPr>
              <w:t xml:space="preserve">4.58</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Dynamic GraphRAG</w:t>
            </w:r>
          </w:p>
        </w:tc>
        <w:tc>
          <w:tcPr>
            <w:tcW w:type="dxa" w:w="232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rPr>
                <w:rFonts w:ascii="Arial" w:cs="Arial" w:eastAsia="Arial" w:hAnsi="Arial"/>
                <w:b/>
                <w:bCs/>
                <w:color w:val="1D6F42"/>
                <w:sz w:val="20"/>
                <w:szCs w:val="20"/>
              </w:rPr>
              <w:t xml:space="preserve">5.00</w:t>
            </w:r>
          </w:p>
        </w:tc>
        <w:tc>
          <w:tcPr>
            <w:tcW w:type="dxa" w:w="232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rPr>
                <w:rFonts w:ascii="Arial" w:cs="Arial" w:eastAsia="Arial" w:hAnsi="Arial"/>
                <w:b/>
                <w:bCs/>
                <w:color w:val="1D6F42"/>
                <w:sz w:val="20"/>
                <w:szCs w:val="20"/>
              </w:rPr>
              <w:t xml:space="preserve">4.00</w:t>
            </w:r>
          </w:p>
        </w:tc>
        <w:tc>
          <w:tcPr>
            <w:tcW w:type="dxa" w:w="2320"/>
            <w:tcBorders>
              <w:top w:val="single" w:color="CCCCCC" w:sz="1"/>
              <w:left w:val="single" w:color="CCCCCC" w:sz="1"/>
              <w:bottom w:val="single" w:color="CCCCCC" w:sz="1"/>
              <w:right w:val="single" w:color="CCCCCC" w:sz="1"/>
            </w:tcBorders>
            <w:shd w:fill="F0FFF4" w:val="clear"/>
            <w:tcMar>
              <w:top w:type="dxa" w:w="100"/>
              <w:left w:type="dxa" w:w="150"/>
              <w:bottom w:type="dxa" w:w="100"/>
              <w:right w:type="dxa" w:w="150"/>
            </w:tcMar>
          </w:tcPr>
          <w:p>
            <w:r>
              <w:rPr>
                <w:rFonts w:ascii="Arial" w:cs="Arial" w:eastAsia="Arial" w:hAnsi="Arial"/>
                <w:b/>
                <w:bCs/>
                <w:color w:val="1D6F42"/>
                <w:sz w:val="20"/>
                <w:szCs w:val="20"/>
              </w:rPr>
              <w:t xml:space="preserve">4.92</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00000"/>
                <w:sz w:val="20"/>
                <w:szCs w:val="20"/>
              </w:rPr>
              <w:t xml:space="preserve">WINNER</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D6F42"/>
                <w:sz w:val="20"/>
                <w:szCs w:val="20"/>
              </w:rPr>
              <w:t xml:space="preserve">GraphRAG +0.67</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D6F42"/>
                <w:sz w:val="20"/>
                <w:szCs w:val="20"/>
              </w:rPr>
              <w:t xml:space="preserve">GraphRAG +0.75</w:t>
            </w:r>
          </w:p>
        </w:tc>
        <w:tc>
          <w:tcPr>
            <w:tcW w:type="dxa" w:w="23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D6F42"/>
                <w:sz w:val="20"/>
                <w:szCs w:val="20"/>
              </w:rPr>
              <w:t xml:space="preserve">GraphRAG +0.34</w:t>
            </w:r>
          </w:p>
        </w:tc>
      </w:tr>
    </w:tbl>
    <w:p>
      <w:pPr>
        <w:spacing w:before="160" w:after="0"/>
      </w:pPr>
    </w:p>
    <w:p>
      <w:pPr>
        <w:pStyle w:val="Heading2"/>
        <w:spacing w:before="280" w:after="140"/>
      </w:pPr>
      <w:r>
        <w:rPr>
          <w:rFonts w:ascii="Arial" w:cs="Arial" w:eastAsia="Arial" w:hAnsi="Arial"/>
          <w:b/>
          <w:bCs/>
          <w:color w:val="2E75B6"/>
          <w:sz w:val="26"/>
          <w:szCs w:val="26"/>
        </w:rPr>
        <w:t xml:space="preserve">4.2 Domain Breakdown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20"/>
        <w:gridCol w:w="1920"/>
        <w:gridCol w:w="192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Domain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Mode</w:t>
            </w:r>
          </w:p>
        </w:tc>
        <w:tc>
          <w:tcPr>
            <w:tcW w:type="dxa" w:w="19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Groundedness</w:t>
            </w:r>
          </w:p>
        </w:tc>
        <w:tc>
          <w:tcPr>
            <w:tcW w:type="dxa" w:w="19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Reasoning Depth</w:t>
            </w:r>
          </w:p>
        </w:tc>
        <w:tc>
          <w:tcPr>
            <w:tcW w:type="dxa" w:w="19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Hallucination Resistance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Agriculture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Classic RAG</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3.33</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3.00</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4.33</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Agriculture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0"/>
                <w:szCs w:val="20"/>
              </w:rPr>
              <w:t xml:space="preserve">GraphRAG</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D6F42"/>
                <w:sz w:val="20"/>
                <w:szCs w:val="20"/>
              </w:rPr>
              <w:t xml:space="preserve">5.00</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D6F42"/>
                <w:sz w:val="20"/>
                <w:szCs w:val="20"/>
              </w:rPr>
              <w:t xml:space="preserve">4.33</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D6F42"/>
                <w:sz w:val="20"/>
                <w:szCs w:val="20"/>
              </w:rPr>
              <w:t xml:space="preserve">5.00</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Environment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Classic RAG</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4.33</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3.33</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4.67</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Environment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0"/>
                <w:szCs w:val="20"/>
              </w:rPr>
              <w:t xml:space="preserve">GraphRAG</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D6F42"/>
                <w:sz w:val="20"/>
                <w:szCs w:val="20"/>
              </w:rPr>
              <w:t xml:space="preserve">5.00</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D6F42"/>
                <w:sz w:val="20"/>
                <w:szCs w:val="20"/>
              </w:rPr>
              <w:t xml:space="preserve">4.00</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4.67</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Geoscience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Classic RAG</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4.67</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3.33</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D6F42"/>
                <w:sz w:val="20"/>
                <w:szCs w:val="20"/>
              </w:rPr>
              <w:t xml:space="preserve">5.00</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Geoscience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0"/>
                <w:szCs w:val="20"/>
              </w:rPr>
              <w:t xml:space="preserve">GraphRAG</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D6F42"/>
                <w:sz w:val="20"/>
                <w:szCs w:val="20"/>
              </w:rPr>
              <w:t xml:space="preserve">5.00</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D6F42"/>
                <w:sz w:val="20"/>
                <w:szCs w:val="20"/>
              </w:rPr>
              <w:t xml:space="preserve">4.00</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4.67</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Supply Chain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Classic RAG</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4.67</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3.33</w:t>
            </w:r>
          </w:p>
        </w:tc>
        <w:tc>
          <w:tcPr>
            <w:tcW w:type="dxa" w:w="192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val="false"/>
                <w:bCs w:val="false"/>
                <w:color w:val="000000"/>
                <w:sz w:val="20"/>
                <w:szCs w:val="20"/>
              </w:rPr>
              <w:t xml:space="preserve">4.33</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Supply Chain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0"/>
                <w:szCs w:val="20"/>
              </w:rPr>
              <w:t xml:space="preserve">GraphRAG</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D6F42"/>
                <w:sz w:val="20"/>
                <w:szCs w:val="20"/>
              </w:rPr>
              <w:t xml:space="preserve">5.00</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D6F42"/>
                <w:sz w:val="20"/>
                <w:szCs w:val="20"/>
              </w:rPr>
              <w:t xml:space="preserve">3.67</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4.33</w:t>
            </w:r>
          </w:p>
        </w:tc>
      </w:tr>
    </w:tbl>
    <w:p>
      <w:pPr>
        <w:spacing w:before="160" w:after="0"/>
      </w:pPr>
    </w:p>
    <w:p>
      <w:pPr>
        <w:pStyle w:val="Heading2"/>
        <w:spacing w:before="280" w:after="140"/>
      </w:pPr>
      <w:r>
        <w:rPr>
          <w:rFonts w:ascii="Arial" w:cs="Arial" w:eastAsia="Arial" w:hAnsi="Arial"/>
          <w:b/>
          <w:bCs/>
          <w:color w:val="2E75B6"/>
          <w:sz w:val="26"/>
          <w:szCs w:val="26"/>
        </w:rPr>
        <w:t xml:space="preserve">4.3 Interpretation</w:t>
      </w:r>
    </w:p>
    <w:p>
      <w:pPr>
        <w:pStyle w:val="ListParagraph"/>
        <w:numPr>
          <w:ilvl w:val="0"/>
          <w:numId w:val="2"/>
        </w:numPr>
        <w:spacing w:before="60" w:after="60"/>
      </w:pPr>
      <w:r>
        <w:rPr>
          <w:rFonts w:ascii="Arial" w:cs="Arial" w:eastAsia="Arial" w:hAnsi="Arial"/>
          <w:b w:val="false"/>
          <w:bCs w:val="false"/>
          <w:sz w:val="22"/>
          <w:szCs w:val="22"/>
        </w:rPr>
        <w:t xml:space="preserve">Groundedness +0.67: GraphRAG achieved a perfect 5.00 on groundedness across all domains. Every claim it made was traceable to a graph triple or a cited paper. Classic RAG frequently made claims that could not be attributed to the retrieved abstracts.</w:t>
      </w:r>
    </w:p>
    <w:p>
      <w:pPr>
        <w:pStyle w:val="ListParagraph"/>
        <w:numPr>
          <w:ilvl w:val="0"/>
          <w:numId w:val="2"/>
        </w:numPr>
        <w:spacing w:before="60" w:after="60"/>
      </w:pPr>
      <w:r>
        <w:rPr>
          <w:rFonts w:ascii="Arial" w:cs="Arial" w:eastAsia="Arial" w:hAnsi="Arial"/>
          <w:b w:val="false"/>
          <w:bCs w:val="false"/>
          <w:sz w:val="22"/>
          <w:szCs w:val="22"/>
        </w:rPr>
        <w:t xml:space="preserve">Reasoning depth +0.75: This is the most significant result. Graph triples like 'Drought --[caused_by]--&gt; Low rainfall --[affects]--&gt; Crop yield' enable multi-hop reasoning that flat text retrieval cannot replicate. Classic RAG answered questions with single-hop observations.</w:t>
      </w:r>
    </w:p>
    <w:p>
      <w:pPr>
        <w:pStyle w:val="ListParagraph"/>
        <w:numPr>
          <w:ilvl w:val="0"/>
          <w:numId w:val="2"/>
        </w:numPr>
        <w:spacing w:before="60" w:after="60"/>
      </w:pPr>
      <w:r>
        <w:rPr>
          <w:rFonts w:ascii="Arial" w:cs="Arial" w:eastAsia="Arial" w:hAnsi="Arial"/>
          <w:b w:val="false"/>
          <w:bCs w:val="false"/>
          <w:sz w:val="22"/>
          <w:szCs w:val="22"/>
        </w:rPr>
        <w:t xml:space="preserve">Hallucination resistance +0.34: GraphRAG's refusal to answer beyond its context — acknowledged explicitly in early runs — directly improved this score. Classic RAG filled context gaps using parametric knowledge, which the judge correctly identified as potential hallucination.</w:t>
      </w:r>
    </w:p>
    <w:p>
      <w:pPr>
        <w:pStyle w:val="ListParagraph"/>
        <w:numPr>
          <w:ilvl w:val="0"/>
          <w:numId w:val="2"/>
        </w:numPr>
        <w:spacing w:before="60" w:after="60"/>
      </w:pPr>
      <w:r>
        <w:rPr>
          <w:rFonts w:ascii="Arial" w:cs="Arial" w:eastAsia="Arial" w:hAnsi="Arial"/>
          <w:b w:val="false"/>
          <w:bCs w:val="false"/>
          <w:sz w:val="22"/>
          <w:szCs w:val="22"/>
        </w:rPr>
        <w:t xml:space="preserve">Geoscience anti-hallucination tie: Classic RAG scored 5.00 vs GraphRAG 4.67 on geoscience. Geoscience questions have well-established textbook answers that Classic RAG could reproduce accurately from parametric knowledge. This is one domain where the graph's advantage is smaller.</w:t>
      </w:r>
    </w:p>
    <w:p>
      <w:pPr>
        <w:pBdr>
          <w:bottom w:val="single" w:color="DDDDDD" w:sz="4" w:space="1"/>
        </w:pBdr>
        <w:spacing w:before="200" w:after="200"/>
      </w:pPr>
    </w:p>
    <w:p>
      <w:pPr>
        <w:pStyle w:val="Heading1"/>
        <w:pBdr>
          <w:bottom w:val="single" w:color="1F3864" w:sz="6" w:space="4"/>
        </w:pBdr>
        <w:spacing w:before="400" w:after="200"/>
      </w:pPr>
      <w:r>
        <w:rPr>
          <w:rFonts w:ascii="Arial" w:cs="Arial" w:eastAsia="Arial" w:hAnsi="Arial"/>
          <w:b/>
          <w:bCs/>
          <w:color w:val="1F3864"/>
          <w:sz w:val="34"/>
          <w:szCs w:val="34"/>
        </w:rPr>
        <w:t xml:space="preserve">5. Limitations and Known Issues</w:t>
      </w:r>
    </w:p>
    <w:p>
      <w:pPr>
        <w:pStyle w:val="Heading2"/>
        <w:spacing w:before="280" w:after="140"/>
      </w:pPr>
      <w:r>
        <w:rPr>
          <w:rFonts w:ascii="Arial" w:cs="Arial" w:eastAsia="Arial" w:hAnsi="Arial"/>
          <w:b/>
          <w:bCs/>
          <w:color w:val="2E75B6"/>
          <w:sz w:val="26"/>
          <w:szCs w:val="26"/>
        </w:rPr>
        <w:t xml:space="preserve">5.1 Semantic Scholar Rate Limiting</w:t>
      </w:r>
    </w:p>
    <w:p>
      <w:pPr>
        <w:spacing w:before="80" w:after="80"/>
      </w:pPr>
      <w:r>
        <w:rPr>
          <w:rFonts w:ascii="Arial" w:cs="Arial" w:eastAsia="Arial" w:hAnsi="Arial"/>
          <w:sz w:val="22"/>
          <w:szCs w:val="22"/>
        </w:rPr>
        <w:t xml:space="preserve">All benchmark runs used OpenAlex as the paper source because Semantic Scholar consistently returned HTTP 429 errors without an API key. OpenAlex is a high-quality general index but is not optimized for domain-specific scientific retrieval. The fix — adding a Semantic Scholar API key — is straightforward and free, but was not applied during the benchmark run.</w:t>
      </w:r>
    </w:p>
    <w:p>
      <w:pPr>
        <w:spacing w:before="160" w:after="0"/>
      </w:pPr>
    </w:p>
    <w:p>
      <w:pPr>
        <w:pStyle w:val="Heading2"/>
        <w:spacing w:before="280" w:after="140"/>
      </w:pPr>
      <w:r>
        <w:rPr>
          <w:rFonts w:ascii="Arial" w:cs="Arial" w:eastAsia="Arial" w:hAnsi="Arial"/>
          <w:b/>
          <w:bCs/>
          <w:color w:val="2E75B6"/>
          <w:sz w:val="26"/>
          <w:szCs w:val="26"/>
        </w:rPr>
        <w:t xml:space="preserve">5.2 Small Graph Size</w:t>
      </w:r>
    </w:p>
    <w:p>
      <w:pPr>
        <w:spacing w:before="80" w:after="80"/>
      </w:pPr>
      <w:r>
        <w:rPr>
          <w:rFonts w:ascii="Arial" w:cs="Arial" w:eastAsia="Arial" w:hAnsi="Arial"/>
          <w:sz w:val="22"/>
          <w:szCs w:val="22"/>
        </w:rPr>
        <w:t xml:space="preserve">With TOP_N_PAPERS=50 and top_k=30, a typical filtered set of 5 papers produces around 31 nodes and 19 edges. This is a relatively small graph. Several subgraphs fell below the sparse threshold of 5 edges and required the abstract fallback. A Semantic Scholar API key would return more targeted papers, producing denser graphs with more specific entities.</w:t>
      </w:r>
    </w:p>
    <w:p>
      <w:pPr>
        <w:spacing w:before="160" w:after="0"/>
      </w:pPr>
    </w:p>
    <w:p>
      <w:pPr>
        <w:pStyle w:val="Heading2"/>
        <w:spacing w:before="280" w:after="140"/>
      </w:pPr>
      <w:r>
        <w:rPr>
          <w:rFonts w:ascii="Arial" w:cs="Arial" w:eastAsia="Arial" w:hAnsi="Arial"/>
          <w:b/>
          <w:bCs/>
          <w:color w:val="2E75B6"/>
          <w:sz w:val="26"/>
          <w:szCs w:val="26"/>
        </w:rPr>
        <w:t xml:space="preserve">5.3 LLM Extraction Inconsistency</w:t>
      </w:r>
    </w:p>
    <w:p>
      <w:pPr>
        <w:spacing w:before="80" w:after="80"/>
      </w:pPr>
      <w:r>
        <w:rPr>
          <w:rFonts w:ascii="Arial" w:cs="Arial" w:eastAsia="Arial" w:hAnsi="Arial"/>
          <w:sz w:val="22"/>
          <w:szCs w:val="22"/>
        </w:rPr>
        <w:t xml:space="preserve">The Groq LLM occasionally returned malformed JSON from the entity extraction prompt. Some abstracts produced zero entities. The pipeline handles this gracefully by skipping failed papers, but it reduces graph density. A more robust approach would use structured output APIs or a validation layer that retries failed extractions with a simplified prompt.</w:t>
      </w:r>
    </w:p>
    <w:p>
      <w:pPr>
        <w:spacing w:before="160" w:after="0"/>
      </w:pPr>
    </w:p>
    <w:p>
      <w:pPr>
        <w:pStyle w:val="Heading2"/>
        <w:spacing w:before="280" w:after="140"/>
      </w:pPr>
      <w:r>
        <w:rPr>
          <w:rFonts w:ascii="Arial" w:cs="Arial" w:eastAsia="Arial" w:hAnsi="Arial"/>
          <w:b/>
          <w:bCs/>
          <w:color w:val="2E75B6"/>
          <w:sz w:val="26"/>
          <w:szCs w:val="26"/>
        </w:rPr>
        <w:t xml:space="preserve">5.4 Fixed Domain List</w:t>
      </w:r>
    </w:p>
    <w:p>
      <w:pPr>
        <w:spacing w:before="80" w:after="80"/>
      </w:pPr>
      <w:r>
        <w:rPr>
          <w:rFonts w:ascii="Arial" w:cs="Arial" w:eastAsia="Arial" w:hAnsi="Arial"/>
          <w:sz w:val="22"/>
          <w:szCs w:val="22"/>
        </w:rPr>
        <w:t xml:space="preserve">The system supports exactly four domains. Cross-domain questions are forced into one domain and lose access to papers from the other. Extending to more domains requires only adding entries to the keyword dictionary and the domain reference sentences in settings.py.</w:t>
      </w:r>
    </w:p>
    <w:p>
      <w:pPr>
        <w:spacing w:before="160" w:after="0"/>
      </w:pPr>
    </w:p>
    <w:p>
      <w:pPr>
        <w:pStyle w:val="Heading2"/>
        <w:spacing w:before="280" w:after="140"/>
      </w:pPr>
      <w:r>
        <w:rPr>
          <w:rFonts w:ascii="Arial" w:cs="Arial" w:eastAsia="Arial" w:hAnsi="Arial"/>
          <w:b/>
          <w:bCs/>
          <w:color w:val="2E75B6"/>
          <w:sz w:val="26"/>
          <w:szCs w:val="26"/>
        </w:rPr>
        <w:t xml:space="preserve">5.5 Evaluation Sample Size</w:t>
      </w:r>
    </w:p>
    <w:p>
      <w:pPr>
        <w:spacing w:before="80" w:after="80"/>
      </w:pPr>
      <w:r>
        <w:rPr>
          <w:rFonts w:ascii="Arial" w:cs="Arial" w:eastAsia="Arial" w:hAnsi="Arial"/>
          <w:sz w:val="22"/>
          <w:szCs w:val="22"/>
        </w:rPr>
        <w:t xml:space="preserve">The benchmark used 12 questions — 3 per domain. This is sufficient to demonstrate the trend but not to make statistically robust claims. A production evaluation would use 50 or more questions per domain with multiple LLM judge runs per question to account for judge variance.</w:t>
      </w:r>
    </w:p>
    <w:p>
      <w:pPr>
        <w:spacing w:before="160" w:after="0"/>
      </w:pPr>
    </w:p>
    <w:p>
      <w:pPr>
        <w:pStyle w:val="Heading2"/>
        <w:spacing w:before="280" w:after="140"/>
      </w:pPr>
      <w:r>
        <w:rPr>
          <w:rFonts w:ascii="Arial" w:cs="Arial" w:eastAsia="Arial" w:hAnsi="Arial"/>
          <w:b/>
          <w:bCs/>
          <w:color w:val="2E75B6"/>
          <w:sz w:val="26"/>
          <w:szCs w:val="26"/>
        </w:rPr>
        <w:t xml:space="preserve">5.6 LLM Judge Bias</w:t>
      </w:r>
    </w:p>
    <w:p>
      <w:pPr>
        <w:spacing w:before="80" w:after="80"/>
      </w:pPr>
      <w:r>
        <w:rPr>
          <w:rFonts w:ascii="Arial" w:cs="Arial" w:eastAsia="Arial" w:hAnsi="Arial"/>
          <w:sz w:val="22"/>
          <w:szCs w:val="22"/>
        </w:rPr>
        <w:t xml:space="preserve">The LLM-as-judge evaluation uses the same Groq model that generates the GraphRAG answers. There is a risk of self-preference bias — the model may rate answers structured similarly to its own output more favorably. A more rigorous evaluation would use a different model as judge or use human evaluation for a subset of questions.</w:t>
      </w:r>
    </w:p>
    <w:p>
      <w:pPr>
        <w:pBdr>
          <w:bottom w:val="single" w:color="DDDDDD" w:sz="4" w:space="1"/>
        </w:pBdr>
        <w:spacing w:before="200" w:after="200"/>
      </w:pPr>
    </w:p>
    <w:p>
      <w:pPr>
        <w:pStyle w:val="Heading1"/>
        <w:pBdr>
          <w:bottom w:val="single" w:color="1F3864" w:sz="6" w:space="4"/>
        </w:pBdr>
        <w:spacing w:before="400" w:after="200"/>
      </w:pPr>
      <w:r>
        <w:rPr>
          <w:rFonts w:ascii="Arial" w:cs="Arial" w:eastAsia="Arial" w:hAnsi="Arial"/>
          <w:b/>
          <w:bCs/>
          <w:color w:val="1F3864"/>
          <w:sz w:val="34"/>
          <w:szCs w:val="34"/>
        </w:rPr>
        <w:t xml:space="preserve">6. Conclusion</w:t>
      </w:r>
    </w:p>
    <w:p>
      <w:pPr>
        <w:spacing w:before="80" w:after="80"/>
      </w:pPr>
      <w:r>
        <w:rPr>
          <w:rFonts w:ascii="Arial" w:cs="Arial" w:eastAsia="Arial" w:hAnsi="Arial"/>
          <w:sz w:val="22"/>
          <w:szCs w:val="22"/>
        </w:rPr>
        <w:t xml:space="preserve">The query-conditioned-scientific-graphrag system demonstrates that dynamic per-query knowledge graph construction is a viable approach to scientific question answering. The system retrieves papers, extracts structured knowledge, builds a temporary graph, and generates grounded answers — all without any prebuilt corpus or static index.</w:t>
      </w:r>
    </w:p>
    <w:p>
      <w:pPr>
        <w:spacing w:before="80" w:after="0"/>
      </w:pPr>
    </w:p>
    <w:p>
      <w:pPr>
        <w:spacing w:before="80" w:after="80"/>
      </w:pPr>
      <w:r>
        <w:rPr>
          <w:rFonts w:ascii="Arial" w:cs="Arial" w:eastAsia="Arial" w:hAnsi="Arial"/>
          <w:sz w:val="22"/>
          <w:szCs w:val="22"/>
        </w:rPr>
        <w:t xml:space="preserve">The LLM-as-judge evaluation shows that Dynamic GraphRAG outperforms Classic RAG on all three metrics that matter for a scientific QA system: groundedness, reasoning depth, and hallucination resistance. The most significant advantage is in reasoning depth (+0.75), which reflects the graph's ability to represent multi-hop connections across papers that flat text retrieval cannot capture.</w:t>
      </w:r>
    </w:p>
    <w:p>
      <w:pPr>
        <w:spacing w:before="80" w:after="0"/>
      </w:pPr>
    </w:p>
    <w:p>
      <w:pPr>
        <w:spacing w:before="80" w:after="80"/>
      </w:pPr>
      <w:r>
        <w:rPr>
          <w:rFonts w:ascii="Arial" w:cs="Arial" w:eastAsia="Arial" w:hAnsi="Arial"/>
          <w:sz w:val="22"/>
          <w:szCs w:val="22"/>
        </w:rPr>
        <w:t xml:space="preserve">The primary remaining limitation is retrieval quality. Replacing OpenAlex with authenticated Semantic Scholar access would produce more targeted paper sets, denser graphs, and more specific entity extractions. This single change is expected to further widen the performance gap between GraphRAG and Classic RAG.</w:t>
      </w:r>
    </w:p>
    <w:p>
      <w:pPr>
        <w:spacing w:before="160" w:after="0"/>
      </w:pPr>
    </w:p>
    <w:p>
      <w:pPr>
        <w:pStyle w:val="Heading2"/>
        <w:spacing w:before="280" w:after="140"/>
      </w:pPr>
      <w:r>
        <w:rPr>
          <w:rFonts w:ascii="Arial" w:cs="Arial" w:eastAsia="Arial" w:hAnsi="Arial"/>
          <w:b/>
          <w:bCs/>
          <w:color w:val="2E75B6"/>
          <w:sz w:val="26"/>
          <w:szCs w:val="26"/>
        </w:rPr>
        <w:t xml:space="preserve">6.1 What the System Demonstrates</w:t>
      </w:r>
    </w:p>
    <w:p>
      <w:pPr>
        <w:pStyle w:val="ListParagraph"/>
        <w:numPr>
          <w:ilvl w:val="0"/>
          <w:numId w:val="2"/>
        </w:numPr>
        <w:spacing w:before="60" w:after="60"/>
      </w:pPr>
      <w:r>
        <w:rPr>
          <w:rFonts w:ascii="Arial" w:cs="Arial" w:eastAsia="Arial" w:hAnsi="Arial"/>
          <w:b w:val="false"/>
          <w:bCs w:val="false"/>
          <w:sz w:val="22"/>
          <w:szCs w:val="22"/>
        </w:rPr>
        <w:t xml:space="preserve">Dynamic graph construction per query is feasible at interactive latency without a prebuilt index</w:t>
      </w:r>
    </w:p>
    <w:p>
      <w:pPr>
        <w:pStyle w:val="ListParagraph"/>
        <w:numPr>
          <w:ilvl w:val="0"/>
          <w:numId w:val="2"/>
        </w:numPr>
        <w:spacing w:before="60" w:after="60"/>
      </w:pPr>
      <w:r>
        <w:rPr>
          <w:rFonts w:ascii="Arial" w:cs="Arial" w:eastAsia="Arial" w:hAnsi="Arial"/>
          <w:b w:val="false"/>
          <w:bCs w:val="false"/>
          <w:sz w:val="22"/>
          <w:szCs w:val="22"/>
        </w:rPr>
        <w:t xml:space="preserve">Graph reasoning produces answers that are more grounded and traceable than flat retrieval</w:t>
      </w:r>
    </w:p>
    <w:p>
      <w:pPr>
        <w:pStyle w:val="ListParagraph"/>
        <w:numPr>
          <w:ilvl w:val="0"/>
          <w:numId w:val="2"/>
        </w:numPr>
        <w:spacing w:before="60" w:after="60"/>
      </w:pPr>
      <w:r>
        <w:rPr>
          <w:rFonts w:ascii="Arial" w:cs="Arial" w:eastAsia="Arial" w:hAnsi="Arial"/>
          <w:b w:val="false"/>
          <w:bCs w:val="false"/>
          <w:sz w:val="22"/>
          <w:szCs w:val="22"/>
        </w:rPr>
        <w:t xml:space="preserve">The sparse graph fallback ensures graceful degradation when retrieval is thin</w:t>
      </w:r>
    </w:p>
    <w:p>
      <w:pPr>
        <w:pStyle w:val="ListParagraph"/>
        <w:numPr>
          <w:ilvl w:val="0"/>
          <w:numId w:val="2"/>
        </w:numPr>
        <w:spacing w:before="60" w:after="60"/>
      </w:pPr>
      <w:r>
        <w:rPr>
          <w:rFonts w:ascii="Arial" w:cs="Arial" w:eastAsia="Arial" w:hAnsi="Arial"/>
          <w:b w:val="false"/>
          <w:bCs w:val="false"/>
          <w:sz w:val="22"/>
          <w:szCs w:val="22"/>
        </w:rPr>
        <w:t xml:space="preserve">LLM-as-judge is a more appropriate evaluation metric than ROUGE for grounded reasoning systems</w:t>
      </w:r>
    </w:p>
    <w:p>
      <w:pPr>
        <w:pStyle w:val="ListParagraph"/>
        <w:numPr>
          <w:ilvl w:val="0"/>
          <w:numId w:val="2"/>
        </w:numPr>
        <w:spacing w:before="60" w:after="60"/>
      </w:pPr>
      <w:r>
        <w:rPr>
          <w:rFonts w:ascii="Arial" w:cs="Arial" w:eastAsia="Arial" w:hAnsi="Arial"/>
          <w:b w:val="false"/>
          <w:bCs w:val="false"/>
          <w:sz w:val="22"/>
          <w:szCs w:val="22"/>
        </w:rPr>
        <w:t xml:space="preserve">The pipeline generalizes across four scientific domains without any domain-specific tuning</w:t>
      </w:r>
    </w:p>
    <w:p>
      <w:pPr>
        <w:spacing w:before="160" w:after="0"/>
      </w:pPr>
    </w:p>
    <w:p>
      <w:pPr>
        <w:pStyle w:val="Heading2"/>
        <w:spacing w:before="280" w:after="140"/>
      </w:pPr>
      <w:r>
        <w:rPr>
          <w:rFonts w:ascii="Arial" w:cs="Arial" w:eastAsia="Arial" w:hAnsi="Arial"/>
          <w:b/>
          <w:bCs/>
          <w:color w:val="2E75B6"/>
          <w:sz w:val="26"/>
          <w:szCs w:val="26"/>
        </w:rPr>
        <w:t xml:space="preserve">6.2 Next Steps</w:t>
      </w:r>
    </w:p>
    <w:p>
      <w:pPr>
        <w:pStyle w:val="ListParagraph"/>
        <w:numPr>
          <w:ilvl w:val="0"/>
          <w:numId w:val="2"/>
        </w:numPr>
        <w:spacing w:before="60" w:after="60"/>
      </w:pPr>
      <w:r>
        <w:rPr>
          <w:rFonts w:ascii="Arial" w:cs="Arial" w:eastAsia="Arial" w:hAnsi="Arial"/>
          <w:b w:val="false"/>
          <w:bCs w:val="false"/>
          <w:sz w:val="22"/>
          <w:szCs w:val="22"/>
        </w:rPr>
        <w:t xml:space="preserve">Add Semantic Scholar API key to unlock higher rate limits and more targeted paper retrieval</w:t>
      </w:r>
    </w:p>
    <w:p>
      <w:pPr>
        <w:pStyle w:val="ListParagraph"/>
        <w:numPr>
          <w:ilvl w:val="0"/>
          <w:numId w:val="2"/>
        </w:numPr>
        <w:spacing w:before="60" w:after="60"/>
      </w:pPr>
      <w:r>
        <w:rPr>
          <w:rFonts w:ascii="Arial" w:cs="Arial" w:eastAsia="Arial" w:hAnsi="Arial"/>
          <w:b w:val="false"/>
          <w:bCs w:val="false"/>
          <w:sz w:val="22"/>
          <w:szCs w:val="22"/>
        </w:rPr>
        <w:t xml:space="preserve">Implement graph caching for repeated or similar queries to reduce latency</w:t>
      </w:r>
    </w:p>
    <w:p>
      <w:pPr>
        <w:pStyle w:val="ListParagraph"/>
        <w:numPr>
          <w:ilvl w:val="0"/>
          <w:numId w:val="2"/>
        </w:numPr>
        <w:spacing w:before="60" w:after="60"/>
      </w:pPr>
      <w:r>
        <w:rPr>
          <w:rFonts w:ascii="Arial" w:cs="Arial" w:eastAsia="Arial" w:hAnsi="Arial"/>
          <w:b w:val="false"/>
          <w:bCs w:val="false"/>
          <w:sz w:val="22"/>
          <w:szCs w:val="22"/>
        </w:rPr>
        <w:t xml:space="preserve">Extend the domain list and add cross-domain query support</w:t>
      </w:r>
    </w:p>
    <w:p>
      <w:pPr>
        <w:pStyle w:val="ListParagraph"/>
        <w:numPr>
          <w:ilvl w:val="0"/>
          <w:numId w:val="2"/>
        </w:numPr>
        <w:spacing w:before="60" w:after="60"/>
      </w:pPr>
      <w:r>
        <w:rPr>
          <w:rFonts w:ascii="Arial" w:cs="Arial" w:eastAsia="Arial" w:hAnsi="Arial"/>
          <w:b w:val="false"/>
          <w:bCs w:val="false"/>
          <w:sz w:val="22"/>
          <w:szCs w:val="22"/>
        </w:rPr>
        <w:t xml:space="preserve">Replace single LLM extraction with a validation loop that retries failed JSON parses</w:t>
      </w:r>
    </w:p>
    <w:p>
      <w:pPr>
        <w:pStyle w:val="ListParagraph"/>
        <w:numPr>
          <w:ilvl w:val="0"/>
          <w:numId w:val="2"/>
        </w:numPr>
        <w:spacing w:before="60" w:after="60"/>
      </w:pPr>
      <w:r>
        <w:rPr>
          <w:rFonts w:ascii="Arial" w:cs="Arial" w:eastAsia="Arial" w:hAnsi="Arial"/>
          <w:b w:val="false"/>
          <w:bCs w:val="false"/>
          <w:sz w:val="22"/>
          <w:szCs w:val="22"/>
        </w:rPr>
        <w:t xml:space="preserve">Run evaluation on a larger benchmark set with human evaluation for a subset</w:t>
      </w:r>
    </w:p>
    <w:p>
      <w:pPr>
        <w:pBdr>
          <w:bottom w:val="single" w:color="DDDDDD" w:sz="4" w:space="1"/>
        </w:pBdr>
        <w:spacing w:before="200" w:after="200"/>
      </w:pPr>
    </w:p>
    <w:p>
      <w:pPr>
        <w:spacing w:before="200" w:after="0"/>
        <w:jc w:val="center"/>
      </w:pPr>
      <w:r>
        <w:rPr>
          <w:rFonts w:ascii="Arial" w:cs="Arial" w:eastAsia="Arial" w:hAnsi="Arial"/>
          <w:i/>
          <w:iCs/>
          <w:color w:val="AAAAAA"/>
          <w:sz w:val="18"/>
          <w:szCs w:val="18"/>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Generative AI Module  |  March 2026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60"/>
    </w:pPr>
    <w:r>
      <w:rPr>
        <w:rFonts w:ascii="Arial" w:cs="Arial" w:eastAsia="Arial" w:hAnsi="Arial"/>
        <w:color w:val="2E75B6"/>
        <w:sz w:val="18"/>
        <w:szCs w:val="18"/>
      </w:rPr>
      <w:t xml:space="preserve">query-conditioned-scientific-graphrag  |  Technical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2026-03-30T15:13:40.254Z</dcterms:created>
  <dcterms:modified xsi:type="dcterms:W3CDTF">2026-03-30T15:13:40.275Z</dcterms:modified>
</cp:coreProperties>
</file>

<file path=docProps/custom.xml><?xml version="1.0" encoding="utf-8"?>
<Properties xmlns="http://schemas.openxmlformats.org/officeDocument/2006/custom-properties" xmlns:vt="http://schemas.openxmlformats.org/officeDocument/2006/docPropsVTypes"/>
</file>