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rFonts w:ascii="Times New Roman" w:hAnsi="Times New Roman" w:cs="Times New Roman"/>
          <w:b/>
          <w:bCs/>
          <w:sz w:val="32"/>
          <w:szCs w:val="32"/>
        </w:rPr>
      </w:pPr>
      <w:r>
        <w:rPr>
          <w:rFonts w:ascii="Times New Roman" w:hAnsi="Times New Roman" w:cs="Times New Roman"/>
          <w:b/>
          <w:bCs/>
          <w:sz w:val="32"/>
          <w:szCs w:val="32"/>
        </w:rPr>
        <w:t xml:space="preserve">Unit 3 – Multiple Linear Regression</w:t>
      </w:r>
    </w:p>
    <w:p>
      <w:pPr>
        <w:jc w:val="center"/>
        <w:rPr>
          <w:rFonts w:ascii="Times New Roman" w:hAnsi="Times New Roman" w:cs="Times New Roman"/>
          <w:b/>
          <w:bCs/>
          <w:sz w:val="32"/>
          <w:szCs w:val="32"/>
        </w:rPr>
      </w:pPr>
      <w:r>
        <w:rPr>
          <w:rFonts w:ascii="Times New Roman" w:hAnsi="Times New Roman" w:cs="Times New Roman"/>
          <w:b/>
          <w:bCs/>
          <w:sz w:val="32"/>
          <w:szCs w:val="32"/>
        </w:rPr>
        <w:t xml:space="preserve">Machine Learning (ML_PCOM7E) | Unit 3 – Exercise 3 of 4 | </w:t>
      </w:r>
    </w:p>
    <w:p>
      <w:pPr>
        <w:pStyle w:val="Heading1"/>
        <w:jc w:val="both"/>
        <w:rPr>
          <w:rFonts w:ascii="Times New Roman" w:hAnsi="Times New Roman" w:cs="Times New Roman"/>
          <w:color w:val="auto"/>
        </w:rPr>
      </w:pPr>
      <w:r>
        <w:rPr>
          <w:rFonts w:ascii="Times New Roman" w:hAnsi="Times New Roman" w:cs="Times New Roman"/>
          <w:color w:val="auto"/>
        </w:rPr>
        <w:t xml:space="preserve">Aim</w:t>
      </w:r>
    </w:p>
    <w:p>
      <w:pPr>
        <w:jc w:val="both"/>
        <w:rPr>
          <w:rFonts w:ascii="Times New Roman" w:hAnsi="Times New Roman" w:cs="Times New Roman"/>
        </w:rPr>
      </w:pPr>
      <w:r>
        <w:rPr>
          <w:rFonts w:ascii="Times New Roman" w:hAnsi="Times New Roman" w:cs="Times New Roman"/>
        </w:rPr>
        <w:t xml:space="preserve">To predict a continuous outcome from several predictors, interpret the coefficients, diagnose multicollinearity and compare feature subsets (notebook: multiple_linear_regression.ipynb).</w:t>
      </w:r>
    </w:p>
    <w:p>
      <w:pPr>
        <w:pStyle w:val="Heading1"/>
        <w:jc w:val="both"/>
        <w:rPr>
          <w:rFonts w:ascii="Times New Roman" w:hAnsi="Times New Roman" w:cs="Times New Roman"/>
          <w:color w:val="auto"/>
        </w:rPr>
      </w:pPr>
      <w:r>
        <w:rPr>
          <w:rFonts w:ascii="Times New Roman" w:hAnsi="Times New Roman" w:cs="Times New Roman"/>
          <w:color w:val="auto"/>
        </w:rPr>
        <w:t xml:space="preserve">Data and method</w:t>
      </w:r>
    </w:p>
    <w:p>
      <w:pPr>
        <w:jc w:val="both"/>
        <w:rPr>
          <w:rFonts w:ascii="Times New Roman" w:hAnsi="Times New Roman" w:cs="Times New Roman"/>
        </w:rPr>
      </w:pPr>
      <w:r>
        <w:rPr>
          <w:rFonts w:ascii="Times New Roman" w:hAnsi="Times New Roman" w:cs="Times New Roman"/>
        </w:rPr>
        <w:t xml:space="preserve">I used the scikit-learn Diabetes dataset (442 patients, ten baseline features, target = disease progression after a year). The data were split 75/25. I fitted ordinary least squares, reported R², adjusted R² and RMSE, calculated variance inflation factors (VIF) and compared several feature subsets.</w:t>
      </w:r>
    </w:p>
    <w:p>
      <w:pPr>
        <w:pStyle w:val="Heading1"/>
        <w:jc w:val="both"/>
        <w:rPr>
          <w:rFonts w:ascii="Times New Roman" w:hAnsi="Times New Roman" w:cs="Times New Roman"/>
          <w:color w:val="auto"/>
        </w:rPr>
      </w:pPr>
      <w:r>
        <w:rPr>
          <w:rFonts w:ascii="Times New Roman" w:hAnsi="Times New Roman" w:cs="Times New Roman"/>
          <w:color w:val="auto"/>
        </w:rPr>
        <w:t xml:space="preserve">Results</w:t>
      </w:r>
    </w:p>
    <w:tbl>
      <w:tblPr>
        <w:tblStyle w:val="LightGrid-Accent1"/>
        <w:tblW w:w="0" w:type="auto"/>
        <w:tblLook w:val="04A0" w:firstRow="1" w:lastRow="0" w:firstColumn="1" w:lastColumn="0" w:noHBand="0" w:noVBand="1"/>
      </w:tblPr>
      <w:tblGrid>
        <w:gridCol w:w="2160"/>
        <w:gridCol w:w="2160"/>
        <w:gridCol w:w="2160"/>
        <w:gridCol w:w="2160"/>
      </w:tblGrid>
      <w:tr>
        <w:tc>
          <w:tcPr>
            <w:tcW w:w="2160" w:type="dxa"/>
          </w:tcPr>
          <w:p>
            <w:pPr>
              <w:jc w:val="both"/>
              <w:rPr>
                <w:rFonts w:ascii="Times New Roman" w:hAnsi="Times New Roman" w:cs="Times New Roman"/>
              </w:rPr>
            </w:pPr>
            <w:r>
              <w:rPr>
                <w:rFonts w:ascii="Times New Roman" w:hAnsi="Times New Roman" w:cs="Times New Roman"/>
              </w:rPr>
              <w:t xml:space="preserve">Feature set</w:t>
            </w:r>
          </w:p>
        </w:tc>
        <w:tc>
          <w:tcPr>
            <w:tcW w:w="2160" w:type="dxa"/>
          </w:tcPr>
          <w:p>
            <w:pPr>
              <w:jc w:val="both"/>
              <w:rPr>
                <w:rFonts w:ascii="Times New Roman" w:hAnsi="Times New Roman" w:cs="Times New Roman"/>
              </w:rPr>
            </w:pPr>
            <w:r>
              <w:rPr>
                <w:rFonts w:ascii="Times New Roman" w:hAnsi="Times New Roman" w:cs="Times New Roman"/>
              </w:rPr>
              <w:t xml:space="preserve">Test R²</w:t>
            </w:r>
          </w:p>
        </w:tc>
        <w:tc>
          <w:tcPr>
            <w:tcW w:w="2160" w:type="dxa"/>
          </w:tcPr>
          <w:p>
            <w:pPr>
              <w:jc w:val="both"/>
              <w:rPr>
                <w:rFonts w:ascii="Times New Roman" w:hAnsi="Times New Roman" w:cs="Times New Roman"/>
              </w:rPr>
            </w:pPr>
            <w:r>
              <w:rPr>
                <w:rFonts w:ascii="Times New Roman" w:hAnsi="Times New Roman" w:cs="Times New Roman"/>
              </w:rPr>
              <w:t xml:space="preserve">Adjusted R²</w:t>
            </w:r>
          </w:p>
        </w:tc>
        <w:tc>
          <w:tcPr>
            <w:tcW w:w="2160" w:type="dxa"/>
          </w:tcPr>
          <w:p>
            <w:pPr>
              <w:jc w:val="both"/>
              <w:rPr>
                <w:rFonts w:ascii="Times New Roman" w:hAnsi="Times New Roman" w:cs="Times New Roman"/>
              </w:rPr>
            </w:pPr>
            <w:r>
              <w:rPr>
                <w:rFonts w:ascii="Times New Roman" w:hAnsi="Times New Roman" w:cs="Times New Roman"/>
              </w:rPr>
              <w:t xml:space="preserve">RMSE</w:t>
            </w:r>
          </w:p>
        </w:tc>
      </w:tr>
      <w:tr>
        <w:tc>
          <w:tcPr>
            <w:tcW w:w="2160" w:type="dxa"/>
          </w:tcPr>
          <w:p>
            <w:pPr>
              <w:jc w:val="both"/>
              <w:rPr>
                <w:rFonts w:ascii="Times New Roman" w:hAnsi="Times New Roman" w:cs="Times New Roman"/>
              </w:rPr>
            </w:pPr>
            <w:r>
              <w:rPr>
                <w:rFonts w:ascii="Times New Roman" w:hAnsi="Times New Roman" w:cs="Times New Roman"/>
              </w:rPr>
              <w:t xml:space="preserve">All 10 features</w:t>
            </w:r>
          </w:p>
        </w:tc>
        <w:tc>
          <w:tcPr>
            <w:tcW w:w="2160" w:type="dxa"/>
          </w:tcPr>
          <w:p>
            <w:pPr>
              <w:jc w:val="both"/>
              <w:rPr>
                <w:rFonts w:ascii="Times New Roman" w:hAnsi="Times New Roman" w:cs="Times New Roman"/>
              </w:rPr>
            </w:pPr>
            <w:r>
              <w:rPr>
                <w:rFonts w:ascii="Times New Roman" w:hAnsi="Times New Roman" w:cs="Times New Roman"/>
              </w:rPr>
              <w:t xml:space="preserve">0.485</w:t>
            </w:r>
          </w:p>
        </w:tc>
        <w:tc>
          <w:tcPr>
            <w:tcW w:w="2160" w:type="dxa"/>
          </w:tcPr>
          <w:p>
            <w:pPr>
              <w:jc w:val="both"/>
              <w:rPr>
                <w:rFonts w:ascii="Times New Roman" w:hAnsi="Times New Roman" w:cs="Times New Roman"/>
              </w:rPr>
            </w:pPr>
            <w:r>
              <w:rPr>
                <w:rFonts w:ascii="Times New Roman" w:hAnsi="Times New Roman" w:cs="Times New Roman"/>
              </w:rPr>
              <w:t xml:space="preserve">0.433</w:t>
            </w:r>
          </w:p>
        </w:tc>
        <w:tc>
          <w:tcPr>
            <w:tcW w:w="2160" w:type="dxa"/>
          </w:tcPr>
          <w:p>
            <w:pPr>
              <w:jc w:val="both"/>
              <w:rPr>
                <w:rFonts w:ascii="Times New Roman" w:hAnsi="Times New Roman" w:cs="Times New Roman"/>
              </w:rPr>
            </w:pPr>
            <w:r>
              <w:rPr>
                <w:rFonts w:ascii="Times New Roman" w:hAnsi="Times New Roman" w:cs="Times New Roman"/>
              </w:rPr>
              <w:t xml:space="preserve">53.37</w:t>
            </w:r>
          </w:p>
        </w:tc>
      </w:tr>
      <w:tr>
        <w:tc>
          <w:tcPr>
            <w:tcW w:w="2160" w:type="dxa"/>
          </w:tcPr>
          <w:p>
            <w:pPr>
              <w:jc w:val="both"/>
              <w:rPr>
                <w:rFonts w:ascii="Times New Roman" w:hAnsi="Times New Roman" w:cs="Times New Roman"/>
              </w:rPr>
            </w:pPr>
            <w:r>
              <w:rPr>
                <w:rFonts w:ascii="Times New Roman" w:hAnsi="Times New Roman" w:cs="Times New Roman"/>
              </w:rPr>
              <w:t xml:space="preserve">BMI only</w:t>
            </w:r>
          </w:p>
        </w:tc>
        <w:tc>
          <w:tcPr>
            <w:tcW w:w="2160" w:type="dxa"/>
          </w:tcPr>
          <w:p>
            <w:pPr>
              <w:jc w:val="both"/>
              <w:rPr>
                <w:rFonts w:ascii="Times New Roman" w:hAnsi="Times New Roman" w:cs="Times New Roman"/>
              </w:rPr>
            </w:pPr>
            <w:r>
              <w:rPr>
                <w:rFonts w:ascii="Times New Roman" w:hAnsi="Times New Roman" w:cs="Times New Roman"/>
              </w:rPr>
              <w:t xml:space="preserve">0.317</w:t>
            </w:r>
          </w:p>
        </w:tc>
        <w:tc>
          <w:tcPr>
            <w:tcW w:w="2160" w:type="dxa"/>
          </w:tcPr>
          <w:p>
            <w:pPr>
              <w:jc w:val="both"/>
              <w:rPr>
                <w:rFonts w:ascii="Times New Roman" w:hAnsi="Times New Roman" w:cs="Times New Roman"/>
              </w:rPr>
            </w:pPr>
            <w:r>
              <w:rPr>
                <w:rFonts w:ascii="Times New Roman" w:hAnsi="Times New Roman" w:cs="Times New Roman"/>
              </w:rPr>
              <w:t xml:space="preserve">0.311</w:t>
            </w:r>
          </w:p>
        </w:tc>
        <w:tc>
          <w:tcPr>
            <w:tcW w:w="2160" w:type="dxa"/>
          </w:tcPr>
          <w:p>
            <w:pPr>
              <w:jc w:val="both"/>
              <w:rPr>
                <w:rFonts w:ascii="Times New Roman" w:hAnsi="Times New Roman" w:cs="Times New Roman"/>
              </w:rPr>
            </w:pPr>
            <w:r>
              <w:rPr>
                <w:rFonts w:ascii="Times New Roman" w:hAnsi="Times New Roman" w:cs="Times New Roman"/>
              </w:rPr>
              <w:t xml:space="preserve">61.45</w:t>
            </w:r>
          </w:p>
        </w:tc>
      </w:tr>
      <w:tr>
        <w:tc>
          <w:tcPr>
            <w:tcW w:w="2160" w:type="dxa"/>
          </w:tcPr>
          <w:p>
            <w:pPr>
              <w:jc w:val="both"/>
              <w:rPr>
                <w:rFonts w:ascii="Times New Roman" w:hAnsi="Times New Roman" w:cs="Times New Roman"/>
              </w:rPr>
            </w:pPr>
            <w:r>
              <w:rPr>
                <w:rFonts w:ascii="Times New Roman" w:hAnsi="Times New Roman" w:cs="Times New Roman"/>
              </w:rPr>
              <w:t xml:space="preserve">BMI + BP</w:t>
            </w:r>
          </w:p>
        </w:tc>
        <w:tc>
          <w:tcPr>
            <w:tcW w:w="2160" w:type="dxa"/>
          </w:tcPr>
          <w:p>
            <w:pPr>
              <w:jc w:val="both"/>
              <w:rPr>
                <w:rFonts w:ascii="Times New Roman" w:hAnsi="Times New Roman" w:cs="Times New Roman"/>
              </w:rPr>
            </w:pPr>
            <w:r>
              <w:rPr>
                <w:rFonts w:ascii="Times New Roman" w:hAnsi="Times New Roman" w:cs="Times New Roman"/>
              </w:rPr>
              <w:t xml:space="preserve">0.355</w:t>
            </w:r>
          </w:p>
        </w:tc>
        <w:tc>
          <w:tcPr>
            <w:tcW w:w="2160" w:type="dxa"/>
          </w:tcPr>
          <w:p>
            <w:pPr>
              <w:jc w:val="both"/>
              <w:rPr>
                <w:rFonts w:ascii="Times New Roman" w:hAnsi="Times New Roman" w:cs="Times New Roman"/>
              </w:rPr>
            </w:pPr>
            <w:r>
              <w:rPr>
                <w:rFonts w:ascii="Times New Roman" w:hAnsi="Times New Roman" w:cs="Times New Roman"/>
              </w:rPr>
              <w:t xml:space="preserve">0.343</w:t>
            </w:r>
          </w:p>
        </w:tc>
        <w:tc>
          <w:tcPr>
            <w:tcW w:w="2160" w:type="dxa"/>
          </w:tcPr>
          <w:p>
            <w:pPr>
              <w:jc w:val="both"/>
              <w:rPr>
                <w:rFonts w:ascii="Times New Roman" w:hAnsi="Times New Roman" w:cs="Times New Roman"/>
              </w:rPr>
            </w:pPr>
            <w:r>
              <w:rPr>
                <w:rFonts w:ascii="Times New Roman" w:hAnsi="Times New Roman" w:cs="Times New Roman"/>
              </w:rPr>
              <w:t xml:space="preserve">59.71</w:t>
            </w:r>
          </w:p>
        </w:tc>
      </w:tr>
      <w:tr>
        <w:tc>
          <w:tcPr>
            <w:tcW w:w="2160" w:type="dxa"/>
          </w:tcPr>
          <w:p>
            <w:pPr>
              <w:jc w:val="both"/>
              <w:rPr>
                <w:rFonts w:ascii="Times New Roman" w:hAnsi="Times New Roman" w:cs="Times New Roman"/>
              </w:rPr>
            </w:pPr>
            <w:r>
              <w:rPr>
                <w:rFonts w:ascii="Times New Roman" w:hAnsi="Times New Roman" w:cs="Times New Roman"/>
              </w:rPr>
              <w:t xml:space="preserve">BMI + BP + s5</w:t>
            </w:r>
          </w:p>
        </w:tc>
        <w:tc>
          <w:tcPr>
            <w:tcW w:w="2160" w:type="dxa"/>
          </w:tcPr>
          <w:p>
            <w:pPr>
              <w:jc w:val="both"/>
              <w:rPr>
                <w:rFonts w:ascii="Times New Roman" w:hAnsi="Times New Roman" w:cs="Times New Roman"/>
              </w:rPr>
            </w:pPr>
            <w:r>
              <w:rPr>
                <w:rFonts w:ascii="Times New Roman" w:hAnsi="Times New Roman" w:cs="Times New Roman"/>
              </w:rPr>
              <w:t xml:space="preserve">0.502</w:t>
            </w:r>
          </w:p>
        </w:tc>
        <w:tc>
          <w:tcPr>
            <w:tcW w:w="2160" w:type="dxa"/>
          </w:tcPr>
          <w:p>
            <w:pPr>
              <w:jc w:val="both"/>
              <w:rPr>
                <w:rFonts w:ascii="Times New Roman" w:hAnsi="Times New Roman" w:cs="Times New Roman"/>
              </w:rPr>
            </w:pPr>
            <w:r>
              <w:rPr>
                <w:rFonts w:ascii="Times New Roman" w:hAnsi="Times New Roman" w:cs="Times New Roman"/>
              </w:rPr>
              <w:t xml:space="preserve">0.488</w:t>
            </w:r>
          </w:p>
        </w:tc>
        <w:tc>
          <w:tcPr>
            <w:tcW w:w="2160" w:type="dxa"/>
          </w:tcPr>
          <w:p>
            <w:pPr>
              <w:jc w:val="both"/>
              <w:rPr>
                <w:rFonts w:ascii="Times New Roman" w:hAnsi="Times New Roman" w:cs="Times New Roman"/>
              </w:rPr>
            </w:pPr>
            <w:r>
              <w:rPr>
                <w:rFonts w:ascii="Times New Roman" w:hAnsi="Times New Roman" w:cs="Times New Roman"/>
              </w:rPr>
              <w:t xml:space="preserve">52.46</w:t>
            </w:r>
          </w:p>
        </w:tc>
      </w:tr>
      <w:tr>
        <w:tc>
          <w:tcPr>
            <w:tcW w:w="2160" w:type="dxa"/>
          </w:tcPr>
          <w:p>
            <w:pPr>
              <w:jc w:val="both"/>
              <w:rPr>
                <w:rFonts w:ascii="Times New Roman" w:hAnsi="Times New Roman" w:cs="Times New Roman"/>
              </w:rPr>
            </w:pPr>
            <w:r>
              <w:rPr>
                <w:rFonts w:ascii="Times New Roman" w:hAnsi="Times New Roman" w:cs="Times New Roman"/>
              </w:rPr>
              <w:t xml:space="preserve">All except s1, s2</w:t>
            </w:r>
          </w:p>
        </w:tc>
        <w:tc>
          <w:tcPr>
            <w:tcW w:w="2160" w:type="dxa"/>
          </w:tcPr>
          <w:p>
            <w:pPr>
              <w:jc w:val="both"/>
              <w:rPr>
                <w:rFonts w:ascii="Times New Roman" w:hAnsi="Times New Roman" w:cs="Times New Roman"/>
              </w:rPr>
            </w:pPr>
            <w:r>
              <w:rPr>
                <w:rFonts w:ascii="Times New Roman" w:hAnsi="Times New Roman" w:cs="Times New Roman"/>
              </w:rPr>
              <w:t xml:space="preserve">0.496</w:t>
            </w:r>
          </w:p>
        </w:tc>
        <w:tc>
          <w:tcPr>
            <w:tcW w:w="2160" w:type="dxa"/>
          </w:tcPr>
          <w:p>
            <w:pPr>
              <w:jc w:val="both"/>
              <w:rPr>
                <w:rFonts w:ascii="Times New Roman" w:hAnsi="Times New Roman" w:cs="Times New Roman"/>
              </w:rPr>
            </w:pPr>
            <w:r>
              <w:rPr>
                <w:rFonts w:ascii="Times New Roman" w:hAnsi="Times New Roman" w:cs="Times New Roman"/>
              </w:rPr>
              <w:t xml:space="preserve">0.457</w:t>
            </w:r>
          </w:p>
        </w:tc>
        <w:tc>
          <w:tcPr>
            <w:tcW w:w="2160" w:type="dxa"/>
          </w:tcPr>
          <w:p>
            <w:pPr>
              <w:jc w:val="both"/>
              <w:rPr>
                <w:rFonts w:ascii="Times New Roman" w:hAnsi="Times New Roman" w:cs="Times New Roman"/>
              </w:rPr>
            </w:pPr>
            <w:r>
              <w:rPr>
                <w:rFonts w:ascii="Times New Roman" w:hAnsi="Times New Roman" w:cs="Times New Roman"/>
              </w:rPr>
              <w:t xml:space="preserve">52.77</w:t>
            </w:r>
          </w:p>
        </w:tc>
      </w:tr>
    </w:tbl>
    <w:p>
      <w:pPr>
        <w:pStyle w:val="Heading1"/>
        <w:jc w:val="both"/>
        <w:rPr>
          <w:rFonts w:ascii="Times New Roman" w:hAnsi="Times New Roman" w:cs="Times New Roman"/>
          <w:color w:val="auto"/>
        </w:rPr>
      </w:pPr>
      <w:r>
        <w:rPr>
          <w:rFonts w:ascii="Times New Roman" w:hAnsi="Times New Roman" w:cs="Times New Roman"/>
          <w:color w:val="auto"/>
        </w:rPr>
        <w:t xml:space="preserve">Figures</w:t>
      </w:r>
    </w:p>
    <w:p>
      <w:pPr>
        <w:jc w:val="both"/>
        <w:rPr>
          <w:rFonts w:ascii="Times New Roman" w:hAnsi="Times New Roman" w:cs="Times New Roman"/>
        </w:rPr>
      </w:pPr>
      <w:r>
        <w:rPr>
          <w:rFonts w:ascii="Times New Roman" w:hAnsi="Times New Roman" w:cs="Times New Roman"/>
          <w:noProof/>
        </w:rPr>
        <w:drawing>
          <wp:inline distT="0" distB="0" distL="0" distR="0">
            <wp:extent cx="5303520" cy="3857105"/>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5303520" cy="3857105"/>
                    </a:xfrm>
                    <a:prstGeom prst="rect">
                      <a:avLst/>
                    </a:prstGeom>
                  </pic:spPr>
                </pic:pic>
              </a:graphicData>
            </a:graphic>
          </wp:inline>
        </w:drawing>
      </w:r>
    </w:p>
    <w:p>
      <w:pPr>
        <w:jc w:val="center"/>
        <w:rPr>
          <w:rFonts w:ascii="Times New Roman" w:hAnsi="Times New Roman" w:cs="Times New Roman"/>
        </w:rPr>
      </w:pPr>
      <w:r>
        <w:rPr>
          <w:rFonts w:ascii="Times New Roman" w:hAnsi="Times New Roman" w:cs="Times New Roman"/>
          <w:i/>
        </w:rPr>
        <w:t xml:space="preserve">Figure 1: Predicted against actual progression</w:t>
      </w:r>
    </w:p>
    <w:p>
      <w:pPr>
        <w:pStyle w:val="Heading1"/>
        <w:jc w:val="both"/>
        <w:rPr>
          <w:rFonts w:ascii="Times New Roman" w:hAnsi="Times New Roman" w:cs="Times New Roman"/>
          <w:color w:val="auto"/>
        </w:rPr>
      </w:pPr>
      <w:r>
        <w:rPr>
          <w:rFonts w:ascii="Times New Roman" w:hAnsi="Times New Roman" w:cs="Times New Roman"/>
          <w:color w:val="auto"/>
        </w:rPr>
        <w:t xml:space="preserve">Interpretation and reflection</w:t>
      </w:r>
    </w:p>
    <w:p>
      <w:pPr>
        <w:jc w:val="both"/>
        <w:rPr>
          <w:rFonts w:ascii="Times New Roman" w:hAnsi="Times New Roman" w:cs="Times New Roman"/>
          <w:sz w:val="24"/>
          <w:szCs w:val="24"/>
        </w:rPr>
      </w:pPr>
      <w:r>
        <w:rPr>
          <w:rFonts w:ascii="Times New Roman" w:hAnsi="Times New Roman" w:cs="Times New Roman"/>
          <w:sz w:val="24"/>
          <w:szCs w:val="24"/>
        </w:rPr>
        <w:t xml:space="preserve">The complete model accounts for 49% of the variance in the unseen data. BMI and the s5 serum measure accounts for most of the signal, and a three-feature model out-performs the full model on test R² (0.502 vs 0.485) and adjusted R² (0.488 vs 0.433). The features s1 and s2 are strongly collinear (VIF 54 and 36) and can therefore not be read separately. They will almost never cost anything to drop. This lesson is that more predictors does not necessarily mean a better model and that coefficient interpretation should be preceded by a test for multicollinearity. A restriction is that train-test split is a single split; cross validation (unit 11) would be a more stable comparison.</w:t>
      </w:r>
    </w:p>
    <w:sectPr>
      <w:type w:val="nextPage"/>
      <w:pgSz w:w="12240" w:h="15840"/>
      <w:pgMar w:top="1440" w:right="1800" w:bottom="1440" w:left="180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multiLevelType w:val="multilevel"/>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multilevel"/>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multilevel"/>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multiLevelType w:val="multilevel"/>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multiLevelType w:val="multilevel"/>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multiLevelType w:val="multilevel"/>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multiLevelType w:val="multilevel"/>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4"/>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2"/>
        <w:szCs w:val="22"/>
        <w:lang w:val="en-US" w:bidi="ar-SA"/>
      </w:rPr>
    </w:rPrDefault>
    <w:pPrDefault>
      <w:pPr>
        <w:spacing w:after="200" w:line="276" w:lineRule="auto"/>
      </w:pPr>
    </w:pPrDefault>
  </w:docDefaults>
  <w:style w:type="paragraph" w:styleId="Normal" w:default="1">
    <w:name w:val="Normal"/>
    <w:qFormat/>
    <w:rPr>
      <w:rFonts w:ascii="Calibri" w:hAnsi="Calibri"/>
    </w:rPr>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tblStylePr w:type="firstCol">
      <w:rPr>
        <w:b/>
        <w:bCs/>
      </w:rPr>
    </w:tblStylePr>
    <w:tblStylePr w:type="lastCol">
      <w:rPr>
        <w:b/>
        <w:bCs/>
      </w:rPr>
      <w:tcPr>
        <w:tcBorders>
          <w:top w:val="single" w:sz="8" w:space="0" w:color="000000"/>
          <w:bottom w:val="single" w:sz="8" w:space="0" w:color="000000"/>
        </w:tcBorders>
      </w:tcPr>
    </w:tblStylePr>
    <w:tblStylePr w:type="band1Vert">
      <w:tcPr>
        <w:shd w:val="clear" w:color="auto" w:fill="C0C0C0"/>
      </w:tcPr>
    </w:tblStylePr>
    <w:tblStylePr w:type="band1Horz">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tblStylePr w:type="firstCol">
      <w:rPr>
        <w:b/>
        <w:bCs/>
      </w:rPr>
    </w:tblStylePr>
    <w:tblStylePr w:type="lastCol">
      <w:rPr>
        <w:b/>
        <w:bCs/>
      </w:rPr>
      <w:tcPr>
        <w:tcBorders>
          <w:top w:val="single" w:sz="8" w:space="0" w:color="4F81BD"/>
          <w:bottom w:val="single" w:sz="8" w:space="0" w:color="4F81BD"/>
        </w:tcBorders>
      </w:tcPr>
    </w:tblStylePr>
    <w:tblStylePr w:type="band1Vert">
      <w:tcPr>
        <w:shd w:val="clear" w:color="auto" w:fill="D4E0EF"/>
      </w:tcPr>
    </w:tblStylePr>
    <w:tblStylePr w:type="band1Horz">
      <w:tcPr>
        <w:shd w:val="clear" w:color="auto" w:fill="D4E0EF"/>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tblStylePr w:type="firstCol">
      <w:rPr>
        <w:b/>
        <w:bCs/>
      </w:rPr>
    </w:tblStylePr>
    <w:tblStylePr w:type="lastCol">
      <w:rPr>
        <w:b/>
        <w:bCs/>
      </w:rPr>
      <w:tcPr>
        <w:tcBorders>
          <w:top w:val="single" w:sz="8" w:space="0" w:color="C0504D"/>
          <w:bottom w:val="single" w:sz="8" w:space="0" w:color="C0504D"/>
        </w:tcBorders>
      </w:tcPr>
    </w:tblStylePr>
    <w:tblStylePr w:type="band1Vert">
      <w:tcPr>
        <w:shd w:val="clear" w:color="auto" w:fill="EFD4D3"/>
      </w:tcPr>
    </w:tblStylePr>
    <w:tblStylePr w:type="band1Horz">
      <w:tcPr>
        <w:shd w:val="clear" w:color="auto" w:fill="EFD4D3"/>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tblStylePr w:type="firstCol">
      <w:rPr>
        <w:b/>
        <w:bCs/>
      </w:rPr>
    </w:tblStylePr>
    <w:tblStylePr w:type="lastCol">
      <w:rPr>
        <w:b/>
        <w:bCs/>
      </w:rPr>
      <w:tcPr>
        <w:tcBorders>
          <w:top w:val="single" w:sz="8" w:space="0" w:color="9BBB59"/>
          <w:bottom w:val="single" w:sz="8" w:space="0" w:color="9BBB59"/>
        </w:tcBorders>
      </w:tcPr>
    </w:tblStylePr>
    <w:tblStylePr w:type="band1Vert">
      <w:tcPr>
        <w:shd w:val="clear" w:color="auto" w:fill="E6EED6"/>
      </w:tcPr>
    </w:tblStylePr>
    <w:tblStylePr w:type="band1Horz">
      <w:tcPr>
        <w:shd w:val="clear" w:color="auto" w:fill="E6EED6"/>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tblStylePr w:type="firstCol">
      <w:rPr>
        <w:b/>
        <w:bCs/>
      </w:rPr>
    </w:tblStylePr>
    <w:tblStylePr w:type="lastCol">
      <w:rPr>
        <w:b/>
        <w:bCs/>
      </w:rPr>
      <w:tcPr>
        <w:tcBorders>
          <w:top w:val="single" w:sz="8" w:space="0" w:color="8064A2"/>
          <w:bottom w:val="single" w:sz="8" w:space="0" w:color="8064A2"/>
        </w:tcBorders>
      </w:tcPr>
    </w:tblStylePr>
    <w:tblStylePr w:type="band1Vert">
      <w:tcPr>
        <w:shd w:val="clear" w:color="auto" w:fill="E0D9E8"/>
      </w:tcPr>
    </w:tblStylePr>
    <w:tblStylePr w:type="band1Horz">
      <w:tcPr>
        <w:shd w:val="clear" w:color="auto" w:fill="E0D9E8"/>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tblStylePr w:type="firstCol">
      <w:rPr>
        <w:b/>
        <w:bCs/>
      </w:rPr>
    </w:tblStylePr>
    <w:tblStylePr w:type="lastCol">
      <w:rPr>
        <w:b/>
        <w:bCs/>
      </w:rPr>
      <w:tcPr>
        <w:tcBorders>
          <w:top w:val="single" w:sz="8" w:space="0" w:color="4BACC6"/>
          <w:bottom w:val="single" w:sz="8" w:space="0" w:color="4BACC6"/>
        </w:tcBorders>
      </w:tcPr>
    </w:tblStylePr>
    <w:tblStylePr w:type="band1Vert">
      <w:tcPr>
        <w:shd w:val="clear" w:color="auto" w:fill="D3EAF1"/>
      </w:tcPr>
    </w:tblStylePr>
    <w:tblStylePr w:type="band1Horz">
      <w:tcPr>
        <w:shd w:val="clear" w:color="auto" w:fill="D3EAF1"/>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tblStylePr w:type="firstCol">
      <w:rPr>
        <w:b/>
        <w:bCs/>
      </w:rPr>
    </w:tblStylePr>
    <w:tblStylePr w:type="lastCol">
      <w:rPr>
        <w:b/>
        <w:bCs/>
      </w:rPr>
      <w:tcPr>
        <w:tcBorders>
          <w:top w:val="single" w:sz="8" w:space="0" w:color="F79646"/>
          <w:bottom w:val="single" w:sz="8" w:space="0" w:color="F79646"/>
        </w:tcBorders>
      </w:tcPr>
    </w:tblStylePr>
    <w:tblStylePr w:type="band1Vert">
      <w:tcPr>
        <w:shd w:val="clear" w:color="auto" w:fill="FDE5D1"/>
      </w:tcPr>
    </w:tblStylePr>
    <w:tblStylePr w:type="band1Horz">
      <w:tcPr>
        <w:shd w:val="clear" w:color="auto" w:fill="FDE5D1"/>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StylePr w:type="firstRow">
      <w:rPr>
        <w:b/>
        <w:bCs/>
      </w:rPr>
    </w:tblStylePr>
    <w:tblStylePr w:type="lastRow">
      <w:rPr>
        <w:b/>
        <w:bCs/>
      </w:rPr>
      <w:tcPr>
        <w:tcBorders>
          <w:top w:val="single" w:sz="18" w:space="0" w:color="40404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firstRow">
      <w:rPr>
        <w:b/>
        <w:bCs/>
      </w:rPr>
    </w:tblStylePr>
    <w:tblStylePr w:type="lastRow">
      <w:rPr>
        <w:b/>
        <w:bCs/>
      </w:rPr>
      <w:tcPr>
        <w:tcBorders>
          <w:top w:val="single" w:sz="18" w:space="0" w:color="7BA0CD"/>
        </w:tcBorders>
      </w:tcPr>
    </w:tblStylePr>
    <w:tblStylePr w:type="firstCol">
      <w:rPr>
        <w:b/>
        <w:bCs/>
      </w:rPr>
    </w:tblStylePr>
    <w:tblStylePr w:type="lastCol">
      <w:rPr>
        <w:b/>
        <w:bCs/>
      </w:rPr>
    </w:tblStylePr>
    <w:tblStylePr w:type="band1Vert">
      <w:tcPr>
        <w:shd w:val="clear" w:color="auto" w:fill="A7C0DE"/>
      </w:tcPr>
    </w:tblStylePr>
    <w:tblStylePr w:type="band1Horz">
      <w:tcPr>
        <w:shd w:val="clear" w:color="auto" w:fill="A7C0DE"/>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blStylePr w:type="firstRow">
      <w:rPr>
        <w:b/>
        <w:bCs/>
      </w:rPr>
    </w:tblStylePr>
    <w:tblStylePr w:type="lastRow">
      <w:rPr>
        <w:b/>
        <w:bCs/>
      </w:rPr>
      <w:tcPr>
        <w:tcBorders>
          <w:top w:val="single" w:sz="18" w:space="0" w:color="CF7B79"/>
        </w:tcBorders>
      </w:tcPr>
    </w:tblStylePr>
    <w:tblStylePr w:type="firstCol">
      <w:rPr>
        <w:b/>
        <w:bCs/>
      </w:rPr>
    </w:tblStylePr>
    <w:tblStylePr w:type="lastCol">
      <w:rPr>
        <w:b/>
        <w:bCs/>
      </w:rPr>
    </w:tblStylePr>
    <w:tblStylePr w:type="band1Vert">
      <w:tcPr>
        <w:shd w:val="clear" w:color="auto" w:fill="E0A8A6"/>
      </w:tcPr>
    </w:tblStylePr>
    <w:tblStylePr w:type="band1Horz">
      <w:tcPr>
        <w:shd w:val="clear" w:color="auto" w:fill="E0A8A6"/>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blStylePr w:type="firstRow">
      <w:rPr>
        <w:b/>
        <w:bCs/>
      </w:rPr>
    </w:tblStylePr>
    <w:tblStylePr w:type="lastRow">
      <w:rPr>
        <w:b/>
        <w:bCs/>
      </w:rPr>
      <w:tcPr>
        <w:tcBorders>
          <w:top w:val="single" w:sz="18" w:space="0" w:color="B3CC82"/>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blStylePr w:type="firstRow">
      <w:rPr>
        <w:b/>
        <w:bCs/>
      </w:rPr>
    </w:tblStylePr>
    <w:tblStylePr w:type="lastRow">
      <w:rPr>
        <w:b/>
        <w:bCs/>
      </w:rPr>
      <w:tcPr>
        <w:tcBorders>
          <w:top w:val="single" w:sz="18" w:space="0" w:color="9F8AB9"/>
        </w:tcBorders>
      </w:tcPr>
    </w:tblStylePr>
    <w:tblStylePr w:type="firstCol">
      <w:rPr>
        <w:b/>
        <w:bCs/>
      </w:rPr>
    </w:tblStylePr>
    <w:tblStylePr w:type="lastCol">
      <w:rPr>
        <w:b/>
        <w:bCs/>
      </w:rPr>
    </w:tblStylePr>
    <w:tblStylePr w:type="band1Vert">
      <w:tcPr>
        <w:shd w:val="clear" w:color="auto" w:fill="C0B2D1"/>
      </w:tcPr>
    </w:tblStylePr>
    <w:tblStylePr w:type="band1Horz">
      <w:tcPr>
        <w:shd w:val="clear" w:color="auto" w:fill="C0B2D1"/>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blStylePr w:type="firstRow">
      <w:rPr>
        <w:b/>
        <w:bCs/>
      </w:rPr>
    </w:tblStylePr>
    <w:tblStylePr w:type="lastRow">
      <w:rPr>
        <w:b/>
        <w:bCs/>
      </w:rPr>
      <w:tcPr>
        <w:tcBorders>
          <w:top w:val="single" w:sz="18" w:space="0" w:color="78C0D4"/>
        </w:tcBorders>
      </w:tcPr>
    </w:tblStylePr>
    <w:tblStylePr w:type="firstCol">
      <w:rPr>
        <w:b/>
        <w:bCs/>
      </w:rPr>
    </w:tblStylePr>
    <w:tblStylePr w:type="lastCol">
      <w:rPr>
        <w:b/>
        <w:bCs/>
      </w:rPr>
    </w:tblStylePr>
    <w:tblStylePr w:type="band1Vert">
      <w:tcPr>
        <w:shd w:val="clear" w:color="auto" w:fill="A5D6E3"/>
      </w:tcPr>
    </w:tblStylePr>
    <w:tblStylePr w:type="band1Horz">
      <w:tcPr>
        <w:shd w:val="clear" w:color="auto" w:fill="A5D6E3"/>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blStylePr w:type="firstRow">
      <w:rPr>
        <w:b/>
        <w:bCs/>
      </w:rPr>
    </w:tblStylePr>
    <w:tblStylePr w:type="lastRow">
      <w:rPr>
        <w:b/>
        <w:bCs/>
      </w:rPr>
      <w:tcPr>
        <w:tcBorders>
          <w:top w:val="single" w:sz="18" w:space="0" w:color="F9B074"/>
        </w:tcBorders>
      </w:tcPr>
    </w:tblStylePr>
    <w:tblStylePr w:type="firstCol">
      <w:rPr>
        <w:b/>
        <w:bCs/>
      </w:rPr>
    </w:tblStylePr>
    <w:tblStylePr w:type="lastCol">
      <w:rPr>
        <w:b/>
        <w:bCs/>
      </w:rPr>
    </w:tblStylePr>
    <w:tblStylePr w:type="band1Vert">
      <w:tcPr>
        <w:shd w:val="clear" w:color="auto" w:fill="FBCBA3"/>
      </w:tcPr>
    </w:tblStylePr>
    <w:tblStylePr w:type="band1Horz">
      <w:tcPr>
        <w:shd w:val="clear" w:color="auto" w:fill="FBCBA3"/>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style>
  <w:style w:type="table" w:styleId="DarkList">
    <w:name w:val="Dark List"/>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style>
  <w:style w:type="table" w:styleId="DarkList-Accent2">
    <w:name w:val="Dark List Accent 2"/>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style>
  <w:style w:type="table" w:styleId="DarkList-Accent3">
    <w:name w:val="Dark List Accent 3"/>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style>
  <w:style w:type="table" w:styleId="DarkList-Accent4">
    <w:name w:val="Dark List Accent 4"/>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style>
  <w:style w:type="table" w:styleId="DarkList-Accent5">
    <w:name w:val="Dark List Accent 5"/>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style>
  <w:style w:type="table" w:styleId="DarkList-Accent6">
    <w:name w:val="Dark List Accent 6"/>
    <w:basedOn w:val="TableNormal"/>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Vert">
      <w:tcPr>
        <w:shd w:val="clear" w:color="auto" w:fill="999999"/>
      </w:tcPr>
    </w:tblStylePr>
    <w:tblStylePr w:type="band1Horz">
      <w:tcPr>
        <w:shd w:val="clear" w:color="auto" w:fill="808080"/>
      </w:tc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band1Vert">
      <w:tcPr>
        <w:shd w:val="clear" w:color="auto" w:fill="B9CDE5"/>
      </w:tcPr>
    </w:tblStylePr>
    <w:tblStylePr w:type="band1Horz">
      <w:tcPr>
        <w:shd w:val="clear" w:color="auto" w:fill="A7C0DE"/>
      </w:tc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band1Vert">
      <w:tcPr>
        <w:shd w:val="clear" w:color="auto" w:fill="E6B9B8"/>
      </w:tcPr>
    </w:tblStylePr>
    <w:tblStylePr w:type="band1Horz">
      <w:tcPr>
        <w:shd w:val="clear" w:color="auto" w:fill="E0A8A6"/>
      </w:tc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band1Vert">
      <w:tcPr>
        <w:shd w:val="clear" w:color="auto" w:fill="D7E4BD"/>
      </w:tcPr>
    </w:tblStylePr>
    <w:tblStylePr w:type="band1Horz">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band1Vert">
      <w:tcPr>
        <w:shd w:val="clear" w:color="auto" w:fill="CCC1DA"/>
      </w:tcPr>
    </w:tblStylePr>
    <w:tblStylePr w:type="band1Horz">
      <w:tcPr>
        <w:shd w:val="clear" w:color="auto" w:fill="C0B2D1"/>
      </w:tc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band1Vert">
      <w:tcPr>
        <w:shd w:val="clear" w:color="auto" w:fill="B7DEE8"/>
      </w:tcPr>
    </w:tblStylePr>
    <w:tblStylePr w:type="band1Horz">
      <w:tcPr>
        <w:shd w:val="clear" w:color="auto" w:fill="A5D6E3"/>
      </w:tc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band1Vert">
      <w:tcPr>
        <w:shd w:val="clear" w:color="auto" w:fill="FCD5B5"/>
      </w:tcPr>
    </w:tblStylePr>
    <w:tblStylePr w:type="band1Horz">
      <w:tcPr>
        <w:shd w:val="clear" w:color="auto" w:fill="FBCBA3"/>
      </w:tcPr>
    </w:tblStylePr>
  </w:style>
  <w:style w:type="table" w:styleId="ColorfulList">
    <w:name w:val="Colorful List"/>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style>
  <w:style w:type="table" w:styleId="ColorfulList-Accent2">
    <w:name w:val="Colorful List Accent 2"/>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style>
  <w:style w:type="table" w:styleId="ColorfulList-Accent3">
    <w:name w:val="Colorful List Accent 3"/>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style>
  <w:style w:type="table" w:styleId="ColorfulList-Accent4">
    <w:name w:val="Colorful List Accent 4"/>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style>
  <w:style w:type="table" w:styleId="ColorfulList-Accent5">
    <w:name w:val="Colorful List Accent 5"/>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style>
  <w:style w:type="table" w:styleId="ColorfulList-Accent6">
    <w:name w:val="Colorful List Accent 6"/>
    <w:basedOn w:val="TableNormal"/>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9CDE5"/>
      </w:tcPr>
    </w:tblStylePr>
    <w:tblStylePr w:type="lastRow">
      <w:rPr>
        <w:b/>
        <w:bCs/>
        <w:color w:val="000000"/>
      </w:rPr>
      <w:tcPr>
        <w:shd w:val="clear" w:color="auto" w:fill="B9CDE5"/>
      </w:tcPr>
    </w:tblStylePr>
    <w:tblStylePr w:type="firstCol">
      <w:rPr>
        <w:color w:val="FFFFFF"/>
      </w:rPr>
      <w:tcPr>
        <w:shd w:val="clear" w:color="auto" w:fill="376092"/>
      </w:tcPr>
    </w:tblStylePr>
    <w:tblStylePr w:type="lastCol">
      <w:rPr>
        <w:color w:val="FFFFFF"/>
      </w:rPr>
      <w:tcPr>
        <w:shd w:val="clear" w:color="auto" w:fill="376092"/>
      </w:tcPr>
    </w:tblStylePr>
    <w:tblStylePr w:type="band1Vert">
      <w:tcPr>
        <w:shd w:val="clear" w:color="auto" w:fill="A7C0DE"/>
      </w:tcPr>
    </w:tblStylePr>
    <w:tblStylePr w:type="band1Horz">
      <w:tcPr>
        <w:shd w:val="clear" w:color="auto" w:fill="A7C0DE"/>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E6B9B8"/>
      </w:tcPr>
    </w:tblStylePr>
    <w:tblStylePr w:type="lastRow">
      <w:rPr>
        <w:b/>
        <w:bCs/>
        <w:color w:val="000000"/>
      </w:rPr>
      <w:tcPr>
        <w:shd w:val="clear" w:color="auto" w:fill="E6B9B8"/>
      </w:tcPr>
    </w:tblStylePr>
    <w:tblStylePr w:type="firstCol">
      <w:rPr>
        <w:color w:val="FFFFFF"/>
      </w:rPr>
      <w:tcPr>
        <w:shd w:val="clear" w:color="auto" w:fill="953735"/>
      </w:tcPr>
    </w:tblStylePr>
    <w:tblStylePr w:type="lastCol">
      <w:rPr>
        <w:color w:val="FFFFFF"/>
      </w:rPr>
      <w:tcPr>
        <w:shd w:val="clear" w:color="auto" w:fill="953735"/>
      </w:tcPr>
    </w:tblStylePr>
    <w:tblStylePr w:type="band1Vert">
      <w:tcPr>
        <w:shd w:val="clear" w:color="auto" w:fill="E0A8A6"/>
      </w:tcPr>
    </w:tblStylePr>
    <w:tblStylePr w:type="band1Horz">
      <w:tcPr>
        <w:shd w:val="clear" w:color="auto" w:fill="E0A8A6"/>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D7E4BD"/>
      </w:tcPr>
    </w:tblStylePr>
    <w:tblStylePr w:type="lastRow">
      <w:rPr>
        <w:b/>
        <w:bCs/>
        <w:color w:val="000000"/>
      </w:rPr>
      <w:tcPr>
        <w:shd w:val="clear" w:color="auto" w:fill="D7E4BD"/>
      </w:tcPr>
    </w:tblStylePr>
    <w:tblStylePr w:type="firstCol">
      <w:rPr>
        <w:color w:val="FFFFFF"/>
      </w:rPr>
      <w:tcPr>
        <w:shd w:val="clear" w:color="auto" w:fill="76933C"/>
      </w:tcPr>
    </w:tblStylePr>
    <w:tblStylePr w:type="lastCol">
      <w:rPr>
        <w:color w:val="FFFFFF"/>
      </w:rPr>
      <w:tcPr>
        <w:shd w:val="clear" w:color="auto" w:fill="76933C"/>
      </w:tcPr>
    </w:tblStylePr>
    <w:tblStylePr w:type="band1Vert">
      <w:tcPr>
        <w:shd w:val="clear" w:color="auto" w:fill="CDDDAC"/>
      </w:tcPr>
    </w:tblStylePr>
    <w:tblStylePr w:type="band1Horz">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CCC1DA"/>
      </w:tcPr>
    </w:tblStylePr>
    <w:tblStylePr w:type="lastRow">
      <w:rPr>
        <w:b/>
        <w:bCs/>
        <w:color w:val="000000"/>
      </w:rPr>
      <w:tcPr>
        <w:shd w:val="clear" w:color="auto" w:fill="CCC1DA"/>
      </w:tcPr>
    </w:tblStylePr>
    <w:tblStylePr w:type="firstCol">
      <w:rPr>
        <w:color w:val="FFFFFF"/>
      </w:rPr>
      <w:tcPr>
        <w:shd w:val="clear" w:color="auto" w:fill="604A7B"/>
      </w:tcPr>
    </w:tblStylePr>
    <w:tblStylePr w:type="lastCol">
      <w:rPr>
        <w:color w:val="FFFFFF"/>
      </w:rPr>
      <w:tcPr>
        <w:shd w:val="clear" w:color="auto" w:fill="604A7B"/>
      </w:tcPr>
    </w:tblStylePr>
    <w:tblStylePr w:type="band1Vert">
      <w:tcPr>
        <w:shd w:val="clear" w:color="auto" w:fill="C0B2D1"/>
      </w:tcPr>
    </w:tblStylePr>
    <w:tblStylePr w:type="band1Horz">
      <w:tcPr>
        <w:shd w:val="clear" w:color="auto" w:fill="C0B2D1"/>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7DEE8"/>
      </w:tcPr>
    </w:tblStylePr>
    <w:tblStylePr w:type="lastRow">
      <w:rPr>
        <w:b/>
        <w:bCs/>
        <w:color w:val="000000"/>
      </w:rPr>
      <w:tcPr>
        <w:shd w:val="clear" w:color="auto" w:fill="B7DEE8"/>
      </w:tcPr>
    </w:tblStylePr>
    <w:tblStylePr w:type="firstCol">
      <w:rPr>
        <w:color w:val="FFFFFF"/>
      </w:rPr>
      <w:tcPr>
        <w:shd w:val="clear" w:color="auto" w:fill="31859B"/>
      </w:tcPr>
    </w:tblStylePr>
    <w:tblStylePr w:type="lastCol">
      <w:rPr>
        <w:color w:val="FFFFFF"/>
      </w:rPr>
      <w:tcPr>
        <w:shd w:val="clear" w:color="auto" w:fill="31859B"/>
      </w:tcPr>
    </w:tblStylePr>
    <w:tblStylePr w:type="band1Vert">
      <w:tcPr>
        <w:shd w:val="clear" w:color="auto" w:fill="A5D6E3"/>
      </w:tcPr>
    </w:tblStylePr>
    <w:tblStylePr w:type="band1Horz">
      <w:tcPr>
        <w:shd w:val="clear" w:color="auto" w:fill="A5D6E3"/>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FCD5B5"/>
      </w:tcPr>
    </w:tblStylePr>
    <w:tblStylePr w:type="lastRow">
      <w:rPr>
        <w:b/>
        <w:bCs/>
        <w:color w:val="000000"/>
      </w:rPr>
      <w:tcPr>
        <w:shd w:val="clear" w:color="auto" w:fill="FCD5B5"/>
      </w:tcPr>
    </w:tblStylePr>
    <w:tblStylePr w:type="firstCol">
      <w:rPr>
        <w:color w:val="FFFFFF"/>
      </w:rPr>
      <w:tcPr>
        <w:shd w:val="clear" w:color="auto" w:fill="E46C0A"/>
      </w:tcPr>
    </w:tblStylePr>
    <w:tblStylePr w:type="lastCol">
      <w:rPr>
        <w:color w:val="FFFFFF"/>
      </w:rPr>
      <w:tcPr>
        <w:shd w:val="clear" w:color="auto" w:fill="E46C0A"/>
      </w:tcPr>
    </w:tblStylePr>
    <w:tblStylePr w:type="band1Vert">
      <w:tcPr>
        <w:shd w:val="clear" w:color="auto" w:fill="FBCBA3"/>
      </w:tcPr>
    </w:tblStylePr>
    <w:tblStylePr w:type="band1Horz">
      <w:tcPr>
        <w:shd w:val="clear" w:color="auto" w:fill="FBCBA3"/>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ntTable" Target="fontTable.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244</Words>
  <Paragraphs>36</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4</cp:revision>
  <dcterms:created xsi:type="dcterms:W3CDTF">2013-12-23T23:15:00Z</dcterms:created>
  <dcterms:modified xsi:type="dcterms:W3CDTF">2026-10-14T04:23:44Z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983e12f63ba6bb9ad4b76a5c7d5853493bb12610dfa9307efe9c2f56972ffd9d</vt:lpwstr>
  </property>
</Properties>
</file>