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jc w:val="center"/>
        <w:rPr>
          <w:rFonts w:ascii="Times New Roman" w:hAnsi="Times New Roman" w:cs="Times New Roman"/>
          <w:b/>
          <w:bCs/>
          <w:sz w:val="32"/>
          <w:szCs w:val="32"/>
        </w:rPr>
      </w:pPr>
      <w:r>
        <w:rPr>
          <w:rFonts w:ascii="Times New Roman" w:hAnsi="Times New Roman" w:cs="Times New Roman"/>
          <w:b/>
          <w:bCs/>
          <w:sz w:val="32"/>
          <w:szCs w:val="32"/>
        </w:rPr>
        <w:t xml:space="preserve">Unit 3 – Polynomial Regression</w:t>
      </w:r>
    </w:p>
    <w:p>
      <w:pPr>
        <w:jc w:val="center"/>
        <w:rPr>
          <w:rFonts w:ascii="Times New Roman" w:hAnsi="Times New Roman" w:cs="Times New Roman"/>
          <w:b/>
          <w:bCs/>
          <w:sz w:val="32"/>
          <w:szCs w:val="32"/>
        </w:rPr>
      </w:pPr>
      <w:r>
        <w:rPr>
          <w:rFonts w:ascii="Times New Roman" w:hAnsi="Times New Roman" w:cs="Times New Roman"/>
          <w:b/>
          <w:bCs/>
          <w:sz w:val="32"/>
          <w:szCs w:val="32"/>
        </w:rPr>
        <w:t xml:space="preserve">Machine Learning (ML_PCOM7E) | Unit 3 – Exercise 4 of 4 | </w:t>
      </w:r>
    </w:p>
    <w:p>
      <w:pPr>
        <w:pStyle w:val="Heading1"/>
        <w:jc w:val="both"/>
        <w:rPr>
          <w:rFonts w:ascii="Times New Roman" w:hAnsi="Times New Roman" w:cs="Times New Roman"/>
          <w:color w:val="auto"/>
        </w:rPr>
      </w:pPr>
      <w:r>
        <w:rPr>
          <w:rFonts w:ascii="Times New Roman" w:hAnsi="Times New Roman" w:cs="Times New Roman"/>
          <w:color w:val="auto"/>
        </w:rPr>
        <w:t xml:space="preserve">Aim</w:t>
      </w:r>
    </w:p>
    <w:p>
      <w:pPr>
        <w:jc w:val="both"/>
        <w:rPr>
          <w:rFonts w:ascii="Times New Roman" w:hAnsi="Times New Roman" w:cs="Times New Roman"/>
        </w:rPr>
      </w:pPr>
      <w:r>
        <w:rPr>
          <w:rFonts w:ascii="Times New Roman" w:hAnsi="Times New Roman" w:cs="Times New Roman"/>
        </w:rPr>
        <w:t xml:space="preserve">To model a non-linear relationship by adding polynomial terms and use the train–test gap to recognise under-fitting and over-fitting (notebook: polynomial_regression.ipynb).</w:t>
      </w:r>
    </w:p>
    <w:p>
      <w:pPr>
        <w:pStyle w:val="Heading1"/>
        <w:jc w:val="both"/>
        <w:rPr>
          <w:rFonts w:ascii="Times New Roman" w:hAnsi="Times New Roman" w:cs="Times New Roman"/>
          <w:color w:val="auto"/>
        </w:rPr>
      </w:pPr>
      <w:r>
        <w:rPr>
          <w:rFonts w:ascii="Times New Roman" w:hAnsi="Times New Roman" w:cs="Times New Roman"/>
          <w:color w:val="auto"/>
        </w:rPr>
        <w:t xml:space="preserve">Method</w:t>
      </w:r>
    </w:p>
    <w:p>
      <w:pPr>
        <w:jc w:val="both"/>
        <w:rPr>
          <w:rFonts w:ascii="Times New Roman" w:hAnsi="Times New Roman" w:cs="Times New Roman"/>
        </w:rPr>
      </w:pPr>
      <w:r>
        <w:rPr>
          <w:rFonts w:ascii="Times New Roman" w:hAnsi="Times New Roman" w:cs="Times New Roman"/>
        </w:rPr>
        <w:t xml:space="preserve">I generated 80 points from a cubic curve with noise, split them 70/30 and fitted polynomial degrees 1 to 10 using a scikit-learn pipeline (PolynomialFeatures then LinearRegression), recording train and test RMSE.</w:t>
      </w:r>
    </w:p>
    <w:p>
      <w:pPr>
        <w:pStyle w:val="Heading1"/>
        <w:jc w:val="both"/>
        <w:rPr>
          <w:rFonts w:ascii="Times New Roman" w:hAnsi="Times New Roman" w:cs="Times New Roman"/>
          <w:color w:val="auto"/>
        </w:rPr>
      </w:pPr>
      <w:r>
        <w:rPr>
          <w:rFonts w:ascii="Times New Roman" w:hAnsi="Times New Roman" w:cs="Times New Roman"/>
          <w:color w:val="auto"/>
        </w:rPr>
        <w:t xml:space="preserve">Results</w:t>
      </w:r>
    </w:p>
    <w:p>
      <w:pPr>
        <w:pStyle w:val="ListBullet"/>
        <w:jc w:val="both"/>
        <w:rPr>
          <w:rFonts w:ascii="Times New Roman" w:hAnsi="Times New Roman" w:cs="Times New Roman"/>
        </w:rPr>
      </w:pPr>
      <w:r>
        <w:rPr>
          <w:rFonts w:ascii="Times New Roman" w:hAnsi="Times New Roman" w:cs="Times New Roman"/>
        </w:rPr>
        <w:t xml:space="preserve">Degree 1 under-fits: train RMSE 3.30, test RMSE 3.23, test R² 0.702.</w:t>
      </w:r>
    </w:p>
    <w:p>
      <w:pPr>
        <w:pStyle w:val="ListBullet"/>
        <w:jc w:val="both"/>
        <w:rPr>
          <w:rFonts w:ascii="Times New Roman" w:hAnsi="Times New Roman" w:cs="Times New Roman"/>
        </w:rPr>
      </w:pPr>
      <w:r>
        <w:rPr>
          <w:rFonts w:ascii="Times New Roman" w:hAnsi="Times New Roman" w:cs="Times New Roman"/>
        </w:rPr>
        <w:t xml:space="preserve">Degree 3 (the true form) reaches test RMSE 1.26 and R² 0.955. Degrees 4–6 are marginally lower (1.22–1.23) but not meaningfully better.</w:t>
      </w:r>
    </w:p>
    <w:p>
      <w:pPr>
        <w:pStyle w:val="ListBullet"/>
        <w:jc w:val="both"/>
        <w:rPr>
          <w:rFonts w:ascii="Times New Roman" w:hAnsi="Times New Roman" w:cs="Times New Roman"/>
        </w:rPr>
      </w:pPr>
      <w:r>
        <w:rPr>
          <w:rFonts w:ascii="Times New Roman" w:hAnsi="Times New Roman" w:cs="Times New Roman"/>
        </w:rPr>
        <w:t xml:space="preserve">By degree 10 train RMSE is 1.07 but test RMSE has risen to 1.34: the model is fitting noise.</w:t>
      </w:r>
    </w:p>
    <w:p>
      <w:pPr>
        <w:pStyle w:val="Heading1"/>
        <w:jc w:val="both"/>
        <w:rPr>
          <w:rFonts w:ascii="Times New Roman" w:hAnsi="Times New Roman" w:cs="Times New Roman"/>
          <w:color w:val="auto"/>
        </w:rPr>
      </w:pPr>
      <w:r>
        <w:rPr>
          <w:rFonts w:ascii="Times New Roman" w:hAnsi="Times New Roman" w:cs="Times New Roman"/>
          <w:color w:val="auto"/>
        </w:rPr>
        <w:t xml:space="preserve">Figures</w:t>
      </w:r>
    </w:p>
    <w:p>
      <w:pPr>
        <w:jc w:val="both"/>
        <w:rPr>
          <w:rFonts w:ascii="Times New Roman" w:hAnsi="Times New Roman" w:cs="Times New Roman"/>
        </w:rPr>
      </w:pPr>
      <w:r>
        <w:rPr>
          <w:rFonts w:ascii="Times New Roman" w:hAnsi="Times New Roman" w:cs="Times New Roman"/>
          <w:noProof/>
        </w:rPr>
        <w:drawing>
          <wp:inline distT="0" distB="0" distL="0" distR="0">
            <wp:extent cx="5303520" cy="1928553"/>
            <wp:effectExtent l="0" t="0" r="0"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5303520" cy="1928553"/>
                    </a:xfrm>
                    <a:prstGeom prst="rect">
                      <a:avLst/>
                    </a:prstGeom>
                  </pic:spPr>
                </pic:pic>
              </a:graphicData>
            </a:graphic>
          </wp:inline>
        </w:drawing>
      </w:r>
    </w:p>
    <w:p>
      <w:pPr>
        <w:jc w:val="both"/>
        <w:rPr>
          <w:rFonts w:ascii="Times New Roman" w:hAnsi="Times New Roman" w:cs="Times New Roman"/>
        </w:rPr>
      </w:pPr>
      <w:r>
        <w:rPr>
          <w:rFonts w:ascii="Times New Roman" w:hAnsi="Times New Roman" w:cs="Times New Roman"/>
          <w:i/>
        </w:rPr>
        <w:t xml:space="preserve">Figure 1: Fits of degree 1, 3 and 10, and the train/test error curve</w:t>
      </w:r>
    </w:p>
    <w:p>
      <w:pPr>
        <w:jc w:val="both"/>
        <w:rPr>
          <w:rFonts w:ascii="Times New Roman" w:hAnsi="Times New Roman" w:cs="Times New Roman"/>
          <w:i/>
        </w:rPr>
      </w:pPr>
    </w:p>
    <w:p>
      <w:pPr>
        <w:pStyle w:val="Heading1"/>
        <w:jc w:val="both"/>
        <w:rPr>
          <w:rFonts w:ascii="Times New Roman" w:hAnsi="Times New Roman" w:cs="Times New Roman"/>
          <w:color w:val="auto"/>
        </w:rPr>
      </w:pPr>
      <w:r>
        <w:rPr>
          <w:rFonts w:ascii="Times New Roman" w:hAnsi="Times New Roman" w:cs="Times New Roman"/>
          <w:color w:val="auto"/>
        </w:rPr>
        <w:t xml:space="preserve">Interpretation and reflection</w:t>
      </w:r>
    </w:p>
    <w:p>
      <w:pPr>
        <w:jc w:val="both"/>
        <w:rPr>
          <w:rFonts w:ascii="Times New Roman" w:hAnsi="Times New Roman" w:cs="Times New Roman"/>
          <w:sz w:val="24"/>
          <w:szCs w:val="24"/>
        </w:rPr>
      </w:pPr>
      <w:r>
        <w:rPr>
          <w:rFonts w:ascii="Times New Roman" w:hAnsi="Times New Roman" w:cs="Times New Roman"/>
          <w:sz w:val="24"/>
          <w:szCs w:val="24"/>
        </w:rPr>
        <w:t xml:space="preserve">Too little flexibility leads to systematic error, too much flexibility leads to chasing noise, the curve of train error is the "bias –variance trade off". I would take the cubic, the difference with degree 4 is not that great. In this run, the data were relatively low noise, and over-fitting was mild; reducing the number of points and/or adding more noise (N and NOISE at the top of the notebook) make it much more severe. One drawback is that the choice is made by one test split and cross validation would be more reliable.</w:t>
      </w:r>
    </w:p>
    <w:sectPr>
      <w:type w:val="nextPage"/>
      <w:pgSz w:w="12240" w:h="15840"/>
      <w:pgMar w:top="1440" w:right="1800" w:bottom="1440" w:left="180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multiLevelType w:val="multilevel"/>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multiLevelType w:val="multilevel"/>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multiLevelType w:val="multilevel"/>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multiLevelType w:val="multilevel"/>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multiLevelType w:val="multilevel"/>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multiLevelType w:val="multilevel"/>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multiLevelType w:val="multilevel"/>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4"/>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mbria" w:hAnsi="Cambria"/>
        <w:sz w:val="22"/>
        <w:szCs w:val="22"/>
        <w:lang w:val="en-US" w:bidi="ar-SA"/>
      </w:rPr>
    </w:rPrDefault>
    <w:pPrDefault>
      <w:pPr>
        <w:spacing w:after="200" w:line="276" w:lineRule="auto"/>
      </w:pPr>
    </w:pPrDefault>
  </w:docDefaults>
  <w:style w:type="paragraph" w:styleId="Normal" w:default="1">
    <w:name w:val="Normal"/>
    <w:qFormat/>
    <w:rPr>
      <w:rFonts w:ascii="Calibri" w:hAnsi="Calibri"/>
    </w:rPr>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tblStylePr w:type="firstCol">
      <w:rPr>
        <w:b/>
        <w:bCs/>
      </w:rPr>
    </w:tblStylePr>
    <w:tblStylePr w:type="lastCol">
      <w:rPr>
        <w:b/>
        <w:bCs/>
      </w:rPr>
      <w:tcPr>
        <w:tcBorders>
          <w:top w:val="single" w:sz="8" w:space="0" w:color="000000"/>
          <w:bottom w:val="single" w:sz="8" w:space="0" w:color="000000"/>
        </w:tcBorders>
      </w:tcPr>
    </w:tblStylePr>
    <w:tblStylePr w:type="band1Vert">
      <w:tcPr>
        <w:shd w:val="clear" w:color="auto" w:fill="C0C0C0"/>
      </w:tcPr>
    </w:tblStylePr>
    <w:tblStylePr w:type="band1Horz">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tblStylePr w:type="firstCol">
      <w:rPr>
        <w:b/>
        <w:bCs/>
      </w:rPr>
    </w:tblStylePr>
    <w:tblStylePr w:type="lastCol">
      <w:rPr>
        <w:b/>
        <w:bCs/>
      </w:rPr>
      <w:tcPr>
        <w:tcBorders>
          <w:top w:val="single" w:sz="8" w:space="0" w:color="4F81BD"/>
          <w:bottom w:val="single" w:sz="8" w:space="0" w:color="4F81BD"/>
        </w:tcBorders>
      </w:tcPr>
    </w:tblStylePr>
    <w:tblStylePr w:type="band1Vert">
      <w:tcPr>
        <w:shd w:val="clear" w:color="auto" w:fill="D4E0EF"/>
      </w:tcPr>
    </w:tblStylePr>
    <w:tblStylePr w:type="band1Horz">
      <w:tcPr>
        <w:shd w:val="clear" w:color="auto" w:fill="D4E0EF"/>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tblStylePr w:type="firstCol">
      <w:rPr>
        <w:b/>
        <w:bCs/>
      </w:rPr>
    </w:tblStylePr>
    <w:tblStylePr w:type="lastCol">
      <w:rPr>
        <w:b/>
        <w:bCs/>
      </w:rPr>
      <w:tcPr>
        <w:tcBorders>
          <w:top w:val="single" w:sz="8" w:space="0" w:color="C0504D"/>
          <w:bottom w:val="single" w:sz="8" w:space="0" w:color="C0504D"/>
        </w:tcBorders>
      </w:tcPr>
    </w:tblStylePr>
    <w:tblStylePr w:type="band1Vert">
      <w:tcPr>
        <w:shd w:val="clear" w:color="auto" w:fill="EFD4D3"/>
      </w:tcPr>
    </w:tblStylePr>
    <w:tblStylePr w:type="band1Horz">
      <w:tcPr>
        <w:shd w:val="clear" w:color="auto" w:fill="EFD4D3"/>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tblStylePr w:type="firstCol">
      <w:rPr>
        <w:b/>
        <w:bCs/>
      </w:rPr>
    </w:tblStylePr>
    <w:tblStylePr w:type="lastCol">
      <w:rPr>
        <w:b/>
        <w:bCs/>
      </w:rPr>
      <w:tcPr>
        <w:tcBorders>
          <w:top w:val="single" w:sz="8" w:space="0" w:color="9BBB59"/>
          <w:bottom w:val="single" w:sz="8" w:space="0" w:color="9BBB59"/>
        </w:tcBorders>
      </w:tcPr>
    </w:tblStylePr>
    <w:tblStylePr w:type="band1Vert">
      <w:tcPr>
        <w:shd w:val="clear" w:color="auto" w:fill="E6EED6"/>
      </w:tcPr>
    </w:tblStylePr>
    <w:tblStylePr w:type="band1Horz">
      <w:tcPr>
        <w:shd w:val="clear" w:color="auto" w:fill="E6EED6"/>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tblStylePr w:type="firstCol">
      <w:rPr>
        <w:b/>
        <w:bCs/>
      </w:rPr>
    </w:tblStylePr>
    <w:tblStylePr w:type="lastCol">
      <w:rPr>
        <w:b/>
        <w:bCs/>
      </w:rPr>
      <w:tcPr>
        <w:tcBorders>
          <w:top w:val="single" w:sz="8" w:space="0" w:color="8064A2"/>
          <w:bottom w:val="single" w:sz="8" w:space="0" w:color="8064A2"/>
        </w:tcBorders>
      </w:tcPr>
    </w:tblStylePr>
    <w:tblStylePr w:type="band1Vert">
      <w:tcPr>
        <w:shd w:val="clear" w:color="auto" w:fill="E0D9E8"/>
      </w:tcPr>
    </w:tblStylePr>
    <w:tblStylePr w:type="band1Horz">
      <w:tcPr>
        <w:shd w:val="clear" w:color="auto" w:fill="E0D9E8"/>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tblStylePr w:type="firstCol">
      <w:rPr>
        <w:b/>
        <w:bCs/>
      </w:rPr>
    </w:tblStylePr>
    <w:tblStylePr w:type="lastCol">
      <w:rPr>
        <w:b/>
        <w:bCs/>
      </w:rPr>
      <w:tcPr>
        <w:tcBorders>
          <w:top w:val="single" w:sz="8" w:space="0" w:color="4BACC6"/>
          <w:bottom w:val="single" w:sz="8" w:space="0" w:color="4BACC6"/>
        </w:tcBorders>
      </w:tcPr>
    </w:tblStylePr>
    <w:tblStylePr w:type="band1Vert">
      <w:tcPr>
        <w:shd w:val="clear" w:color="auto" w:fill="D3EAF1"/>
      </w:tcPr>
    </w:tblStylePr>
    <w:tblStylePr w:type="band1Horz">
      <w:tcPr>
        <w:shd w:val="clear" w:color="auto" w:fill="D3EAF1"/>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tblStylePr w:type="firstCol">
      <w:rPr>
        <w:b/>
        <w:bCs/>
      </w:rPr>
    </w:tblStylePr>
    <w:tblStylePr w:type="lastCol">
      <w:rPr>
        <w:b/>
        <w:bCs/>
      </w:rPr>
      <w:tcPr>
        <w:tcBorders>
          <w:top w:val="single" w:sz="8" w:space="0" w:color="F79646"/>
          <w:bottom w:val="single" w:sz="8" w:space="0" w:color="F79646"/>
        </w:tcBorders>
      </w:tcPr>
    </w:tblStylePr>
    <w:tblStylePr w:type="band1Vert">
      <w:tcPr>
        <w:shd w:val="clear" w:color="auto" w:fill="FDE5D1"/>
      </w:tcPr>
    </w:tblStylePr>
    <w:tblStylePr w:type="band1Horz">
      <w:tcPr>
        <w:shd w:val="clear" w:color="auto" w:fill="FDE5D1"/>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StylePr w:type="firstRow">
      <w:rPr>
        <w:b/>
        <w:bCs/>
      </w:rPr>
    </w:tblStylePr>
    <w:tblStylePr w:type="lastRow">
      <w:rPr>
        <w:b/>
        <w:bCs/>
      </w:rPr>
      <w:tcPr>
        <w:tcBorders>
          <w:top w:val="single" w:sz="18" w:space="0" w:color="40404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blStylePr w:type="firstRow">
      <w:rPr>
        <w:b/>
        <w:bCs/>
      </w:rPr>
    </w:tblStylePr>
    <w:tblStylePr w:type="lastRow">
      <w:rPr>
        <w:b/>
        <w:bCs/>
      </w:rPr>
      <w:tcPr>
        <w:tcBorders>
          <w:top w:val="single" w:sz="18" w:space="0" w:color="7BA0CD"/>
        </w:tcBorders>
      </w:tcPr>
    </w:tblStylePr>
    <w:tblStylePr w:type="firstCol">
      <w:rPr>
        <w:b/>
        <w:bCs/>
      </w:rPr>
    </w:tblStylePr>
    <w:tblStylePr w:type="lastCol">
      <w:rPr>
        <w:b/>
        <w:bCs/>
      </w:rPr>
    </w:tblStylePr>
    <w:tblStylePr w:type="band1Vert">
      <w:tcPr>
        <w:shd w:val="clear" w:color="auto" w:fill="A7C0DE"/>
      </w:tcPr>
    </w:tblStylePr>
    <w:tblStylePr w:type="band1Horz">
      <w:tcPr>
        <w:shd w:val="clear" w:color="auto" w:fill="A7C0DE"/>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blStylePr w:type="firstRow">
      <w:rPr>
        <w:b/>
        <w:bCs/>
      </w:rPr>
    </w:tblStylePr>
    <w:tblStylePr w:type="lastRow">
      <w:rPr>
        <w:b/>
        <w:bCs/>
      </w:rPr>
      <w:tcPr>
        <w:tcBorders>
          <w:top w:val="single" w:sz="18" w:space="0" w:color="CF7B79"/>
        </w:tcBorders>
      </w:tcPr>
    </w:tblStylePr>
    <w:tblStylePr w:type="firstCol">
      <w:rPr>
        <w:b/>
        <w:bCs/>
      </w:rPr>
    </w:tblStylePr>
    <w:tblStylePr w:type="lastCol">
      <w:rPr>
        <w:b/>
        <w:bCs/>
      </w:rPr>
    </w:tblStylePr>
    <w:tblStylePr w:type="band1Vert">
      <w:tcPr>
        <w:shd w:val="clear" w:color="auto" w:fill="E0A8A6"/>
      </w:tcPr>
    </w:tblStylePr>
    <w:tblStylePr w:type="band1Horz">
      <w:tcPr>
        <w:shd w:val="clear" w:color="auto" w:fill="E0A8A6"/>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blStylePr w:type="firstRow">
      <w:rPr>
        <w:b/>
        <w:bCs/>
      </w:rPr>
    </w:tblStylePr>
    <w:tblStylePr w:type="lastRow">
      <w:rPr>
        <w:b/>
        <w:bCs/>
      </w:rPr>
      <w:tcPr>
        <w:tcBorders>
          <w:top w:val="single" w:sz="18" w:space="0" w:color="B3CC82"/>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blStylePr w:type="firstRow">
      <w:rPr>
        <w:b/>
        <w:bCs/>
      </w:rPr>
    </w:tblStylePr>
    <w:tblStylePr w:type="lastRow">
      <w:rPr>
        <w:b/>
        <w:bCs/>
      </w:rPr>
      <w:tcPr>
        <w:tcBorders>
          <w:top w:val="single" w:sz="18" w:space="0" w:color="9F8AB9"/>
        </w:tcBorders>
      </w:tcPr>
    </w:tblStylePr>
    <w:tblStylePr w:type="firstCol">
      <w:rPr>
        <w:b/>
        <w:bCs/>
      </w:rPr>
    </w:tblStylePr>
    <w:tblStylePr w:type="lastCol">
      <w:rPr>
        <w:b/>
        <w:bCs/>
      </w:rPr>
    </w:tblStylePr>
    <w:tblStylePr w:type="band1Vert">
      <w:tcPr>
        <w:shd w:val="clear" w:color="auto" w:fill="C0B2D1"/>
      </w:tcPr>
    </w:tblStylePr>
    <w:tblStylePr w:type="band1Horz">
      <w:tcPr>
        <w:shd w:val="clear" w:color="auto" w:fill="C0B2D1"/>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blStylePr w:type="firstRow">
      <w:rPr>
        <w:b/>
        <w:bCs/>
      </w:rPr>
    </w:tblStylePr>
    <w:tblStylePr w:type="lastRow">
      <w:rPr>
        <w:b/>
        <w:bCs/>
      </w:rPr>
      <w:tcPr>
        <w:tcBorders>
          <w:top w:val="single" w:sz="18" w:space="0" w:color="78C0D4"/>
        </w:tcBorders>
      </w:tcPr>
    </w:tblStylePr>
    <w:tblStylePr w:type="firstCol">
      <w:rPr>
        <w:b/>
        <w:bCs/>
      </w:rPr>
    </w:tblStylePr>
    <w:tblStylePr w:type="lastCol">
      <w:rPr>
        <w:b/>
        <w:bCs/>
      </w:rPr>
    </w:tblStylePr>
    <w:tblStylePr w:type="band1Vert">
      <w:tcPr>
        <w:shd w:val="clear" w:color="auto" w:fill="A5D6E3"/>
      </w:tcPr>
    </w:tblStylePr>
    <w:tblStylePr w:type="band1Horz">
      <w:tcPr>
        <w:shd w:val="clear" w:color="auto" w:fill="A5D6E3"/>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blStylePr w:type="firstRow">
      <w:rPr>
        <w:b/>
        <w:bCs/>
      </w:rPr>
    </w:tblStylePr>
    <w:tblStylePr w:type="lastRow">
      <w:rPr>
        <w:b/>
        <w:bCs/>
      </w:rPr>
      <w:tcPr>
        <w:tcBorders>
          <w:top w:val="single" w:sz="18" w:space="0" w:color="F9B074"/>
        </w:tcBorders>
      </w:tcPr>
    </w:tblStylePr>
    <w:tblStylePr w:type="firstCol">
      <w:rPr>
        <w:b/>
        <w:bCs/>
      </w:rPr>
    </w:tblStylePr>
    <w:tblStylePr w:type="lastCol">
      <w:rPr>
        <w:b/>
        <w:bCs/>
      </w:rPr>
    </w:tblStylePr>
    <w:tblStylePr w:type="band1Vert">
      <w:tcPr>
        <w:shd w:val="clear" w:color="auto" w:fill="FBCBA3"/>
      </w:tcPr>
    </w:tblStylePr>
    <w:tblStylePr w:type="band1Horz">
      <w:tcPr>
        <w:shd w:val="clear" w:color="auto" w:fill="FBCBA3"/>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style>
  <w:style w:type="table" w:styleId="DarkList">
    <w:name w:val="Dark List"/>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style>
  <w:style w:type="table" w:styleId="DarkList-Accent2">
    <w:name w:val="Dark List Accent 2"/>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style>
  <w:style w:type="table" w:styleId="DarkList-Accent3">
    <w:name w:val="Dark List Accent 3"/>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style>
  <w:style w:type="table" w:styleId="DarkList-Accent4">
    <w:name w:val="Dark List Accent 4"/>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style>
  <w:style w:type="table" w:styleId="DarkList-Accent5">
    <w:name w:val="Dark List Accent 5"/>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style>
  <w:style w:type="table" w:styleId="DarkList-Accent6">
    <w:name w:val="Dark List Accent 6"/>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Vert">
      <w:tcPr>
        <w:shd w:val="clear" w:color="auto" w:fill="999999"/>
      </w:tcPr>
    </w:tblStylePr>
    <w:tblStylePr w:type="band1Horz">
      <w:tcPr>
        <w:shd w:val="clear" w:color="auto" w:fill="808080"/>
      </w:tc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band1Vert">
      <w:tcPr>
        <w:shd w:val="clear" w:color="auto" w:fill="B9CDE5"/>
      </w:tcPr>
    </w:tblStylePr>
    <w:tblStylePr w:type="band1Horz">
      <w:tcPr>
        <w:shd w:val="clear" w:color="auto" w:fill="A7C0DE"/>
      </w:tc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band1Vert">
      <w:tcPr>
        <w:shd w:val="clear" w:color="auto" w:fill="E6B9B8"/>
      </w:tcPr>
    </w:tblStylePr>
    <w:tblStylePr w:type="band1Horz">
      <w:tcPr>
        <w:shd w:val="clear" w:color="auto" w:fill="E0A8A6"/>
      </w:tc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band1Vert">
      <w:tcPr>
        <w:shd w:val="clear" w:color="auto" w:fill="D7E4BD"/>
      </w:tcPr>
    </w:tblStylePr>
    <w:tblStylePr w:type="band1Horz">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band1Vert">
      <w:tcPr>
        <w:shd w:val="clear" w:color="auto" w:fill="CCC1DA"/>
      </w:tcPr>
    </w:tblStylePr>
    <w:tblStylePr w:type="band1Horz">
      <w:tcPr>
        <w:shd w:val="clear" w:color="auto" w:fill="C0B2D1"/>
      </w:tc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band1Vert">
      <w:tcPr>
        <w:shd w:val="clear" w:color="auto" w:fill="B7DEE8"/>
      </w:tcPr>
    </w:tblStylePr>
    <w:tblStylePr w:type="band1Horz">
      <w:tcPr>
        <w:shd w:val="clear" w:color="auto" w:fill="A5D6E3"/>
      </w:tc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band1Vert">
      <w:tcPr>
        <w:shd w:val="clear" w:color="auto" w:fill="FCD5B5"/>
      </w:tcPr>
    </w:tblStylePr>
    <w:tblStylePr w:type="band1Horz">
      <w:tcPr>
        <w:shd w:val="clear" w:color="auto" w:fill="FBCBA3"/>
      </w:tcPr>
    </w:tblStylePr>
  </w:style>
  <w:style w:type="table" w:styleId="ColorfulList">
    <w:name w:val="Colorful List"/>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style>
  <w:style w:type="table" w:styleId="ColorfulList-Accent2">
    <w:name w:val="Colorful List Accent 2"/>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style>
  <w:style w:type="table" w:styleId="ColorfulList-Accent3">
    <w:name w:val="Colorful List Accent 3"/>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style>
  <w:style w:type="table" w:styleId="ColorfulList-Accent4">
    <w:name w:val="Colorful List Accent 4"/>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style>
  <w:style w:type="table" w:styleId="ColorfulList-Accent5">
    <w:name w:val="Colorful List Accent 5"/>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style>
  <w:style w:type="table" w:styleId="ColorfulList-Accent6">
    <w:name w:val="Colorful List Accent 6"/>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B9CDE5"/>
      </w:tcPr>
    </w:tblStylePr>
    <w:tblStylePr w:type="lastRow">
      <w:rPr>
        <w:b/>
        <w:bCs/>
        <w:color w:val="000000"/>
      </w:rPr>
      <w:tcPr>
        <w:shd w:val="clear" w:color="auto" w:fill="B9CDE5"/>
      </w:tcPr>
    </w:tblStylePr>
    <w:tblStylePr w:type="firstCol">
      <w:rPr>
        <w:color w:val="FFFFFF"/>
      </w:rPr>
      <w:tcPr>
        <w:shd w:val="clear" w:color="auto" w:fill="376092"/>
      </w:tcPr>
    </w:tblStylePr>
    <w:tblStylePr w:type="lastCol">
      <w:rPr>
        <w:color w:val="FFFFFF"/>
      </w:rPr>
      <w:tcPr>
        <w:shd w:val="clear" w:color="auto" w:fill="376092"/>
      </w:tcPr>
    </w:tblStylePr>
    <w:tblStylePr w:type="band1Vert">
      <w:tcPr>
        <w:shd w:val="clear" w:color="auto" w:fill="A7C0DE"/>
      </w:tcPr>
    </w:tblStylePr>
    <w:tblStylePr w:type="band1Horz">
      <w:tcPr>
        <w:shd w:val="clear" w:color="auto" w:fill="A7C0DE"/>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E6B9B8"/>
      </w:tcPr>
    </w:tblStylePr>
    <w:tblStylePr w:type="lastRow">
      <w:rPr>
        <w:b/>
        <w:bCs/>
        <w:color w:val="000000"/>
      </w:rPr>
      <w:tcPr>
        <w:shd w:val="clear" w:color="auto" w:fill="E6B9B8"/>
      </w:tcPr>
    </w:tblStylePr>
    <w:tblStylePr w:type="firstCol">
      <w:rPr>
        <w:color w:val="FFFFFF"/>
      </w:rPr>
      <w:tcPr>
        <w:shd w:val="clear" w:color="auto" w:fill="953735"/>
      </w:tcPr>
    </w:tblStylePr>
    <w:tblStylePr w:type="lastCol">
      <w:rPr>
        <w:color w:val="FFFFFF"/>
      </w:rPr>
      <w:tcPr>
        <w:shd w:val="clear" w:color="auto" w:fill="953735"/>
      </w:tcPr>
    </w:tblStylePr>
    <w:tblStylePr w:type="band1Vert">
      <w:tcPr>
        <w:shd w:val="clear" w:color="auto" w:fill="E0A8A6"/>
      </w:tcPr>
    </w:tblStylePr>
    <w:tblStylePr w:type="band1Horz">
      <w:tcPr>
        <w:shd w:val="clear" w:color="auto" w:fill="E0A8A6"/>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D7E4BD"/>
      </w:tcPr>
    </w:tblStylePr>
    <w:tblStylePr w:type="lastRow">
      <w:rPr>
        <w:b/>
        <w:bCs/>
        <w:color w:val="000000"/>
      </w:rPr>
      <w:tcPr>
        <w:shd w:val="clear" w:color="auto" w:fill="D7E4BD"/>
      </w:tcPr>
    </w:tblStylePr>
    <w:tblStylePr w:type="firstCol">
      <w:rPr>
        <w:color w:val="FFFFFF"/>
      </w:rPr>
      <w:tcPr>
        <w:shd w:val="clear" w:color="auto" w:fill="76933C"/>
      </w:tcPr>
    </w:tblStylePr>
    <w:tblStylePr w:type="lastCol">
      <w:rPr>
        <w:color w:val="FFFFFF"/>
      </w:rPr>
      <w:tcPr>
        <w:shd w:val="clear" w:color="auto" w:fill="76933C"/>
      </w:tcPr>
    </w:tblStylePr>
    <w:tblStylePr w:type="band1Vert">
      <w:tcPr>
        <w:shd w:val="clear" w:color="auto" w:fill="CDDDAC"/>
      </w:tcPr>
    </w:tblStylePr>
    <w:tblStylePr w:type="band1Horz">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CCC1DA"/>
      </w:tcPr>
    </w:tblStylePr>
    <w:tblStylePr w:type="lastRow">
      <w:rPr>
        <w:b/>
        <w:bCs/>
        <w:color w:val="000000"/>
      </w:rPr>
      <w:tcPr>
        <w:shd w:val="clear" w:color="auto" w:fill="CCC1DA"/>
      </w:tcPr>
    </w:tblStylePr>
    <w:tblStylePr w:type="firstCol">
      <w:rPr>
        <w:color w:val="FFFFFF"/>
      </w:rPr>
      <w:tcPr>
        <w:shd w:val="clear" w:color="auto" w:fill="604A7B"/>
      </w:tcPr>
    </w:tblStylePr>
    <w:tblStylePr w:type="lastCol">
      <w:rPr>
        <w:color w:val="FFFFFF"/>
      </w:rPr>
      <w:tcPr>
        <w:shd w:val="clear" w:color="auto" w:fill="604A7B"/>
      </w:tcPr>
    </w:tblStylePr>
    <w:tblStylePr w:type="band1Vert">
      <w:tcPr>
        <w:shd w:val="clear" w:color="auto" w:fill="C0B2D1"/>
      </w:tcPr>
    </w:tblStylePr>
    <w:tblStylePr w:type="band1Horz">
      <w:tcPr>
        <w:shd w:val="clear" w:color="auto" w:fill="C0B2D1"/>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B7DEE8"/>
      </w:tcPr>
    </w:tblStylePr>
    <w:tblStylePr w:type="lastRow">
      <w:rPr>
        <w:b/>
        <w:bCs/>
        <w:color w:val="000000"/>
      </w:rPr>
      <w:tcPr>
        <w:shd w:val="clear" w:color="auto" w:fill="B7DEE8"/>
      </w:tcPr>
    </w:tblStylePr>
    <w:tblStylePr w:type="firstCol">
      <w:rPr>
        <w:color w:val="FFFFFF"/>
      </w:rPr>
      <w:tcPr>
        <w:shd w:val="clear" w:color="auto" w:fill="31859B"/>
      </w:tcPr>
    </w:tblStylePr>
    <w:tblStylePr w:type="lastCol">
      <w:rPr>
        <w:color w:val="FFFFFF"/>
      </w:rPr>
      <w:tcPr>
        <w:shd w:val="clear" w:color="auto" w:fill="31859B"/>
      </w:tcPr>
    </w:tblStylePr>
    <w:tblStylePr w:type="band1Vert">
      <w:tcPr>
        <w:shd w:val="clear" w:color="auto" w:fill="A5D6E3"/>
      </w:tcPr>
    </w:tblStylePr>
    <w:tblStylePr w:type="band1Horz">
      <w:tcPr>
        <w:shd w:val="clear" w:color="auto" w:fill="A5D6E3"/>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FCD5B5"/>
      </w:tcPr>
    </w:tblStylePr>
    <w:tblStylePr w:type="lastRow">
      <w:rPr>
        <w:b/>
        <w:bCs/>
        <w:color w:val="000000"/>
      </w:rPr>
      <w:tcPr>
        <w:shd w:val="clear" w:color="auto" w:fill="FCD5B5"/>
      </w:tcPr>
    </w:tblStylePr>
    <w:tblStylePr w:type="firstCol">
      <w:rPr>
        <w:color w:val="FFFFFF"/>
      </w:rPr>
      <w:tcPr>
        <w:shd w:val="clear" w:color="auto" w:fill="E46C0A"/>
      </w:tcPr>
    </w:tblStylePr>
    <w:tblStylePr w:type="lastCol">
      <w:rPr>
        <w:color w:val="FFFFFF"/>
      </w:rPr>
      <w:tcPr>
        <w:shd w:val="clear" w:color="auto" w:fill="E46C0A"/>
      </w:tcPr>
    </w:tblStylePr>
    <w:tblStylePr w:type="band1Vert">
      <w:tcPr>
        <w:shd w:val="clear" w:color="auto" w:fill="FBCBA3"/>
      </w:tcPr>
    </w:tblStylePr>
    <w:tblStylePr w:type="band1Horz">
      <w:tcPr>
        <w:shd w:val="clear" w:color="auto" w:fill="FBCBA3"/>
      </w:tcPr>
    </w:tblStylePr>
  </w:style>
  <w:style w:type="character" w:styleId="Hyperlink">
    <w:name w:val="Hyperlink"/>
    <w:basedOn w:val="DefaultParagraphFont"/>
    <w:uiPriority w:val="99"/>
    <w:rPr>
      <w:color w:val="467886"/>
      <w:u w:val="single"/>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fontTable" Target="fontTable.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Words>234</Words>
  <DocSecurity>0</DocSecurity>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erms:modified xsi:type="dcterms:W3CDTF">2026-10-14T04:26:25Z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6da0ca7a2676b8087e626678581ed3389c1eddae87c46f2e8b06697a2a07938b</vt:lpwstr>
  </property>
</Properties>
</file>