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2"/>
          <w:szCs w:val="32"/>
        </w:rPr>
        <w:t xml:space="preserve">Cairo University</w:t>
      </w:r>
    </w:p>
    <w:p>
      <w:pPr>
        <w:spacing w:after="120" w:before="0"/>
        <w:jc w:val="center"/>
      </w:pPr>
      <w:r>
        <w:rPr>
          <w:rFonts w:ascii="Times New Roman" w:cs="Times New Roman" w:eastAsia="Times New Roman" w:hAnsi="Times New Roman"/>
          <w:sz w:val="28"/>
          <w:szCs w:val="28"/>
        </w:rPr>
        <w:t xml:space="preserve">Faculty of Computers and Artificial Intelligence</w:t>
      </w:r>
    </w:p>
    <w:p>
      <w:pPr>
        <w:spacing w:after="120" w:before="0"/>
        <w:jc w:val="center"/>
      </w:pPr>
      <w:r>
        <w:rPr>
          <w:rFonts w:ascii="Times New Roman" w:cs="Times New Roman" w:eastAsia="Times New Roman" w:hAnsi="Times New Roman"/>
          <w:color w:val="666666"/>
          <w:sz w:val="24"/>
          <w:szCs w:val="24"/>
        </w:rPr>
        <w:t xml:space="preserve"/>
      </w:r>
    </w:p>
    <w:p>
      <w:pPr>
        <w:spacing w:after="0" w:before="1600"/>
      </w:pPr>
    </w:p>
    <w:p>
      <w:pPr>
        <w:spacing w:after="240" w:before="0"/>
        <w:jc w:val="center"/>
      </w:pPr>
      <w:r>
        <w:rPr>
          <w:rFonts w:ascii="Times New Roman" w:cs="Times New Roman" w:eastAsia="Times New Roman" w:hAnsi="Times New Roman"/>
          <w:b/>
          <w:bCs/>
          <w:color w:val="1E2761"/>
          <w:sz w:val="40"/>
          <w:szCs w:val="40"/>
        </w:rPr>
        <w:t xml:space="preserve">[Thesis Title — To Be Confirmed]</w:t>
      </w:r>
    </w:p>
    <w:p>
      <w:pPr>
        <w:spacing w:after="1600" w:before="0"/>
        <w:jc w:val="center"/>
      </w:pPr>
      <w:r>
        <w:rPr>
          <w:rFonts w:ascii="Times New Roman" w:cs="Times New Roman" w:eastAsia="Times New Roman" w:hAnsi="Times New Roman"/>
          <w:i/>
          <w:iCs/>
          <w:color w:val="666666"/>
          <w:sz w:val="28"/>
          <w:szCs w:val="28"/>
        </w:rPr>
        <w:t xml:space="preserve">Benchmarking Fine-Tuned Encoders and Prompted Large Language Models for Software Requirements Classification</w:t>
      </w:r>
    </w:p>
    <w:p>
      <w:pPr>
        <w:spacing w:after="1200" w:before="0"/>
        <w:jc w:val="center"/>
      </w:pPr>
      <w:r>
        <w:rPr>
          <w:rFonts w:ascii="Times New Roman" w:cs="Times New Roman" w:eastAsia="Times New Roman" w:hAnsi="Times New Roman"/>
          <w:b/>
          <w:bCs/>
          <w:sz w:val="28"/>
          <w:szCs w:val="28"/>
        </w:rPr>
        <w:t xml:space="preserve">Chapter 2 — Literature Review</w:t>
      </w:r>
    </w:p>
    <w:p>
      <w:pPr>
        <w:spacing w:after="60" w:before="0"/>
        <w:jc w:val="center"/>
      </w:pPr>
      <w:r>
        <w:rPr>
          <w:rFonts w:ascii="Times New Roman" w:cs="Times New Roman" w:eastAsia="Times New Roman" w:hAnsi="Times New Roman"/>
          <w:color w:val="666666"/>
          <w:sz w:val="24"/>
          <w:szCs w:val="24"/>
        </w:rPr>
        <w:t xml:space="preserve">Prepared by</w:t>
      </w:r>
    </w:p>
    <w:p>
      <w:pPr>
        <w:spacing w:after="600" w:before="0"/>
        <w:jc w:val="center"/>
      </w:pPr>
      <w:r>
        <w:rPr>
          <w:rFonts w:ascii="Times New Roman" w:cs="Times New Roman" w:eastAsia="Times New Roman" w:hAnsi="Times New Roman"/>
          <w:b/>
          <w:bCs/>
          <w:sz w:val="28"/>
          <w:szCs w:val="28"/>
        </w:rPr>
        <w:t xml:space="preserve">Fatma El-Zahraa</w:t>
      </w:r>
    </w:p>
    <w:p>
      <w:pPr>
        <w:spacing w:after="60" w:before="0"/>
        <w:jc w:val="center"/>
      </w:pPr>
      <w:r>
        <w:rPr>
          <w:rFonts w:ascii="Times New Roman" w:cs="Times New Roman" w:eastAsia="Times New Roman" w:hAnsi="Times New Roman"/>
          <w:color w:val="666666"/>
          <w:sz w:val="24"/>
          <w:szCs w:val="24"/>
        </w:rPr>
        <w:t xml:space="preserve">Supervised by</w:t>
      </w:r>
    </w:p>
    <w:p>
      <w:pPr>
        <w:spacing w:after="60" w:before="0"/>
        <w:jc w:val="center"/>
      </w:pPr>
      <w:r>
        <w:rPr>
          <w:rFonts w:ascii="Times New Roman" w:cs="Times New Roman" w:eastAsia="Times New Roman" w:hAnsi="Times New Roman"/>
          <w:sz w:val="26"/>
          <w:szCs w:val="26"/>
        </w:rPr>
        <w:t xml:space="preserve">Prof. Khaled Tawfik Wassif</w:t>
      </w:r>
    </w:p>
    <w:p>
      <w:pPr>
        <w:spacing w:after="60" w:before="0"/>
        <w:jc w:val="center"/>
      </w:pPr>
      <w:r>
        <w:rPr>
          <w:rFonts w:ascii="Times New Roman" w:cs="Times New Roman" w:eastAsia="Times New Roman" w:hAnsi="Times New Roman"/>
          <w:sz w:val="26"/>
          <w:szCs w:val="26"/>
        </w:rPr>
        <w:t xml:space="preserve">Dr. Lamia AbouZeid</w:t>
      </w:r>
    </w:p>
    <w:p>
      <w:pPr>
        <w:spacing w:after="120" w:before="1200"/>
        <w:jc w:val="center"/>
      </w:pPr>
      <w:r>
        <w:rPr>
          <w:rFonts w:ascii="Times New Roman" w:cs="Times New Roman" w:eastAsia="Times New Roman" w:hAnsi="Times New Roman"/>
          <w:color w:val="666666"/>
          <w:sz w:val="24"/>
          <w:szCs w:val="24"/>
        </w:rPr>
        <w:t xml:space="preserve">2026</w:t>
      </w:r>
    </w:p>
    <w:p>
      <w:r>
        <w:br w:type="page"/>
      </w:r>
    </w:p>
    <w:p>
      <w:pPr>
        <w:pStyle w:val="Title"/>
        <w:spacing w:after="360"/>
      </w:pPr>
      <w:r>
        <w:rPr>
          <w:rFonts w:ascii="Times New Roman" w:cs="Times New Roman" w:eastAsia="Times New Roman" w:hAnsi="Times New Roman"/>
          <w:b/>
          <w:bCs/>
          <w:color w:val="1E2761"/>
          <w:sz w:val="40"/>
          <w:szCs w:val="40"/>
        </w:rPr>
        <w:t xml:space="preserve">Chapter 2 — Literature Review</w:t>
      </w:r>
    </w:p>
    <w:p>
      <w:pPr>
        <w:pStyle w:val="Heading1"/>
        <w:spacing w:after="160" w:before="360"/>
      </w:pPr>
      <w:r>
        <w:rPr>
          <w:rFonts w:ascii="Times New Roman" w:cs="Times New Roman" w:eastAsia="Times New Roman" w:hAnsi="Times New Roman"/>
          <w:b/>
          <w:bCs/>
          <w:color w:val="1E2761"/>
          <w:sz w:val="28"/>
          <w:szCs w:val="28"/>
        </w:rPr>
        <w:t xml:space="preserve">2.1 Overview</w:t>
      </w:r>
    </w:p>
    <w:p>
      <w:pPr>
        <w:spacing w:after="160" w:line="300"/>
        <w:jc w:val="both"/>
      </w:pPr>
      <w:r>
        <w:rPr>
          <w:rFonts w:ascii="Times New Roman" w:cs="Times New Roman" w:eastAsia="Times New Roman" w:hAnsi="Times New Roman"/>
          <w:sz w:val="24"/>
          <w:szCs w:val="24"/>
        </w:rPr>
        <w:t xml:space="preserve">Requirements engineering (RE) is the foundation of software development: it defines what a system must do and the qualities it must exhibit before design and implementation begin. Among the earliest analytical tasks in RE is requirements classification — the assignment of natural-language requirement statements to predefined categories according to a chosen classification scheme [1]. The most widely studied scheme distinguishes functional requirements (FRs), which describe the behaviours and services a system must deliver (“what the system should do”), from non-functional requirements (NFRs), which describe qualities and constraints such as performance, security, usability, and reliability (“how the system should be or perform”). NFRs are frequently sub-classified further into categories such as security, performance, usability, and availability. Accurate classification supports early risk identification, appropriate architectural decisions, and overall software quality, whereas mislabelled or overlooked requirements propagate downstream as costly rework and schedule overruns.</w:t>
      </w:r>
    </w:p>
    <w:p>
      <w:pPr>
        <w:spacing w:after="160" w:line="300"/>
        <w:jc w:val="both"/>
      </w:pPr>
      <w:r>
        <w:rPr>
          <w:rFonts w:ascii="Times New Roman" w:cs="Times New Roman" w:eastAsia="Times New Roman" w:hAnsi="Times New Roman"/>
          <w:sz w:val="24"/>
          <w:szCs w:val="24"/>
        </w:rPr>
        <w:t xml:space="preserve">For nearly two decades, researchers have sought to automate this task, progressing from keyword and rule-based heuristics, through classical machine learning and deep learning, to — most recently — transformer-based and generative large language models (LLMs). The emergence of powerful commercial and open LLMs has renewed interest in the problem and raised a central question for this thesis: given that modern LLMs already classify requirements with high accuracy on standard benchmarks, where does meaningful research value remain?</w:t>
      </w:r>
    </w:p>
    <w:p>
      <w:pPr>
        <w:spacing w:after="160" w:line="300"/>
        <w:jc w:val="both"/>
      </w:pPr>
      <w:r>
        <w:rPr>
          <w:rFonts w:ascii="Times New Roman" w:cs="Times New Roman" w:eastAsia="Times New Roman" w:hAnsi="Times New Roman"/>
          <w:sz w:val="24"/>
          <w:szCs w:val="24"/>
        </w:rPr>
        <w:t>This chapter reviews the state of the art in LLM-based requirements classification. It traces the historical evolution of the task (Section 2.2), surveys the datasets and benchmarks on which the field depends (Section 2.3), and critically examines ten of the most influential recent studies published between 2024 and 2026, stating the contribution, strengths, and limitations of each (Section 2.4). It then analyses prevailing evaluation practices (Section 2.5), synthesises the recurring limitations of prior work (Section 2.6), and articulates the research gap this thesis addresses (Section 2.7). Finally, it positions the thesis relative to that gap (Section 2.8) states the research questions that guide the empirical study (Section 2.9), and concludes (Section 2.10).</w:t>
      </w:r>
    </w:p>
    <w:p>
      <w:pPr>
        <w:pStyle w:val="Heading1"/>
        <w:spacing w:after="160" w:before="360"/>
      </w:pPr>
      <w:r>
        <w:rPr>
          <w:rFonts w:ascii="Times New Roman" w:cs="Times New Roman" w:eastAsia="Times New Roman" w:hAnsi="Times New Roman"/>
          <w:b/>
          <w:bCs/>
          <w:color w:val="1E2761"/>
          <w:sz w:val="28"/>
          <w:szCs w:val="28"/>
        </w:rPr>
        <w:t xml:space="preserve">2.2 Background and Historical Evolution of Requirements Classification</w:t>
      </w:r>
    </w:p>
    <w:p>
      <w:pPr>
        <w:spacing w:after="160" w:line="300"/>
        <w:jc w:val="both"/>
      </w:pPr>
      <w:r>
        <w:rPr>
          <w:rFonts w:ascii="Times New Roman" w:cs="Times New Roman" w:eastAsia="Times New Roman" w:hAnsi="Times New Roman"/>
          <w:sz w:val="24"/>
          <w:szCs w:val="24"/>
        </w:rPr>
        <w:t xml:space="preserve">Research on automated requirements classification has evolved through four broadly overlapping waves, mirroring the wider trajectory of natural-language processing.</w:t>
      </w:r>
    </w:p>
    <w:p>
      <w:pPr>
        <w:spacing w:after="160" w:line="300"/>
        <w:jc w:val="both"/>
      </w:pPr>
      <w:r>
        <w:rPr>
          <w:rFonts w:ascii="Times New Roman" w:cs="Times New Roman" w:eastAsia="Times New Roman" w:hAnsi="Times New Roman"/>
          <w:b/>
          <w:bCs/>
          <w:sz w:val="24"/>
          <w:szCs w:val="24"/>
        </w:rPr>
        <w:t xml:space="preserve">Rule-based and knowledge-based methods (mid-2000s).</w:t>
      </w:r>
      <w:r>
        <w:rPr>
          <w:rFonts w:ascii="Times New Roman" w:cs="Times New Roman" w:eastAsia="Times New Roman" w:hAnsi="Times New Roman"/>
          <w:sz w:val="24"/>
          <w:szCs w:val="24"/>
        </w:rPr>
        <w:t xml:space="preserve"> The earliest approaches relied on hand-crafted indicator terms and heuristic rules. The seminal work of Cleland-Huang et al. [1] introduced automated detection and classification of non-functional requirements using sets of weighted indicator terms and produced the requirements collection that later became the PROMISE NFR dataset — still the field’s most widely used benchmark. These methods were transparent but brittle: they depended on curated keyword lists, struggled with the ambiguity of natural language, and generalised poorly beyond the projects on which their rules were tuned.</w:t>
      </w:r>
    </w:p>
    <w:p>
      <w:pPr>
        <w:spacing w:after="160" w:line="300"/>
        <w:jc w:val="both"/>
      </w:pPr>
      <w:r>
        <w:rPr>
          <w:rFonts w:ascii="Times New Roman" w:cs="Times New Roman" w:eastAsia="Times New Roman" w:hAnsi="Times New Roman"/>
          <w:b/>
          <w:bCs/>
          <w:sz w:val="24"/>
          <w:szCs w:val="24"/>
        </w:rPr>
        <w:t xml:space="preserve">Classical machine learning (late 2000s–late 2010s).</w:t>
      </w:r>
      <w:r>
        <w:rPr>
          <w:rFonts w:ascii="Times New Roman" w:cs="Times New Roman" w:eastAsia="Times New Roman" w:hAnsi="Times New Roman"/>
          <w:sz w:val="24"/>
          <w:szCs w:val="24"/>
        </w:rPr>
        <w:t xml:space="preserve"> Rising computational capacity enabled statistical approaches that learned from labelled examples rather than fixed rules. Support-vector machines, naïve Bayes, decision trees, and logistic regression, combined with feature-engineering techniques such as TF–IDF and n-grams, became the dominant paradigm. Kurtanović and Maalej [2] demonstrated that supervised SVM classifiers could distinguish FRs from NFRs and identify major NFR sub-classes with high accuracy on PROMISE. Interpretable variants followed; Dalpiaz et al. [4] combined linguistic dependency parsing with interpretable machine learning to classify requirements while exposing the features driving each decision. These methods improved robustness over rule-based systems but remained dependent on large, labelled datasets and manual feature design, and their performance degraded on requirements whose vocabulary differed from the training data.</w:t>
      </w:r>
    </w:p>
    <w:p>
      <w:pPr>
        <w:spacing w:after="160" w:line="300"/>
        <w:jc w:val="both"/>
      </w:pPr>
      <w:r>
        <w:rPr>
          <w:rFonts w:ascii="Times New Roman" w:cs="Times New Roman" w:eastAsia="Times New Roman" w:hAnsi="Times New Roman"/>
          <w:b/>
          <w:bCs/>
          <w:sz w:val="24"/>
          <w:szCs w:val="24"/>
        </w:rPr>
        <w:t xml:space="preserve">Deep learning (late 2010s–early 2020s).</w:t>
      </w:r>
      <w:r>
        <w:rPr>
          <w:rFonts w:ascii="Times New Roman" w:cs="Times New Roman" w:eastAsia="Times New Roman" w:hAnsi="Times New Roman"/>
          <w:sz w:val="24"/>
          <w:szCs w:val="24"/>
        </w:rPr>
        <w:t xml:space="preserve"> Neural architectures removed much of the manual feature engineering by learning distributed representations directly from text. Convolutional neural networks, recurrent networks such as LSTMs and GRUs, and word-embedding techniques (word2vec, GloVe) were applied to both binary FR/NFR and multi-class NFR classification. Representative of this wave, Sonawane and Puthran [8] combined a convolutional neural network with a flower-pollination optimiser to classify functional and non-functional requirements. Deep models raised accuracy but demanded still more labelled data and were prone to over-fitting on the small, imbalanced datasets characteristic of RE.</w:t>
      </w:r>
    </w:p>
    <w:p>
      <w:pPr>
        <w:spacing w:after="160" w:line="300"/>
        <w:jc w:val="both"/>
      </w:pPr>
      <w:r>
        <w:rPr>
          <w:rFonts w:ascii="Times New Roman" w:cs="Times New Roman" w:eastAsia="Times New Roman" w:hAnsi="Times New Roman"/>
          <w:b/>
          <w:bCs/>
          <w:sz w:val="24"/>
          <w:szCs w:val="24"/>
        </w:rPr>
        <w:t xml:space="preserve">Transformer-based and generative language models (2020–present).</w:t>
      </w:r>
      <w:r>
        <w:rPr>
          <w:rFonts w:ascii="Times New Roman" w:cs="Times New Roman" w:eastAsia="Times New Roman" w:hAnsi="Times New Roman"/>
          <w:sz w:val="24"/>
          <w:szCs w:val="24"/>
        </w:rPr>
        <w:t xml:space="preserve"> The Transformer architecture and transfer learning transformed the field. Hey et al. [3] introduced NoRBERT, which fine-tunes the pre-trained BERT model for requirements classification and achieved F1-scores up to the mid-nineties on PROMISE, including on unseen projects — establishing the strong baseline against which subsequent work is measured. A systematic mapping by Kaur and Kaur [7] confirmed that BERT-based models generally outperform both traditional machine learning and earlier deep-learning approaches. Most recently, generative LLMs — accessed through zero-shot and few-shot prompting rather than task-specific training — have entered the field. Alhoshan et al. [5] showed that zero-shot learning with sentence-embedding models could rival fine-tuned BERT without any labelled training data, and the subsequent surge of prompt-based and generative studies from 2024 onward forms the core of this review.</w:t>
      </w:r>
    </w:p>
    <w:p>
      <w:pPr>
        <w:spacing w:after="160" w:line="300"/>
        <w:jc w:val="both"/>
      </w:pPr>
      <w:r>
        <w:rPr>
          <w:rFonts w:ascii="Times New Roman" w:cs="Times New Roman" w:eastAsia="Times New Roman" w:hAnsi="Times New Roman"/>
          <w:sz w:val="24"/>
          <w:szCs w:val="24"/>
        </w:rPr>
        <w:t xml:space="preserve">Taken together, these four waves chart a shift from manually encoded rules to data-driven, context-sensitive models, progressively reducing the need for feature engineering and, with prompting, for labelled data — while repeatedly encountering the same obstacles of small datasets, class imbalance, and limited generalisation.</w:t>
      </w:r>
    </w:p>
    <w:p>
      <w:pPr>
        <w:pStyle w:val="Heading1"/>
        <w:spacing w:after="160" w:before="360"/>
      </w:pPr>
      <w:r>
        <w:rPr>
          <w:rFonts w:ascii="Times New Roman" w:cs="Times New Roman" w:eastAsia="Times New Roman" w:hAnsi="Times New Roman"/>
          <w:b/>
          <w:bCs/>
          <w:color w:val="1E2761"/>
          <w:sz w:val="28"/>
          <w:szCs w:val="28"/>
        </w:rPr>
        <w:t xml:space="preserve">2.3 Datasets and Benchmarks</w:t>
      </w:r>
    </w:p>
    <w:p>
      <w:pPr>
        <w:spacing w:after="160" w:line="300"/>
        <w:jc w:val="both"/>
      </w:pPr>
      <w:r>
        <w:rPr>
          <w:rFonts w:ascii="Times New Roman" w:cs="Times New Roman" w:eastAsia="Times New Roman" w:hAnsi="Times New Roman"/>
          <w:sz w:val="24"/>
          <w:szCs w:val="24"/>
        </w:rPr>
        <w:t xml:space="preserve">Progress in requirements classification has been shaped — and constrained — by a small set of publicly available datasets that the community reuses across studies.</w:t>
      </w:r>
    </w:p>
    <w:p>
      <w:pPr>
        <w:spacing w:after="160" w:line="300"/>
        <w:jc w:val="both"/>
      </w:pPr>
      <w:r>
        <w:rPr>
          <w:rFonts w:ascii="Times New Roman" w:cs="Times New Roman" w:eastAsia="Times New Roman" w:hAnsi="Times New Roman"/>
          <w:sz w:val="24"/>
          <w:szCs w:val="24"/>
        </w:rPr>
        <w:t xml:space="preserve">The PROMISE NFR dataset is the de facto benchmark. It contains 625 requirements (255 functional and 370 non-functional), with the non-functional requirements distributed across eleven sub-classes such as security, performance, usability, and availability [1]. Its expanded version, PROMISE_exp, enlarges the collection to 969 requirements (444 functional and 525 non-functional) across the same eleven NFR sub-classes (twelve labels including the functional class), but inherits the original’s characteristics [17]. Both are small by machine-learning standards, are drawn from a limited set of student and industrial projects, and are severely imbalanced — some sub-classes (for example, portability) contain only a handful of examples, which inflates variance and complicates multi-class evaluation. Studies therefore routinely apply resampling (for example, SMOTE) and stratified cross-validation to mitigate this imbalance [17].</w:t>
      </w:r>
    </w:p>
    <w:p>
      <w:pPr>
        <w:spacing w:after="160" w:line="300"/>
        <w:jc w:val="both"/>
      </w:pPr>
      <w:r>
        <w:rPr>
          <w:rFonts w:ascii="Times New Roman" w:cs="Times New Roman" w:eastAsia="Times New Roman" w:hAnsi="Times New Roman"/>
          <w:sz w:val="24"/>
          <w:szCs w:val="24"/>
        </w:rPr>
        <w:t xml:space="preserve">For security-oriented tasks, the SecReq dataset provides 510 requirements labelled as security-related (187) or non-security (323) [16]; Chapter 3 removes exact duplicate texts from both corpora before use, leaving 968 PROMISE_exp and 444 SecReq requirements. The PURE corpus, a collection of complete requirements documents, is sometimes used to supplement PROMISE for FR/NFR experiments and to test on longer, more heterogeneous text [18]. More recently, app-review datasets — user feedback labelled as functional, non-functional, both, or neither — have been introduced to evaluate classification on noisier, user-generated text [13].</w:t>
      </w:r>
    </w:p>
    <w:p>
      <w:pPr>
        <w:spacing w:after="160" w:line="300"/>
        <w:jc w:val="both"/>
      </w:pPr>
      <w:r>
        <w:rPr>
          <w:rFonts w:ascii="Times New Roman" w:cs="Times New Roman" w:eastAsia="Times New Roman" w:hAnsi="Times New Roman"/>
          <w:sz w:val="24"/>
          <w:szCs w:val="24"/>
        </w:rPr>
        <w:t xml:space="preserve">Two properties of this dataset landscape are consequential for the present work. First, the same two or three corpora underlie the large majority of published results, so reported performance is difficult to disentangle from the idiosyncrasies of those specific datasets. Second, and relatedly, because these datasets are old and publicly available, they may have been absorbed into the pre-training data of modern LLMs, raising the possibility of data contamination that inflates apparent performance. Both properties motivate evaluation designs — such as cross-project and cross-dataset testing — that probe generalisation rather than in-distribution accuracy alone.</w:t>
      </w:r>
    </w:p>
    <w:p>
      <w:pPr>
        <w:pStyle w:val="Heading1"/>
        <w:spacing w:after="160" w:before="360"/>
      </w:pPr>
      <w:r>
        <w:rPr>
          <w:rFonts w:ascii="Times New Roman" w:cs="Times New Roman" w:eastAsia="Times New Roman" w:hAnsi="Times New Roman"/>
          <w:b/>
          <w:bCs/>
          <w:color w:val="1E2761"/>
          <w:sz w:val="28"/>
          <w:szCs w:val="28"/>
        </w:rPr>
        <w:t xml:space="preserve">2.4 Review of Prior Work (2024–2026)</w:t>
      </w:r>
    </w:p>
    <w:p>
      <w:pPr>
        <w:spacing w:after="160" w:line="300"/>
        <w:jc w:val="both"/>
      </w:pPr>
      <w:r>
        <w:rPr>
          <w:rFonts w:ascii="Times New Roman" w:cs="Times New Roman" w:eastAsia="Times New Roman" w:hAnsi="Times New Roman"/>
          <w:sz w:val="24"/>
          <w:szCs w:val="24"/>
        </w:rPr>
        <w:t xml:space="preserve">This section examines ten influential studies published between 2024 and 2026, grouped by year. For each, the contribution is summarised and its principal strength and limitation are stated. Table 2.1 consolidates the comparison.</w:t>
      </w:r>
    </w:p>
    <w:p>
      <w:pPr>
        <w:pStyle w:val="Heading2"/>
        <w:spacing w:after="140" w:before="280"/>
      </w:pPr>
      <w:r>
        <w:rPr>
          <w:rFonts w:ascii="Times New Roman" w:cs="Times New Roman" w:eastAsia="Times New Roman" w:hAnsi="Times New Roman"/>
          <w:b/>
          <w:bCs/>
          <w:i/>
          <w:iCs/>
          <w:color w:val="1E2761"/>
          <w:sz w:val="25"/>
          <w:szCs w:val="25"/>
        </w:rPr>
        <w:t xml:space="preserve">2.4.1 Studies from 2024</w:t>
      </w:r>
    </w:p>
    <w:p>
      <w:pPr>
        <w:spacing w:after="160" w:line="300"/>
        <w:jc w:val="both"/>
      </w:pPr>
      <w:r>
        <w:rPr>
          <w:rFonts w:ascii="Times New Roman" w:cs="Times New Roman" w:eastAsia="Times New Roman" w:hAnsi="Times New Roman"/>
          <w:sz w:val="24"/>
          <w:szCs w:val="24"/>
        </w:rPr>
        <w:t xml:space="preserve">El-Hajjami et al. [6] reported an extensive empirical comparison of classical and generative techniques for requirements classification, evaluating SVM and LSTM against GPT-3.5 and GPT-4 in both zero-shot and few-shot settings across five datasets. Their central finding was that no single technique is best across all requirement classes, and that few-shot prompting benefits generative models mainly when zero-shot performance is poor. Its strength is the breadth of the comparison — spanning traditional and LLM methods, multiple datasets, and both prompting regimes — which makes it one of the most comprehensive early benchmarks. Its limitation is that it relies on the earlier GPT-3.5/GPT-4 generation, includes no open-source LLMs, reports no cost or efficiency analysis, and evaluates only in-distribution, leaving cross-dataset generalisation unexamined.</w:t>
      </w:r>
    </w:p>
    <w:p>
      <w:pPr>
        <w:spacing w:after="160" w:line="300"/>
        <w:jc w:val="both"/>
      </w:pPr>
      <w:r>
        <w:rPr>
          <w:rFonts w:ascii="Times New Roman" w:cs="Times New Roman" w:eastAsia="Times New Roman" w:hAnsi="Times New Roman"/>
          <w:sz w:val="24"/>
          <w:szCs w:val="24"/>
        </w:rPr>
        <w:t xml:space="preserve">Kaur and Kaur [7] conducted a systematic mapping of AI techniques for requirements classification, synthesising nearly two decades of studies, and concluded that BERT-based transfer learning consistently outperforms both classical machine learning and earlier deep-learning methods. Its strength is that it provides a rigorous, field-level synthesis that situates individual results within a coherent taxonomy and identifies methodological trends. Its limitation is that, as a secondary study, it contributes no new empirical evaluation, and its coverage necessarily predates the rapid 2025–2026 wave of generative-LLM work.</w:t>
      </w:r>
    </w:p>
    <w:p>
      <w:pPr>
        <w:spacing w:after="160" w:line="300"/>
        <w:jc w:val="both"/>
      </w:pPr>
      <w:r>
        <w:rPr>
          <w:rFonts w:ascii="Times New Roman" w:cs="Times New Roman" w:eastAsia="Times New Roman" w:hAnsi="Times New Roman"/>
          <w:sz w:val="24"/>
          <w:szCs w:val="24"/>
        </w:rPr>
        <w:t xml:space="preserve">Sonawane and Puthran [8] proposed a deep-learning approach combining a convolutional neural network with a flower-pollination optimiser to classify functional and non-functional requirements. Its strength is that the metaheuristic optimisation of network hyper-parameters yielded competitive accuracy and exemplifies the strong deep-learning baselines that defined the pre-LLM state of the art. Its limitation is that it involves no LLMs, is evaluated on a single dataset family, adds optimisation complexity without demonstrating cross-project generalisation, and has since been overtaken by transformer-based methods.</w:t>
      </w:r>
    </w:p>
    <w:p>
      <w:pPr>
        <w:spacing w:after="160" w:line="300"/>
        <w:jc w:val="both"/>
      </w:pPr>
      <w:r>
        <w:rPr>
          <w:rFonts w:ascii="Times New Roman" w:cs="Times New Roman" w:eastAsia="Times New Roman" w:hAnsi="Times New Roman"/>
          <w:sz w:val="24"/>
          <w:szCs w:val="24"/>
        </w:rPr>
        <w:t xml:space="preserve">Peer et al. [9] presented NLP4ReF, a framework applying language models to requirements classification and forecasting in a model-based systems-engineering context, and reported that LLM-based classification can outperform traditional NLP pipelines while generating candidate requirements at low cost and high speed. Its strength is that it demonstrates practical integration of LLM classification into an engineering workflow and highlights efficiency benefits. Its limitation is that the evaluation is domain-specific and does not systematically compare open and commercial models or quantify generalisation to unseen datasets.</w:t>
      </w:r>
    </w:p>
    <w:p>
      <w:pPr>
        <w:pStyle w:val="Heading2"/>
        <w:spacing w:after="140" w:before="280"/>
      </w:pPr>
      <w:r>
        <w:rPr>
          <w:rFonts w:ascii="Times New Roman" w:cs="Times New Roman" w:eastAsia="Times New Roman" w:hAnsi="Times New Roman"/>
          <w:b/>
          <w:bCs/>
          <w:i/>
          <w:iCs/>
          <w:color w:val="1E2761"/>
          <w:sz w:val="25"/>
          <w:szCs w:val="25"/>
        </w:rPr>
        <w:t xml:space="preserve">2.4.2 Studies from 2025</w:t>
      </w:r>
    </w:p>
    <w:p>
      <w:pPr>
        <w:spacing w:after="160" w:line="300"/>
        <w:jc w:val="both"/>
      </w:pPr>
      <w:r>
        <w:rPr>
          <w:rFonts w:ascii="Times New Roman" w:cs="Times New Roman" w:eastAsia="Times New Roman" w:hAnsi="Times New Roman"/>
          <w:sz w:val="24"/>
          <w:szCs w:val="24"/>
        </w:rPr>
        <w:t xml:space="preserve">Binkhonain and Alfayaz [10] provide the study most closely related to this thesis. They benchmarked five LLMs (Claude, DeepSeek, Gemini, GPT-4, and Llama) under four prompting strategies (zero-shot, few-shot, persona, and chain-of-thought) across three tasks — binary FR/NFR classification, multi-class NFR classification, and binary security classification — on the PROMISE and SecReq datasets, and compared the best-performing configurations against a strong fine-tuned transformer baseline. They found that prompt-based LLMs, especially with few-shot prompting, can match or exceed the fine-tuned baseline, and that adding a persona, or persona plus chain-of-thought, yields further gains; they conclude that prompting reduces dependence on large annotated datasets and can improve generalisability across tasks. Its strength is that it is a rigorous, multi-model, multi-prompt, multi-task benchmark that directly addresses the prompting-versus-fine-tuning question. Its limitation — and the principal opening this thesis exploits — is that its notion of improved “generalisability” refers to transfer across tasks on the same two datasets rather than to unseen projects or independent datasets; it emphasises commercial models, offers limited cost or efficiency analysis, and does not address possible data contamination.</w:t>
      </w:r>
    </w:p>
    <w:p>
      <w:pPr>
        <w:spacing w:after="160" w:line="300"/>
        <w:jc w:val="both"/>
      </w:pPr>
      <w:r>
        <w:rPr>
          <w:rFonts w:ascii="Times New Roman" w:cs="Times New Roman" w:eastAsia="Times New Roman" w:hAnsi="Times New Roman"/>
          <w:sz w:val="24"/>
          <w:szCs w:val="24"/>
        </w:rPr>
        <w:t xml:space="preserve">Alhoshan et al. [11] investigated three open generative LLMs — Bloom, Gemma, and Llama — across more than 400 experiments on three datasets (PROMISE NFR, Functional-Quality, and SecReq), for both binary and multi-class classification, and compared them against the best non-generative models from prior work. They found that model choice most strongly influences performance (Bloom achieving the highest weighted precision, around 0.77, and Gemma the strongest binary recall), while the effect of dataset variation is more situational. Its strength is that it is one of the few studies to focus squarely on open-source generative models and to vary models, datasets, prompts, and tasks systematically, making it directly relevant to the open-versus-commercial question. Its limitation is that it does not include current commercial models for direct comparison, does not frame inference cost or efficiency as a first-class dimension, and remains in-distribution across the standard corpora.</w:t>
      </w:r>
    </w:p>
    <w:p>
      <w:pPr>
        <w:spacing w:after="160" w:line="300"/>
        <w:jc w:val="both"/>
      </w:pPr>
      <w:r>
        <w:rPr>
          <w:rFonts w:ascii="Times New Roman" w:cs="Times New Roman" w:eastAsia="Times New Roman" w:hAnsi="Times New Roman"/>
          <w:sz w:val="24"/>
          <w:szCs w:val="24"/>
        </w:rPr>
        <w:t xml:space="preserve">Tang et al. [12] examined the phenomenon of “over-prompting,” in which supplying too many in-context examples degrades LLM performance. Using seven LLMs (GPT-4o, GPT-3.5-turbo, DeepSeek-V3, Gemma-3, LLaMA-3.1, LLaMA-3.2, and Mistral) on two requirements-classification datasets (PROMISE and PURE), they showed that a TF–IDF-based few-shot selection strategy achieves strong results with fewer examples, enabling the open LLaMA-3.1-8B model to surpass the fine-tuned state-of-the-art baseline by one percentage point on FR/NFR classification. Its strength is that it delivers an actionable, empirically grounded insight into few-shot example selection and demonstrates that a small open model can be competitive with fine-tuned transformers. Its limitation is that its focus is prompting mechanics rather than generalisation; the evaluation uses standard in-distribution splits, the improvement margin is modest, and cost is not analysed.</w:t>
      </w:r>
    </w:p>
    <w:p>
      <w:pPr>
        <w:spacing w:after="160" w:line="300"/>
        <w:jc w:val="both"/>
      </w:pPr>
      <w:r>
        <w:rPr>
          <w:rFonts w:ascii="Times New Roman" w:cs="Times New Roman" w:eastAsia="Times New Roman" w:hAnsi="Times New Roman"/>
          <w:sz w:val="24"/>
          <w:szCs w:val="24"/>
        </w:rPr>
        <w:t xml:space="preserve">Chaudhary et al. [13] explored zero-shot classification of app-store reviews with ChatGPT, categorising 1,880 manually annotated reviews from ten applications into functional requirement, non-functional requirement, both, or neither, and achieving an F1-score of 0.842. Its strength is that it extends requirements classification to noisy, user-generated text and analyses how review length and readability affect accuracy — an important step toward realistic, messier inputs. Its limitation is that it evaluates a single commercial model on one review dataset without open-model or cost comparison, and its lower precision on certain categories illustrates the difficulty LLMs face when text diverges from clean specification statements — an early signal of the generalisation problem this thesis investigates.</w:t>
      </w:r>
    </w:p>
    <w:p>
      <w:pPr>
        <w:pStyle w:val="Heading2"/>
        <w:spacing w:after="140" w:before="280"/>
      </w:pPr>
      <w:r>
        <w:rPr>
          <w:rFonts w:ascii="Times New Roman" w:cs="Times New Roman" w:eastAsia="Times New Roman" w:hAnsi="Times New Roman"/>
          <w:b/>
          <w:bCs/>
          <w:i/>
          <w:iCs/>
          <w:color w:val="1E2761"/>
          <w:sz w:val="25"/>
          <w:szCs w:val="25"/>
        </w:rPr>
        <w:t xml:space="preserve">2.4.3 Studies from 2026</w:t>
      </w:r>
    </w:p>
    <w:p>
      <w:pPr>
        <w:spacing w:after="160" w:line="300"/>
        <w:jc w:val="both"/>
      </w:pPr>
      <w:r>
        <w:rPr>
          <w:rFonts w:ascii="Times New Roman" w:cs="Times New Roman" w:eastAsia="Times New Roman" w:hAnsi="Times New Roman"/>
          <w:sz w:val="24"/>
          <w:szCs w:val="24"/>
        </w:rPr>
        <w:t xml:space="preserve">Vasudevan et al. [14] compared fine-tuned BERT and RoBERTa against GPT-4o for functional and non-functional requirements classification, reporting that GPT-4o achieves the highest F1-score, with accuracy up to 96%. Its strength is that it is a clean, recent, head-to-head comparison of fine-tuned encoder models against a leading commercial generative model, directly informing the fine-tuning-versus-prompting trade-off. Its limitation is that it evaluates only two encoder baselines and a single commercial model, omits open generative models, focuses on binary FR/NFR on one dataset, and reports neither cost/latency nor cross-dataset generalisation.</w:t>
      </w:r>
    </w:p>
    <w:p>
      <w:pPr>
        <w:spacing w:after="160" w:line="300"/>
        <w:jc w:val="both"/>
      </w:pPr>
      <w:r>
        <w:rPr>
          <w:rFonts w:ascii="Times New Roman" w:cs="Times New Roman" w:eastAsia="Times New Roman" w:hAnsi="Times New Roman"/>
          <w:sz w:val="24"/>
          <w:szCs w:val="24"/>
        </w:rPr>
        <w:t xml:space="preserve">Levy et al. [15] evaluated three state-of-the-art models — Claude 3.5 Sonnet, GPT-4o, and Llama 3 — on the PROMISE_exp dataset for both FR/NFR and eleven-way NFR sub-type classification, framed against expert judgment within an INCOSE-aligned, human-in-the-loop methodology. They reported that GPT-4o attains roughly 85% accuracy on FR/NFR while Claude 3.5 Sonnet dominates the NFR sub-categories, and observed that each model exhibits a distinct directional bias and that some models produced duplicate or split outputs. Its strength is that it benchmarks current commercial and open models on the full classification task and grounds the evaluation in professional engineering criteria and expert comparison. Its limitation is that it emphasises commercial models on a standard (potentially contaminated) dataset, its expert-judgment design is resource-intensive and difficult to reproduce, and it does not quantify cost or generalisation to independent datasets.</w:t>
      </w:r>
    </w:p>
    <w:p>
      <w:pPr>
        <w:spacing w:after="160" w:line="300"/>
        <w:jc w:val="both"/>
      </w:pPr>
      <w:r>
        <w:rPr>
          <w:rFonts w:ascii="Times New Roman" w:cs="Times New Roman" w:eastAsia="Times New Roman" w:hAnsi="Times New Roman"/>
          <w:i/>
          <w:iCs/>
          <w:sz w:val="24"/>
          <w:szCs w:val="24"/>
        </w:rPr>
        <w:t xml:space="preserve">Table 2.1. Comparison of the reviewed studies (2024–2026).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3300"/>
        <w:gridCol w:w="2050"/>
        <w:gridCol w:w="2126"/>
      </w:tblGrid>
      <w:tr>
        <w:trPr>
          <w:tblHeader/>
        </w:trPr>
        <w:tc>
          <w:tcPr>
            <w:tcW w:type="dxa" w:w="15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Study (Year)</w:t>
            </w:r>
          </w:p>
        </w:tc>
        <w:tc>
          <w:tcPr>
            <w:tcW w:type="dxa" w:w="33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Setup (models / datasets / tasks)</w:t>
            </w:r>
          </w:p>
        </w:tc>
        <w:tc>
          <w:tcPr>
            <w:tcW w:type="dxa" w:w="20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Key strength</w:t>
            </w:r>
          </w:p>
        </w:tc>
        <w:tc>
          <w:tcPr>
            <w:tcW w:type="dxa" w:w="2126"/>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Key limitation</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El-Hajjami et al. (2024) [6]</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SVM, LSTM, GPT-3.5, GPT-4; zero/few-shot; 5 datasets; FR/NFR and NFR sub-types</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Broadest early benchmark across classical and LLM methods and both prompting regimes</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Older GPT generation; no open models; no cost analysis; in-distribution only</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Kaur &amp; Kaur (2024) [7]</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Systematic mapping of ~2 decades of AI requirements-classification studies</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Rigorous field-level synthesis; confirms BERT outperforms classical ML and DL</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Secondary study (no new experiments); predates the 2025-26 generative wave</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Sonawane &amp; Puthran (2024) [8]</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CNN with flower-pollination optimiser; FR/NFR</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Strong metaheuristic-tuned deep-learning baseline of the pre-LLM era</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No LLMs; single dataset family; no generalisation testing; now superseded</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Peer et al. (2024) [9]</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NLP4ReF; language models for classification and forecasting; MBSE context</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Integrates LLM classification into an engineering workflow at low cost and high speed</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Domain-specific; no open-vs-commercial comparison; no generalisation study</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Binkhonain &amp; Alfayaz (2025) [10]</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Claude, DeepSeek, Gemini, GPT-4, Llama; zero/few-shot, persona, CoT; PROMISE + SecReq; 3 tasks; vs fine-tuned baseline</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Rigorous multi-model, multi-prompt, multi-task benchmark against a strong baseline</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“Generalisability” means cross-task, not cross-project; commercial-heavy; little cost analysis; contamination unaddressed</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Alhoshan et al. (2025) [11]</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Bloom, Gemma, Llama; 400+ experiments; PROMISE NFR, Functional-Quality, SecReq; binary + multi-class</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Rare focus on open generative models; systematic model/data/prompt/task variation</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No current commercial models; cost not treated as a dimension; in-distribution</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Tang et al. (2025) [12]</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GPT-4o, GPT-3.5, DeepSeek-V3, Gemma-3, LLaMA-3.1/3.2, Mistral; PROMISE + PURE; over-prompting and few-shot selection</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Actionable few-shot-selection insight; a small open model beats fine-tuned SOTA by 1%</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Focus on prompting mechanics; in-distribution; modest margin; no cost analysis</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Chaudhary et al. (2025) [13]</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Zero-shot ChatGPT; 1,880 app reviews; FR/NFR/both/neither; F1 = 0.842</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Extends the task to noisy user-generated text; analyses readability and length effects</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Single commercial model; one dataset; lower precision on noisy text; no cost/open comparison</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Vasudevan et al. (2026) [14]</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Fine-tuned BERT, RoBERTa vs GPT-4o; FR/NFR; up to 96% accuracy</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Clean, recent head-to-head of fine-tuned encoders against a leading commercial LLM</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Two encoders + one commercial model; no open LLMs; binary/one dataset; no cost or generalisation</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Levy et al. (2026) [15]</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Claude 3.5 Sonnet, GPT-4o, Llama 3; PROMISE_exp FR/NFR + 11 sub-types; vs expert judgment (INCOSE, HITL)</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Benchmarks current models against professional expert criteria</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Commercial-heavy; standard (contaminable) dataset; expert design hard to reproduce; no cost/generalisation</w:t>
            </w:r>
          </w:p>
        </w:tc>
      </w:tr>
    </w:tbl>
    <w:p>
      <w:pPr>
        <w:spacing w:after="160"/>
      </w:pPr>
    </w:p>
    <w:p>
      <w:pPr>
        <w:pStyle w:val="Heading1"/>
        <w:spacing w:after="160" w:before="360"/>
      </w:pPr>
      <w:r>
        <w:rPr>
          <w:rFonts w:ascii="Times New Roman" w:cs="Times New Roman" w:eastAsia="Times New Roman" w:hAnsi="Times New Roman"/>
          <w:b/>
          <w:bCs/>
          <w:color w:val="1E2761"/>
          <w:sz w:val="28"/>
          <w:szCs w:val="28"/>
        </w:rPr>
        <w:t xml:space="preserve">2.5 Evaluation Practices and Reported Results</w:t>
      </w:r>
    </w:p>
    <w:p>
      <w:pPr>
        <w:spacing w:after="160" w:line="300"/>
        <w:jc w:val="both"/>
      </w:pPr>
      <w:r>
        <w:rPr>
          <w:rFonts w:ascii="Times New Roman" w:cs="Times New Roman" w:eastAsia="Times New Roman" w:hAnsi="Times New Roman"/>
          <w:sz w:val="24"/>
          <w:szCs w:val="24"/>
        </w:rPr>
        <w:t xml:space="preserve">Across the studies reviewed, evaluation converges on a common set of practices, but also reveals consistent blind spots.</w:t>
      </w:r>
    </w:p>
    <w:p>
      <w:pPr>
        <w:spacing w:after="160" w:line="300"/>
        <w:jc w:val="both"/>
      </w:pPr>
      <w:r>
        <w:rPr>
          <w:rFonts w:ascii="Times New Roman" w:cs="Times New Roman" w:eastAsia="Times New Roman" w:hAnsi="Times New Roman"/>
          <w:b/>
          <w:bCs/>
          <w:sz w:val="24"/>
          <w:szCs w:val="24"/>
        </w:rPr>
        <w:t xml:space="preserve">Metrics.</w:t>
      </w:r>
      <w:r>
        <w:rPr>
          <w:rFonts w:ascii="Times New Roman" w:cs="Times New Roman" w:eastAsia="Times New Roman" w:hAnsi="Times New Roman"/>
          <w:sz w:val="24"/>
          <w:szCs w:val="24"/>
        </w:rPr>
        <w:t xml:space="preserve"> Precision, recall, and F1-score are near-universal, with macro-averaged and weighted F1 preferred because they account for the severe class imbalance in PROMISE and related datasets [11], [15]. Accuracy is reported but treated cautiously, since a classifier can achieve high accuracy simply by favouring majority classes.</w:t>
      </w:r>
    </w:p>
    <w:p>
      <w:pPr>
        <w:spacing w:after="160" w:line="300"/>
        <w:jc w:val="both"/>
      </w:pPr>
      <w:r>
        <w:rPr>
          <w:rFonts w:ascii="Times New Roman" w:cs="Times New Roman" w:eastAsia="Times New Roman" w:hAnsi="Times New Roman"/>
          <w:b/>
          <w:bCs/>
          <w:sz w:val="24"/>
          <w:szCs w:val="24"/>
        </w:rPr>
        <w:t xml:space="preserve">Experimental protocol.</w:t>
      </w:r>
      <w:r>
        <w:rPr>
          <w:rFonts w:ascii="Times New Roman" w:cs="Times New Roman" w:eastAsia="Times New Roman" w:hAnsi="Times New Roman"/>
          <w:sz w:val="24"/>
          <w:szCs w:val="24"/>
        </w:rPr>
        <w:t xml:space="preserve"> Most studies use a single train–test split or k-fold cross-validation within one dataset, typically an 80–20 split [12]. Prompt-based studies additionally vary the prompting strategy (zero-shot, few-shot, persona, chain-of-thought) and, increasingly, the few-shot example-selection method [10], [12]. Comparisons against a fine-tuned transformer baseline such as NoRBERT are common, positioning prompting relative to supervised learning [10], [12], [14].</w:t>
      </w:r>
    </w:p>
    <w:p>
      <w:pPr>
        <w:spacing w:after="160" w:line="300"/>
        <w:jc w:val="both"/>
      </w:pPr>
      <w:r>
        <w:rPr>
          <w:rFonts w:ascii="Times New Roman" w:cs="Times New Roman" w:eastAsia="Times New Roman" w:hAnsi="Times New Roman"/>
          <w:b/>
          <w:bCs/>
          <w:sz w:val="24"/>
          <w:szCs w:val="24"/>
        </w:rPr>
        <w:t xml:space="preserve">Reported state of the art.</w:t>
      </w:r>
      <w:r>
        <w:rPr>
          <w:rFonts w:ascii="Times New Roman" w:cs="Times New Roman" w:eastAsia="Times New Roman" w:hAnsi="Times New Roman"/>
          <w:sz w:val="24"/>
          <w:szCs w:val="24"/>
        </w:rPr>
        <w:t xml:space="preserve"> On the core FR/NFR task, current models are highly competitive: fine-tuned transformers and leading commercial LLMs report F1-scores and accuracies in the high-eighties to mid-nineties [3], [14], and prompted LLMs can match or exceed fine-tuned baselines with well-chosen few-shot examples [10], [12]. In short, on the standard benchmark the basic task is close to solved.</w:t>
      </w:r>
    </w:p>
    <w:p>
      <w:pPr>
        <w:spacing w:after="160" w:line="300"/>
        <w:jc w:val="both"/>
      </w:pPr>
      <w:r>
        <w:rPr>
          <w:rFonts w:ascii="Times New Roman" w:cs="Times New Roman" w:eastAsia="Times New Roman" w:hAnsi="Times New Roman"/>
          <w:b/>
          <w:bCs/>
          <w:sz w:val="24"/>
          <w:szCs w:val="24"/>
        </w:rPr>
        <w:t xml:space="preserve">Blind spots.</w:t>
      </w:r>
      <w:r>
        <w:rPr>
          <w:rFonts w:ascii="Times New Roman" w:cs="Times New Roman" w:eastAsia="Times New Roman" w:hAnsi="Times New Roman"/>
          <w:sz w:val="24"/>
          <w:szCs w:val="24"/>
        </w:rPr>
        <w:t xml:space="preserve"> Two dimensions are conspicuously under-reported. First, generalisation: the overwhelming majority of results are in-distribution, evaluated on the same dataset used for tuning or example selection; systematic cross-project or cross-dataset evaluation — training or prompting on one source and testing on an independent one — is rare, even though NoRBERT itself flagged degradation on unseen projects [3]. Second, efficiency: inference cost, latency, model size, and, for fine-tuning, training cost are seldom quantified, despite being decisive for real-world adoption and especially for resource-constrained settings. These omissions define the space in which this thesis contributes.</w:t>
      </w:r>
    </w:p>
    <w:p>
      <w:pPr>
        <w:pStyle w:val="Heading1"/>
        <w:spacing w:after="160" w:before="360"/>
      </w:pPr>
      <w:r>
        <w:rPr>
          <w:rFonts w:ascii="Times New Roman" w:cs="Times New Roman" w:eastAsia="Times New Roman" w:hAnsi="Times New Roman"/>
          <w:b/>
          <w:bCs/>
          <w:color w:val="1E2761"/>
          <w:sz w:val="28"/>
          <w:szCs w:val="28"/>
        </w:rPr>
        <w:t xml:space="preserve">2.6 Synthesis: Recurring Limitations of Prior Work</w:t>
      </w:r>
    </w:p>
    <w:p>
      <w:pPr>
        <w:spacing w:after="160" w:line="300"/>
        <w:jc w:val="both"/>
      </w:pPr>
      <w:r>
        <w:rPr>
          <w:rFonts w:ascii="Times New Roman" w:cs="Times New Roman" w:eastAsia="Times New Roman" w:hAnsi="Times New Roman"/>
          <w:sz w:val="24"/>
          <w:szCs w:val="24"/>
        </w:rPr>
        <w:t xml:space="preserve">Read together, the studies of 2024–2026 exhibit a striking convergence not only in their findings but in their limitations. Three recur across almost the entire body of work.</w:t>
      </w:r>
    </w:p>
    <w:p>
      <w:pPr>
        <w:spacing w:after="160" w:line="300"/>
        <w:jc w:val="both"/>
      </w:pPr>
      <w:r>
        <w:rPr>
          <w:rFonts w:ascii="Times New Roman" w:cs="Times New Roman" w:eastAsia="Times New Roman" w:hAnsi="Times New Roman"/>
          <w:b/>
          <w:bCs/>
          <w:sz w:val="24"/>
          <w:szCs w:val="24"/>
        </w:rPr>
        <w:t xml:space="preserve">First, evaluation is predominantly in-distribution.</w:t>
      </w:r>
      <w:r>
        <w:rPr>
          <w:rFonts w:ascii="Times New Roman" w:cs="Times New Roman" w:eastAsia="Times New Roman" w:hAnsi="Times New Roman"/>
          <w:sz w:val="24"/>
          <w:szCs w:val="24"/>
        </w:rPr>
        <w:t xml:space="preserve"> Nearly every study trains, tunes, or selects examples on PROMISE, PROMISE_exp, SecReq, or PURE and evaluates on the same corpus. Even work that claims improved generalisability [10] demonstrates transfer across tasks rather than across unseen projects or independent datasets. The one study that ventures onto genuinely different text — app reviews [13] — records notably lower precision on several categories, hinting at a generalisation gap that the field has not systematically measured. This is especially significant because the foundational transformer baseline, NoRBERT [3], was explicitly motivated by the observation that classifiers over-fit to project-specific wording and degrade on unseen projects — a concern the generative-LLM literature has largely failed to re-examine.</w:t>
      </w:r>
    </w:p>
    <w:p>
      <w:pPr>
        <w:spacing w:after="160" w:line="300"/>
        <w:jc w:val="both"/>
      </w:pPr>
      <w:r>
        <w:rPr>
          <w:rFonts w:ascii="Times New Roman" w:cs="Times New Roman" w:eastAsia="Times New Roman" w:hAnsi="Times New Roman"/>
          <w:b/>
          <w:bCs/>
          <w:sz w:val="24"/>
          <w:szCs w:val="24"/>
        </w:rPr>
        <w:t xml:space="preserve">Second, cost and efficiency are rarely treated as first-class concerns.</w:t>
      </w:r>
      <w:r>
        <w:rPr>
          <w:rFonts w:ascii="Times New Roman" w:cs="Times New Roman" w:eastAsia="Times New Roman" w:hAnsi="Times New Roman"/>
          <w:sz w:val="24"/>
          <w:szCs w:val="24"/>
        </w:rPr>
        <w:t xml:space="preserve"> The field has gravitated toward large commercial models — GPT-4, GPT-4o, Claude, Gemini [10], [14], [15] — and reports accuracy or F1 in isolation. Studies that do use open models [11], [12] focus on predictive performance rather than on the accuracy-versus-cost trade-off, and none systematically asks which freely available model, run on modest hardware, is sufficient for the task.</w:t>
      </w:r>
    </w:p>
    <w:p>
      <w:pPr>
        <w:spacing w:after="160" w:line="300"/>
        <w:jc w:val="both"/>
      </w:pPr>
      <w:r>
        <w:rPr>
          <w:rFonts w:ascii="Times New Roman" w:cs="Times New Roman" w:eastAsia="Times New Roman" w:hAnsi="Times New Roman"/>
          <w:b/>
          <w:bCs/>
          <w:sz w:val="24"/>
          <w:szCs w:val="24"/>
        </w:rPr>
        <w:t xml:space="preserve">Third, data limitations and contamination are acknowledged but unaddressed.</w:t>
      </w:r>
      <w:r>
        <w:rPr>
          <w:rFonts w:ascii="Times New Roman" w:cs="Times New Roman" w:eastAsia="Times New Roman" w:hAnsi="Times New Roman"/>
          <w:sz w:val="24"/>
          <w:szCs w:val="24"/>
        </w:rPr>
        <w:t xml:space="preserve"> The reliance on a few small, old, imbalanced, publicly available datasets means results may not transfer to realistic requirements and may be inflated by pre-training contamination — a risk that grows as LLMs are trained on ever-larger web corpora.</w:t>
      </w:r>
    </w:p>
    <w:p>
      <w:pPr>
        <w:pStyle w:val="Heading1"/>
        <w:spacing w:after="160" w:before="360"/>
      </w:pPr>
      <w:r>
        <w:rPr>
          <w:rFonts w:ascii="Times New Roman" w:cs="Times New Roman" w:eastAsia="Times New Roman" w:hAnsi="Times New Roman"/>
          <w:b/>
          <w:bCs/>
          <w:color w:val="1E2761"/>
          <w:sz w:val="28"/>
          <w:szCs w:val="28"/>
        </w:rPr>
        <w:t xml:space="preserve">2.7 Research Gap</w:t>
      </w:r>
    </w:p>
    <w:p>
      <w:pPr>
        <w:spacing w:after="160" w:line="300"/>
        <w:jc w:val="both"/>
      </w:pPr>
      <w:r>
        <w:rPr>
          <w:rFonts w:ascii="Times New Roman" w:cs="Times New Roman" w:eastAsia="Times New Roman" w:hAnsi="Times New Roman"/>
          <w:sz w:val="24"/>
          <w:szCs w:val="24"/>
        </w:rPr>
        <w:t xml:space="preserve">The trajectory of the field is clear. Over roughly two decades, requirements classification has advanced from brittle keyword rules to fine-tuned transformers and prompt-driven LLMs, and on the standard benchmarks the core task of distinguishing functional from non-functional requirements is now, for practical purposes, solved: multiple 2025–2026 studies report that fine-tuned transformers, leading LLMs, and even well-prompted small open models all reach high-eighties to mid-nineties performance [10], [12], [14], [15]. Paradoxically, this success is precisely what exposes the gap. When an off-the-shelf model can already classify clean benchmark requirements accurately, demonstrating that it can do so is no longer a contribution; the unanswered questions are the ones the existing literature has systematically avoided.</w:t>
      </w:r>
    </w:p>
    <w:p>
      <w:pPr>
        <w:spacing w:after="160" w:line="300"/>
        <w:jc w:val="both"/>
      </w:pPr>
      <w:r>
        <w:rPr>
          <w:rFonts w:ascii="Times New Roman" w:cs="Times New Roman" w:eastAsia="Times New Roman" w:hAnsi="Times New Roman"/>
          <w:sz w:val="24"/>
          <w:szCs w:val="24"/>
        </w:rPr>
        <w:t xml:space="preserve">Three such questions stand out, and they are mutually reinforcing. The first concerns generalisation. Almost the entire body of work evaluates in-distribution, on the same handful of datasets used for tuning or prompting and thereby measures how well models fit PROMISE rather than how well they classify the unfamiliar requirements of a new project. Yet generalisation to unseen projects is the property that matters in practice, and the one the field’s own foundational baseline warned was fragile [3]. The generalisation gap — the drop in performance when a model is evaluated on requirements from projects or datasets it was not tuned on — remains largely unquantified for modern LLMs.</w:t>
      </w:r>
    </w:p>
    <w:p>
      <w:pPr>
        <w:spacing w:after="160" w:line="300"/>
        <w:jc w:val="both"/>
      </w:pPr>
      <w:r>
        <w:rPr>
          <w:rFonts w:ascii="Times New Roman" w:cs="Times New Roman" w:eastAsia="Times New Roman" w:hAnsi="Times New Roman"/>
          <w:sz w:val="24"/>
          <w:szCs w:val="24"/>
        </w:rPr>
        <w:t xml:space="preserve">The second concerns cost. The literature has drifted toward expensive commercial models and reports accuracy in isolation, leaving unanswered whether that expense is necessary — whether a freely available, open model running on modest, no-cost hardware can achieve comparable results. For students, researchers, and organisations without the budget or the data-sharing latitude to use commercial APIs, this is the decisive question. The third concerns the interaction of the two: it is not known whether the apparent parity between fine-tuned, open, and commercial approaches on in-distribution benchmarks survives the move to cross-dataset evaluation, or whether one approach degrades more gracefully than the others.</w:t>
      </w:r>
    </w:p>
    <w:p>
      <w:pPr>
        <w:spacing w:after="160" w:line="300"/>
        <w:jc w:val="both"/>
      </w:pPr>
      <w:r>
        <w:rPr>
          <w:rFonts w:ascii="Times New Roman" w:cs="Times New Roman" w:eastAsia="Times New Roman" w:hAnsi="Times New Roman"/>
          <w:sz w:val="24"/>
          <w:szCs w:val="24"/>
        </w:rPr>
        <w:t xml:space="preserve">This thesis addresses that gap directly. Rather than asking the settled question of whether LLMs can classify requirements, it asks how well different classes of model — fine-tuned small transformers, open generative LLMs, and a commercial-grade model — generalise beyond a single dataset, and at what cost. In doing so it reframes a saturated problem around the two axes, generalisation and cost-efficiency, that determine whether these techniques are usable in real, resource-constrained requirements-engineering practice.</w:t>
      </w:r>
    </w:p>
    <w:p>
      <w:pPr>
        <w:pStyle w:val="Heading1"/>
        <w:spacing w:after="160" w:before="360"/>
      </w:pPr>
      <w:r>
        <w:rPr>
          <w:rFonts w:ascii="Times New Roman" w:cs="Times New Roman" w:eastAsia="Times New Roman" w:hAnsi="Times New Roman"/>
          <w:b/>
          <w:bCs/>
          <w:color w:val="1E2761"/>
          <w:sz w:val="28"/>
          <w:szCs w:val="28"/>
        </w:rPr>
        <w:t xml:space="preserve">2.8 Positioning and Contribution of This Thesis</w:t>
      </w:r>
    </w:p>
    <w:p>
      <w:pPr>
        <w:spacing w:after="160" w:line="300"/>
        <w:jc w:val="both"/>
      </w:pPr>
      <w:r>
        <w:rPr>
          <w:rFonts w:ascii="Times New Roman" w:cs="Times New Roman" w:eastAsia="Times New Roman" w:hAnsi="Times New Roman"/>
          <w:sz w:val="24"/>
          <w:szCs w:val="24"/>
        </w:rPr>
        <w:t xml:space="preserve">This thesis is an empirical benchmarking study; it does not propose a new classification method. Its contribution lies in evaluating existing models under conditions the prior literature has neglected, using only publicly available datasets and free, open tooling — a design that is both methodologically motivated and aligned with the resource constraints of the work.</w:t>
      </w:r>
    </w:p>
    <w:p>
      <w:pPr>
        <w:spacing w:after="160" w:line="300"/>
        <w:jc w:val="both"/>
      </w:pPr>
      <w:r>
        <w:rPr>
          <w:rFonts w:ascii="Times New Roman" w:cs="Times New Roman" w:eastAsia="Times New Roman" w:hAnsi="Times New Roman"/>
          <w:sz w:val="24"/>
          <w:szCs w:val="24"/>
        </w:rPr>
        <w:t xml:space="preserve">Concretely, the study compares three classes of approach on the requirements-classification task: (i) a fine-tuned small transformer baseline (BERT and RoBERTa encoders, each trained with and without class weighting) representing the specialised, low-cost supervised approach; (ii) a set of current open generative LLMs (for example, Gemma, Llama, Phi, Qwen, and SmolLM variants) that can be run for free on public infrastructure, in zero-shot and few-shot settings; and (iii) one commercial-grade model accessed through a free tier, representing the high-end reference. These are evaluated across multiple public datasets (PROMISE_exp and SecReq, evaluated in-domain, cross-project, and — for the security task, the one task both corpora annotate independently — cross-dataset) and multiple tasks (binary FR/NFR, multi-class NFR sub-type, and security classification).</w:t>
      </w:r>
    </w:p>
    <w:p>
      <w:pPr>
        <w:spacing w:after="160" w:line="300"/>
        <w:jc w:val="both"/>
      </w:pPr>
      <w:r>
        <w:rPr>
          <w:rFonts w:ascii="Times New Roman" w:cs="Times New Roman" w:eastAsia="Times New Roman" w:hAnsi="Times New Roman"/>
          <w:sz w:val="24"/>
          <w:szCs w:val="24"/>
        </w:rPr>
        <w:t xml:space="preserve">The distinguishing feature of the design is that performance is measured not only in-distribution but under cross-project and cross-dataset evaluation, so that the generalisation gap can be quantified for each class of model. In parallel, the study reports an efficiency profile — model size, inference time and token usage, and, for the fine-tuned baseline, training cost — enabling an explicit accuracy-versus-cost analysis. The intended contributions are therefore threefold: an up-to-date benchmark of open versus commercial versus fine-tuned models on requirements classification using current-generation models; a systematic quantification of the cross-dataset generalisation gap for this task in the LLM era; and practitioner-facing guidance on the cheapest freely available option that achieves acceptable performance. Data-contamination risk and the small size of the available datasets are acknowledged as threats to validity, and the cross-project and external-dataset design is adopted partly in response to them.</w:t>
      </w:r>
    </w:p>
    <w:p>
      <w:pPr>
        <w:pStyle w:val="Heading1"/>
        <w:spacing w:after="160" w:before="360"/>
      </w:pPr>
      <w:r>
        <w:rPr>
          <w:rFonts w:ascii="Times New Roman" w:cs="Times New Roman" w:eastAsia="Times New Roman" w:hAnsi="Times New Roman"/>
          <w:b/>
          <w:bCs/>
          <w:color w:val="1E2761"/>
          <w:sz w:val="28"/>
          <w:szCs w:val="28"/>
        </w:rPr>
        <w:t xml:space="preserve">2.9 Research Questions</w:t>
      </w:r>
    </w:p>
    <w:p>
      <w:pPr>
        <w:spacing w:after="160" w:line="300"/>
        <w:jc w:val="both"/>
      </w:pPr>
      <w:r>
        <w:rPr>
          <w:rFonts w:ascii="Times New Roman" w:cs="Times New Roman" w:eastAsia="Times New Roman" w:hAnsi="Times New Roman"/>
          <w:sz w:val="24"/>
          <w:szCs w:val="24"/>
        </w:rPr>
        <w:t xml:space="preserve">The study is guided by three research questions, each targeting one facet of the gap identified above.</w:t>
      </w:r>
    </w:p>
    <w:p>
      <w:pPr>
        <w:spacing w:after="160" w:line="300"/>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How do current open and commercial LLMs compare with a fine-tuned small transformer baseline for requirements classification (FR/NFR, NFR sub-types, and security), in zero-shot and few-shot settings, on standard public benchmarks?</w:t>
      </w:r>
    </w:p>
    <w:p>
      <w:pPr>
        <w:spacing w:after="160" w:line="300"/>
        <w:jc w:val="both"/>
      </w:pPr>
      <w:r>
        <w:rPr>
          <w:rFonts w:ascii="Times New Roman" w:cs="Times New Roman" w:eastAsia="Times New Roman" w:hAnsi="Times New Roman"/>
          <w:sz w:val="24"/>
          <w:szCs w:val="24"/>
        </w:rPr>
        <w:t xml:space="preserve">This question establishes the in-distribution baseline picture using current-generation models. It replicates and updates prior comparisons [10], [11], [14] with a consistent protocol and provides the reference point against which generalisation and cost are subsequently assessed. In practice, answering it means running each model on each dataset under each prompting condition and reporting macro- and weighted-F1.</w:t>
      </w:r>
    </w:p>
    <w:p>
      <w:pPr>
        <w:spacing w:after="160" w:line="300"/>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How much does classification performance degrade under cross-project and cross-dataset evaluation (the generalisation gap), and does this gap differ between fine-tuned small models and prompted LLMs?</w:t>
      </w:r>
    </w:p>
    <w:p>
      <w:pPr>
        <w:spacing w:after="160" w:line="300"/>
        <w:jc w:val="both"/>
      </w:pPr>
      <w:r>
        <w:rPr>
          <w:rFonts w:ascii="Times New Roman" w:cs="Times New Roman" w:eastAsia="Times New Roman" w:hAnsi="Times New Roman"/>
          <w:sz w:val="24"/>
          <w:szCs w:val="24"/>
        </w:rPr>
        <w:t xml:space="preserve">This is the central question and the thesis’s primary contribution. Rather than reporting accuracy on the dataset a model was tuned on, it measures the drop in performance when the model is evaluated on requirements from held-out projects or an independent dataset. Concretely, this involves leave-project-out splits within PROMISE_exp and, for the security task that both corpora annotate, external evaluation on the independent corpus, and comparing the size of the resulting performance drop across the three classes of model — revealing which approach generalises most robustly.</w:t>
      </w:r>
    </w:p>
    <w:p>
      <w:pPr>
        <w:spacing w:after="160" w:line="300"/>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What is the accuracy-versus-cost trade-off across these approaches, and what is the cheapest freely available option that reaches acceptable performance?</w:t>
      </w:r>
    </w:p>
    <w:p>
      <w:pPr>
        <w:spacing w:after="160" w:line="300"/>
        <w:jc w:val="both"/>
      </w:pPr>
      <w:r>
        <w:rPr>
          <w:rFonts w:ascii="Times New Roman" w:cs="Times New Roman" w:eastAsia="Times New Roman" w:hAnsi="Times New Roman"/>
          <w:sz w:val="24"/>
          <w:szCs w:val="24"/>
        </w:rPr>
        <w:t xml:space="preserve">This question addresses practical adoption under resource constraints. Alongside predictive performance, it records each approach’s computational cost — model size, inference time and token usage, and training cost for the fine-tuned baseline — and identifies the point on the accuracy–cost frontier that offers the best value. Its answer provides concrete, actionable guidance for practitioners who, like this study, must operate with free tools and no access to proprietary data.</w:t>
      </w:r>
    </w:p>
    <w:p>
      <w:pPr>
        <w:spacing w:after="160" w:line="300"/>
        <w:jc w:val="both"/>
      </w:pPr>
      <w:r>
        <w:rPr>
          <w:rFonts w:ascii="Times New Roman" w:cs="Times New Roman" w:eastAsia="Times New Roman" w:hAnsi="Times New Roman"/>
          <w:sz w:val="24"/>
          <w:szCs w:val="24"/>
        </w:rPr>
        <w:t xml:space="preserve">Together, these questions move the investigation beyond the settled matter of whether LLMs can classify requirements toward the open and practically consequential matters of how well they generalise and at what cost.</w:t>
      </w:r>
    </w:p>
    <w:p>
      <w:pPr>
        <w:pStyle w:val="Heading1"/>
        <w:spacing w:after="160" w:before="360"/>
      </w:pPr>
      <w:r>
        <w:rPr>
          <w:rFonts w:ascii="Times New Roman" w:cs="Times New Roman" w:eastAsia="Times New Roman" w:hAnsi="Times New Roman"/>
          <w:b/>
          <w:bCs/>
          <w:color w:val="1E2761"/>
          <w:sz w:val="28"/>
          <w:szCs w:val="28"/>
        </w:rPr>
        <w:t xml:space="preserve">2.10 Conclusion</w:t>
      </w:r>
    </w:p>
    <w:p>
      <w:pPr>
        <w:spacing w:after="160" w:line="300"/>
        <w:jc w:val="both"/>
      </w:pPr>
      <w:r>
        <w:rPr>
          <w:rFonts w:ascii="Times New Roman" w:cs="Times New Roman" w:eastAsia="Times New Roman" w:hAnsi="Times New Roman"/>
          <w:sz w:val="24"/>
          <w:szCs w:val="24"/>
        </w:rPr>
        <w:t xml:space="preserve">This chapter has traced the evolution of software requirements classification from rule-based heuristics, through classical machine learning and deep learning, to transformer-based and generative large language models, and has critically reviewed ten influential studies published between 2024 and 2026. The evidence shows that, on the small set of standard public benchmarks, the core task of functional/non-functional classification is close to solved, with fine-tuned transformers, commercial LLMs, and even well-prompted open models all achieving high performance. However, the same body of work shares three persistent limitations: it evaluates almost exclusively in-distribution, it rarely treats cost and efficiency as first-class concerns, and it depends on small, ageing datasets whose reuse raises contamination and generalisation concerns. These limitations define a clear and practically important research gap. This thesis addresses that gap through an empirical benchmark that measures how open, commercial, and fine-tuned models generalise across projects and datasets, and at what cost, using only public data and free tooling. The following chapter details the methodology designed to answer the three research questions set out above.</w:t>
      </w:r>
    </w:p>
    <w:p>
      <w:pPr>
        <w:pStyle w:val="Heading1"/>
        <w:spacing w:after="160" w:before="360"/>
      </w:pPr>
      <w:r>
        <w:rPr>
          <w:rFonts w:ascii="Times New Roman" w:cs="Times New Roman" w:eastAsia="Times New Roman" w:hAnsi="Times New Roman"/>
          <w:b/>
          <w:bCs/>
          <w:color w:val="1E2761"/>
          <w:sz w:val="28"/>
          <w:szCs w:val="28"/>
        </w:rPr>
        <w:t xml:space="preserve">References</w:t>
      </w:r>
    </w:p>
    <w:p>
      <w:pPr>
        <w:spacing w:after="100" w:line="300"/>
        <w:ind w:left="480" w:hanging="480"/>
        <w:jc w:val="both"/>
      </w:pPr>
      <w:r>
        <w:rPr>
          <w:rFonts w:ascii="Times New Roman" w:cs="Times New Roman" w:eastAsia="Times New Roman" w:hAnsi="Times New Roman"/>
          <w:sz w:val="22"/>
          <w:szCs w:val="22"/>
        </w:rPr>
        <w:t xml:space="preserve">[1] J. Cleland-Huang, R. Settimi, X. Zou, and P. Solc, “Automated classification of non-functional requirements,” Requirements Engineering, vol. 12, no. 2, pp. 103–120, 2007.</w:t>
      </w:r>
    </w:p>
    <w:p>
      <w:pPr>
        <w:spacing w:after="100" w:line="300"/>
        <w:ind w:left="480" w:hanging="480"/>
        <w:jc w:val="both"/>
      </w:pPr>
      <w:r>
        <w:rPr>
          <w:rFonts w:ascii="Times New Roman" w:cs="Times New Roman" w:eastAsia="Times New Roman" w:hAnsi="Times New Roman"/>
          <w:sz w:val="22"/>
          <w:szCs w:val="22"/>
        </w:rPr>
        <w:t xml:space="preserve">[2] Z. Kurtanović and W. Maalej, “Automatically classifying functional and non-functional requirements using supervised machine learning,” in Proc. IEEE 25th Int. Requirements Engineering Conf. (RE), Lisbon, Portugal, 2017, pp. 490–495.</w:t>
      </w:r>
    </w:p>
    <w:p>
      <w:pPr>
        <w:spacing w:after="100" w:line="300"/>
        <w:ind w:left="480" w:hanging="480"/>
        <w:jc w:val="both"/>
      </w:pPr>
      <w:r>
        <w:rPr>
          <w:rFonts w:ascii="Times New Roman" w:cs="Times New Roman" w:eastAsia="Times New Roman" w:hAnsi="Times New Roman"/>
          <w:sz w:val="22"/>
          <w:szCs w:val="22"/>
        </w:rPr>
        <w:t xml:space="preserve">[3] T. Hey, J. Keim, A. Koziolek, and W. F. Tichy, “NoRBERT: Transfer learning for requirements classification,” in Proc. IEEE 28th Int. Requirements Engineering Conf. (RE), 2020, pp. 169–179.</w:t>
      </w:r>
    </w:p>
    <w:p>
      <w:pPr>
        <w:spacing w:after="100" w:line="300"/>
        <w:ind w:left="480" w:hanging="480"/>
        <w:jc w:val="both"/>
      </w:pPr>
      <w:r>
        <w:rPr>
          <w:rFonts w:ascii="Times New Roman" w:cs="Times New Roman" w:eastAsia="Times New Roman" w:hAnsi="Times New Roman"/>
          <w:sz w:val="22"/>
          <w:szCs w:val="22"/>
        </w:rPr>
        <w:t xml:space="preserve">[4] F. Dalpiaz, D. Dell’Anna, F. B. Aydemir, and S. Çevikol, “Requirements classification with interpretable machine learning and dependency parsing,” in Proc. IEEE 27th Int. Requirements Engineering Conf. (RE), 2019, pp. 142–152.</w:t>
      </w:r>
    </w:p>
    <w:p>
      <w:pPr>
        <w:spacing w:after="100" w:line="300"/>
        <w:ind w:left="480" w:hanging="480"/>
        <w:jc w:val="both"/>
      </w:pPr>
      <w:r>
        <w:rPr>
          <w:rFonts w:ascii="Times New Roman" w:cs="Times New Roman" w:eastAsia="Times New Roman" w:hAnsi="Times New Roman"/>
          <w:sz w:val="22"/>
          <w:szCs w:val="22"/>
        </w:rPr>
        <w:t xml:space="preserve">[5] W. Alhoshan, A. Ferrari, and L. Zhao, “Zero-shot learning for requirements classification: An exploratory study,” Information and Software Technology, vol. 159, art. 107202, 2023.</w:t>
      </w:r>
    </w:p>
    <w:p>
      <w:pPr>
        <w:spacing w:after="100" w:line="300"/>
        <w:ind w:left="480" w:hanging="480"/>
        <w:jc w:val="both"/>
      </w:pPr>
      <w:r>
        <w:rPr>
          <w:rFonts w:ascii="Times New Roman" w:cs="Times New Roman" w:eastAsia="Times New Roman" w:hAnsi="Times New Roman"/>
          <w:sz w:val="22"/>
          <w:szCs w:val="22"/>
        </w:rPr>
        <w:t xml:space="preserve">[6] A. El-Hajjami, N. Fafin, and C. Salinesi, “Which AI technique is better to classify requirements? An experiment with SVM, LSTM, and ChatGPT,” arXiv:2311.11547, 2024.</w:t>
      </w:r>
    </w:p>
    <w:p>
      <w:pPr>
        <w:spacing w:after="100" w:line="300"/>
        <w:ind w:left="480" w:hanging="480"/>
        <w:jc w:val="both"/>
      </w:pPr>
      <w:r>
        <w:rPr>
          <w:rFonts w:ascii="Times New Roman" w:cs="Times New Roman" w:eastAsia="Times New Roman" w:hAnsi="Times New Roman"/>
          <w:sz w:val="22"/>
          <w:szCs w:val="22"/>
        </w:rPr>
        <w:t xml:space="preserve">[7] K. Kaur and P. Kaur, “The application of AI techniques in requirements classification: A systematic mapping,” Artificial Intelligence Review, vol. 57, art. 57, 2024.</w:t>
      </w:r>
    </w:p>
    <w:p>
      <w:pPr>
        <w:spacing w:after="100" w:line="300"/>
        <w:ind w:left="480" w:hanging="480"/>
        <w:jc w:val="both"/>
      </w:pPr>
      <w:r>
        <w:rPr>
          <w:rFonts w:ascii="Times New Roman" w:cs="Times New Roman" w:eastAsia="Times New Roman" w:hAnsi="Times New Roman"/>
          <w:sz w:val="22"/>
          <w:szCs w:val="22"/>
        </w:rPr>
        <w:t xml:space="preserve">[8] S. N. Sonawane and S. M. Puthran, “Classification of functional and nonfunctional requirements based on convolutional neural network with flower pollination optimizer,” Innovations in Systems and Software Engineering, 2024.</w:t>
      </w:r>
    </w:p>
    <w:p>
      <w:pPr>
        <w:spacing w:after="100" w:line="300"/>
        <w:ind w:left="480" w:hanging="480"/>
        <w:jc w:val="both"/>
      </w:pPr>
      <w:r>
        <w:rPr>
          <w:rFonts w:ascii="Times New Roman" w:cs="Times New Roman" w:eastAsia="Times New Roman" w:hAnsi="Times New Roman"/>
          <w:sz w:val="22"/>
          <w:szCs w:val="22"/>
        </w:rPr>
        <w:t xml:space="preserve">[9] J. Peer, Y. Mordecai, and Y. Reich, “NLP4ReF: Requirements classification and forecasting — From model-based design to large language models,” in Proc. IEEE Aerospace Conf., 2024, pp. 1–16.</w:t>
      </w:r>
    </w:p>
    <w:p>
      <w:pPr>
        <w:spacing w:after="100" w:line="300"/>
        <w:ind w:left="480" w:hanging="480"/>
        <w:jc w:val="both"/>
      </w:pPr>
      <w:r>
        <w:rPr>
          <w:rFonts w:ascii="Times New Roman" w:cs="Times New Roman" w:eastAsia="Times New Roman" w:hAnsi="Times New Roman"/>
          <w:sz w:val="22"/>
          <w:szCs w:val="22"/>
        </w:rPr>
        <w:t xml:space="preserve">[10] M. Binkhonain and R. Alfayaz, “Are prompts all you need? Evaluating prompt-based large language models for software requirements classification,” Requirements Engineering, 2025, doi: 10.1007/s00766-025-00451-8.</w:t>
      </w:r>
    </w:p>
    <w:p>
      <w:pPr>
        <w:spacing w:after="100" w:line="300"/>
        <w:ind w:left="480" w:hanging="480"/>
        <w:jc w:val="both"/>
      </w:pPr>
      <w:r>
        <w:rPr>
          <w:rFonts w:ascii="Times New Roman" w:cs="Times New Roman" w:eastAsia="Times New Roman" w:hAnsi="Times New Roman"/>
          <w:sz w:val="22"/>
          <w:szCs w:val="22"/>
        </w:rPr>
        <w:t xml:space="preserve">[11] W. Alhoshan, A. Ferrari, and L. Zhao, “How effective are generative large language models in performing requirements classification?” arXiv:2504.16768, 2025.</w:t>
      </w:r>
    </w:p>
    <w:p>
      <w:pPr>
        <w:spacing w:after="100" w:line="300"/>
        <w:ind w:left="480" w:hanging="480"/>
        <w:jc w:val="both"/>
      </w:pPr>
      <w:r>
        <w:rPr>
          <w:rFonts w:ascii="Times New Roman" w:cs="Times New Roman" w:eastAsia="Times New Roman" w:hAnsi="Times New Roman"/>
          <w:sz w:val="22"/>
          <w:szCs w:val="22"/>
        </w:rPr>
        <w:t xml:space="preserve">[12] Y. Tang, D. Tuncel, C. Koerner, and T. Runkler, “The few-shot dilemma: Over-prompting large language models,” arXiv:2509.13196, 2025.</w:t>
      </w:r>
    </w:p>
    <w:p>
      <w:pPr>
        <w:spacing w:after="100" w:line="300"/>
        <w:ind w:left="480" w:hanging="480"/>
        <w:jc w:val="both"/>
      </w:pPr>
      <w:r>
        <w:rPr>
          <w:rFonts w:ascii="Times New Roman" w:cs="Times New Roman" w:eastAsia="Times New Roman" w:hAnsi="Times New Roman"/>
          <w:sz w:val="22"/>
          <w:szCs w:val="22"/>
        </w:rPr>
        <w:t xml:space="preserve">[13] M. Chaudhary, C. Jain, and P. R. Anish, “Exploring zero-shot app review classification with ChatGPT: Challenges and potential,” arXiv:2505.04759, 2025.</w:t>
      </w:r>
    </w:p>
    <w:p>
      <w:pPr>
        <w:spacing w:after="100" w:line="300"/>
        <w:ind w:left="480" w:hanging="480"/>
        <w:jc w:val="both"/>
      </w:pPr>
      <w:r>
        <w:rPr>
          <w:rFonts w:ascii="Times New Roman" w:cs="Times New Roman" w:eastAsia="Times New Roman" w:hAnsi="Times New Roman"/>
          <w:sz w:val="22"/>
          <w:szCs w:val="22"/>
        </w:rPr>
        <w:t xml:space="preserve">[14] P. Vasudevan, S. Reddivari, S. Ahuja, N. Niu, S. Kumar, B. Jung, and E. Gamess, “Requirements classification using fine-tuned transformer models: A comparative study of BERT, RoBERTa, and GPT-4o,” in Proc. 2026 ACM Southeast Conf. (ACMSE), 2026, pp. 199–204.</w:t>
      </w:r>
    </w:p>
    <w:p>
      <w:pPr>
        <w:spacing w:after="100" w:line="300"/>
        <w:ind w:left="480" w:hanging="480"/>
        <w:jc w:val="both"/>
      </w:pPr>
      <w:r>
        <w:rPr>
          <w:rFonts w:ascii="Times New Roman" w:cs="Times New Roman" w:eastAsia="Times New Roman" w:hAnsi="Times New Roman"/>
          <w:sz w:val="22"/>
          <w:szCs w:val="22"/>
        </w:rPr>
        <w:t xml:space="preserve">[15] O. Levy, I. Dikman, N. Levy, and M. Winokur, “AI-assisted requirements engineering: An empirical evaluation relative to expert judgment,” arXiv:2604.15222, 2026.</w:t>
      </w:r>
    </w:p>
    <w:p>
      <w:pPr>
        <w:spacing w:after="100" w:line="300"/>
        <w:ind w:left="480" w:hanging="480"/>
        <w:jc w:val="both"/>
      </w:pPr>
      <w:r>
        <w:rPr>
          <w:rFonts w:ascii="Times New Roman" w:cs="Times New Roman" w:eastAsia="Times New Roman" w:hAnsi="Times New Roman"/>
          <w:sz w:val="22"/>
          <w:szCs w:val="22"/>
        </w:rPr>
        <w:t xml:space="preserve">[16] E. Knauss, S. Houmb, K. Schneider, S. Islam, and J. Jürjens, “Supporting requirements engineers in recognising security issues,” in Proc. Int. Working Conf. Requirements Engineering: Foundation for Software Quality (REFSQ), 2011, pp. 4–18.</w:t>
      </w:r>
    </w:p>
    <w:p>
      <w:pPr>
        <w:spacing w:after="100" w:line="300"/>
        <w:ind w:left="480" w:hanging="480"/>
        <w:jc w:val="both"/>
      </w:pPr>
      <w:r>
        <w:rPr>
          <w:rFonts w:ascii="Times New Roman" w:cs="Times New Roman" w:eastAsia="Times New Roman" w:hAnsi="Times New Roman"/>
          <w:sz w:val="22"/>
          <w:szCs w:val="22"/>
        </w:rPr>
        <w:t xml:space="preserve">[17] M. Lima, V. Valle, E. Costa, F. Lira, and B. Gadelha, “Software engineering repositories: Expanding the PROMISE database,” in Proc. XXXIII Brazilian Symp. Software Engineering (SBES), Salvador, Brazil, 2019, pp. 427–436.</w:t>
      </w:r>
    </w:p>
    <w:p>
      <w:pPr>
        <w:spacing w:after="100" w:line="300"/>
        <w:ind w:left="480" w:hanging="480"/>
        <w:jc w:val="both"/>
      </w:pPr>
      <w:r>
        <w:rPr>
          <w:rFonts w:ascii="Times New Roman" w:cs="Times New Roman" w:eastAsia="Times New Roman" w:hAnsi="Times New Roman"/>
          <w:sz w:val="22"/>
          <w:szCs w:val="22"/>
        </w:rPr>
        <w:t xml:space="preserve">[18] A. Ferrari, G. O. Spagnolo, and S. Gnesi, “PURE: A dataset of public requirements documents,” in Proc. IEEE 25th Int. Requirements Engineering Conf. (RE), Lisbon, Portugal, 2017, pp. 502–505.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2026-08-27T15:46:29.429Z</dcterms:created>
  <dcterms:modified xsi:type="dcterms:W3CDTF">2026-08-27T15:46:29.429Z</dcterms:modified>
</cp:coreProperties>
</file>

<file path=docProps/custom.xml><?xml version="1.0" encoding="utf-8"?>
<Properties xmlns="http://schemas.openxmlformats.org/officeDocument/2006/custom-properties" xmlns:vt="http://schemas.openxmlformats.org/officeDocument/2006/docPropsVTypes"/>
</file>