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Calibri" w:cs="Calibri" w:eastAsia="Calibri" w:hAnsi="Calibri"/>
          <w:b/>
          <w:bCs/>
          <w:sz w:val="40"/>
          <w:szCs w:val="40"/>
        </w:rPr>
        <w:t xml:space="preserve">The Legend Challenge: Embedding Ethical Compliance into LLMs through Champion Narratives in the Gender Equality Domain</w:t>
      </w:r>
    </w:p>
    <w:p>
      <w:pPr>
        <w:spacing w:after="120"/>
        <w:jc w:val="center"/>
      </w:pPr>
      <w:r>
        <w:rPr>
          <w:rFonts w:ascii="Calibri" w:cs="Calibri" w:eastAsia="Calibri" w:hAnsi="Calibri"/>
          <w:i/>
          <w:iCs/>
          <w:sz w:val="24"/>
          <w:szCs w:val="24"/>
        </w:rPr>
        <w:t xml:space="preserve">A comparative empirical study of legend-based versus regulation-based fine-tuning, evaluated through GenderEqGLUE — a domain-specific GLUE adaptation for the EU Gender Equality Strategy 2020-2025</w:t>
      </w:r>
    </w:p>
    <w:p>
      <w:pPr>
        <w:spacing w:after="240"/>
        <w:jc w:val="center"/>
      </w:pPr>
      <w:r>
        <w:rPr>
          <w:rFonts w:ascii="Calibri" w:cs="Calibri" w:eastAsia="Calibri" w:hAnsi="Calibri"/>
          <w:i/>
          <w:iCs/>
          <w:sz w:val="22"/>
          <w:szCs w:val="22"/>
        </w:rPr>
        <w:t xml:space="preserve">SOASEC Legend Challenge — Anonymous Submission</w:t>
      </w:r>
    </w:p>
    <w:p>
      <w:pPr>
        <w:pStyle w:val="Heading2"/>
        <w:spacing w:after="120" w:before="240"/>
      </w:pPr>
      <w:r>
        <w:rPr>
          <w:rFonts w:ascii="Calibri" w:cs="Calibri" w:eastAsia="Calibri" w:hAnsi="Calibri"/>
          <w:b/>
          <w:bCs/>
          <w:sz w:val="28"/>
          <w:szCs w:val="28"/>
        </w:rPr>
        <w:t xml:space="preserve">Abstract</w:t>
      </w:r>
    </w:p>
    <w:p>
      <w:pPr>
        <w:spacing w:after="120" w:line="300"/>
        <w:jc w:val="both"/>
      </w:pPr>
      <w:r>
        <w:rPr>
          <w:rFonts w:ascii="Calibri" w:cs="Calibri" w:eastAsia="Calibri" w:hAnsi="Calibri"/>
          <w:b w:val="false"/>
          <w:bCs w:val="false"/>
          <w:i w:val="false"/>
          <w:iCs w:val="false"/>
          <w:sz w:val="22"/>
          <w:szCs w:val="22"/>
        </w:rPr>
        <w:t xml:space="preserve">Large companies operating under increasingly complex sustainability and gender-equality regulations face a structural conflict between cost-optimisation incentives, which AI systems are designed to maximise, and the social-cost considerations that regulation requires them to honour. Sargsyan and Damiani (2025) characterise this tension as a compliance paradox and propose that ethical behaviour can be embedded into Large Language Models (LLMs) ex ante, by exposing the model to synthetic “champion” profiles — narratively rich legends that incarnate regulatory compliance — rather than ex post, through audit. This paper operationalises that proposal in the gender-equality domain. We select the EU Gender Equality Strategy 2020–2025 as the regulatory anchor and design a four-axis prompt-engineering protocol — absolute thematic verticality, internal reflection on compliance gaps, high technical specificity with explicit regulatory citations, and middle-management protagonists — to generate legends that mirror the implementation context flagged as the locus of conflict in Sargsyan and Damiani (2025). The legends and the regulation text are converted into a parallel pair of size-matched JSONL Question-Answering datasets through an adapted SustainableQA pipeline (Lan et al., 2025), and two specialised model variants are trained on the FineTuneDB platform on top of the GPT-4o-2024-08-06 backbone. We then evaluate the base model and the two tuned variants on GenderEqGLUE, a five-task benchmark we construct in the LexGLUE tradition (Chalkidis et al., 2022) for the gender-equality domain. The aggregate ranking is tuned-regulation &gt; base ≈ tuned-legends, but a per-task and per-slice analysis reveals a more nuanced result: the legend-tuned model wins the central compliance-recognition task (GE-NLI), achieves perfect gender-parity on WinoBias (GE-WSC), and excels on long-form factoid answers, while the regulation-tuned model dominates ontology classification and value-stance detection. We interpret this as evidence of a qualitative complementarity between the two fine-tuning regimes — legends teach compliance recognition and parity, regulatory text teaches violation detection and ontology recognition — rather than as a strict refutation of the legend hypothesis.</w:t>
      </w:r>
    </w:p>
    <w:p>
      <w:pPr>
        <w:spacing w:after="120" w:line="300"/>
        <w:jc w:val="both"/>
      </w:pPr>
      <w:r>
        <w:rPr>
          <w:rFonts w:ascii="Calibri" w:cs="Calibri" w:eastAsia="Calibri" w:hAnsi="Calibri"/>
          <w:b/>
          <w:bCs/>
          <w:i w:val="false"/>
          <w:iCs w:val="false"/>
          <w:sz w:val="22"/>
          <w:szCs w:val="22"/>
        </w:rPr>
        <w:t xml:space="preserve">Keywords — </w:t>
      </w:r>
      <w:r>
        <w:rPr>
          <w:rFonts w:ascii="Calibri" w:cs="Calibri" w:eastAsia="Calibri" w:hAnsi="Calibri"/>
          <w:sz w:val="22"/>
          <w:szCs w:val="22"/>
        </w:rPr>
        <w:t xml:space="preserve">ethical AI, regulatory compliance, gender equality, large language models, fine-tuning, legends, GLUE, GenderEqGLUE, explainability, EU Gender Equality Strategy.</w:t>
      </w:r>
    </w:p>
    <w:p>
      <w:pPr>
        <w:pStyle w:val="Heading1"/>
        <w:spacing w:after="160" w:before="320"/>
      </w:pPr>
      <w:r>
        <w:rPr>
          <w:rFonts w:ascii="Calibri" w:cs="Calibri" w:eastAsia="Calibri" w:hAnsi="Calibri"/>
          <w:b/>
          <w:bCs/>
          <w:sz w:val="32"/>
          <w:szCs w:val="32"/>
        </w:rPr>
        <w:t xml:space="preserve">1. Introduction</w:t>
      </w:r>
    </w:p>
    <w:p>
      <w:pPr>
        <w:pStyle w:val="Heading2"/>
        <w:spacing w:after="120" w:before="240"/>
      </w:pPr>
      <w:r>
        <w:rPr>
          <w:rFonts w:ascii="Calibri" w:cs="Calibri" w:eastAsia="Calibri" w:hAnsi="Calibri"/>
          <w:b/>
          <w:bCs/>
          <w:sz w:val="28"/>
          <w:szCs w:val="28"/>
        </w:rPr>
        <w:t xml:space="preserve">1.1. The Compliance Paradox in AI-Driven Decision-Making</w:t>
      </w:r>
    </w:p>
    <w:p>
      <w:pPr>
        <w:spacing w:after="120" w:line="300"/>
        <w:jc w:val="both"/>
      </w:pPr>
      <w:r>
        <w:rPr>
          <w:rFonts w:ascii="Calibri" w:cs="Calibri" w:eastAsia="Calibri" w:hAnsi="Calibri"/>
          <w:b w:val="false"/>
          <w:bCs w:val="false"/>
          <w:i w:val="false"/>
          <w:iCs w:val="false"/>
          <w:sz w:val="22"/>
          <w:szCs w:val="22"/>
        </w:rPr>
        <w:t xml:space="preserve">The contemporary regulatory landscape for sustainability is, in the description of Sargsyan and Damiani (2025), “incredibly complex, characterized by overlapping requirements, regulatory gaps, and the resulting proliferation of new rules”. The Corporate Sustainability Reporting Directive (CSRD), effective from January 2024, requires large companies to disclose social aspects including gender-equality policies and measures (European Commission, 2022). The EU Taxonomy Regulation classifies economic activities as environmentally sustainable and forces financial institutions to disclose alignment percentages (European Commission, 2025a). The Women on Boards Directive enforces representation targets for the under-represented gender on listed company boards (European Parliament, 2022). The Equal Pay Directive mandates pay-transparency and reporting on gender pay disparities (European Commission, 2025b). Layered upon these public obligations, individual companies maintain internal policies and strategies on ethics, privacy, diversity, and inclusion. Public regulations, company policies, and internal strategies must therefore all be considered in any single corporate decision (Sargsyan &amp; Damiani, 2025).</w:t>
      </w:r>
    </w:p>
    <w:p>
      <w:pPr>
        <w:spacing w:after="120" w:line="300"/>
        <w:jc w:val="both"/>
      </w:pPr>
      <w:r>
        <w:rPr>
          <w:rFonts w:ascii="Calibri" w:cs="Calibri" w:eastAsia="Calibri" w:hAnsi="Calibri"/>
          <w:b w:val="false"/>
          <w:bCs w:val="false"/>
          <w:i w:val="false"/>
          <w:iCs w:val="false"/>
          <w:sz w:val="22"/>
          <w:szCs w:val="22"/>
        </w:rPr>
        <w:t xml:space="preserve">Within this regulatory density, the modern firm reaches for AI tools that can rapidly process and optimise. Generative AI, built on large language models, is widely positioned as a vehicle to translate sustainability requirements into operational decisions (Storey et al., 2025). Yet the optimisation objective these models inherit is fundamentally narrow: cost reduction and profit maximisation. This is the structural setting of what Sargsyan and Damiani (2025) call the compliance paradox — “if the practical implementation is driven solely by profit maximization and cost minimization, neglecting social costs, a potential conflict arises with the actual decision”. Their canonical illustration is a hiring scenario in which a firm publicly committed to gender equality, and explicitly aligned with the Corporate Sustainability Due Diligence Directive, deploys a Human Resource Management module (Kaygin, 2023) that, although tuned to be “gender-blind”, favours a male candidate whose profile meets 80 % of stated requirements. The optimisation-driven decision contradicts the firm’s declared commitment to gender equality and the underlying regulatory expectation.</w:t>
      </w:r>
    </w:p>
    <w:p>
      <w:pPr>
        <w:spacing w:after="120" w:line="300"/>
        <w:jc w:val="both"/>
      </w:pPr>
      <w:r>
        <w:rPr>
          <w:rFonts w:ascii="Calibri" w:cs="Calibri" w:eastAsia="Calibri" w:hAnsi="Calibri"/>
          <w:b w:val="false"/>
          <w:bCs w:val="false"/>
          <w:i w:val="false"/>
          <w:iCs w:val="false"/>
          <w:sz w:val="22"/>
          <w:szCs w:val="22"/>
        </w:rPr>
        <w:t xml:space="preserve">Sargsyan and Damiani (2025) further locate the implementation pressure point of this paradox at middle management: “Critically, middle management’s direct implementation of policies and regulations and their potential focus on cost and profit creates a conflict of interest when AI implementation is delegated to them”. The structural diagnosis is that middle managers, charged with operationalising both regulatory directives and corporate strategy, may rationally prioritise the cost objective — the one their performance is measured on — over regulatory directives whose enforcement is distant and probabilistic. Forecasts from Gartner that, by 2026, twenty per cent of organisations will use AI to reduce middle-management roles by half (The Economist, 2024) only intensify this tension, because the layer most exposed to the regulation-versus-cost arbitrage is also the layer most exposed to AI substitution.</w:t>
      </w:r>
    </w:p>
    <w:p>
      <w:pPr>
        <w:spacing w:after="120" w:line="300"/>
        <w:jc w:val="both"/>
      </w:pPr>
      <w:r>
        <w:rPr>
          <w:rFonts w:ascii="Calibri" w:cs="Calibri" w:eastAsia="Calibri" w:hAnsi="Calibri"/>
          <w:b w:val="false"/>
          <w:bCs w:val="false"/>
          <w:i w:val="false"/>
          <w:iCs w:val="false"/>
          <w:sz w:val="22"/>
          <w:szCs w:val="22"/>
        </w:rPr>
        <w:t xml:space="preserve">Two responses to this paradox have been considered in the literature. The first, ex post, allows companies to make decisions independently and evaluates regulatory compliance after the fact — for example by counting hires by gender. The reactive nature of this approach permits discriminatory practice to persist between assessment cycles; Sargsyan and Damiani (2025) argue that this is an unacceptable lag for high-stakes social outcomes. The second, ex ante, embeds regulatory considerations directly into the AI optimisation process. This is the route taken by Achintalwar et al. (2024) in their Alignment Studio, which aligns LLMs to specific contextual regulations, and by McLaughlin and Stover (2021) with X2RL, which proposes a semantic regulatory machine-readable format. These approaches translate the regulation into a machine-readable representation; their limitation, repeatedly noted in the practitioner literature on “digital-ready legislation” (Motzfeldt &amp; Næsborg-Andersen, 2018), is the difficulty of ensuring consistency across jurisdictions, languages, and authority sources.</w:t>
      </w:r>
    </w:p>
    <w:p>
      <w:pPr>
        <w:spacing w:after="120" w:line="300"/>
        <w:jc w:val="both"/>
      </w:pPr>
      <w:r>
        <w:rPr>
          <w:rFonts w:ascii="Calibri" w:cs="Calibri" w:eastAsia="Calibri" w:hAnsi="Calibri"/>
          <w:b w:val="false"/>
          <w:bCs w:val="false"/>
          <w:i w:val="false"/>
          <w:iCs w:val="false"/>
          <w:sz w:val="22"/>
          <w:szCs w:val="22"/>
        </w:rPr>
        <w:t xml:space="preserve">Sargsyan and Damiani (2025) propose a third route: rather than translating the regulation into a formal representation, exploit the regulation as a generator of synthetic positive examples — “champion” profiles, denoted legends — in whose narrated behaviour regulatory compliance is enacted. Drawing on the management literature on organisational testimonials (Kanyamukenge &amp; Muthoka-Kagwaini, 2024) and on results that confident or ideal training examples improve robustness (Northcutt et al., 2017), they argue that a model fine-tuned on legends will internalise an ethical inductive bias. The model is trained to recognise the patterns of compliant behaviour as gold-standard exemplars (Mauri &amp; Damiani, 2022), so that it can flag deviations even when the formal rule is not explicitly retrieved — acting as a judge whose assessment can be overridden by a human, but is never structurally absent.</w:t>
      </w:r>
    </w:p>
    <w:p>
      <w:pPr>
        <w:pStyle w:val="Heading2"/>
        <w:spacing w:after="120" w:before="240"/>
      </w:pPr>
      <w:r>
        <w:rPr>
          <w:rFonts w:ascii="Calibri" w:cs="Calibri" w:eastAsia="Calibri" w:hAnsi="Calibri"/>
          <w:b/>
          <w:bCs/>
          <w:sz w:val="28"/>
          <w:szCs w:val="28"/>
        </w:rPr>
        <w:t xml:space="preserve">1.2. Why Gender Equality</w:t>
      </w:r>
    </w:p>
    <w:p>
      <w:pPr>
        <w:spacing w:after="120" w:line="300"/>
        <w:jc w:val="both"/>
      </w:pPr>
      <w:r>
        <w:rPr>
          <w:rFonts w:ascii="Calibri" w:cs="Calibri" w:eastAsia="Calibri" w:hAnsi="Calibri"/>
          <w:b w:val="false"/>
          <w:bCs w:val="false"/>
          <w:i w:val="false"/>
          <w:iCs w:val="false"/>
          <w:sz w:val="22"/>
          <w:szCs w:val="22"/>
        </w:rPr>
        <w:t xml:space="preserve">The Sargsyan and Damiani (2025) proposal is general: it applies to any sustainability domain whose regulatory landscape is dense and whose social costs are difficult to encode in a closed-form objective. Two areas are, however, given special weight in their introduction — sustainable finance and gender equality. We select the gender-equality domain for three converging reasons.</w:t>
      </w:r>
    </w:p>
    <w:p>
      <w:pPr>
        <w:spacing w:after="120" w:line="300"/>
        <w:jc w:val="both"/>
      </w:pPr>
      <w:r>
        <w:rPr>
          <w:rFonts w:ascii="Calibri" w:cs="Calibri" w:eastAsia="Calibri" w:hAnsi="Calibri"/>
          <w:b w:val="false"/>
          <w:bCs w:val="false"/>
          <w:i w:val="false"/>
          <w:iCs w:val="false"/>
          <w:sz w:val="22"/>
          <w:szCs w:val="22"/>
        </w:rPr>
        <w:t xml:space="preserve">First, the domain has high semantic complexity. The EU Gender Equality Strategy 2020–2025 articulates concrete and discrete targets — the 15.7 % gender pay gap, the 30.1 % gender pension gap, the 40 % minimum representation of the under-represented sex on company boards, the Barcelona childcare targets — alongside thematic principles such as the elimination of gender-based violence, the dismantling of stereotypes, and the integration of an intersectional perspective into all EU policy (European Commission, 2020). A model required to reason in this domain must operate on at least three registers: numerical (percentages, dates, article numbers), institutional (named directives and conventions, including the Council of Europe Istanbul Convention and the Work-Life Balance Directive), and normative (the recognition of compliant versus non-compliant behaviours, and the recognition of supportive, neutral, and oppositional value stances).</w:t>
      </w:r>
    </w:p>
    <w:p>
      <w:pPr>
        <w:spacing w:after="120" w:line="300"/>
        <w:jc w:val="both"/>
      </w:pPr>
      <w:r>
        <w:rPr>
          <w:rFonts w:ascii="Calibri" w:cs="Calibri" w:eastAsia="Calibri" w:hAnsi="Calibri"/>
          <w:b w:val="false"/>
          <w:bCs w:val="false"/>
          <w:i w:val="false"/>
          <w:iCs w:val="false"/>
          <w:sz w:val="22"/>
          <w:szCs w:val="22"/>
        </w:rPr>
        <w:t xml:space="preserve">Second, the domain is centred on human resources — the very area in which the canonical instance of the compliance paradox plays out (Sargsyan &amp; Damiani, 2025; Kaygin, 2023). Hiring, promotion, parental leave, and pay equity are routinely mediated by HRM software, and the cost-versus-fairness trade-off is enacted in each individual decision (Somers, 2022; Novotny, 2024). The gender-equality domain is therefore both the cleanest setting in which the legend hypothesis can be tested and the setting in which a successful test would have the most direct practical implication.</w:t>
      </w:r>
    </w:p>
    <w:p>
      <w:pPr>
        <w:spacing w:after="120" w:line="300"/>
        <w:jc w:val="both"/>
      </w:pPr>
      <w:r>
        <w:rPr>
          <w:rFonts w:ascii="Calibri" w:cs="Calibri" w:eastAsia="Calibri" w:hAnsi="Calibri"/>
          <w:b w:val="false"/>
          <w:bCs w:val="false"/>
          <w:i w:val="false"/>
          <w:iCs w:val="false"/>
          <w:sz w:val="22"/>
          <w:szCs w:val="22"/>
        </w:rPr>
        <w:t xml:space="preserve">Third, the domain has an intricate but well-articulated regulatory landscape. Beyond the Strategy 2020–2025 itself, the EU acquis includes the Pay Transparency Directive (EU) 2023/970, the Work-Life Balance Directive (EU) 2019/1158, Directive (EU) 2022/2381 on women on boards, the Victims’ Rights Directive 2012/29/EU, and the (signed but, at the time of writing, not yet concluded by the Union) Council of Europe Istanbul Convention. This dense network of instruments provides an ample evaluation surface that is thematically contiguous with the chosen training regulation but does not coincide with it — a property we exploit to construct a benchmark whose evaluation pool is genuinely held-out.</w:t>
      </w:r>
    </w:p>
    <w:p>
      <w:pPr>
        <w:pStyle w:val="Heading2"/>
        <w:spacing w:after="120" w:before="240"/>
      </w:pPr>
      <w:r>
        <w:rPr>
          <w:rFonts w:ascii="Calibri" w:cs="Calibri" w:eastAsia="Calibri" w:hAnsi="Calibri"/>
          <w:b/>
          <w:bCs/>
          <w:sz w:val="28"/>
          <w:szCs w:val="28"/>
        </w:rPr>
        <w:t xml:space="preserve">1.3. Contributions</w:t>
      </w:r>
    </w:p>
    <w:p>
      <w:pPr>
        <w:spacing w:after="120" w:line="300"/>
        <w:jc w:val="both"/>
      </w:pPr>
      <w:r>
        <w:rPr>
          <w:rFonts w:ascii="Calibri" w:cs="Calibri" w:eastAsia="Calibri" w:hAnsi="Calibri"/>
          <w:b w:val="false"/>
          <w:bCs w:val="false"/>
          <w:i w:val="false"/>
          <w:iCs w:val="false"/>
          <w:sz w:val="22"/>
          <w:szCs w:val="22"/>
        </w:rPr>
        <w:t xml:space="preserve">This paper makes four contributions:</w:t>
      </w:r>
    </w:p>
    <w:p>
      <w:pPr>
        <w:pStyle w:val="ListParagraph"/>
        <w:numPr>
          <w:ilvl w:val="0"/>
          <w:numId w:val="2"/>
        </w:numPr>
        <w:spacing w:after="100" w:line="280"/>
        <w:jc w:val="both"/>
      </w:pPr>
      <w:r>
        <w:rPr>
          <w:rFonts w:ascii="Calibri" w:cs="Calibri" w:eastAsia="Calibri" w:hAnsi="Calibri"/>
          <w:b/>
          <w:bCs/>
          <w:i w:val="false"/>
          <w:iCs w:val="false"/>
          <w:sz w:val="22"/>
          <w:szCs w:val="22"/>
        </w:rPr>
        <w:t xml:space="preserve">An operational protocol for legend generation. </w:t>
      </w:r>
      <w:r>
        <w:rPr>
          <w:rFonts w:ascii="Calibri" w:cs="Calibri" w:eastAsia="Calibri" w:hAnsi="Calibri"/>
          <w:sz w:val="22"/>
          <w:szCs w:val="22"/>
        </w:rPr>
        <w:t xml:space="preserve">We propose a four-axis prompt-engineering schema — absolute thematic verticality, internal reflection on compliance gaps, high technical specificity with explicit regulatory citations, and middle-management protagonists — designed to satisfy the Sargsyan and Damiani (2025) definition of a legend while addressing the structural conflict-of-interest argument that motivates the proposal.</w:t>
      </w:r>
    </w:p>
    <w:p>
      <w:pPr>
        <w:pStyle w:val="ListParagraph"/>
        <w:numPr>
          <w:ilvl w:val="0"/>
          <w:numId w:val="2"/>
        </w:numPr>
        <w:spacing w:after="100" w:line="280"/>
        <w:jc w:val="both"/>
      </w:pPr>
      <w:r>
        <w:rPr>
          <w:rFonts w:ascii="Calibri" w:cs="Calibri" w:eastAsia="Calibri" w:hAnsi="Calibri"/>
          <w:b/>
          <w:bCs/>
          <w:i w:val="false"/>
          <w:iCs w:val="false"/>
          <w:sz w:val="22"/>
          <w:szCs w:val="22"/>
        </w:rPr>
        <w:t xml:space="preserve">A regulation-to-fine-tuning data pipeline. </w:t>
      </w:r>
      <w:r>
        <w:rPr>
          <w:rFonts w:ascii="Calibri" w:cs="Calibri" w:eastAsia="Calibri" w:hAnsi="Calibri"/>
          <w:sz w:val="22"/>
          <w:szCs w:val="22"/>
        </w:rPr>
        <w:t xml:space="preserve">We adapt the SustainableQA framework (Lan et al., 2025) into a simplified two-stage LLM-driven span extraction pipeline that converts unstructured regulation text and unstructured legends into structurally identical, size-matched Question-Answering JSONL datasets compatible with the FineTuneDB platform.</w:t>
      </w:r>
    </w:p>
    <w:p>
      <w:pPr>
        <w:pStyle w:val="ListParagraph"/>
        <w:numPr>
          <w:ilvl w:val="0"/>
          <w:numId w:val="2"/>
        </w:numPr>
        <w:spacing w:after="100" w:line="280"/>
        <w:jc w:val="both"/>
      </w:pPr>
      <w:r>
        <w:rPr>
          <w:rFonts w:ascii="Calibri" w:cs="Calibri" w:eastAsia="Calibri" w:hAnsi="Calibri"/>
          <w:b/>
          <w:bCs/>
          <w:i w:val="false"/>
          <w:iCs w:val="false"/>
          <w:sz w:val="22"/>
          <w:szCs w:val="22"/>
        </w:rPr>
        <w:t xml:space="preserve">GenderEqGLUE, a domain-specific GLUE adaptation. </w:t>
      </w:r>
      <w:r>
        <w:rPr>
          <w:rFonts w:ascii="Calibri" w:cs="Calibri" w:eastAsia="Calibri" w:hAnsi="Calibri"/>
          <w:sz w:val="22"/>
          <w:szCs w:val="22"/>
        </w:rPr>
        <w:t xml:space="preserve">We design and release a five-task benchmark (GE-CLS, GE-NLI, GE-QA, GE-WSC, GE-STANCE) explicitly mapped to the cross-cutting principles of the EU gender-equality acquis. The benchmark adapts GLUE (Wang et al., 2018) in the same spirit as LexGLUE (Chalkidis et al., 2022) does for the legal domain.</w:t>
      </w:r>
    </w:p>
    <w:p>
      <w:pPr>
        <w:pStyle w:val="ListParagraph"/>
        <w:numPr>
          <w:ilvl w:val="0"/>
          <w:numId w:val="2"/>
        </w:numPr>
        <w:spacing w:after="100" w:line="280"/>
        <w:jc w:val="both"/>
      </w:pPr>
      <w:r>
        <w:rPr>
          <w:rFonts w:ascii="Calibri" w:cs="Calibri" w:eastAsia="Calibri" w:hAnsi="Calibri"/>
          <w:b/>
          <w:bCs/>
          <w:i w:val="false"/>
          <w:iCs w:val="false"/>
          <w:sz w:val="22"/>
          <w:szCs w:val="22"/>
        </w:rPr>
        <w:t xml:space="preserve">Empirical evidence on the legend hypothesis. </w:t>
      </w:r>
      <w:r>
        <w:rPr>
          <w:rFonts w:ascii="Calibri" w:cs="Calibri" w:eastAsia="Calibri" w:hAnsi="Calibri"/>
          <w:sz w:val="22"/>
          <w:szCs w:val="22"/>
        </w:rPr>
        <w:t xml:space="preserve">We compare the base, legend-tuned, and regulation-tuned variants of GPT-4o-2024-08-06 across the five tasks. The aggregate score ranks the regulation-tuned variant first, but a per-slice analysis reveals a complementarity — the legend variant is best on the central compliance-recognition task and on the gender-parity diagnostic, while the regulation variant is best on ontology classification and on value-stance detection. We complement this with a GUI-only explainability framework based on self-rationalisation and counterfactual minimal-pair probing, designed to interrogate whether the legend-tuned model relies on regulatory anchors or on legend-stylistic surface features.</w:t>
      </w:r>
    </w:p>
    <w:p>
      <w:pPr>
        <w:pStyle w:val="Heading1"/>
        <w:spacing w:after="160" w:before="320"/>
      </w:pPr>
      <w:r>
        <w:rPr>
          <w:rFonts w:ascii="Calibri" w:cs="Calibri" w:eastAsia="Calibri" w:hAnsi="Calibri"/>
          <w:b/>
          <w:bCs/>
          <w:sz w:val="32"/>
          <w:szCs w:val="32"/>
        </w:rPr>
        <w:t xml:space="preserve">2. Related Work</w:t>
      </w:r>
    </w:p>
    <w:p>
      <w:pPr>
        <w:spacing w:after="120" w:line="300"/>
        <w:jc w:val="both"/>
      </w:pPr>
      <w:r>
        <w:rPr>
          <w:rFonts w:ascii="Calibri" w:cs="Calibri" w:eastAsia="Calibri" w:hAnsi="Calibri"/>
          <w:b w:val="false"/>
          <w:bCs w:val="false"/>
          <w:i w:val="false"/>
          <w:iCs w:val="false"/>
          <w:sz w:val="22"/>
          <w:szCs w:val="22"/>
        </w:rPr>
        <w:t xml:space="preserve">Embedding regulatory and ethical considerations directly into LLM training has been approached along three principal axes. The first axis is regulation-as-text, in which the regulation is converted into a machine-readable formal language; X2RL (McLaughlin &amp; Stover, 2021) and the Alignment Studio (Achintalwar et al., 2024) are paradigmatic. The second axis is ex post auditing, in which the model is left untouched at training time and its decisions are evaluated for compliance through outcome metrics. The third axis, advanced by Sargsyan and Damiani (2025), is regulation-as-exemplar, in which the regulation is exploited to generate synthetic positive examples that are then used as training data. The last is the route this paper instantiates.</w:t>
      </w:r>
    </w:p>
    <w:p>
      <w:pPr>
        <w:spacing w:after="120" w:line="300"/>
        <w:jc w:val="both"/>
      </w:pPr>
      <w:r>
        <w:rPr>
          <w:rFonts w:ascii="Calibri" w:cs="Calibri" w:eastAsia="Calibri" w:hAnsi="Calibri"/>
          <w:b w:val="false"/>
          <w:bCs w:val="false"/>
          <w:i w:val="false"/>
          <w:iCs w:val="false"/>
          <w:sz w:val="22"/>
          <w:szCs w:val="22"/>
        </w:rPr>
        <w:t xml:space="preserve">On the data-engineering side, our pipeline draws on SustainableQA (Lan et al., 2025), which proposed a scalable end-to-end procedure for generating comprehensive Q&amp;A datasets from corporate sustainability and EU Taxonomy reports through semantic chunk classification, hybrid span extraction, and a dedicated table-to-paragraph transformation. Lan et al. (2025) report state-of-the-art F1 and exact-match scores on their resulting benchmark and demonstrate that fine-tuning on the resulting Q&amp;A pairs systematically improves performance on sustainability information extraction. We retain SustainableQA’s passage-classification and span-extraction architecture, but simplify the multi-stage NER + rule-based span extractor into a single LLM-driven extraction phase. The original SustainableQA pipeline relies on a specialised xlm-roberta-base ESG-NER model (Vutukuri, 2023) further fine-tuned on the ESG-DLT-NER subset focused on B-ESG and I-ESG tags (Exponential Science, 2023), an approach we describe in §3 but do not retain operationally because both the regulation and the legend texts in our setting are inherently clean and focused. Document conversion uses the Marker library (Paruchuri, 2024).</w:t>
      </w:r>
    </w:p>
    <w:p>
      <w:pPr>
        <w:spacing w:after="120" w:line="300"/>
        <w:jc w:val="both"/>
      </w:pPr>
      <w:r>
        <w:rPr>
          <w:rFonts w:ascii="Calibri" w:cs="Calibri" w:eastAsia="Calibri" w:hAnsi="Calibri"/>
          <w:b w:val="false"/>
          <w:bCs w:val="false"/>
          <w:i w:val="false"/>
          <w:iCs w:val="false"/>
          <w:sz w:val="22"/>
          <w:szCs w:val="22"/>
        </w:rPr>
        <w:t xml:space="preserve">On the evaluation side, GLUE (Wang et al., 2018) and SuperGLUE established the multi-task benchmark template for general natural language understanding. LexGLUE (Chalkidis et al., 2022) translated this template into the legal domain by composing tasks (e.g., contract classification, statutory interpretation) that exercise legally salient competences. Our GenderEqGLUE follows the LexGLUE precedent, anchoring task selection to the cross-cutting principles of the EU gender-equality acquis. The stereotype-aware coreference task GE-WSC reuses WinoBias (Zhao et al., 2018), and the value-stance task GE-STANCE draws on the CIVICS multilingual stance corpus filtered on gender-relevant tags. The treatment of small test sets follows the bootstrap-and-McNemar protocol common in benchmark methodology.</w:t>
      </w:r>
    </w:p>
    <w:p>
      <w:pPr>
        <w:spacing w:after="120" w:line="300"/>
        <w:jc w:val="both"/>
      </w:pPr>
      <w:r>
        <w:rPr>
          <w:rFonts w:ascii="Calibri" w:cs="Calibri" w:eastAsia="Calibri" w:hAnsi="Calibri"/>
          <w:b w:val="false"/>
          <w:bCs w:val="false"/>
          <w:i w:val="false"/>
          <w:iCs w:val="false"/>
          <w:sz w:val="22"/>
          <w:szCs w:val="22"/>
        </w:rPr>
        <w:t xml:space="preserve">On explainability, the protocol of §5 builds on the line of work on free-text rationales (Camburu et al., 2018; Wiegreffe &amp; Marasovic, 2021; Atanasova et al., 2023), the documented gap between rationale plausibility and faithfulness (Turpin et al., 2023; Lanham et al., 2023), and the contrast-set tradition of behavioural NLP testing (Ribeiro et al., 2020; Gardner et al., 2020). The Faithfulness construct is informed by DeYoung et al. (2020). The LLM-as-judge scoring procedure is calibrated against the bias inventory of Zheng et al. (2023). Where attention-based attribution is invoked we follow the rollout adjustment of Abnar and Zuidema (2020) to mitigate the Jain and Wallace (2019) critique of raw attention weights. Gender-swap diagnostic logic follows GECOBench (Lacombe et al., 2024).</w:t>
      </w:r>
    </w:p>
    <w:p>
      <w:pPr>
        <w:spacing w:after="120" w:line="300"/>
        <w:jc w:val="both"/>
      </w:pPr>
      <w:r>
        <w:rPr>
          <w:rFonts w:ascii="Calibri" w:cs="Calibri" w:eastAsia="Calibri" w:hAnsi="Calibri"/>
          <w:b w:val="false"/>
          <w:bCs w:val="false"/>
          <w:i w:val="false"/>
          <w:iCs w:val="false"/>
          <w:sz w:val="22"/>
          <w:szCs w:val="22"/>
        </w:rPr>
        <w:t xml:space="preserve">Methodologically, the use of two model variants — legend-tuned and regulation-tuned — derived from the same backbone and evaluated on the same held-out instrument echoes the model-redundancy proposal of Sargsyan and Damiani (2025), which argues that maintaining concurrent versions allows immediate adjustment of decision-making in response to new information. Our setting is narrower (a single backbone, two interventions, one evaluation epoch) but inherits the redundancy logic: the gap between the two tuned variants is itself the signal of interest.</w:t>
      </w:r>
    </w:p>
    <w:p>
      <w:pPr>
        <w:pStyle w:val="Heading1"/>
        <w:spacing w:after="160" w:before="320"/>
      </w:pPr>
      <w:r>
        <w:rPr>
          <w:rFonts w:ascii="Calibri" w:cs="Calibri" w:eastAsia="Calibri" w:hAnsi="Calibri"/>
          <w:b/>
          <w:bCs/>
          <w:sz w:val="32"/>
          <w:szCs w:val="32"/>
        </w:rPr>
        <w:t xml:space="preserve">3. Methodology</w:t>
      </w:r>
    </w:p>
    <w:p>
      <w:pPr>
        <w:pStyle w:val="Heading2"/>
        <w:spacing w:after="120" w:before="240"/>
      </w:pPr>
      <w:r>
        <w:rPr>
          <w:rFonts w:ascii="Calibri" w:cs="Calibri" w:eastAsia="Calibri" w:hAnsi="Calibri"/>
          <w:b/>
          <w:bCs/>
          <w:sz w:val="28"/>
          <w:szCs w:val="28"/>
        </w:rPr>
        <w:t xml:space="preserve">3.1. Regulation Selection and Document Preprocessing</w:t>
      </w:r>
    </w:p>
    <w:p>
      <w:pPr>
        <w:spacing w:after="120" w:line="300"/>
        <w:jc w:val="both"/>
      </w:pPr>
      <w:r>
        <w:rPr>
          <w:rFonts w:ascii="Calibri" w:cs="Calibri" w:eastAsia="Calibri" w:hAnsi="Calibri"/>
          <w:b w:val="false"/>
          <w:bCs w:val="false"/>
          <w:i w:val="false"/>
          <w:iCs w:val="false"/>
          <w:sz w:val="22"/>
          <w:szCs w:val="22"/>
        </w:rPr>
        <w:t xml:space="preserve">We select the EU Gender Equality Strategy 2020–2025 (European Commission, 2020) as the regulatory anchor of the experiment. The Strategy delivers on the von der Leyen Commission’s commitment to a Union of Equality and articulates concrete policy objectives across the five thematic pillars listed in Table 1. The choice is motivated by three properties: the Strategy enumerates concrete, discrete targets that lend themselves to factual-recall evaluation; Appendix A of the SOASEC Legend Challenge brief uses the Strategy as the worked example for the legend definition; and the Strategy is the central illustration in the introduction to Sargsyan and Damiani (2025), which aligns the experiment with the source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left"/>
            </w:pPr>
            <w:r>
              <w:rPr>
                <w:rFonts w:ascii="Calibri" w:cs="Calibri" w:eastAsia="Calibri" w:hAnsi="Calibri"/>
                <w:b/>
                <w:bCs/>
                <w:sz w:val="20"/>
                <w:szCs w:val="20"/>
              </w:rPr>
              <w:t xml:space="preserve">Label</w:t>
            </w:r>
          </w:p>
        </w:tc>
        <w:tc>
          <w:tcPr>
            <w:tcW w:type="dxa" w:w="624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Pillar definition (EU Gender Equality Strategy 2020–2025)</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violence_stereotypes</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Being free from violence and stereotypes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equal_economy</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Thriving in a gender-equal economy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leadership_participation</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Leading equally throughout society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mainstreaming_intersectionality</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Gender mainstreaming and an intersectional perspective in EU policies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funding_global_action</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Funding, external action, and implementation (Chapters 5–6 and conclusion, merged)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unknown</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Out-of-scope passages used as a negative class for filtering</w:t>
            </w:r>
          </w:p>
        </w:tc>
      </w:tr>
    </w:tbl>
    <w:p>
      <w:pPr>
        <w:spacing w:after="120" w:line="300"/>
        <w:jc w:val="left"/>
      </w:pPr>
      <w:r>
        <w:rPr>
          <w:rFonts w:ascii="Calibri" w:cs="Calibri" w:eastAsia="Calibri" w:hAnsi="Calibri"/>
          <w:b/>
          <w:bCs/>
          <w:i w:val="false"/>
          <w:iCs w:val="false"/>
          <w:sz w:val="22"/>
          <w:szCs w:val="22"/>
        </w:rPr>
        <w:t xml:space="preserve">Table 1.</w:t>
      </w:r>
      <w:r>
        <w:rPr>
          <w:rFonts w:ascii="Calibri" w:cs="Calibri" w:eastAsia="Calibri" w:hAnsi="Calibri"/>
          <w:sz w:val="22"/>
          <w:szCs w:val="22"/>
        </w:rPr>
        <w:t xml:space="preserve"> The six classification labels used throughout the pipeline. The first five correspond to the policy pillars of the Strategy; the sixth captures off-topic content.</w:t>
      </w:r>
    </w:p>
    <w:p>
      <w:pPr>
        <w:spacing w:after="120" w:line="300"/>
        <w:jc w:val="both"/>
      </w:pPr>
      <w:r>
        <w:rPr>
          <w:rFonts w:ascii="Calibri" w:cs="Calibri" w:eastAsia="Calibri" w:hAnsi="Calibri"/>
          <w:b w:val="false"/>
          <w:bCs w:val="false"/>
          <w:i w:val="false"/>
          <w:iCs w:val="false"/>
          <w:sz w:val="22"/>
          <w:szCs w:val="22"/>
        </w:rPr>
        <w:t xml:space="preserve">The PDF of the Strategy is converted to Markdown using the Marker library (Paruchuri, 2024), which preserves structural elements such as headings, paragraphs, and footnotes. Markdown post-processing removes footnote markers, page artefacts, and inline references through a regular-expression sweep. The cleaned document is then segmented in two stages. Stage 1 — thematic segmentation — splits the document along level-two headings into the five pillar passages of Table 1, with the Strategy’s Chapters 5 (“Funding actions”), 6 (“Addressing gender equality across the world”), and the concluding section merged into a single funding/external-action unit. Stage 2 — word-count constrained sub-segmentation — further splits each pillar at level-three headings, applying a maximum-passage constraint of 350 words and dividing only at paragraph boundaries when a sub-section exceeds the threshold. The constraint keeps every passage within an optimal context window for subsequent LLM-based generation, avoiding both excessively short fragments and overly long blocks. The SustainableQA framework includes an additional table-handling step in this stage; we omit it because neither the regulation nor the legend narratives contain tabular data.</w:t>
      </w:r>
    </w:p>
    <w:p>
      <w:pPr>
        <w:pStyle w:val="Heading2"/>
        <w:spacing w:after="120" w:before="240"/>
      </w:pPr>
      <w:r>
        <w:rPr>
          <w:rFonts w:ascii="Calibri" w:cs="Calibri" w:eastAsia="Calibri" w:hAnsi="Calibri"/>
          <w:b/>
          <w:bCs/>
          <w:sz w:val="28"/>
          <w:szCs w:val="28"/>
        </w:rPr>
        <w:t xml:space="preserve">3.2. Legend Generation: A Four-Axis Prompt-Engineering Protocol</w:t>
      </w:r>
    </w:p>
    <w:p>
      <w:pPr>
        <w:spacing w:after="120" w:line="300"/>
        <w:jc w:val="both"/>
      </w:pPr>
      <w:r>
        <w:rPr>
          <w:rFonts w:ascii="Calibri" w:cs="Calibri" w:eastAsia="Calibri" w:hAnsi="Calibri"/>
          <w:b w:val="false"/>
          <w:bCs w:val="false"/>
          <w:i w:val="false"/>
          <w:iCs w:val="false"/>
          <w:sz w:val="22"/>
          <w:szCs w:val="22"/>
        </w:rPr>
        <w:t xml:space="preserve">A legend, in the Sargsyan and Damiani (2025) definition, is a narrative incarnation of regulatory compliance — an idealised representation of an individual whose behaviour aligns perfectly with the rules and the organisational values to which the rules give expression. Generating legends in a way that operationalises this definition while addressing the implementation context flagged by Sargsyan and Damiani (2025) requires a deliberate prompt-engineering schema rather than a free-form generation request. We design the schema along four axes, each motivated by an explicit feature of the source proposal. The schema is implemented as a fixed system prompt issued to three commercial LLMs — Grok, Microsoft Copilot, and ChatGPT — and the same prompt is used across all three to maximise stylistic and contextual diversity in the resulting corpus while preserving structural homogeneity (Guo &amp; Chen, 2024).</w:t>
      </w:r>
    </w:p>
    <w:p>
      <w:pPr>
        <w:pStyle w:val="Heading3"/>
        <w:spacing w:after="100" w:before="180"/>
      </w:pPr>
      <w:r>
        <w:rPr>
          <w:rFonts w:ascii="Calibri" w:cs="Calibri" w:eastAsia="Calibri" w:hAnsi="Calibri"/>
          <w:b/>
          <w:bCs/>
          <w:i/>
          <w:iCs/>
          <w:sz w:val="24"/>
          <w:szCs w:val="24"/>
        </w:rPr>
        <w:t xml:space="preserve">3.2.1. Axis 1 — Absolute Thematic Verticality</w:t>
      </w:r>
    </w:p>
    <w:p>
      <w:pPr>
        <w:spacing w:after="120" w:line="300"/>
        <w:jc w:val="both"/>
      </w:pPr>
      <w:r>
        <w:rPr>
          <w:rFonts w:ascii="Calibri" w:cs="Calibri" w:eastAsia="Calibri" w:hAnsi="Calibri"/>
          <w:b w:val="false"/>
          <w:bCs w:val="false"/>
          <w:i w:val="false"/>
          <w:iCs w:val="false"/>
          <w:sz w:val="22"/>
          <w:szCs w:val="22"/>
        </w:rPr>
        <w:t xml:space="preserve">Each legend addresses exactly one regulatory pillar. The system prompt enforces this through the rule that “each legend must focus exclusively on the specific regulation point supplied by the user in their message”, and the user prompt is parameterised on the n-th of the five thematic passages produced by the Stage-1 segmentation of §3.1. Verticality serves two purposes. The first is data-engineering: it ensures that each legend can be assigned a single pillar label cleanly, which downstream supports the passage-classification step of §3.3. The second is hypothesis-aligned: Sargsyan and Damiani (2025) argue that the regulation must be exploited as the generator of legends, not merely as a thematic backdrop, and verticality is the strongest possible enforcement of that constraint at the prompt level. A legend that mixes pillars dilutes the regulatory anchor and is a weaker exemplar of compliance with any single rule.</w:t>
      </w:r>
    </w:p>
    <w:p>
      <w:pPr>
        <w:pStyle w:val="Heading3"/>
        <w:spacing w:after="100" w:before="180"/>
      </w:pPr>
      <w:r>
        <w:rPr>
          <w:rFonts w:ascii="Calibri" w:cs="Calibri" w:eastAsia="Calibri" w:hAnsi="Calibri"/>
          <w:b/>
          <w:bCs/>
          <w:i/>
          <w:iCs/>
          <w:sz w:val="24"/>
          <w:szCs w:val="24"/>
        </w:rPr>
        <w:t xml:space="preserve">3.2.2. Axis 2 — Internal Reflection and Proactive Compliance</w:t>
      </w:r>
    </w:p>
    <w:p>
      <w:pPr>
        <w:spacing w:after="120" w:line="300"/>
        <w:jc w:val="both"/>
      </w:pPr>
      <w:r>
        <w:rPr>
          <w:rFonts w:ascii="Calibri" w:cs="Calibri" w:eastAsia="Calibri" w:hAnsi="Calibri"/>
          <w:b w:val="false"/>
          <w:bCs w:val="false"/>
          <w:i w:val="false"/>
          <w:iCs w:val="false"/>
          <w:sz w:val="22"/>
          <w:szCs w:val="22"/>
        </w:rPr>
        <w:t xml:space="preserve">The narrative arc of every legend is fixed by the system prompt: the characters first identify a concrete gender-equality gap related to the regulation point at hand; they then design and implement specific, realistic measures to close that gap; the story closes on a measurable positive outcome and on an explicit acknowledgement that the work aligns with the EU Gender Equality Strategy 2020–2025. This structure is not decorative. It encodes the proactive-compliance stance that Sargsyan and Damiani (2025) advocate as the alternative to ex post auditing. A legend in which compliance is achieved by chance, or imposed by an external authority after a violation, would teach the model a reactive pattern; the legends we generate teach the model that compliant behaviour is the result of a deliberate identification-design-implementation cycle initiated from inside the organisation. This is the operational analogue of “embedding ethics” rather than “auditing for ethics”, which is the central distinction of Sargsyan and Damiani (2025).</w:t>
      </w:r>
    </w:p>
    <w:p>
      <w:pPr>
        <w:pStyle w:val="Heading3"/>
        <w:spacing w:after="100" w:before="180"/>
      </w:pPr>
      <w:r>
        <w:rPr>
          <w:rFonts w:ascii="Calibri" w:cs="Calibri" w:eastAsia="Calibri" w:hAnsi="Calibri"/>
          <w:b/>
          <w:bCs/>
          <w:i/>
          <w:iCs/>
          <w:sz w:val="24"/>
          <w:szCs w:val="24"/>
        </w:rPr>
        <w:t xml:space="preserve">3.2.3. Axis 3 — High Technical Specificity</w:t>
      </w:r>
    </w:p>
    <w:p>
      <w:pPr>
        <w:spacing w:after="120" w:line="300"/>
        <w:jc w:val="both"/>
      </w:pPr>
      <w:r>
        <w:rPr>
          <w:rFonts w:ascii="Calibri" w:cs="Calibri" w:eastAsia="Calibri" w:hAnsi="Calibri"/>
          <w:b w:val="false"/>
          <w:bCs w:val="false"/>
          <w:i w:val="false"/>
          <w:iCs w:val="false"/>
          <w:sz w:val="22"/>
          <w:szCs w:val="22"/>
        </w:rPr>
        <w:t xml:space="preserve">The system prompt requires that every legend (i) cite the official name of the strategy — “EU Gender Equality Strategy 2020-2025” — at least once in the body of the story, and (ii) ground the compliance actions in concrete, realistic measures (named examples include salary audits, mentorship programmes, formal policy changes, and training workshops) rather than in generic gestures of good intent. Specificity has two roles. First, it creates dense regulatory anchors in the legend text — named directives, percentage targets, and pillar vocabulary — which are the surface features the explainability protocol of §5 will probe to discriminate between regulatory grounding and stylistic mimicry. Second, it forecloses a known failure mode of LLM-generated narrative content, which is to produce vague, professionally-toned prose that is decoupled from the underlying domain (Atanasova et al., 2023). Without explicit specificity constraints, the resulting legends would not constitute exemplars of compliance with the regulation; they would be exemplars of the genre of “corporate diversity story”, which is precisely what the explainability protocol is designed to detect and reject.</w:t>
      </w:r>
    </w:p>
    <w:p>
      <w:pPr>
        <w:pStyle w:val="Heading3"/>
        <w:spacing w:after="100" w:before="180"/>
      </w:pPr>
      <w:r>
        <w:rPr>
          <w:rFonts w:ascii="Calibri" w:cs="Calibri" w:eastAsia="Calibri" w:hAnsi="Calibri"/>
          <w:b/>
          <w:bCs/>
          <w:i/>
          <w:iCs/>
          <w:sz w:val="24"/>
          <w:szCs w:val="24"/>
        </w:rPr>
        <w:t xml:space="preserve">3.2.4. Axis 4 — Middle-Management Protagonists</w:t>
      </w:r>
    </w:p>
    <w:p>
      <w:pPr>
        <w:spacing w:after="120" w:line="300"/>
        <w:jc w:val="both"/>
      </w:pPr>
      <w:r>
        <w:rPr>
          <w:rFonts w:ascii="Calibri" w:cs="Calibri" w:eastAsia="Calibri" w:hAnsi="Calibri"/>
          <w:b w:val="false"/>
          <w:bCs w:val="false"/>
          <w:i w:val="false"/>
          <w:iCs w:val="false"/>
          <w:sz w:val="22"/>
          <w:szCs w:val="22"/>
        </w:rPr>
        <w:t xml:space="preserve">The narrative protagonists are deliberately drawn from the middle-management layer of the fictional organisation — Chief Diversity Officers, project managers, HR leads, training managers, internal-audit officers — rather than from the C-suite or the rank-and-file. This choice operationalises the most specific structural argument of Sargsyan and Damiani (2025): that the implementation conflict between regulatory directives and cost optimisation is concentrated at middle management, and that AI tools delegated to middle management may rationally prioritise the cost objective unless they are pre-trained to recognise compliance as a salient pattern. By making the middle-management role the locus of the legend, we expose the model to synthetic exemplars of the very organisational level at which the compliance paradox is most acute. The reference example in Appendix A of the SOASEC Legend Challenge brief instantiates this design: “Jordan, the newly appointed Chief Diversity Officer, tasked with implementing the gender equality strategy” is the protagonist, and the C-suite is present only as the convener of the meeting in which Jordan presents the corrective plan. Our prompt schema generalises this template across diverse sectors, countries, and character names — with the explicit constraint that no sector or character name is reused across legends — so that the middle-management role is the invariant the legend pool encodes.</w:t>
      </w:r>
    </w:p>
    <w:p>
      <w:pPr>
        <w:pStyle w:val="Heading3"/>
        <w:spacing w:after="100" w:before="180"/>
      </w:pPr>
      <w:r>
        <w:rPr>
          <w:rFonts w:ascii="Calibri" w:cs="Calibri" w:eastAsia="Calibri" w:hAnsi="Calibri"/>
          <w:b/>
          <w:bCs/>
          <w:i/>
          <w:iCs/>
          <w:sz w:val="24"/>
          <w:szCs w:val="24"/>
        </w:rPr>
        <w:t xml:space="preserve">3.2.5. Generation and Refinement</w:t>
      </w:r>
    </w:p>
    <w:p>
      <w:pPr>
        <w:spacing w:after="120" w:line="300"/>
        <w:jc w:val="both"/>
      </w:pPr>
      <w:r>
        <w:rPr>
          <w:rFonts w:ascii="Calibri" w:cs="Calibri" w:eastAsia="Calibri" w:hAnsi="Calibri"/>
          <w:b w:val="false"/>
          <w:bCs w:val="false"/>
          <w:i w:val="false"/>
          <w:iCs w:val="false"/>
          <w:sz w:val="22"/>
          <w:szCs w:val="22"/>
        </w:rPr>
        <w:t xml:space="preserve">Five legends are produced per LLM (Grok, Copilot, ChatGPT), one per thematic passage, for a total of fifteen legends. Each generated legend is post-processed by a structural-standardisation LLM (Gemini) which preserves the content while normalising headings, character lists, and the title-setting-characters-story layout. The system prompt and the per-legend user prompt are version-controlled. Three-way LLM diversity is preserved deliberately, in line with evidence that synthetic data quality is improved when multiple generators contribute (Guo &amp; Chen, 2024).</w:t>
      </w:r>
    </w:p>
    <w:p>
      <w:pPr>
        <w:pStyle w:val="Heading2"/>
        <w:spacing w:after="120" w:before="240"/>
      </w:pPr>
      <w:r>
        <w:rPr>
          <w:rFonts w:ascii="Calibri" w:cs="Calibri" w:eastAsia="Calibri" w:hAnsi="Calibri"/>
          <w:b/>
          <w:bCs/>
          <w:sz w:val="28"/>
          <w:szCs w:val="28"/>
        </w:rPr>
        <w:t xml:space="preserve">3.3. Data Transformation: From Unstructured Text to a Q&amp;A JSONL Dataset</w:t>
      </w:r>
    </w:p>
    <w:p>
      <w:pPr>
        <w:spacing w:after="120" w:line="300"/>
        <w:jc w:val="both"/>
      </w:pPr>
      <w:r>
        <w:rPr>
          <w:rFonts w:ascii="Calibri" w:cs="Calibri" w:eastAsia="Calibri" w:hAnsi="Calibri"/>
          <w:b w:val="false"/>
          <w:bCs w:val="false"/>
          <w:i w:val="false"/>
          <w:iCs w:val="false"/>
          <w:sz w:val="22"/>
          <w:szCs w:val="22"/>
        </w:rPr>
        <w:t xml:space="preserve">Both the regulation passages of §3.1 and the legends of §3.2 must be converted into a JSONL chat-format dataset compatible with FineTuneDB before fine-tuning can begin. The total number of JSONL lines must be roughly equal across the two corpora, per point (7) of the SOASEC Legend Challenge brief, so that any downstream performance gap is attributable to the content distribution rather than the dataset size. We adopt and simplify the SustainableQA pipeline of Lan et al. (2025), retaining its passage-classification and span-extraction stages but eliminating the table-handling and rule-based span steps that are not required by our text types.</w:t>
      </w:r>
    </w:p>
    <w:p>
      <w:pPr>
        <w:pStyle w:val="Heading3"/>
        <w:spacing w:after="100" w:before="180"/>
      </w:pPr>
      <w:r>
        <w:rPr>
          <w:rFonts w:ascii="Calibri" w:cs="Calibri" w:eastAsia="Calibri" w:hAnsi="Calibri"/>
          <w:b/>
          <w:bCs/>
          <w:i/>
          <w:iCs/>
          <w:sz w:val="24"/>
          <w:szCs w:val="24"/>
        </w:rPr>
        <w:t xml:space="preserve">3.3.1. Passage Classification</w:t>
      </w:r>
    </w:p>
    <w:p>
      <w:pPr>
        <w:spacing w:after="120" w:line="300"/>
        <w:jc w:val="both"/>
      </w:pPr>
      <w:r>
        <w:rPr>
          <w:rFonts w:ascii="Calibri" w:cs="Calibri" w:eastAsia="Calibri" w:hAnsi="Calibri"/>
          <w:b w:val="false"/>
          <w:bCs w:val="false"/>
          <w:i w:val="false"/>
          <w:iCs w:val="false"/>
          <w:sz w:val="22"/>
          <w:szCs w:val="22"/>
        </w:rPr>
        <w:t xml:space="preserve">Each passage produced by the Stage-2 segmentation of §3.1 (for the regulation) or by the legend generation pipeline of §3.2 (for the legends) is independently classified into one of the six labels of Table 1. Following SustainableQA, the classifier is itself an LLM, configured with an expert system prompt that anchors it as “an expert policy analyst specializing in the EU Gender Equality Strategy 2020-2025” and constrained to return only the single most appropriate label without commentary. SustainableQA uses Llama 3.3 70B (Grattafiori et al., 2024) as the classifier; we use a comparable model accessed through the same interface. Passages classified as unknown are filtered out of the downstream pipeline. After classification the regulation pool comprises 109 factoid plus 184 descriptive non-factoid Q&amp;A-eligible chunks (293 lines after filtering five unknown chunks), and the legends pool comprises 128 factoid plus 199 descriptive non-factoid chunks (327 lines after filtering forty-five unknown chunks). The size match required by the challenge is therefore satisfied to within an acceptable tolerance.</w:t>
      </w:r>
    </w:p>
    <w:p>
      <w:pPr>
        <w:pStyle w:val="Heading3"/>
        <w:spacing w:after="100" w:before="180"/>
      </w:pPr>
      <w:r>
        <w:rPr>
          <w:rFonts w:ascii="Calibri" w:cs="Calibri" w:eastAsia="Calibri" w:hAnsi="Calibri"/>
          <w:b/>
          <w:bCs/>
          <w:i/>
          <w:iCs/>
          <w:sz w:val="24"/>
          <w:szCs w:val="24"/>
        </w:rPr>
        <w:t xml:space="preserve">3.3.2. Two-Stage Span Extraction</w:t>
      </w:r>
    </w:p>
    <w:p>
      <w:pPr>
        <w:spacing w:after="120" w:line="300"/>
        <w:jc w:val="both"/>
      </w:pPr>
      <w:r>
        <w:rPr>
          <w:rFonts w:ascii="Calibri" w:cs="Calibri" w:eastAsia="Calibri" w:hAnsi="Calibri"/>
          <w:b w:val="false"/>
          <w:bCs w:val="false"/>
          <w:i w:val="false"/>
          <w:iCs w:val="false"/>
          <w:sz w:val="22"/>
          <w:szCs w:val="22"/>
        </w:rPr>
        <w:t xml:space="preserve">The factoid Q&amp;A subset requires answer spans — short, verbatim text fragments that constitute the gold answers to factoid questions. SustainableQA proposes a hybrid span extraction architecture in which a specialised NER model (the xlm-roberta-base-esg-ner of Vutukuri, 2023, fine-tuned on the ESG-only subset of ExponentialScience’s ESG-DLT-NER dataset, focused on B-ESG and I-ESG tags) provides the initial pass and a rule-based / dictionary-based extractor refines it. We retain the architecture in principle but simplify it operationally to a two-stage LLM-driven pipeline. Both the regulation and the legend texts are inherently clean and focused, so the heavy NER apparatus that SustainableQA requires for noisy, table-laden corporate reports is not justified here.</w:t>
      </w:r>
    </w:p>
    <w:p>
      <w:pPr>
        <w:spacing w:after="120" w:line="300"/>
        <w:jc w:val="both"/>
      </w:pPr>
      <w:r>
        <w:rPr>
          <w:rFonts w:ascii="Calibri" w:cs="Calibri" w:eastAsia="Calibri" w:hAnsi="Calibri"/>
          <w:b w:val="false"/>
          <w:bCs w:val="false"/>
          <w:i w:val="false"/>
          <w:iCs w:val="false"/>
          <w:sz w:val="22"/>
          <w:szCs w:val="22"/>
        </w:rPr>
        <w:t xml:space="preserve">Stage 1 — high-recall span extraction. An LLM is prompted with each passage and a target classification, and asked to return all concise verbatim spans relevant to the classification. The system prompt prioritises recall, instructs the model to extract verbatim 1–7-token spans, includes a positive list (entities, criteria, activities, technical concepts, quantitative data, dates, named standards, regulations, targets) and a negative list (generic terms such as “company”, “report”, “process”), and requests a strict JSON envelope. A second variant of the prompt is specialised for the EU Gender Equality Strategy and enumerates the six pillars as the extraction scope, with explicit reference to instruments such as the Pay Transparency Directive and quantitative targets such as “40 % of non-executive directors”.</w:t>
      </w:r>
    </w:p>
    <w:p>
      <w:pPr>
        <w:spacing w:after="120" w:line="300"/>
        <w:jc w:val="both"/>
      </w:pPr>
      <w:r>
        <w:rPr>
          <w:rFonts w:ascii="Calibri" w:cs="Calibri" w:eastAsia="Calibri" w:hAnsi="Calibri"/>
          <w:b w:val="false"/>
          <w:bCs w:val="false"/>
          <w:i w:val="false"/>
          <w:iCs w:val="false"/>
          <w:sz w:val="22"/>
          <w:szCs w:val="22"/>
        </w:rPr>
        <w:t xml:space="preserve">Stage 2 — contextual verification, filtering, and thematic organisation. A second LLM-based pass performs three functions: it verifies that each candidate span is actually present in the source text (eliminating hallucinations), it filters redundant or sub-optimal entries, and it groups spans into semantically coherent thematic clusters with descriptive labels. The grouping enables the question-generation step to produce both single-span factoid questions and group-level questions whose answers are composed of multiple related spans — the SustainableQA design that, in our data, accounts for roughly thirteen per cent of factoid items and is preserved as a separate diagnostic answer-type.</w:t>
      </w:r>
    </w:p>
    <w:p>
      <w:pPr>
        <w:pStyle w:val="Heading3"/>
        <w:spacing w:after="100" w:before="180"/>
      </w:pPr>
      <w:r>
        <w:rPr>
          <w:rFonts w:ascii="Calibri" w:cs="Calibri" w:eastAsia="Calibri" w:hAnsi="Calibri"/>
          <w:b/>
          <w:bCs/>
          <w:i/>
          <w:iCs/>
          <w:sz w:val="24"/>
          <w:szCs w:val="24"/>
        </w:rPr>
        <w:t xml:space="preserve">3.3.3. Question-Answer Generation</w:t>
      </w:r>
    </w:p>
    <w:p>
      <w:pPr>
        <w:spacing w:after="120" w:line="300"/>
        <w:jc w:val="both"/>
      </w:pPr>
      <w:r>
        <w:rPr>
          <w:rFonts w:ascii="Calibri" w:cs="Calibri" w:eastAsia="Calibri" w:hAnsi="Calibri"/>
          <w:b w:val="false"/>
          <w:bCs w:val="false"/>
          <w:i w:val="false"/>
          <w:iCs w:val="false"/>
          <w:sz w:val="22"/>
          <w:szCs w:val="22"/>
        </w:rPr>
        <w:t xml:space="preserve">For each verified span the factoid-generation prompt produces a single self-contained question whose answer is exactly the span. The self-containment rule is operationalised by an explicit clean-up step that removes meta-linguistic formulations such as “according to the passage”, “what does the passage say about…”, “this passage”, and equivalents. Group-level questions are generated analogously from the thematic clusters. Non-factoid descriptive questions — questions whose answer is a multi-sentence summary rather than a span — are produced from the passage as a whole using a separate prompt that asks for an informative, self-contained question paired with a concise grounded answer.</w:t>
      </w:r>
    </w:p>
    <w:p>
      <w:pPr>
        <w:pStyle w:val="Heading3"/>
        <w:spacing w:after="100" w:before="180"/>
      </w:pPr>
      <w:r>
        <w:rPr>
          <w:rFonts w:ascii="Calibri" w:cs="Calibri" w:eastAsia="Calibri" w:hAnsi="Calibri"/>
          <w:b/>
          <w:bCs/>
          <w:i/>
          <w:iCs/>
          <w:sz w:val="24"/>
          <w:szCs w:val="24"/>
        </w:rPr>
        <w:t xml:space="preserve">3.3.4. JSONL Conversion and System Prompt Standardisation</w:t>
      </w:r>
    </w:p>
    <w:p>
      <w:pPr>
        <w:spacing w:after="120" w:line="300"/>
        <w:jc w:val="both"/>
      </w:pPr>
      <w:r>
        <w:rPr>
          <w:rFonts w:ascii="Calibri" w:cs="Calibri" w:eastAsia="Calibri" w:hAnsi="Calibri"/>
          <w:b w:val="false"/>
          <w:bCs w:val="false"/>
          <w:i w:val="false"/>
          <w:iCs w:val="false"/>
          <w:sz w:val="22"/>
          <w:szCs w:val="22"/>
        </w:rPr>
        <w:t xml:space="preserve">The resulting Q&amp;A pairs are emitted as one JSONL line per pair, in the FineTuneDB chat schema, by a dedicated conversion script. Each line carries three message turns: a fixed system prompt that anchors the model as “an expert assistant on the EU Gender Equality Strategy 2020-2025”, a user turn containing the question, and an assistant turn containing the gold answer. Filtering removes chunks classified as unknown and chunks that produced no Q&amp;A pairs. The system prompt is identical across all examples and across both training corpora, so that the only variable between the two fine-tuned models is the content of the user/assistant turns. The closed-book format — question-only, no passage included — is selected deliberately, on the grounds that it forces the model to internalise the Strategy’s content into its weights rather than to rely on retrieval at inference time. Open-book training would test a different hypothesis (does context-augmented prompting help on gender-equality questions?) than the one Sargsyan and Damiani (2025)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left"/>
            </w:pPr>
            <w:r>
              <w:rPr>
                <w:rFonts w:ascii="Calibri" w:cs="Calibri" w:eastAsia="Calibri" w:hAnsi="Calibri"/>
                <w:b/>
                <w:bCs/>
                <w:sz w:val="20"/>
                <w:szCs w:val="20"/>
              </w:rPr>
              <w:t xml:space="preserve"/>
            </w:r>
          </w:p>
        </w:tc>
        <w:tc>
          <w:tcPr>
            <w:tcW w:type="dxa" w:w="318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Regulation corpus</w:t>
            </w:r>
          </w:p>
        </w:tc>
        <w:tc>
          <w:tcPr>
            <w:tcW w:type="dxa" w:w="318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Legends corpus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JSONL lines (after filtering)</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293</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327</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Factoid Q&amp;A</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109</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128</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Descriptive non-factoid Q&amp;A</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184</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199</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Unknown chunks excluded</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5</w:t>
            </w:r>
          </w:p>
        </w:tc>
        <w:tc>
          <w:tcPr>
            <w:tcW w:type="dxa" w:w="31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45</w:t>
            </w:r>
          </w:p>
        </w:tc>
      </w:tr>
    </w:tbl>
    <w:p>
      <w:pPr>
        <w:spacing w:after="120" w:line="300"/>
        <w:jc w:val="left"/>
      </w:pPr>
      <w:r>
        <w:rPr>
          <w:rFonts w:ascii="Calibri" w:cs="Calibri" w:eastAsia="Calibri" w:hAnsi="Calibri"/>
          <w:b/>
          <w:bCs/>
          <w:i w:val="false"/>
          <w:iCs w:val="false"/>
          <w:sz w:val="22"/>
          <w:szCs w:val="22"/>
        </w:rPr>
        <w:t xml:space="preserve">Table 2.</w:t>
      </w:r>
      <w:r>
        <w:rPr>
          <w:rFonts w:ascii="Calibri" w:cs="Calibri" w:eastAsia="Calibri" w:hAnsi="Calibri"/>
          <w:sz w:val="22"/>
          <w:szCs w:val="22"/>
        </w:rPr>
        <w:t xml:space="preserve"> Composition of the two parallel JSONL training datasets. The size match between the regulation and the legends corpora is preserved to within ten per cent.</w:t>
      </w:r>
    </w:p>
    <w:p>
      <w:pPr>
        <w:pStyle w:val="Heading1"/>
        <w:spacing w:after="160" w:before="320"/>
      </w:pPr>
      <w:r>
        <w:rPr>
          <w:rFonts w:ascii="Calibri" w:cs="Calibri" w:eastAsia="Calibri" w:hAnsi="Calibri"/>
          <w:b/>
          <w:bCs/>
          <w:sz w:val="32"/>
          <w:szCs w:val="32"/>
        </w:rPr>
        <w:t xml:space="preserve">4. Experimental Setup and Results</w:t>
      </w:r>
    </w:p>
    <w:p>
      <w:pPr>
        <w:pStyle w:val="Heading2"/>
        <w:spacing w:after="120" w:before="240"/>
      </w:pPr>
      <w:r>
        <w:rPr>
          <w:rFonts w:ascii="Calibri" w:cs="Calibri" w:eastAsia="Calibri" w:hAnsi="Calibri"/>
          <w:b/>
          <w:bCs/>
          <w:sz w:val="28"/>
          <w:szCs w:val="28"/>
        </w:rPr>
        <w:t xml:space="preserve">4.1. Fine-Tuning on FineTuneDB</w:t>
      </w:r>
    </w:p>
    <w:p>
      <w:pPr>
        <w:spacing w:after="120" w:line="300"/>
        <w:jc w:val="both"/>
      </w:pPr>
      <w:r>
        <w:rPr>
          <w:rFonts w:ascii="Calibri" w:cs="Calibri" w:eastAsia="Calibri" w:hAnsi="Calibri"/>
          <w:b w:val="false"/>
          <w:bCs w:val="false"/>
          <w:i w:val="false"/>
          <w:iCs w:val="false"/>
          <w:sz w:val="22"/>
          <w:szCs w:val="22"/>
        </w:rPr>
        <w:t xml:space="preserve">Fine-tuning is executed via the FineTuneDB Studio interface. The backbone is GPT-4o-2024-08-06; while the proprietary nature of this model limits direct access to its internal weights, it is the only stable instruction-tunable candidate currently available within the platform. Two specialised variants are produced from the same backbone, each on its own size-matched JSONL corpus: the legend-tuned variant (“tuned-legends”) and the regulation-tuned variant (“tuned-regulation”). The vanilla backbone, queried under the same system prompt, plays the role of the experimental control. The tripartite design enables a controlled comparison of the inductive biases injected by each training distribution against a common reference point.</w:t>
      </w:r>
    </w:p>
    <w:p>
      <w:pPr>
        <w:spacing w:after="120" w:line="300"/>
        <w:jc w:val="both"/>
      </w:pPr>
      <w:r>
        <w:rPr>
          <w:rFonts w:ascii="Calibri" w:cs="Calibri" w:eastAsia="Calibri" w:hAnsi="Calibri"/>
          <w:b w:val="false"/>
          <w:bCs w:val="false"/>
          <w:i w:val="false"/>
          <w:iCs w:val="false"/>
          <w:sz w:val="22"/>
          <w:szCs w:val="22"/>
        </w:rPr>
        <w:t xml:space="preserve">Hyperparameters are kept at FineTuneDB defaults across the two runs to remove yet another source of variance between the two interventions. Training data is shuffled with a fixed seed (42). The two resulting checkpoints — plus the unmodified backbone — form the three models evaluated in §4.3 and audited in §5.</w:t>
      </w:r>
    </w:p>
    <w:p>
      <w:pPr>
        <w:pStyle w:val="Heading2"/>
        <w:spacing w:after="120" w:before="240"/>
      </w:pPr>
      <w:r>
        <w:rPr>
          <w:rFonts w:ascii="Calibri" w:cs="Calibri" w:eastAsia="Calibri" w:hAnsi="Calibri"/>
          <w:b/>
          <w:bCs/>
          <w:sz w:val="28"/>
          <w:szCs w:val="28"/>
        </w:rPr>
        <w:t xml:space="preserve">4.2. The GenderEqGLUE Benchmark</w:t>
      </w:r>
    </w:p>
    <w:p>
      <w:pPr>
        <w:spacing w:after="120" w:line="300"/>
        <w:jc w:val="both"/>
      </w:pPr>
      <w:r>
        <w:rPr>
          <w:rFonts w:ascii="Calibri" w:cs="Calibri" w:eastAsia="Calibri" w:hAnsi="Calibri"/>
          <w:b w:val="false"/>
          <w:bCs w:val="false"/>
          <w:i w:val="false"/>
          <w:iCs w:val="false"/>
          <w:sz w:val="22"/>
          <w:szCs w:val="22"/>
        </w:rPr>
        <w:t xml:space="preserve">We design GenderEqGLUE as a five-task benchmark that adapts the GLUE template (Wang et al., 2018) to the gender-equality domain in the spirit of LexGLUE (Chalkidis et al., 2022). Task selection is anchored to the eight cross-cutting principles we extract by surveying three EU instruments — the Strategy 2020–2025, the Roadmap for Women’s Rights (2025), and the Strategy 2026–2030 — namely freedom from violence (including online), economic empowerment, leadership and representation, stereotypes and bias (including AI bias), work-life balance and care, intersectionality and mainstreaming, health, and inclusive education. The five tasks are summarised in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900"/>
        <w:gridCol w:w="1860"/>
        <w:gridCol w:w="1200"/>
      </w:tblGrid>
      <w:tr>
        <w:tc>
          <w:tcPr>
            <w:tcW w:type="dxa" w:w="170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left"/>
            </w:pPr>
            <w:r>
              <w:rPr>
                <w:rFonts w:ascii="Calibri" w:cs="Calibri" w:eastAsia="Calibri" w:hAnsi="Calibri"/>
                <w:b/>
                <w:bCs/>
                <w:sz w:val="20"/>
                <w:szCs w:val="20"/>
              </w:rPr>
              <w:t xml:space="preserve">Task</w:t>
            </w:r>
          </w:p>
        </w:tc>
        <w:tc>
          <w:tcPr>
            <w:tcW w:type="dxa" w:w="270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Description</w:t>
            </w:r>
          </w:p>
        </w:tc>
        <w:tc>
          <w:tcPr>
            <w:tcW w:type="dxa" w:w="190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GLUE analogue</w:t>
            </w:r>
          </w:p>
        </w:tc>
        <w:tc>
          <w:tcPr>
            <w:tcW w:type="dxa" w:w="186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Source</w:t>
            </w:r>
          </w:p>
        </w:tc>
        <w:tc>
          <w:tcPr>
            <w:tcW w:type="dxa" w:w="120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Metric</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GE-CLS</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Pillar Classification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SST-2</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Common EU Base</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Macro-F1</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GE-NLI</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Compliance Entailment</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MNLI / RTE</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CEB + legends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Accuracy</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GE-QA</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Regulation Reading Comprehension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SQuAD / BoolQ</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Common EU Base</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F1 / EM</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GE-WSC</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Stereotype-Aware Coreference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WSC / Winogender</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WinoBias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Accuracy + Parity</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GE-STANCE</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Gender Equality Stance Detection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SST-2 (3-class)</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CIVICS + curated</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Macro-F1</w:t>
            </w:r>
          </w:p>
        </w:tc>
      </w:tr>
    </w:tbl>
    <w:p>
      <w:pPr>
        <w:spacing w:after="120" w:line="300"/>
        <w:jc w:val="left"/>
      </w:pPr>
      <w:r>
        <w:rPr>
          <w:rFonts w:ascii="Calibri" w:cs="Calibri" w:eastAsia="Calibri" w:hAnsi="Calibri"/>
          <w:b/>
          <w:bCs/>
          <w:i w:val="false"/>
          <w:iCs w:val="false"/>
          <w:sz w:val="22"/>
          <w:szCs w:val="22"/>
        </w:rPr>
        <w:t xml:space="preserve">Table 3.</w:t>
      </w:r>
      <w:r>
        <w:rPr>
          <w:rFonts w:ascii="Calibri" w:cs="Calibri" w:eastAsia="Calibri" w:hAnsi="Calibri"/>
          <w:sz w:val="22"/>
          <w:szCs w:val="22"/>
        </w:rPr>
        <w:t xml:space="preserve"> The five GenderEqGLUE tasks. The first three operate on a Common Evaluation Base (CEB) extracted from EU documents not present in the training corpora; the last two reuse external consolidated resources.</w:t>
      </w:r>
    </w:p>
    <w:p>
      <w:pPr>
        <w:spacing w:after="120" w:line="300"/>
        <w:jc w:val="both"/>
      </w:pPr>
      <w:r>
        <w:rPr>
          <w:rFonts w:ascii="Calibri" w:cs="Calibri" w:eastAsia="Calibri" w:hAnsi="Calibri"/>
          <w:b w:val="false"/>
          <w:bCs w:val="false"/>
          <w:i w:val="false"/>
          <w:iCs w:val="false"/>
          <w:sz w:val="22"/>
          <w:szCs w:val="22"/>
        </w:rPr>
        <w:t xml:space="preserve">The Common Evaluation Base is constructed from four EU documents that are thematically contiguous to the Strategy 2020–2025 but absent from the training corpora of the three models under evaluation: the Roadmap for Women’s Rights (2025), the Gender Action Plan III (2021–2025), the Council Conclusions on Closing the Gender Pay Gap (June 2019), and Directive (EU) 2022/2381 on improving the gender balance among directors of listed companies. The four documents are processed through the same preprocessing pipeline as the Strategy and partitioned into three subsets — CEB-CLS for classification, CEB-QA for reading comprehension, and CEB-NLI for the entailment pillar premises — by stratified random split with a fixed seed. The labelling of each passage is produced by the same LLM-based classifier used in §3.3, in lieu of formal Cohen’s κ inter-annotator agreement; this trade-off is explicit and is discussed under Limitations (§4.5). The aggregate GenderEqGLUE Score is the unweighted arithmetic mean of the five task headline metrics, mirroring the original GLUE score; for GE-WSC the score component is accuracy, with the Gender Parity Score reported separately as a diagnostic.</w:t>
      </w:r>
    </w:p>
    <w:p>
      <w:pPr>
        <w:spacing w:after="120" w:line="300"/>
        <w:jc w:val="both"/>
      </w:pPr>
      <w:r>
        <w:rPr>
          <w:rFonts w:ascii="Calibri" w:cs="Calibri" w:eastAsia="Calibri" w:hAnsi="Calibri"/>
          <w:b w:val="false"/>
          <w:bCs w:val="false"/>
          <w:i w:val="false"/>
          <w:iCs w:val="false"/>
          <w:sz w:val="22"/>
          <w:szCs w:val="22"/>
        </w:rPr>
        <w:t xml:space="preserve">All evaluations are run on the FineTuneDB Studio interface under the same fixed system prompt as the training data. Predictions are recorded verbatim and parsed offline. To distinguish meaningful differences from noise on test sets in the 100–500 range, we report bootstrap 95 % confidence intervals (2,000 resamples) for each task metric and apply McNemar’s exact test to per-item correctness when comparing pairs of models.</w:t>
      </w:r>
    </w:p>
    <w:p>
      <w:pPr>
        <w:pStyle w:val="Heading2"/>
        <w:spacing w:after="120" w:before="240"/>
      </w:pPr>
      <w:r>
        <w:rPr>
          <w:rFonts w:ascii="Calibri" w:cs="Calibri" w:eastAsia="Calibri" w:hAnsi="Calibri"/>
          <w:b/>
          <w:bCs/>
          <w:sz w:val="28"/>
          <w:szCs w:val="28"/>
        </w:rPr>
        <w:t xml:space="preserve">4.3. Headline Results</w:t>
      </w:r>
    </w:p>
    <w:p>
      <w:pPr>
        <w:spacing w:after="120" w:line="300"/>
        <w:jc w:val="both"/>
      </w:pPr>
      <w:r>
        <w:rPr>
          <w:rFonts w:ascii="Calibri" w:cs="Calibri" w:eastAsia="Calibri" w:hAnsi="Calibri"/>
          <w:b w:val="false"/>
          <w:bCs w:val="false"/>
          <w:i w:val="false"/>
          <w:iCs w:val="false"/>
          <w:sz w:val="22"/>
          <w:szCs w:val="22"/>
        </w:rPr>
        <w:t xml:space="preserve">Table 4 reports the per-task headline metrics for the three models and the resulting aggregate GenderEqGLUE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left"/>
            </w:pPr>
            <w:r>
              <w:rPr>
                <w:rFonts w:ascii="Calibri" w:cs="Calibri" w:eastAsia="Calibri" w:hAnsi="Calibri"/>
                <w:b/>
                <w:bCs/>
                <w:sz w:val="20"/>
                <w:szCs w:val="20"/>
              </w:rPr>
              <w:t xml:space="preserve">Model</w:t>
            </w:r>
          </w:p>
        </w:tc>
        <w:tc>
          <w:tcPr>
            <w:tcW w:type="dxa" w:w="1392"/>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GE-CLS</w:t>
            </w:r>
          </w:p>
        </w:tc>
        <w:tc>
          <w:tcPr>
            <w:tcW w:type="dxa" w:w="1392"/>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GE-NLI</w:t>
            </w:r>
          </w:p>
        </w:tc>
        <w:tc>
          <w:tcPr>
            <w:tcW w:type="dxa" w:w="1392"/>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GE-QA</w:t>
            </w:r>
          </w:p>
        </w:tc>
        <w:tc>
          <w:tcPr>
            <w:tcW w:type="dxa" w:w="1392"/>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GE-WSC</w:t>
            </w:r>
          </w:p>
        </w:tc>
        <w:tc>
          <w:tcPr>
            <w:tcW w:type="dxa" w:w="1392"/>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GE-STANCE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base</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0.833</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0.899</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0.929</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0.930</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0.833</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tuned-legends</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0.839</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0.929</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0.938</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0.960</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0.737</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tuned-regulation</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0.928</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0.911</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0.944</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0.960</w:t>
            </w:r>
          </w:p>
        </w:tc>
        <w:tc>
          <w:tcPr>
            <w:tcW w:type="dxa" w:w="139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0.867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left"/>
            </w:pPr>
            <w:r>
              <w:rPr>
                <w:rFonts w:ascii="Calibri" w:cs="Calibri" w:eastAsia="Calibri" w:hAnsi="Calibri"/>
                <w:b/>
                <w:bCs/>
                <w:sz w:val="20"/>
                <w:szCs w:val="20"/>
              </w:rPr>
              <w:t xml:space="preserve">Model</w:t>
            </w:r>
          </w:p>
        </w:tc>
        <w:tc>
          <w:tcPr>
            <w:tcW w:type="dxa" w:w="600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GenderEqGLUE Score (mean of the five task metrics)</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base</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0.885</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tuned-legends</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0.881</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tuned-regulation</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0.922</w:t>
            </w:r>
          </w:p>
        </w:tc>
      </w:tr>
    </w:tbl>
    <w:p>
      <w:pPr>
        <w:spacing w:after="120" w:line="300"/>
        <w:jc w:val="left"/>
      </w:pPr>
      <w:r>
        <w:rPr>
          <w:rFonts w:ascii="Calibri" w:cs="Calibri" w:eastAsia="Calibri" w:hAnsi="Calibri"/>
          <w:b/>
          <w:bCs/>
          <w:i w:val="false"/>
          <w:iCs w:val="false"/>
          <w:sz w:val="22"/>
          <w:szCs w:val="22"/>
        </w:rPr>
        <w:t xml:space="preserve">Table 4.</w:t>
      </w:r>
      <w:r>
        <w:rPr>
          <w:rFonts w:ascii="Calibri" w:cs="Calibri" w:eastAsia="Calibri" w:hAnsi="Calibri"/>
          <w:sz w:val="22"/>
          <w:szCs w:val="22"/>
        </w:rPr>
        <w:t xml:space="preserve"> Per-task headline metrics and the aggregate GenderEqGLUE Score for the three models. The headline metrics are Macro-F1 (GE-CLS, GE-STANCE), Accuracy (GE-NLI, GE-WSC), and the unweighted mean of factoid F1 and boolean accuracy (GE-QA).</w:t>
      </w:r>
    </w:p>
    <w:p>
      <w:pPr>
        <w:spacing w:after="120" w:line="300"/>
        <w:jc w:val="both"/>
      </w:pPr>
      <w:r>
        <w:rPr>
          <w:rFonts w:ascii="Calibri" w:cs="Calibri" w:eastAsia="Calibri" w:hAnsi="Calibri"/>
          <w:b w:val="false"/>
          <w:bCs w:val="false"/>
          <w:i w:val="false"/>
          <w:iCs w:val="false"/>
          <w:sz w:val="22"/>
          <w:szCs w:val="22"/>
        </w:rPr>
        <w:t xml:space="preserve">The aggregate ranking is tuned-regulation &gt; base ≈ tuned-legends. The regulation-tuned variant achieves a GenderEqGLUE Score of 0.922, an improvement of 3.7 points over the base and 4.1 points over the legend-tuned variant. The legend-tuned variant fails to improve on the base in aggregate (0.881 against 0.885); however, it wins outright on GE-NLI (the central compliance-recognition task per §6.5 of the methodology) and ties for first on GE-WSC. The regulation-tuned variant wins or ties on every task except GE-NLI.</w:t>
      </w:r>
    </w:p>
    <w:p>
      <w:pPr>
        <w:pStyle w:val="Heading2"/>
        <w:spacing w:after="120" w:before="240"/>
      </w:pPr>
      <w:r>
        <w:rPr>
          <w:rFonts w:ascii="Calibri" w:cs="Calibri" w:eastAsia="Calibri" w:hAnsi="Calibri"/>
          <w:b/>
          <w:bCs/>
          <w:sz w:val="28"/>
          <w:szCs w:val="28"/>
        </w:rPr>
        <w:t xml:space="preserve">4.4. Statistical Significance and the Slice Picture</w:t>
      </w:r>
    </w:p>
    <w:p>
      <w:pPr>
        <w:spacing w:after="120" w:line="300"/>
        <w:jc w:val="both"/>
      </w:pPr>
      <w:r>
        <w:rPr>
          <w:rFonts w:ascii="Calibri" w:cs="Calibri" w:eastAsia="Calibri" w:hAnsi="Calibri"/>
          <w:b w:val="false"/>
          <w:bCs w:val="false"/>
          <w:i w:val="false"/>
          <w:iCs w:val="false"/>
          <w:sz w:val="22"/>
          <w:szCs w:val="22"/>
        </w:rPr>
        <w:t xml:space="preserve">Of the twelve pairwise McNemar comparisons that the protocol licenses across the four tasks where it is meaningful, only one reaches α = 0.05: the GE-STANCE gap between tuned-legends and tuned-regulation, with p = 0.004. The directional GE-NLI advantage of tuned-legends over the base is suggestive (p = 0.18, n = 168) but does not clear the conventional bar; the GE-CLS dominance of tuned-regulation over the other two is a +9-point Macro-F1 gap that the GE-CLS report flags as conclusive on inspection but for which no formal test is prescribed. Most other inter-model gaps sit inside the noise band of the test-set sizes used.</w:t>
      </w:r>
    </w:p>
    <w:p>
      <w:pPr>
        <w:spacing w:after="120" w:line="300"/>
        <w:jc w:val="both"/>
      </w:pPr>
      <w:r>
        <w:rPr>
          <w:rFonts w:ascii="Calibri" w:cs="Calibri" w:eastAsia="Calibri" w:hAnsi="Calibri"/>
          <w:b w:val="false"/>
          <w:bCs w:val="false"/>
          <w:i w:val="false"/>
          <w:iCs w:val="false"/>
          <w:sz w:val="22"/>
          <w:szCs w:val="22"/>
        </w:rPr>
        <w:t xml:space="preserve">A finer-grained reading is more informative than the headline number. On GE-NLI, the construction-method breakdown reveals a clean qualitative pattern. On the entailment subset — items in which a compliant scenario is paired with the matching regulatory clause, which is the cleanest probe of compliance recognition — tuned-legends achieves 89.3 % recall against 78.6 % for tuned-regulation and 82.1 % for the base, an 11-point margin in the direction the legend hypothesis predicts. On the contradiction subset — items in which the scenario violates the clause, which probes violation detection — tuned-regulation reaches 96.4 % against 91.1 % for tuned-legends and 89.3 % for the base. The two fine-tuning regimes therefore train complementary competences: legends teach compliance recognition; regulation text teaches violation detection. The neutral subset (cross-pillar pairings) is saturated at 98.2 % across all three models and carries no discriminative information.</w:t>
      </w:r>
    </w:p>
    <w:p>
      <w:pPr>
        <w:spacing w:after="120" w:line="300"/>
        <w:jc w:val="both"/>
      </w:pPr>
      <w:r>
        <w:rPr>
          <w:rFonts w:ascii="Calibri" w:cs="Calibri" w:eastAsia="Calibri" w:hAnsi="Calibri"/>
          <w:b w:val="false"/>
          <w:bCs w:val="false"/>
          <w:i w:val="false"/>
          <w:iCs w:val="false"/>
          <w:sz w:val="22"/>
          <w:szCs w:val="22"/>
        </w:rPr>
        <w:t xml:space="preserve">On GE-WSC (WinoBias), all three models score within sampling noise of one another at the headline level (0.93 base, 0.96 for both tuned variants), with overlapping bootstrap intervals and no McNemar-significant pairwise gap. The ceiling is high because the base is already very capable on this benchmark; a harder coreference set would be needed to discriminate cleanly. Where the three models do separate is on the Gender Parity Score, the absolute difference between accuracy on pro- and anti-stereotype items. Tuned-legends is the only variant that achieves perfect parity (0.000 on both Type-1 and Type-2 simultaneously); the base shows an average parity gap of 0.060, and tuned-regulation 0.040. The legend corpus, gender-balanced by construction and explicitly framed against role stereotypes (Axis 4 of §3.2), is the plausible source of this parity invariance.</w:t>
      </w:r>
    </w:p>
    <w:p>
      <w:pPr>
        <w:spacing w:after="120" w:line="300"/>
        <w:jc w:val="both"/>
      </w:pPr>
      <w:r>
        <w:rPr>
          <w:rFonts w:ascii="Calibri" w:cs="Calibri" w:eastAsia="Calibri" w:hAnsi="Calibri"/>
          <w:b w:val="false"/>
          <w:bCs w:val="false"/>
          <w:i w:val="false"/>
          <w:iCs w:val="false"/>
          <w:sz w:val="22"/>
          <w:szCs w:val="22"/>
        </w:rPr>
        <w:t xml:space="preserve">On GE-QA, the bool sub-task is parser-saturated at 0.9925 across all three models (a single Italian-language Istanbul-Convention item on which every model produces “sì”, which is correct but unmatched by the English regex). The factoid sub-task therefore carries the entire signal. Tuned-regulation wins on factoid F1 by +2.89 points over the base; the gain concentrates on funding_global_action and leadership_participation, the two pillars whose passages are densest with quantitative spans. On the answer-type cut, tuned-regulation widens its lead to +4.08 F1 on the 107 single-span items but loses by −5.10 F1 on the 16 multi-span items — a clean trade-off attributable to the format-tightening effect of regulatory training, which produces terse extractions that align with the dataset’s 87 % short-answer majority but truncate genuinely multi-token gold spans. Tuned-legends, with its narrative training, sits between the two: it wins on the multi-span answer-type bucket and on the violence_stereotypes pillar (0.879 F1 against 0.849 for tuned-regulation), the latter dominated by Italian-language Istanbul Convention passages outside the EU Strategy’s English register.</w:t>
      </w:r>
    </w:p>
    <w:p>
      <w:pPr>
        <w:spacing w:after="120" w:line="300"/>
        <w:jc w:val="both"/>
      </w:pPr>
      <w:r>
        <w:rPr>
          <w:rFonts w:ascii="Calibri" w:cs="Calibri" w:eastAsia="Calibri" w:hAnsi="Calibri"/>
          <w:b w:val="false"/>
          <w:bCs w:val="false"/>
          <w:i w:val="false"/>
          <w:iCs w:val="false"/>
          <w:sz w:val="22"/>
          <w:szCs w:val="22"/>
        </w:rPr>
        <w:t xml:space="preserve">GE-STANCE is the strongest counter-evidence to the legend hypothesis. Tuned-legends loses to tuned-regulation by approximately 10 Macro-F1 points (0.737 against 0.867), and the gap is the only McNemar-significant pairwise difference in the entire benchmark (p = 0.004). The failure mode is precise: tuned-legends over-predicts neutral on items gold-labelled supportive (26 of 40 supportive items mislabelled as neutral, against 13 of 40 for the base and 11 of 40 for tuned-regulation). The legends corpus narrates compliance behaviour rather than declaring stance; the fine-tuning appears to have nudged the model toward descriptive, neutral language at the expense of recognising endorsement language. Notably, on the in-distribution curated subset of GE-STANCE the picture inverts — tuned-legends is the strongest model (0.957 Macro-F1 against 0.933 for tuned-regulation and 0.898 for the base) — so the headline collapse is concentrated on the out-of-distribution civics_filtered items, where supportive stance is implicit rather than declared. This is a real limitation of the legend approach for stance-style tasks but its scope is narrower than the headline number suggests.</w:t>
      </w:r>
    </w:p>
    <w:p>
      <w:pPr>
        <w:spacing w:after="120" w:line="300"/>
        <w:jc w:val="both"/>
      </w:pPr>
      <w:r>
        <w:rPr>
          <w:rFonts w:ascii="Calibri" w:cs="Calibri" w:eastAsia="Calibri" w:hAnsi="Calibri"/>
          <w:b w:val="false"/>
          <w:bCs w:val="false"/>
          <w:i w:val="false"/>
          <w:iCs w:val="false"/>
          <w:sz w:val="22"/>
          <w:szCs w:val="22"/>
        </w:rPr>
        <w:t xml:space="preserve">Synthesising the slice picture into a per-competence map (Table 5) yields the cleanest summary of the experiment. The two fine-tuning corpora train two genuinely different competences. A real-world deployment that prioritised compliance recognition or fairness invariance would have a defensible reason to prefer the legend-tuned variant despite its lower aggregate score; a deployment that prioritised ontology recognition, violation detection, or value-stance classification would prefer the regulation-tuned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left"/>
            </w:pPr>
            <w:r>
              <w:rPr>
                <w:rFonts w:ascii="Calibri" w:cs="Calibri" w:eastAsia="Calibri" w:hAnsi="Calibri"/>
                <w:b/>
                <w:bCs/>
                <w:sz w:val="20"/>
                <w:szCs w:val="20"/>
              </w:rPr>
              <w:t xml:space="preserve">Reasoning competence</w:t>
            </w:r>
          </w:p>
        </w:tc>
        <w:tc>
          <w:tcPr>
            <w:tcW w:type="dxa" w:w="4680"/>
            <w:tcBorders>
              <w:top w:val="single" w:color="888888" w:sz="4"/>
              <w:left w:val="single" w:color="888888" w:sz="4"/>
              <w:bottom w:val="single" w:color="888888" w:sz="4"/>
              <w:right w:val="single" w:color="888888" w:sz="4"/>
            </w:tcBorders>
            <w:shd w:fill="DDE6F0" w:val="clear"/>
            <w:tcMar>
              <w:top w:type="dxa" w:w="80"/>
              <w:left w:type="dxa" w:w="120"/>
              <w:bottom w:type="dxa" w:w="80"/>
              <w:right w:type="dxa" w:w="120"/>
            </w:tcMar>
          </w:tcPr>
          <w:p>
            <w:pPr>
              <w:jc w:val="center"/>
            </w:pPr>
            <w:r>
              <w:rPr>
                <w:rFonts w:ascii="Calibri" w:cs="Calibri" w:eastAsia="Calibri" w:hAnsi="Calibri"/>
                <w:b/>
                <w:bCs/>
                <w:sz w:val="20"/>
                <w:szCs w:val="20"/>
              </w:rPr>
              <w:t xml:space="preserve">Best model</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Recognising compliance (entailment)</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tuned-legends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Detecting violations (contradiction)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tuned-regulation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Classifying into the regulation’s ontology</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tuned-regulation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Endorsement / stance detection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tuned-regulation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Gender-parity invariance (WinoBias)</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tuned-legends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Long-form factoid extraction (multi-span)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tuned-legends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Short-span factoid extraction (single-span)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tuned-regulation</w:t>
            </w:r>
          </w:p>
        </w:tc>
      </w:tr>
    </w:tbl>
    <w:p>
      <w:pPr>
        <w:spacing w:after="120" w:line="300"/>
        <w:jc w:val="left"/>
      </w:pPr>
      <w:r>
        <w:rPr>
          <w:rFonts w:ascii="Calibri" w:cs="Calibri" w:eastAsia="Calibri" w:hAnsi="Calibri"/>
          <w:b/>
          <w:bCs/>
          <w:i w:val="false"/>
          <w:iCs w:val="false"/>
          <w:sz w:val="22"/>
          <w:szCs w:val="22"/>
        </w:rPr>
        <w:t xml:space="preserve">Table 5.</w:t>
      </w:r>
      <w:r>
        <w:rPr>
          <w:rFonts w:ascii="Calibri" w:cs="Calibri" w:eastAsia="Calibri" w:hAnsi="Calibri"/>
          <w:sz w:val="22"/>
          <w:szCs w:val="22"/>
        </w:rPr>
        <w:t xml:space="preserve"> Per-competence ranking of the three models, recovered from the per-slice GenderEqGLUE breakdowns of §4.4. The two fine-tuning regimes show qualitative complementarity that the aggregate score conceals.</w:t>
      </w:r>
    </w:p>
    <w:p>
      <w:pPr>
        <w:pStyle w:val="Heading2"/>
        <w:spacing w:after="120" w:before="240"/>
      </w:pPr>
      <w:r>
        <w:rPr>
          <w:rFonts w:ascii="Calibri" w:cs="Calibri" w:eastAsia="Calibri" w:hAnsi="Calibri"/>
          <w:b/>
          <w:bCs/>
          <w:sz w:val="28"/>
          <w:szCs w:val="28"/>
        </w:rPr>
        <w:t xml:space="preserve">4.5. Limitations</w:t>
      </w:r>
    </w:p>
    <w:p>
      <w:pPr>
        <w:spacing w:after="120" w:line="300"/>
        <w:jc w:val="both"/>
      </w:pPr>
      <w:r>
        <w:rPr>
          <w:rFonts w:ascii="Calibri" w:cs="Calibri" w:eastAsia="Calibri" w:hAnsi="Calibri"/>
          <w:b w:val="false"/>
          <w:bCs w:val="false"/>
          <w:i w:val="false"/>
          <w:iCs w:val="false"/>
          <w:sz w:val="22"/>
          <w:szCs w:val="22"/>
        </w:rPr>
        <w:t xml:space="preserve">Five limitations bound the interpretation of §4.3 and §4.4. First, test-set sizes are small relative to the effect sizes the experiment is asked to detect: GE-CLS n = 72, GE-NLI n = 168, GE-QA factoid n = 123, GE-WSC n = 100, GE-STANCE n = 120. The §6.10 protocol of the methodology document explicitly anticipated that test sets in this range would discriminate models only when effect sizes are large; the McNemar-significant GE-STANCE result is robust to this bound, but most other gaps are not. Second, the CEB labels are produced by an LLM-based classifier rather than by double-blind human annotation with Cohen’s κ. The choice is documented and justified by project-scope and resource constraints, but it implies that per-pillar F1 scores in GE-CLS should be read as upper bounds on the true discriminative ability of the models. Cross-task and cross-model comparisons within a fixed task remain valid, since the same labelling noise applies uniformly. Third, the experiment fine-tunes on a single backbone (GPT-4o-2024-08-06); whether the legend advantage on GE-NLI scales to other backbones is an open question. Fourth, GE-WSC is run on a near-ceiling base, leaving little headroom for either fine-tuning intervention to produce a detectable accuracy gain; a harder coreference benchmark such as GAP or BUG would separate the three models more cleanly. Fifth, pillar imbalance amplifies small-sample volatility: equal_economy (n = 18) and mainstreaming_intersectionality (n = 4 in some splits) are where the largest per-pillar swings are reported, including the GE-CLS +39 Macro-F1 gain on mainstreaming_intersectionality, which rests on n = 4 test items.</w:t>
      </w:r>
    </w:p>
    <w:p>
      <w:pPr>
        <w:pStyle w:val="Heading1"/>
        <w:spacing w:after="160" w:before="320"/>
      </w:pPr>
      <w:r>
        <w:rPr>
          <w:rFonts w:ascii="Calibri" w:cs="Calibri" w:eastAsia="Calibri" w:hAnsi="Calibri"/>
          <w:b/>
          <w:bCs/>
          <w:sz w:val="32"/>
          <w:szCs w:val="32"/>
        </w:rPr>
        <w:t xml:space="preserve">5. Explainability Analysis and Conclusion</w:t>
      </w:r>
    </w:p>
    <w:p>
      <w:pPr>
        <w:pStyle w:val="Heading2"/>
        <w:spacing w:after="120" w:before="240"/>
      </w:pPr>
      <w:r>
        <w:rPr>
          <w:rFonts w:ascii="Calibri" w:cs="Calibri" w:eastAsia="Calibri" w:hAnsi="Calibri"/>
          <w:b/>
          <w:bCs/>
          <w:sz w:val="28"/>
          <w:szCs w:val="28"/>
        </w:rPr>
        <w:t xml:space="preserve">5.1. Methodological Rationale</w:t>
      </w:r>
    </w:p>
    <w:p>
      <w:pPr>
        <w:spacing w:after="120" w:line="300"/>
        <w:jc w:val="both"/>
      </w:pPr>
      <w:r>
        <w:rPr>
          <w:rFonts w:ascii="Calibri" w:cs="Calibri" w:eastAsia="Calibri" w:hAnsi="Calibri"/>
          <w:b w:val="false"/>
          <w:bCs w:val="false"/>
          <w:i w:val="false"/>
          <w:iCs w:val="false"/>
          <w:sz w:val="22"/>
          <w:szCs w:val="22"/>
        </w:rPr>
        <w:t xml:space="preserve">The benchmark scores quantify what each of the three models produces but are silent on why. The Sargsyan and Damiani (2025) hypothesis is not merely that legend-based fine-tuning improves downstream metrics; it is that legends embed the regulation’s normative content into the model’s decision logic — that the champion exemplars become an internalised inductive bias rather than a stylistic veneer. Discriminating between these two outcomes requires a procedure that opens each prediction and inspects which features of the input it relies on. We refer to this discrimination as the embedding question.</w:t>
      </w:r>
    </w:p>
    <w:p>
      <w:pPr>
        <w:spacing w:after="120" w:line="300"/>
        <w:jc w:val="both"/>
      </w:pPr>
      <w:r>
        <w:rPr>
          <w:rFonts w:ascii="Calibri" w:cs="Calibri" w:eastAsia="Calibri" w:hAnsi="Calibri"/>
          <w:b w:val="false"/>
          <w:bCs w:val="false"/>
          <w:i w:val="false"/>
          <w:iCs w:val="false"/>
          <w:sz w:val="22"/>
          <w:szCs w:val="22"/>
        </w:rPr>
        <w:t xml:space="preserve">Access to the three models is restricted to the FineTuneDB Studio graphical interface: each query is composed and submitted manually, and the response is the generated text only — no logits, no log-probabilities, no internal states, and no batched programmatic access. This regime forecloses the gradient-based and perturbation-based attribution methods (SHAP, LIME, integrated gradients, attention rollout) that require either model internals or hundreds of automated calls per instance. We therefore substitute two methods that work natively on generated text and run at human-paste speed: model self-rationalisation, in the line opened by Camburu et al. (2018) on e-SNLI and surveyed by Wiegreffe and Marasovic (2021), and counterfactual minimal-pair probing, in the behavioural-testing tradition of Ribeiro et al. (2020) and the contrast-set tradition of Gardner et al. (2020). The known limitations of self-rationalisation — plausibility-laden but faithfulness-light, in the diagnoses of Turpin et al. (2023) and Lanham et al. (2023) — are addressed by the counterfactual cross-check. Atanasova et al. (2023) document the strengths and failure modes of free-text rationales for instruction-tuned LLMs and inform the rubric design.</w:t>
      </w:r>
    </w:p>
    <w:p>
      <w:pPr>
        <w:pStyle w:val="Heading2"/>
        <w:spacing w:after="120" w:before="240"/>
      </w:pPr>
      <w:r>
        <w:rPr>
          <w:rFonts w:ascii="Calibri" w:cs="Calibri" w:eastAsia="Calibri" w:hAnsi="Calibri"/>
          <w:b/>
          <w:bCs/>
          <w:sz w:val="28"/>
          <w:szCs w:val="28"/>
        </w:rPr>
        <w:t xml:space="preserve">5.2. Self-Rationalisation</w:t>
      </w:r>
    </w:p>
    <w:p>
      <w:pPr>
        <w:spacing w:after="120" w:line="300"/>
        <w:jc w:val="both"/>
      </w:pPr>
      <w:r>
        <w:rPr>
          <w:rFonts w:ascii="Calibri" w:cs="Calibri" w:eastAsia="Calibri" w:hAnsi="Calibri"/>
          <w:b w:val="false"/>
          <w:bCs w:val="false"/>
          <w:i w:val="false"/>
          <w:iCs w:val="false"/>
          <w:sz w:val="22"/>
          <w:szCs w:val="22"/>
        </w:rPr>
        <w:t xml:space="preserve">Each model is queried with a self-rationalisation template that asks for the prediction together with a structured short rationale, with no other change to the system prompt of §3.3. The template instructs the model to return three fields: a LABEL drawn from a fixed enumeration; an INFLUENTIAL_WORDS field consisting of three to five words copied verbatim from the input; and a RATIONALE field consisting of a one-sentence explanation of why those words determined the label. The INFLUENTIAL_WORDS field is the operational analogue of a top-k attribution set: it provides a concrete, lexicon-checkable list rather than free-form prose. The RATIONALE field is the input to a plausibility rubric scored under an LLM-as-judge protocol with isolated rating, randomised model-order presentation, inter-judge Cohen’s κ, and a 10 % human-rated subsample for human–machine κ, following the bias-mitigation recipe of Zheng et al. (2023). The rubric scores each rationale on four dimensions — regulatory specificity, factual coherence with the input, internal consistency between INFLUENTIAL_WORDS and RATIONALE, and (for the legend-tuned model only) champion-behaviour alignment — on a five-point Likert scale.</w:t>
      </w:r>
    </w:p>
    <w:p>
      <w:pPr>
        <w:pStyle w:val="Heading2"/>
        <w:spacing w:after="120" w:before="240"/>
      </w:pPr>
      <w:r>
        <w:rPr>
          <w:rFonts w:ascii="Calibri" w:cs="Calibri" w:eastAsia="Calibri" w:hAnsi="Calibri"/>
          <w:b/>
          <w:bCs/>
          <w:sz w:val="28"/>
          <w:szCs w:val="28"/>
        </w:rPr>
        <w:t xml:space="preserve">5.3. Counterfactual Minimal-Pair Probing</w:t>
      </w:r>
    </w:p>
    <w:p>
      <w:pPr>
        <w:spacing w:after="120" w:line="300"/>
        <w:jc w:val="both"/>
      </w:pPr>
      <w:r>
        <w:rPr>
          <w:rFonts w:ascii="Calibri" w:cs="Calibri" w:eastAsia="Calibri" w:hAnsi="Calibri"/>
          <w:b w:val="false"/>
          <w:bCs w:val="false"/>
          <w:i w:val="false"/>
          <w:iCs w:val="false"/>
          <w:sz w:val="22"/>
          <w:szCs w:val="22"/>
        </w:rPr>
        <w:t xml:space="preserve">Self-rationalisations are cross-checked against the model’s behaviour on inputs minimally edited along four axes. C1 — gender-swap — swaps gendered names and pronouns while preserving all factual content; the prediction is expected not to flip if the model is gender-invariant. C2 — anchor removal — deletes named directives, percentage targets, and pillar-defining vocabulary, replacing them with neutral paraphrase; the prediction is expected to flip if the original prediction was grounded in the regulatory anchor. C3 — surface scrubbing — replaces fictional character names, direct-speech tags, and narrative connectives with bureaucratic phrasing; the prediction is expected to flip only if it was driven by legend-stylistic markers rather than substantive content. C4 — pillar-keyword swap — substitutes pillar-A vocabulary with pillar-B vocabulary while keeping syntax intact; the prediction is expected to flip in line with the swap, regardless of any rationale claim. Each axis is instantiated by twelve author-written minimal pairs derived from the §7.2.1 sample. The Faithfulness Score combines anchor consistency (C2), surface consistency (C3), pillar-content consistency (C4), and gender invariance (C1) into an unweighted mean normalised to [0, 1]; a model whose rationales are plausible but whose predictions are insensitive to the very features the rationales cite lands at a low Faithfulness Score regardless of how compelling the rationales read.</w:t>
      </w:r>
    </w:p>
    <w:p>
      <w:pPr>
        <w:pStyle w:val="Heading2"/>
        <w:spacing w:after="120" w:before="240"/>
      </w:pPr>
      <w:r>
        <w:rPr>
          <w:rFonts w:ascii="Calibri" w:cs="Calibri" w:eastAsia="Calibri" w:hAnsi="Calibri"/>
          <w:b/>
          <w:bCs/>
          <w:sz w:val="28"/>
          <w:szCs w:val="28"/>
        </w:rPr>
        <w:t xml:space="preserve">5.4. Surface-Token Diagnostic via Frozen Lexicons</w:t>
      </w:r>
    </w:p>
    <w:p>
      <w:pPr>
        <w:spacing w:after="120" w:line="300"/>
        <w:jc w:val="both"/>
      </w:pPr>
      <w:r>
        <w:rPr>
          <w:rFonts w:ascii="Calibri" w:cs="Calibri" w:eastAsia="Calibri" w:hAnsi="Calibri"/>
          <w:b w:val="false"/>
          <w:bCs w:val="false"/>
          <w:i w:val="false"/>
          <w:iCs w:val="false"/>
          <w:sz w:val="22"/>
          <w:szCs w:val="22"/>
        </w:rPr>
        <w:t xml:space="preserve">Two lexicons frame the embedding question. L_anchor is the regulatory-anchor lexicon, derived from the cleaned Strategy text — pillar vocabulary, names of EU directives, percentage targets, the eight cross-cutting principles of §4.2, and the 200 highest-TF-IDF terms of the regulation. L_artifact is the legend-stylistic-artifact lexicon, derived from the legends pool — fictional character names, direct-speech tags (said, replied, whispered), narrative connectives (meanwhile, the next morning), and setting cues (headquartered in, a small NGO). For every (instance, model) pair the regulatory_anchor_rate is the fraction of INFLUENTIAL_WORDS in L_anchor; the legend_artifact_rate is the fraction in L_artifact. The two rates are reported as paired distributions and constitute the primary quantitative evidence on the embedding question, complementing the Faithfulness and Plausibility scores. The protocol is operationalised via a self-built clipboard-manager HTML helper (to minimise copy-paste drift across the 351 manual queries) and a structured CSV log.</w:t>
      </w:r>
    </w:p>
    <w:p>
      <w:pPr>
        <w:pStyle w:val="Heading2"/>
        <w:spacing w:after="120" w:before="240"/>
      </w:pPr>
      <w:r>
        <w:rPr>
          <w:rFonts w:ascii="Calibri" w:cs="Calibri" w:eastAsia="Calibri" w:hAnsi="Calibri"/>
          <w:b/>
          <w:bCs/>
          <w:sz w:val="28"/>
          <w:szCs w:val="28"/>
        </w:rPr>
        <w:t xml:space="preserve">5.5. Interpretation Criteria</w:t>
      </w:r>
    </w:p>
    <w:p>
      <w:pPr>
        <w:spacing w:after="120" w:line="300"/>
        <w:jc w:val="both"/>
      </w:pPr>
      <w:r>
        <w:rPr>
          <w:rFonts w:ascii="Calibri" w:cs="Calibri" w:eastAsia="Calibri" w:hAnsi="Calibri"/>
          <w:b w:val="false"/>
          <w:bCs w:val="false"/>
          <w:i w:val="false"/>
          <w:iCs w:val="false"/>
          <w:sz w:val="22"/>
          <w:szCs w:val="22"/>
        </w:rPr>
        <w:t xml:space="preserve">The hypothesis is operationalised as a joint condition on the legend-tuned model relative to both the base and the regulation-tuned model. The evidence is consistent with embedding when (i) regulatory_anchor_rate(legends) &gt; regulatory_anchor_rate(base), and the difference is significant per the bootstrap-and-Wilcoxon protocol of §7.3.2; (ii) legend_artifact_rate(legends) is not significantly higher than legend_artifact_rate(regulation), so that the legend-tuned model does not over-rely on legend-specific stylistic markers; and (iii) the Faithfulness Score of the legend-tuned model is significantly higher than that of the base model, with the gain concentrated on surface_consistency_rate (C3). Condition (iii) is the falsifiable core: a legend-tuned model whose prediction does not flip when surface markers are scrubbed has demonstrably learned regulatory content rather than narrative style. The evidence is inconsistent with embedding when condition (iii) fails on the C3 axis — high champion-behaviour alignment in the rationales paired with prediction flips when the genre is scrubbed indicates that the model has absorbed style rather than substance. A flat result on all three conditions is the third possible outcome and is reported as inconclusive. The protocol can therefore return a negative result, not just a positive one, which is the property a rigorous test of the hypothesis must possess.</w:t>
      </w:r>
    </w:p>
    <w:p>
      <w:pPr>
        <w:pStyle w:val="Heading2"/>
        <w:spacing w:after="120" w:before="240"/>
      </w:pPr>
      <w:r>
        <w:rPr>
          <w:rFonts w:ascii="Calibri" w:cs="Calibri" w:eastAsia="Calibri" w:hAnsi="Calibri"/>
          <w:b/>
          <w:bCs/>
          <w:sz w:val="28"/>
          <w:szCs w:val="28"/>
        </w:rPr>
        <w:t xml:space="preserve">5.6. Conclusion</w:t>
      </w:r>
    </w:p>
    <w:p>
      <w:pPr>
        <w:spacing w:after="120" w:line="300"/>
        <w:jc w:val="both"/>
      </w:pPr>
      <w:r>
        <w:rPr>
          <w:rFonts w:ascii="Calibri" w:cs="Calibri" w:eastAsia="Calibri" w:hAnsi="Calibri"/>
          <w:b w:val="false"/>
          <w:bCs w:val="false"/>
          <w:i w:val="false"/>
          <w:iCs w:val="false"/>
          <w:sz w:val="22"/>
          <w:szCs w:val="22"/>
        </w:rPr>
        <w:t xml:space="preserve">We have operationalised the Sargsyan and Damiani (2025) proposal that ethical compliance can be embedded ex ante into LLMs through synthetic champion narratives, in the gender-equality domain anchored by the EU Gender Equality Strategy 2020–2025. The contribution rests on four pillars: a four-axis prompt-engineering schema for legend generation — absolute thematic verticality, internal-reflection narrative arc, high technical specificity with explicit regulatory citations, and middle-management protagonists — that mirrors the structural conflict-of-interest argument of the source paper; a simplified SustainableQA-derived data pipeline that produces parallel, size-matched JSONL Q&amp;A datasets from the regulation and the legends; two fine-tuned variants of GPT-4o-2024-08-06 trained on these parallel corpora; and GenderEqGLUE, a five-task GLUE adaptation that evaluates the resulting models on a held-out CEB pool extracted from EU instruments thematically contiguous to the Strategy.</w:t>
      </w:r>
    </w:p>
    <w:p>
      <w:pPr>
        <w:spacing w:after="120" w:line="300"/>
        <w:jc w:val="both"/>
      </w:pPr>
      <w:r>
        <w:rPr>
          <w:rFonts w:ascii="Calibri" w:cs="Calibri" w:eastAsia="Calibri" w:hAnsi="Calibri"/>
          <w:b w:val="false"/>
          <w:bCs w:val="false"/>
          <w:i w:val="false"/>
          <w:iCs w:val="false"/>
          <w:sz w:val="22"/>
          <w:szCs w:val="22"/>
        </w:rPr>
        <w:t xml:space="preserve">The empirical results paint a more nuanced picture than a straightforward yes-or-no on the legend hypothesis. The aggregate GenderEqGLUE Score ranks tuned-regulation first (0.922) and leaves the legend-tuned model essentially indistinguishable from the base (0.881 against 0.885). Yet the per-task and per-slice analysis reveals a qualitative complementarity that the headline conceals: legends help with compliance recognition (the GE-NLI entailment subset, where tuned-legends gains eleven recall points over tuned-regulation), with gender-parity invariance (the only model with a perfect 0.000 parity score on WinoBias), and with long-form factoid extraction; regulation text helps with violation detection (the GE-NLI contradiction subset), with ontology classification (GE-CLS), with value-stance detection (GE-STANCE), and with terse short-span extraction. The single statistically significant pairwise gap in the benchmark goes against the legend hypothesis (GE-STANCE, p = 0.004), but its mechanism is locatable and its scope is narrower than the headline number suggests — on the in-distribution curated subset of GE-STANCE the legend-tuned model is the strongest of the three.</w:t>
      </w:r>
    </w:p>
    <w:p>
      <w:pPr>
        <w:spacing w:after="120" w:line="300"/>
        <w:jc w:val="both"/>
      </w:pPr>
      <w:r>
        <w:rPr>
          <w:rFonts w:ascii="Calibri" w:cs="Calibri" w:eastAsia="Calibri" w:hAnsi="Calibri"/>
          <w:b w:val="false"/>
          <w:bCs w:val="false"/>
          <w:i w:val="false"/>
          <w:iCs w:val="false"/>
          <w:sz w:val="22"/>
          <w:szCs w:val="22"/>
        </w:rPr>
        <w:t xml:space="preserve">The narrowest reading of the Sargsyan and Damiani (2025) hypothesis — that legend-based fine-tuning supports compliance recognition — is supported by the GE-NLI entailment evidence and the GE-WSC parity diagnostic. The broader reading — that legend-based fine-tuning dominates regulation-based fine-tuning across the gender-equality NLU surface — is not supported. The most actionable scientific finding from running all five tasks together is, in fact, the qualitative complementarity itself: the two fine-tuning regimes train two genuinely different competences, and a deployment whose risk profile foregrounds compliance recognition or fairness invariance has a defensible reason to prefer the legend-tuned variant despite its lower aggregate score, while a deployment whose risk profile foregrounds violation detection or ontology classification will prefer the regulation-tuned variant. This complementarity also reframes the model-redundancy proposal of Sargsyan and Damiani (2025): rather than maintaining a single “best” model, an organisation might maintain both variants concurrently and route inputs to whichever competence the input demands. The legend approach therefore demonstrates a viable route to proactive, by-design AI compliance — not as a strict alternative to regulatory training, but as a complementary inductive bias that targets the specific compliance behaviours regulatory training does not natively reward.</w:t>
      </w:r>
    </w:p>
    <w:p>
      <w:pPr>
        <w:spacing w:after="120" w:line="300"/>
        <w:jc w:val="both"/>
      </w:pPr>
      <w:r>
        <w:rPr>
          <w:rFonts w:ascii="Calibri" w:cs="Calibri" w:eastAsia="Calibri" w:hAnsi="Calibri"/>
          <w:b w:val="false"/>
          <w:bCs w:val="false"/>
          <w:i w:val="false"/>
          <w:iCs w:val="false"/>
          <w:sz w:val="22"/>
          <w:szCs w:val="22"/>
        </w:rPr>
        <w:t xml:space="preserve">Future work follows three threads. First, a larger and more carefully balanced GenderEqGLUE v2 — targeting at least 500 items per task, paired item-level annotation by two human raters with Cohen’s κ, and a harder coreference benchmark in place of WinoBias — would convert the directional findings of this run into formally significant ones. Second, the legend hypothesis should be tested on backbones beyond GPT-4o-2024-08-06 to assess whether the GE-NLI entailment advantage is backbone-invariant. Third, the explainability protocol of §5 should be executed end-to-end and reported alongside the benchmark scores, because the qualitative-complementarity finding above is precisely the kind of result whose underlying mechanism the surface-versus-anchor diagnostic is designed to expose.</w:t>
      </w:r>
    </w:p>
    <w:p>
      <w:pPr>
        <w:pStyle w:val="Heading1"/>
        <w:spacing w:after="160" w:before="320"/>
      </w:pPr>
      <w:r>
        <w:rPr>
          <w:rFonts w:ascii="Calibri" w:cs="Calibri" w:eastAsia="Calibri" w:hAnsi="Calibri"/>
          <w:b/>
          <w:bCs/>
          <w:sz w:val="32"/>
          <w:szCs w:val="32"/>
        </w:rPr>
        <w:t xml:space="preserve">References</w:t>
      </w:r>
    </w:p>
    <w:p>
      <w:pPr>
        <w:spacing w:after="80" w:line="260"/>
        <w:ind w:left="720" w:hanging="360"/>
      </w:pPr>
      <w:r>
        <w:rPr>
          <w:rFonts w:ascii="Calibri" w:cs="Calibri" w:eastAsia="Calibri" w:hAnsi="Calibri"/>
          <w:sz w:val="20"/>
          <w:szCs w:val="20"/>
        </w:rPr>
        <w:t xml:space="preserve">Abnar, S., &amp; Zuidema, W. (2020). Quantifying attention flow in Transformers. ACL.</w:t>
      </w:r>
    </w:p>
    <w:p>
      <w:pPr>
        <w:spacing w:after="80" w:line="260"/>
        <w:ind w:left="720" w:hanging="360"/>
      </w:pPr>
      <w:r>
        <w:rPr>
          <w:rFonts w:ascii="Calibri" w:cs="Calibri" w:eastAsia="Calibri" w:hAnsi="Calibri"/>
          <w:sz w:val="20"/>
          <w:szCs w:val="20"/>
        </w:rPr>
        <w:t xml:space="preserve">Achintalwar, S., Garcia, A., Anaby-Tavor, A., Baldini, I., Berger, S., Bhattacharjee, A., Bouneffouf, D., Chaudhury, S., Dhurandhar, A., Gangrade, B., Hada, R., Joshi, P., Padhi, I., Singh, M. P., Strobelt, H., Stanley, J., Suresh, H., Wei, A., Wright, R., et al. (2024). Alignment Studio: Aligning large language models to particular contextual regulations. IEEE Internet Computing.</w:t>
      </w:r>
    </w:p>
    <w:p>
      <w:pPr>
        <w:spacing w:after="80" w:line="260"/>
        <w:ind w:left="720" w:hanging="360"/>
      </w:pPr>
      <w:r>
        <w:rPr>
          <w:rFonts w:ascii="Calibri" w:cs="Calibri" w:eastAsia="Calibri" w:hAnsi="Calibri"/>
          <w:sz w:val="20"/>
          <w:szCs w:val="20"/>
        </w:rPr>
        <w:t xml:space="preserve">Atanasova, P., Camburu, O.-M., Lioma, C., Lukasiewicz, T., Simonsen, J. G., &amp; Augenstein, I. (2023). Faithfulness tests for natural language explanations. ACL.</w:t>
      </w:r>
    </w:p>
    <w:p>
      <w:pPr>
        <w:spacing w:after="80" w:line="260"/>
        <w:ind w:left="720" w:hanging="360"/>
      </w:pPr>
      <w:r>
        <w:rPr>
          <w:rFonts w:ascii="Calibri" w:cs="Calibri" w:eastAsia="Calibri" w:hAnsi="Calibri"/>
          <w:sz w:val="20"/>
          <w:szCs w:val="20"/>
        </w:rPr>
        <w:t xml:space="preserve">Camburu, O.-M., Rocktäschel, T., Lukasiewicz, T., &amp; Blunsom, P. (2018). e-SNLI: Natural language inference with natural language explanations. NeurIPS.</w:t>
      </w:r>
    </w:p>
    <w:p>
      <w:pPr>
        <w:spacing w:after="80" w:line="260"/>
        <w:ind w:left="720" w:hanging="360"/>
      </w:pPr>
      <w:r>
        <w:rPr>
          <w:rFonts w:ascii="Calibri" w:cs="Calibri" w:eastAsia="Calibri" w:hAnsi="Calibri"/>
          <w:sz w:val="20"/>
          <w:szCs w:val="20"/>
        </w:rPr>
        <w:t xml:space="preserve">Chalkidis, I., Jana, A., Hartung, D., Bommarito, M., Androutsopoulos, I., Katz, D., &amp; Aletras, N. (2022). LexGLUE: A benchmark dataset for legal language understanding in English. ACL.</w:t>
      </w:r>
    </w:p>
    <w:p>
      <w:pPr>
        <w:spacing w:after="80" w:line="260"/>
        <w:ind w:left="720" w:hanging="360"/>
      </w:pPr>
      <w:r>
        <w:rPr>
          <w:rFonts w:ascii="Calibri" w:cs="Calibri" w:eastAsia="Calibri" w:hAnsi="Calibri"/>
          <w:sz w:val="20"/>
          <w:szCs w:val="20"/>
        </w:rPr>
        <w:t xml:space="preserve">DeYoung, J., Jain, S., Rajani, N. F., Lehman, E., Xiong, C., Socher, R., &amp; Wallace, B. C. (2020). ERASER: A benchmark to evaluate rationalised NLP models. ACL.</w:t>
      </w:r>
    </w:p>
    <w:p>
      <w:pPr>
        <w:spacing w:after="80" w:line="260"/>
        <w:ind w:left="720" w:hanging="360"/>
      </w:pPr>
      <w:r>
        <w:rPr>
          <w:rFonts w:ascii="Calibri" w:cs="Calibri" w:eastAsia="Calibri" w:hAnsi="Calibri"/>
          <w:sz w:val="20"/>
          <w:szCs w:val="20"/>
        </w:rPr>
        <w:t xml:space="preserve">European Commission (2020). A Union of Equality: Gender Equality Strategy 2020-2025. COM(2020) 152 final, Brussels.</w:t>
      </w:r>
    </w:p>
    <w:p>
      <w:pPr>
        <w:spacing w:after="80" w:line="260"/>
        <w:ind w:left="720" w:hanging="360"/>
      </w:pPr>
      <w:r>
        <w:rPr>
          <w:rFonts w:ascii="Calibri" w:cs="Calibri" w:eastAsia="Calibri" w:hAnsi="Calibri"/>
          <w:sz w:val="20"/>
          <w:szCs w:val="20"/>
        </w:rPr>
        <w:t xml:space="preserve">European Commission (2022). Corporate Sustainability Reporting Directive. Available at https://commission.europa.eu/.</w:t>
      </w:r>
    </w:p>
    <w:p>
      <w:pPr>
        <w:spacing w:after="80" w:line="260"/>
        <w:ind w:left="720" w:hanging="360"/>
      </w:pPr>
      <w:r>
        <w:rPr>
          <w:rFonts w:ascii="Calibri" w:cs="Calibri" w:eastAsia="Calibri" w:hAnsi="Calibri"/>
          <w:sz w:val="20"/>
          <w:szCs w:val="20"/>
        </w:rPr>
        <w:t xml:space="preserve">European Commission (2025a). EU Taxonomy for Sustainable Activities.</w:t>
      </w:r>
    </w:p>
    <w:p>
      <w:pPr>
        <w:spacing w:after="80" w:line="260"/>
        <w:ind w:left="720" w:hanging="360"/>
      </w:pPr>
      <w:r>
        <w:rPr>
          <w:rFonts w:ascii="Calibri" w:cs="Calibri" w:eastAsia="Calibri" w:hAnsi="Calibri"/>
          <w:sz w:val="20"/>
          <w:szCs w:val="20"/>
        </w:rPr>
        <w:t xml:space="preserve">European Commission (2025b). EU Action for Equal Pay.</w:t>
      </w:r>
    </w:p>
    <w:p>
      <w:pPr>
        <w:spacing w:after="80" w:line="260"/>
        <w:ind w:left="720" w:hanging="360"/>
      </w:pPr>
      <w:r>
        <w:rPr>
          <w:rFonts w:ascii="Calibri" w:cs="Calibri" w:eastAsia="Calibri" w:hAnsi="Calibri"/>
          <w:sz w:val="20"/>
          <w:szCs w:val="20"/>
        </w:rPr>
        <w:t xml:space="preserve">European Parliament (2022). Women on Boards: Deal to Boost Gender Balance in Companies.</w:t>
      </w:r>
    </w:p>
    <w:p>
      <w:pPr>
        <w:spacing w:after="80" w:line="260"/>
        <w:ind w:left="720" w:hanging="360"/>
      </w:pPr>
      <w:r>
        <w:rPr>
          <w:rFonts w:ascii="Calibri" w:cs="Calibri" w:eastAsia="Calibri" w:hAnsi="Calibri"/>
          <w:sz w:val="20"/>
          <w:szCs w:val="20"/>
        </w:rPr>
        <w:t xml:space="preserve">European Union (2019). Directive (EU) 2019/1158 of the European Parliament and of the Council of 20 June 2019 on work-life balance for parents and carers.</w:t>
      </w:r>
    </w:p>
    <w:p>
      <w:pPr>
        <w:spacing w:after="80" w:line="260"/>
        <w:ind w:left="720" w:hanging="360"/>
      </w:pPr>
      <w:r>
        <w:rPr>
          <w:rFonts w:ascii="Calibri" w:cs="Calibri" w:eastAsia="Calibri" w:hAnsi="Calibri"/>
          <w:sz w:val="20"/>
          <w:szCs w:val="20"/>
        </w:rPr>
        <w:t xml:space="preserve">European Union (2022). Directive (EU) 2022/2381 of the European Parliament and of the Council of 23 November 2022 on improving the gender balance among directors of listed companies.</w:t>
      </w:r>
    </w:p>
    <w:p>
      <w:pPr>
        <w:spacing w:after="80" w:line="260"/>
        <w:ind w:left="720" w:hanging="360"/>
      </w:pPr>
      <w:r>
        <w:rPr>
          <w:rFonts w:ascii="Calibri" w:cs="Calibri" w:eastAsia="Calibri" w:hAnsi="Calibri"/>
          <w:sz w:val="20"/>
          <w:szCs w:val="20"/>
        </w:rPr>
        <w:t xml:space="preserve">European Union (2023). Directive (EU) 2023/970 of the European Parliament and of the Council on pay transparency.</w:t>
      </w:r>
    </w:p>
    <w:p>
      <w:pPr>
        <w:spacing w:after="80" w:line="260"/>
        <w:ind w:left="720" w:hanging="360"/>
      </w:pPr>
      <w:r>
        <w:rPr>
          <w:rFonts w:ascii="Calibri" w:cs="Calibri" w:eastAsia="Calibri" w:hAnsi="Calibri"/>
          <w:sz w:val="20"/>
          <w:szCs w:val="20"/>
        </w:rPr>
        <w:t xml:space="preserve">Exponential Science (2023). ExponentialScience/ESG-DLT-NER: An ESG-domain Named Entity Recognition dataset.</w:t>
      </w:r>
    </w:p>
    <w:p>
      <w:pPr>
        <w:spacing w:after="80" w:line="260"/>
        <w:ind w:left="720" w:hanging="360"/>
      </w:pPr>
      <w:r>
        <w:rPr>
          <w:rFonts w:ascii="Calibri" w:cs="Calibri" w:eastAsia="Calibri" w:hAnsi="Calibri"/>
          <w:sz w:val="20"/>
          <w:szCs w:val="20"/>
        </w:rPr>
        <w:t xml:space="preserve">Gardner, M., Artzi, Y., Basmova, V., Berant, J., Bogin, B., Chen, S., Dasigi, P., Dua, D., Elazar, Y., Gottumukkala, A., Gupta, N., Hajishirzi, H., Ilharco, G., Khashabi, D., Lin, K., Liu, J., Liu, N. F., Mulcaire, P., Ning, Q., et al. (2020). Evaluating models’ local decision boundaries via contrast sets. EMNLP Findings.</w:t>
      </w:r>
    </w:p>
    <w:p>
      <w:pPr>
        <w:spacing w:after="80" w:line="260"/>
        <w:ind w:left="720" w:hanging="360"/>
      </w:pPr>
      <w:r>
        <w:rPr>
          <w:rFonts w:ascii="Calibri" w:cs="Calibri" w:eastAsia="Calibri" w:hAnsi="Calibri"/>
          <w:sz w:val="20"/>
          <w:szCs w:val="20"/>
        </w:rPr>
        <w:t xml:space="preserve">Grattafiori, A., et al. (2024). Llama 3.3: Open foundation language models. Meta AI Technical Report.</w:t>
      </w:r>
    </w:p>
    <w:p>
      <w:pPr>
        <w:spacing w:after="80" w:line="260"/>
        <w:ind w:left="720" w:hanging="360"/>
      </w:pPr>
      <w:r>
        <w:rPr>
          <w:rFonts w:ascii="Calibri" w:cs="Calibri" w:eastAsia="Calibri" w:hAnsi="Calibri"/>
          <w:sz w:val="20"/>
          <w:szCs w:val="20"/>
        </w:rPr>
        <w:t xml:space="preserve">Guo, X., &amp; Chen, Y. (2024). Generative AI for synthetic data generation: Methods, challenges and the future. arXiv:2403.04190.</w:t>
      </w:r>
    </w:p>
    <w:p>
      <w:pPr>
        <w:spacing w:after="80" w:line="260"/>
        <w:ind w:left="720" w:hanging="360"/>
      </w:pPr>
      <w:r>
        <w:rPr>
          <w:rFonts w:ascii="Calibri" w:cs="Calibri" w:eastAsia="Calibri" w:hAnsi="Calibri"/>
          <w:sz w:val="20"/>
          <w:szCs w:val="20"/>
        </w:rPr>
        <w:t xml:space="preserve">Jain, S., &amp; Wallace, B. C. (2019). Attention is not explanation. NAACL.</w:t>
      </w:r>
    </w:p>
    <w:p>
      <w:pPr>
        <w:spacing w:after="80" w:line="260"/>
        <w:ind w:left="720" w:hanging="360"/>
      </w:pPr>
      <w:r>
        <w:rPr>
          <w:rFonts w:ascii="Calibri" w:cs="Calibri" w:eastAsia="Calibri" w:hAnsi="Calibri"/>
          <w:sz w:val="20"/>
          <w:szCs w:val="20"/>
        </w:rPr>
        <w:t xml:space="preserve">Kanyamukenge, C., &amp; Muthoka-Kagwaini, D. (2024). Role of ethical leadership in promoting sustainable business practices. International Journal of Business and Management, 19, 209.</w:t>
      </w:r>
    </w:p>
    <w:p>
      <w:pPr>
        <w:spacing w:after="80" w:line="260"/>
        <w:ind w:left="720" w:hanging="360"/>
      </w:pPr>
      <w:r>
        <w:rPr>
          <w:rFonts w:ascii="Calibri" w:cs="Calibri" w:eastAsia="Calibri" w:hAnsi="Calibri"/>
          <w:sz w:val="20"/>
          <w:szCs w:val="20"/>
        </w:rPr>
        <w:t xml:space="preserve">Kaygin, E. (2023). Comparative analysis of ML and LLM in resume parsing: A paradigm shift in talent acquisition.</w:t>
      </w:r>
    </w:p>
    <w:p>
      <w:pPr>
        <w:spacing w:after="80" w:line="260"/>
        <w:ind w:left="720" w:hanging="360"/>
      </w:pPr>
      <w:r>
        <w:rPr>
          <w:rFonts w:ascii="Calibri" w:cs="Calibri" w:eastAsia="Calibri" w:hAnsi="Calibri"/>
          <w:sz w:val="20"/>
          <w:szCs w:val="20"/>
        </w:rPr>
        <w:t xml:space="preserve">Lacombe, R., et al. (2024). GECOBench: A benchmark for gender bias evaluation in coreference resolution.</w:t>
      </w:r>
    </w:p>
    <w:p>
      <w:pPr>
        <w:spacing w:after="80" w:line="260"/>
        <w:ind w:left="720" w:hanging="360"/>
      </w:pPr>
      <w:r>
        <w:rPr>
          <w:rFonts w:ascii="Calibri" w:cs="Calibri" w:eastAsia="Calibri" w:hAnsi="Calibri"/>
          <w:sz w:val="20"/>
          <w:szCs w:val="20"/>
        </w:rPr>
        <w:t xml:space="preserve">Lan, Y., et al. (2025). SustainableQA: A comprehensive question-answering dataset for corporate sustainability and EU Taxonomy reporting. arXiv:2508.03000.</w:t>
      </w:r>
    </w:p>
    <w:p>
      <w:pPr>
        <w:spacing w:after="80" w:line="260"/>
        <w:ind w:left="720" w:hanging="360"/>
      </w:pPr>
      <w:r>
        <w:rPr>
          <w:rFonts w:ascii="Calibri" w:cs="Calibri" w:eastAsia="Calibri" w:hAnsi="Calibri"/>
          <w:sz w:val="20"/>
          <w:szCs w:val="20"/>
        </w:rPr>
        <w:t xml:space="preserve">Lanham, T., Chen, A., Radhakrishnan, A., Steiner, B., Denison, C., Hernandez, D., Li, D., Durmus, E., Hubinger, E., Kernion, J., et al. (2023). Measuring faithfulness in chain-of-thought reasoning. arXiv:2307.13702.</w:t>
      </w:r>
    </w:p>
    <w:p>
      <w:pPr>
        <w:spacing w:after="80" w:line="260"/>
        <w:ind w:left="720" w:hanging="360"/>
      </w:pPr>
      <w:r>
        <w:rPr>
          <w:rFonts w:ascii="Calibri" w:cs="Calibri" w:eastAsia="Calibri" w:hAnsi="Calibri"/>
          <w:sz w:val="20"/>
          <w:szCs w:val="20"/>
        </w:rPr>
        <w:t xml:space="preserve">Mauri, L., &amp; Damiani, E. (2022). Estimating degradation of machine learning data assets. ACM Journal of Data and Information Quality, 14(2), Article 9. https://doi.org/10.1145/3446331.</w:t>
      </w:r>
    </w:p>
    <w:p>
      <w:pPr>
        <w:spacing w:after="80" w:line="260"/>
        <w:ind w:left="720" w:hanging="360"/>
      </w:pPr>
      <w:r>
        <w:rPr>
          <w:rFonts w:ascii="Calibri" w:cs="Calibri" w:eastAsia="Calibri" w:hAnsi="Calibri"/>
          <w:sz w:val="20"/>
          <w:szCs w:val="20"/>
        </w:rPr>
        <w:t xml:space="preserve">Mauri, L., Apolloni, B., &amp; Damiani, E. (2023). Robust ML model ensembles via risk-driven anti-clustering of training data. Information Sciences, 633, 122–140.</w:t>
      </w:r>
    </w:p>
    <w:p>
      <w:pPr>
        <w:spacing w:after="80" w:line="260"/>
        <w:ind w:left="720" w:hanging="360"/>
      </w:pPr>
      <w:r>
        <w:rPr>
          <w:rFonts w:ascii="Calibri" w:cs="Calibri" w:eastAsia="Calibri" w:hAnsi="Calibri"/>
          <w:sz w:val="20"/>
          <w:szCs w:val="20"/>
        </w:rPr>
        <w:t xml:space="preserve">McLaughlin, P. A., &amp; Stover, W. (2021). Drafting X2RL: A semantic regulatory machine-readable format. MIT Computational Law Report.</w:t>
      </w:r>
    </w:p>
    <w:p>
      <w:pPr>
        <w:spacing w:after="80" w:line="260"/>
        <w:ind w:left="720" w:hanging="360"/>
      </w:pPr>
      <w:r>
        <w:rPr>
          <w:rFonts w:ascii="Calibri" w:cs="Calibri" w:eastAsia="Calibri" w:hAnsi="Calibri"/>
          <w:sz w:val="20"/>
          <w:szCs w:val="20"/>
        </w:rPr>
        <w:t xml:space="preserve">Motzfeldt, H. M., &amp; Næsborg-Andersen, A. (2018). Developing administrative law into handling the challenges of digital government in Denmark. Electronic Journal of e-Government, 16(2), 136–146.</w:t>
      </w:r>
    </w:p>
    <w:p>
      <w:pPr>
        <w:spacing w:after="80" w:line="260"/>
        <w:ind w:left="720" w:hanging="360"/>
      </w:pPr>
      <w:r>
        <w:rPr>
          <w:rFonts w:ascii="Calibri" w:cs="Calibri" w:eastAsia="Calibri" w:hAnsi="Calibri"/>
          <w:sz w:val="20"/>
          <w:szCs w:val="20"/>
        </w:rPr>
        <w:t xml:space="preserve">Naumova, E. N. (2023). Who is responsible for AI-generated public health policies? Journal of Public Health Policy, 44(4), 517–522.</w:t>
      </w:r>
    </w:p>
    <w:p>
      <w:pPr>
        <w:spacing w:after="80" w:line="260"/>
        <w:ind w:left="720" w:hanging="360"/>
      </w:pPr>
      <w:r>
        <w:rPr>
          <w:rFonts w:ascii="Calibri" w:cs="Calibri" w:eastAsia="Calibri" w:hAnsi="Calibri"/>
          <w:sz w:val="20"/>
          <w:szCs w:val="20"/>
        </w:rPr>
        <w:t xml:space="preserve">Northcutt, C. G., Wu, T., &amp; Chuang, I. L. (2017). Learning with confident examples: Rank pruning for robust classification with noisy labels. arXiv:1705.01936.</w:t>
      </w:r>
    </w:p>
    <w:p>
      <w:pPr>
        <w:spacing w:after="80" w:line="260"/>
        <w:ind w:left="720" w:hanging="360"/>
      </w:pPr>
      <w:r>
        <w:rPr>
          <w:rFonts w:ascii="Calibri" w:cs="Calibri" w:eastAsia="Calibri" w:hAnsi="Calibri"/>
          <w:sz w:val="20"/>
          <w:szCs w:val="20"/>
        </w:rPr>
        <w:t xml:space="preserve">Novotny, A. (2024). Women leaders make work better. Here’s the science behind how to promote them. American Psychological Association.</w:t>
      </w:r>
    </w:p>
    <w:p>
      <w:pPr>
        <w:spacing w:after="80" w:line="260"/>
        <w:ind w:left="720" w:hanging="360"/>
      </w:pPr>
      <w:r>
        <w:rPr>
          <w:rFonts w:ascii="Calibri" w:cs="Calibri" w:eastAsia="Calibri" w:hAnsi="Calibri"/>
          <w:sz w:val="20"/>
          <w:szCs w:val="20"/>
        </w:rPr>
        <w:t xml:space="preserve">Paruchuri, V. (2024). Marker: PDF-to-Markdown conversion library.</w:t>
      </w:r>
    </w:p>
    <w:p>
      <w:pPr>
        <w:spacing w:after="80" w:line="260"/>
        <w:ind w:left="720" w:hanging="360"/>
      </w:pPr>
      <w:r>
        <w:rPr>
          <w:rFonts w:ascii="Calibri" w:cs="Calibri" w:eastAsia="Calibri" w:hAnsi="Calibri"/>
          <w:sz w:val="20"/>
          <w:szCs w:val="20"/>
        </w:rPr>
        <w:t xml:space="preserve">Ribeiro, M. T., Wu, T., Guestrin, C., &amp; Singh, S. (2020). Beyond accuracy: Behavioural testing of NLP models with CheckList. ACL.</w:t>
      </w:r>
    </w:p>
    <w:p>
      <w:pPr>
        <w:spacing w:after="80" w:line="260"/>
        <w:ind w:left="720" w:hanging="360"/>
      </w:pPr>
      <w:r>
        <w:rPr>
          <w:rFonts w:ascii="Calibri" w:cs="Calibri" w:eastAsia="Calibri" w:hAnsi="Calibri"/>
          <w:sz w:val="20"/>
          <w:szCs w:val="20"/>
        </w:rPr>
        <w:t xml:space="preserve">Sargsyan, G., &amp; Damiani, E. (2025). Using legends to embed ethics into AI-based decision-making. Khalifa University, UAE / Università degli Studi di Milano, Italy.</w:t>
      </w:r>
    </w:p>
    <w:p>
      <w:pPr>
        <w:spacing w:after="80" w:line="260"/>
        <w:ind w:left="720" w:hanging="360"/>
      </w:pPr>
      <w:r>
        <w:rPr>
          <w:rFonts w:ascii="Calibri" w:cs="Calibri" w:eastAsia="Calibri" w:hAnsi="Calibri"/>
          <w:sz w:val="20"/>
          <w:szCs w:val="20"/>
        </w:rPr>
        <w:t xml:space="preserve">Somers, M. (2022). Women are less likely than men to be promoted. Here’s one reason why. MIT Sloan.</w:t>
      </w:r>
    </w:p>
    <w:p>
      <w:pPr>
        <w:spacing w:after="80" w:line="260"/>
        <w:ind w:left="720" w:hanging="360"/>
      </w:pPr>
      <w:r>
        <w:rPr>
          <w:rFonts w:ascii="Calibri" w:cs="Calibri" w:eastAsia="Calibri" w:hAnsi="Calibri"/>
          <w:sz w:val="20"/>
          <w:szCs w:val="20"/>
        </w:rPr>
        <w:t xml:space="preserve">Storey, V. C., Yue, W. T., Zhao, J. L., et al. (2025). Generative artificial intelligence: Evolving technology, growing societal impact, and opportunities for information systems research. Information Systems Frontiers. https://doi.org/10.1007/s10796-025-10581-7.</w:t>
      </w:r>
    </w:p>
    <w:p>
      <w:pPr>
        <w:spacing w:after="80" w:line="260"/>
        <w:ind w:left="720" w:hanging="360"/>
      </w:pPr>
      <w:r>
        <w:rPr>
          <w:rFonts w:ascii="Calibri" w:cs="Calibri" w:eastAsia="Calibri" w:hAnsi="Calibri"/>
          <w:sz w:val="20"/>
          <w:szCs w:val="20"/>
        </w:rPr>
        <w:t xml:space="preserve">The Economist / Gartner (2024). By 2026, 20 % of organisations will use AI to reduce 50 % middle-management roles.</w:t>
      </w:r>
    </w:p>
    <w:p>
      <w:pPr>
        <w:spacing w:after="80" w:line="260"/>
        <w:ind w:left="720" w:hanging="360"/>
      </w:pPr>
      <w:r>
        <w:rPr>
          <w:rFonts w:ascii="Calibri" w:cs="Calibri" w:eastAsia="Calibri" w:hAnsi="Calibri"/>
          <w:sz w:val="20"/>
          <w:szCs w:val="20"/>
        </w:rPr>
        <w:t xml:space="preserve">Turpin, M., Michael, J., Perez, E., &amp; Bowman, S. R. (2023). Language models don’t always say what they think: Unfaithful explanations in chain-of-thought prompting. NeurIPS.</w:t>
      </w:r>
    </w:p>
    <w:p>
      <w:pPr>
        <w:spacing w:after="80" w:line="260"/>
        <w:ind w:left="720" w:hanging="360"/>
      </w:pPr>
      <w:r>
        <w:rPr>
          <w:rFonts w:ascii="Calibri" w:cs="Calibri" w:eastAsia="Calibri" w:hAnsi="Calibri"/>
          <w:sz w:val="20"/>
          <w:szCs w:val="20"/>
        </w:rPr>
        <w:t xml:space="preserve">Vutukuri, S. (2023). xlm-roberta-base-esg-ner: A multilingual ESG-domain NER model.</w:t>
      </w:r>
    </w:p>
    <w:p>
      <w:pPr>
        <w:spacing w:after="80" w:line="260"/>
        <w:ind w:left="720" w:hanging="360"/>
      </w:pPr>
      <w:r>
        <w:rPr>
          <w:rFonts w:ascii="Calibri" w:cs="Calibri" w:eastAsia="Calibri" w:hAnsi="Calibri"/>
          <w:sz w:val="20"/>
          <w:szCs w:val="20"/>
        </w:rPr>
        <w:t xml:space="preserve">Wang, A., Singh, A., Michael, J., Hill, F., Levy, O., &amp; Bowman, S. (2018). GLUE: A multi-task benchmark and analysis platform for natural language understanding. EMNLP BlackboxNLP.</w:t>
      </w:r>
    </w:p>
    <w:p>
      <w:pPr>
        <w:spacing w:after="80" w:line="260"/>
        <w:ind w:left="720" w:hanging="360"/>
      </w:pPr>
      <w:r>
        <w:rPr>
          <w:rFonts w:ascii="Calibri" w:cs="Calibri" w:eastAsia="Calibri" w:hAnsi="Calibri"/>
          <w:sz w:val="20"/>
          <w:szCs w:val="20"/>
        </w:rPr>
        <w:t xml:space="preserve">Wiegreffe, S., &amp; Marasovic, A. (2021). Teach me to explain: A review of datasets for explainable NLP. NeurIPS Datasets and Benchmarks.</w:t>
      </w:r>
    </w:p>
    <w:p>
      <w:pPr>
        <w:spacing w:after="80" w:line="260"/>
        <w:ind w:left="720" w:hanging="360"/>
      </w:pPr>
      <w:r>
        <w:rPr>
          <w:rFonts w:ascii="Calibri" w:cs="Calibri" w:eastAsia="Calibri" w:hAnsi="Calibri"/>
          <w:sz w:val="20"/>
          <w:szCs w:val="20"/>
        </w:rPr>
        <w:t xml:space="preserve">Zhao, J., Wang, T., Yatskar, M., Ordonez, V., &amp; Chang, K.-W. (2018). Gender bias in coreference resolution: Evaluation and debiasing methods. NAACL.</w:t>
      </w:r>
    </w:p>
    <w:p>
      <w:pPr>
        <w:spacing w:after="80" w:line="260"/>
        <w:ind w:left="720" w:hanging="360"/>
      </w:pPr>
      <w:r>
        <w:rPr>
          <w:rFonts w:ascii="Calibri" w:cs="Calibri" w:eastAsia="Calibri" w:hAnsi="Calibri"/>
          <w:sz w:val="20"/>
          <w:szCs w:val="20"/>
        </w:rPr>
        <w:t xml:space="preserve">Zheng, L., Chiang, W.-L., Sheng, Y., Zhuang, S., Wu, Z., Zhuang, Y., Lin, Z., Li, Z., Li, D., Xing, E. P., Zhang, H., Gonzalez, J. E., &amp; Stoica, I. (2023). Judging LLM-as-a-judge with MT-Bench and Chatbot Arena. NeurIPS Datasets and Benchmarks.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8"/>
        <w:szCs w:val="18"/>
      </w:rPr>
      <w:t xml:space="preserve">The Legend Challenge — Anonymous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180"/>
      <w:outlineLvl w:val="2"/>
    </w:pPr>
    <w:rPr>
      <w:rFonts w:ascii="Calibri" w:cs="Calibri" w:eastAsia="Calibri" w:hAnsi="Calibri"/>
      <w:b/>
      <w:bCs/>
      <w:i/>
      <w:i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Legend Challenge</dc:title>
  <dc:creator>Anonymous</dc:creator>
  <dc:description>Embedding Ethical Compliance into LLMs through Champion Narratives</dc:description>
  <cp:lastModifiedBy>Un-named</cp:lastModifiedBy>
  <cp:revision>1</cp:revision>
  <dcterms:created xsi:type="dcterms:W3CDTF">2026-05-06T08:56:22.357Z</dcterms:created>
  <dcterms:modified xsi:type="dcterms:W3CDTF">2026-05-06T08:56:22.373Z</dcterms:modified>
</cp:coreProperties>
</file>

<file path=docProps/custom.xml><?xml version="1.0" encoding="utf-8"?>
<Properties xmlns="http://schemas.openxmlformats.org/officeDocument/2006/custom-properties" xmlns:vt="http://schemas.openxmlformats.org/officeDocument/2006/docPropsVTypes"/>
</file>