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color w:val="5F5E5A"/>
          <w:sz w:val="24"/>
          <w:szCs w:val="24"/>
        </w:rPr>
        <w:t xml:space="preserve">ISM — Master 2 Big Data</w:t>
      </w:r>
    </w:p>
    <w:p>
      <w:pPr>
        <w:spacing w:after="800"/>
        <w:jc w:val="center"/>
      </w:pPr>
      <w:r>
        <w:rPr>
          <w:color w:val="5F5E5A"/>
          <w:sz w:val="24"/>
          <w:szCs w:val="24"/>
        </w:rPr>
        <w:t xml:space="preserve">Gestion de Projet Data et E-Business</w:t>
      </w:r>
    </w:p>
    <w:p>
      <w:pPr>
        <w:spacing w:after="120"/>
        <w:jc w:val="center"/>
      </w:pPr>
      <w:r>
        <w:rPr>
          <w:b/>
          <w:bCs/>
          <w:color w:val="26215C"/>
          <w:sz w:val="40"/>
          <w:szCs w:val="40"/>
        </w:rPr>
        <w:t xml:space="preserve">Plateforme Data-Driven Pricing &amp; Recommandation</w:t>
      </w:r>
    </w:p>
    <w:p>
      <w:pPr>
        <w:spacing w:after="600"/>
        <w:jc w:val="center"/>
      </w:pPr>
      <w:r>
        <w:rPr>
          <w:color w:val="26215C"/>
          <w:sz w:val="32"/>
          <w:szCs w:val="32"/>
        </w:rPr>
        <w:t xml:space="preserve">pour e-commerce local</w:t>
      </w:r>
    </w:p>
    <w:p>
      <w:pPr>
        <w:spacing w:after="1200"/>
        <w:jc w:val="center"/>
      </w:pPr>
      <w:r>
        <w:rPr>
          <w:b/>
          <w:bCs/>
          <w:color w:val="0F6E56"/>
          <w:sz w:val="30"/>
          <w:szCs w:val="30"/>
        </w:rPr>
        <w:t xml:space="preserve">Architecture technique &amp; schéma de données</w:t>
      </w:r>
    </w:p>
    <w:p>
      <w:pPr>
        <w:jc w:val="center"/>
      </w:pPr>
      <w:r>
        <w:rPr>
          <w:color w:val="5F5E5A"/>
          <w:sz w:val="22"/>
          <w:szCs w:val="22"/>
        </w:rPr>
        <w:t xml:space="preserve">Livrable — Data Engineering</w:t>
      </w:r>
    </w:p>
    <w:p>
      <w:pPr>
        <w:jc w:val="center"/>
      </w:pPr>
      <w:r>
        <w:rPr>
          <w:color w:val="5F5E5A"/>
          <w:sz w:val="22"/>
          <w:szCs w:val="22"/>
        </w:rPr>
        <w:t xml:space="preserve">Août 2026</w:t>
      </w:r>
    </w:p>
    <w:p>
      <w:pPr>
        <w:sectPr>
          <w:pgSz w:w="11906" w:h="16838" w:orient="portrait"/>
          <w:pgMar w:top="1440" w:right="1440" w:bottom="1440" w:left="1440" w:header="708" w:footer="708" w:gutter="0"/>
          <w:pgNumType/>
          <w:docGrid w:linePitch="360"/>
        </w:sectPr>
      </w:pPr>
    </w:p>
    <w:p>
      <w:pPr>
        <w:pStyle w:val="Heading1"/>
        <w:spacing w:after="180" w:before="360"/>
      </w:pPr>
      <w:r>
        <w:t xml:space="preserve">1. Introduction et objectifs</w:t>
      </w:r>
    </w:p>
    <w:p>
      <w:pPr>
        <w:spacing w:after="160"/>
      </w:pPr>
      <w:r>
        <w:t xml:space="preserve">Ce document présente l'architecture technique et le schéma de données de la plateforme de pricing dynamique, de prévision de la demande et de recommandation produit. Il correspond au livrable « Architecture technique + schéma de données » du cahier des charges du projet.</w:t>
      </w:r>
    </w:p>
    <w:p>
      <w:pPr>
        <w:spacing w:after="160"/>
      </w:pPr>
      <w:r>
        <w:t xml:space="preserve">L'architecture doit servir trois cas d'usage data science (forecasting de la demande, optimisation du pricing, recommandation hybride) ainsi qu'un dashboard décisionnel pour les product managers, à partir de quatre familles de données sources : transactions, catalogue produit, logs de navigation web et promotions.</w:t>
      </w:r>
    </w:p>
    <w:p>
      <w:pPr>
        <w:spacing w:after="160"/>
      </w:pPr>
      <w:r>
        <w:t xml:space="preserve">Elle s'organise en deux couches :</w:t>
      </w:r>
    </w:p>
    <w:p>
      <w:pPr>
        <w:pStyle w:val="ListParagraph"/>
        <w:numPr>
          <w:ilvl w:val="0"/>
          <w:numId w:val="1"/>
        </w:numPr>
        <w:spacing w:after="80"/>
      </w:pPr>
      <w:r>
        <w:t xml:space="preserve">un data lake en zones (Raw, Bronze, Silver, Gold), qui gère l'ingestion et la préparation progressive des données ;</w:t>
      </w:r>
    </w:p>
    <w:p>
      <w:pPr>
        <w:pStyle w:val="ListParagraph"/>
        <w:numPr>
          <w:ilvl w:val="0"/>
          <w:numId w:val="1"/>
        </w:numPr>
        <w:spacing w:after="80"/>
      </w:pPr>
      <w:r>
        <w:t xml:space="preserve">un data warehouse en schéma en étoile, qui restitue les données de façon exploitable par les modèles et le BI.</w:t>
      </w:r>
    </w:p>
    <w:p>
      <w:pPr>
        <w:pStyle w:val="Heading1"/>
        <w:spacing w:after="180" w:before="360"/>
      </w:pPr>
      <w:r>
        <w:t xml:space="preserve">2. Le data lake : zones et responsabilités</w:t>
      </w:r>
    </w:p>
    <w:p>
      <w:pPr>
        <w:spacing w:after="160"/>
      </w:pPr>
      <w:r>
        <w:t xml:space="preserve">Chaque zone correspond à un niveau de confiance et de transformation croissant. Aucune donnée n'est modifiée en place : chaque étape écrit dans la zone suivante, ce qui permet de rejouer le pipeline à tout moment depuis la zone Raw.</w:t>
      </w:r>
    </w:p>
    <w:p>
      <w:pPr>
        <w:spacing w:after="240"/>
        <w:jc w:val="center"/>
      </w:pPr>
      <w:r>
        <w:drawing>
          <wp:inline distT="0" distB="0" distL="0" distR="0">
            <wp:extent cx="5334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3811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00"/>
      </w:tblGrid>
      <w:tr>
        <w:trPr>
          <w:tblHeader/>
        </w:trPr>
        <w:tc>
          <w:tcPr>
            <w:tcW w:type="dxa" w:w="2200"/>
            <w:shd w:fill="0F6E56" w:val="clear"/>
            <w:tcMar>
              <w:top w:type="dxa" w:w="80"/>
              <w:left w:type="dxa" w:w="100"/>
              <w:bottom w:type="dxa" w:w="80"/>
              <w:right w:type="dxa" w:w="100"/>
            </w:tcMar>
            <w:vAlign w:val="center"/>
          </w:tcPr>
          <w:p>
            <w:r>
              <w:rPr>
                <w:b/>
                <w:bCs/>
                <w:color w:val="FFFFFF"/>
              </w:rPr>
              <w:t xml:space="preserve">Zone</w:t>
            </w:r>
          </w:p>
        </w:tc>
        <w:tc>
          <w:tcPr>
            <w:tcW w:type="dxa" w:w="1800"/>
            <w:shd w:fill="0F6E56" w:val="clear"/>
            <w:tcMar>
              <w:top w:type="dxa" w:w="80"/>
              <w:left w:type="dxa" w:w="100"/>
              <w:bottom w:type="dxa" w:w="80"/>
              <w:right w:type="dxa" w:w="100"/>
            </w:tcMar>
            <w:vAlign w:val="center"/>
          </w:tcPr>
          <w:p>
            <w:r>
              <w:rPr>
                <w:b/>
                <w:bCs/>
                <w:color w:val="FFFFFF"/>
              </w:rPr>
              <w:t xml:space="preserve">Format</w:t>
            </w:r>
          </w:p>
        </w:tc>
        <w:tc>
          <w:tcPr>
            <w:tcW w:type="dxa" w:w="5300"/>
            <w:shd w:fill="0F6E56" w:val="clear"/>
            <w:tcMar>
              <w:top w:type="dxa" w:w="80"/>
              <w:left w:type="dxa" w:w="100"/>
              <w:bottom w:type="dxa" w:w="80"/>
              <w:right w:type="dxa" w:w="100"/>
            </w:tcMar>
            <w:vAlign w:val="center"/>
          </w:tcPr>
          <w:p>
            <w:r>
              <w:rPr>
                <w:b/>
                <w:bCs/>
                <w:color w:val="FFFFFF"/>
              </w:rPr>
              <w:t xml:space="preserve">Contenu</w:t>
            </w:r>
          </w:p>
        </w:tc>
      </w:tr>
      <w:tr>
        <w:tc>
          <w:tcPr>
            <w:tcW w:type="dxa" w:w="2200"/>
            <w:tcMar>
              <w:top w:type="dxa" w:w="80"/>
              <w:left w:type="dxa" w:w="100"/>
              <w:bottom w:type="dxa" w:w="80"/>
              <w:right w:type="dxa" w:w="100"/>
            </w:tcMar>
            <w:vAlign w:val="center"/>
          </w:tcPr>
          <w:p>
            <w:r>
              <w:rPr>
                <w:b w:val="false"/>
                <w:bCs w:val="false"/>
                <w:color w:val="000000"/>
              </w:rPr>
              <w:t xml:space="preserve">Raw</w:t>
            </w:r>
          </w:p>
        </w:tc>
        <w:tc>
          <w:tcPr>
            <w:tcW w:type="dxa" w:w="1800"/>
            <w:tcMar>
              <w:top w:type="dxa" w:w="80"/>
              <w:left w:type="dxa" w:w="100"/>
              <w:bottom w:type="dxa" w:w="80"/>
              <w:right w:type="dxa" w:w="100"/>
            </w:tcMar>
            <w:vAlign w:val="center"/>
          </w:tcPr>
          <w:p>
            <w:r>
              <w:rPr>
                <w:b w:val="false"/>
                <w:bCs w:val="false"/>
                <w:color w:val="000000"/>
              </w:rPr>
              <w:t xml:space="preserve">CSV / JSON</w:t>
            </w:r>
          </w:p>
        </w:tc>
        <w:tc>
          <w:tcPr>
            <w:tcW w:type="dxa" w:w="5300"/>
            <w:tcMar>
              <w:top w:type="dxa" w:w="80"/>
              <w:left w:type="dxa" w:w="100"/>
              <w:bottom w:type="dxa" w:w="80"/>
              <w:right w:type="dxa" w:w="100"/>
            </w:tcMar>
            <w:vAlign w:val="center"/>
          </w:tcPr>
          <w:p>
            <w:r>
              <w:rPr>
                <w:b w:val="false"/>
                <w:bCs w:val="false"/>
                <w:color w:val="000000"/>
              </w:rPr>
              <w:t xml:space="preserve">Copie brute et immuable des sources, telle que reçue. Sert d'archive et permet le rejeu en cas d'erreur en aval.</w:t>
            </w:r>
          </w:p>
        </w:tc>
      </w:tr>
      <w:tr>
        <w:tc>
          <w:tcPr>
            <w:tcW w:type="dxa" w:w="2200"/>
            <w:tcMar>
              <w:top w:type="dxa" w:w="80"/>
              <w:left w:type="dxa" w:w="100"/>
              <w:bottom w:type="dxa" w:w="80"/>
              <w:right w:type="dxa" w:w="100"/>
            </w:tcMar>
            <w:vAlign w:val="center"/>
          </w:tcPr>
          <w:p>
            <w:r>
              <w:rPr>
                <w:b w:val="false"/>
                <w:bCs w:val="false"/>
                <w:color w:val="000000"/>
              </w:rPr>
              <w:t xml:space="preserve">Bronze</w:t>
            </w:r>
          </w:p>
        </w:tc>
        <w:tc>
          <w:tcPr>
            <w:tcW w:type="dxa" w:w="1800"/>
            <w:tcMar>
              <w:top w:type="dxa" w:w="80"/>
              <w:left w:type="dxa" w:w="100"/>
              <w:bottom w:type="dxa" w:w="80"/>
              <w:right w:type="dxa" w:w="100"/>
            </w:tcMar>
            <w:vAlign w:val="center"/>
          </w:tcPr>
          <w:p>
            <w:r>
              <w:rPr>
                <w:b w:val="false"/>
                <w:bCs w:val="false"/>
                <w:color w:val="000000"/>
              </w:rPr>
              <w:t xml:space="preserve">Parquet</w:t>
            </w:r>
          </w:p>
        </w:tc>
        <w:tc>
          <w:tcPr>
            <w:tcW w:type="dxa" w:w="5300"/>
            <w:tcMar>
              <w:top w:type="dxa" w:w="80"/>
              <w:left w:type="dxa" w:w="100"/>
              <w:bottom w:type="dxa" w:w="80"/>
              <w:right w:type="dxa" w:w="100"/>
            </w:tcMar>
            <w:vAlign w:val="center"/>
          </w:tcPr>
          <w:p>
            <w:r>
              <w:rPr>
                <w:b w:val="false"/>
                <w:bCs w:val="false"/>
                <w:color w:val="000000"/>
              </w:rPr>
              <w:t xml:space="preserve">Données typées, dédupliquées, dates normalisées, partitionnées par date d'ingestion. Aucune logique métier appliquée.</w:t>
            </w:r>
          </w:p>
        </w:tc>
      </w:tr>
      <w:tr>
        <w:tc>
          <w:tcPr>
            <w:tcW w:type="dxa" w:w="2200"/>
            <w:tcMar>
              <w:top w:type="dxa" w:w="80"/>
              <w:left w:type="dxa" w:w="100"/>
              <w:bottom w:type="dxa" w:w="80"/>
              <w:right w:type="dxa" w:w="100"/>
            </w:tcMar>
            <w:vAlign w:val="center"/>
          </w:tcPr>
          <w:p>
            <w:r>
              <w:rPr>
                <w:b w:val="false"/>
                <w:bCs w:val="false"/>
                <w:color w:val="000000"/>
              </w:rPr>
              <w:t xml:space="preserve">Silver</w:t>
            </w:r>
          </w:p>
        </w:tc>
        <w:tc>
          <w:tcPr>
            <w:tcW w:type="dxa" w:w="1800"/>
            <w:tcMar>
              <w:top w:type="dxa" w:w="80"/>
              <w:left w:type="dxa" w:w="100"/>
              <w:bottom w:type="dxa" w:w="80"/>
              <w:right w:type="dxa" w:w="100"/>
            </w:tcMar>
            <w:vAlign w:val="center"/>
          </w:tcPr>
          <w:p>
            <w:r>
              <w:rPr>
                <w:b w:val="false"/>
                <w:bCs w:val="false"/>
                <w:color w:val="000000"/>
              </w:rPr>
              <w:t xml:space="preserve">Parquet</w:t>
            </w:r>
          </w:p>
        </w:tc>
        <w:tc>
          <w:tcPr>
            <w:tcW w:type="dxa" w:w="5300"/>
            <w:tcMar>
              <w:top w:type="dxa" w:w="80"/>
              <w:left w:type="dxa" w:w="100"/>
              <w:bottom w:type="dxa" w:w="80"/>
              <w:right w:type="dxa" w:w="100"/>
            </w:tcMar>
            <w:vAlign w:val="center"/>
          </w:tcPr>
          <w:p>
            <w:r>
              <w:rPr>
                <w:b w:val="false"/>
                <w:bCs w:val="false"/>
                <w:color w:val="000000"/>
              </w:rPr>
              <w:t xml:space="preserve">Règles de qualité (great_expectations) appliquées : doublons et clés orphelines isolés, catégories normalisées, valeurs manquantes traitées.</w:t>
            </w:r>
          </w:p>
        </w:tc>
      </w:tr>
      <w:tr>
        <w:tc>
          <w:tcPr>
            <w:tcW w:type="dxa" w:w="2200"/>
            <w:tcMar>
              <w:top w:type="dxa" w:w="80"/>
              <w:left w:type="dxa" w:w="100"/>
              <w:bottom w:type="dxa" w:w="80"/>
              <w:right w:type="dxa" w:w="100"/>
            </w:tcMar>
            <w:vAlign w:val="center"/>
          </w:tcPr>
          <w:p>
            <w:r>
              <w:rPr>
                <w:b w:val="false"/>
                <w:bCs w:val="false"/>
                <w:color w:val="000000"/>
              </w:rPr>
              <w:t xml:space="preserve">Gold</w:t>
            </w:r>
          </w:p>
        </w:tc>
        <w:tc>
          <w:tcPr>
            <w:tcW w:type="dxa" w:w="1800"/>
            <w:tcMar>
              <w:top w:type="dxa" w:w="80"/>
              <w:left w:type="dxa" w:w="100"/>
              <w:bottom w:type="dxa" w:w="80"/>
              <w:right w:type="dxa" w:w="100"/>
            </w:tcMar>
            <w:vAlign w:val="center"/>
          </w:tcPr>
          <w:p>
            <w:r>
              <w:rPr>
                <w:b w:val="false"/>
                <w:bCs w:val="false"/>
                <w:color w:val="000000"/>
              </w:rPr>
              <w:t xml:space="preserve">Parquet</w:t>
            </w:r>
          </w:p>
        </w:tc>
        <w:tc>
          <w:tcPr>
            <w:tcW w:type="dxa" w:w="5300"/>
            <w:tcMar>
              <w:top w:type="dxa" w:w="80"/>
              <w:left w:type="dxa" w:w="100"/>
              <w:bottom w:type="dxa" w:w="80"/>
              <w:right w:type="dxa" w:w="100"/>
            </w:tcMar>
            <w:vAlign w:val="center"/>
          </w:tcPr>
          <w:p>
            <w:r>
              <w:rPr>
                <w:b w:val="false"/>
                <w:bCs w:val="false"/>
                <w:color w:val="000000"/>
              </w:rPr>
              <w:t xml:space="preserve">Données agrégées ou dénormalisées, prêtes à l'emploi : features pour les modèles ML, tables sources du data warehouse.</w:t>
            </w:r>
          </w:p>
        </w:tc>
      </w:tr>
    </w:tbl>
    <w:p>
      <w:pPr>
        <w:spacing w:after="160"/>
      </w:pPr>
      <w:r>
        <w:t xml:space="preserve"/>
      </w:r>
    </w:p>
    <w:p>
      <w:pPr>
        <w:spacing w:after="160"/>
      </w:pPr>
      <w:r>
        <w:t xml:space="preserve">Partitionnement recommandé pour fact_transactions et web_events : par année/mois/jour sur order_date / event_timestamp. Cela limite les scans et facilite les reprises incrémentales dans l'orchestrateur (Airflow ou Prefect).</w:t>
      </w:r>
    </w:p>
    <w:p>
      <w:pPr>
        <w:pStyle w:val="Heading1"/>
        <w:spacing w:after="180" w:before="360"/>
      </w:pPr>
      <w:r>
        <w:t xml:space="preserve">3. De la zone Gold à la restitution</w:t>
      </w:r>
    </w:p>
    <w:p>
      <w:pPr>
        <w:spacing w:after="160"/>
      </w:pPr>
      <w:r>
        <w:t xml:space="preserve">La zone Gold alimente le data warehouse, qui sert à son tour les quatre cas d'usage du projet. C'est la seule zone que les équipes data science et BI consomment directement — les zones Raw, Bronze et Silver restent internes au pipeline d'ingestion.</w:t>
      </w:r>
    </w:p>
    <w:p>
      <w:pPr>
        <w:spacing w:after="240"/>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38375"/>
                    </a:xfrm>
                    <a:prstGeom prst="rect">
                      <a:avLst/>
                    </a:prstGeom>
                  </pic:spPr>
                </pic:pic>
              </a:graphicData>
            </a:graphic>
          </wp:inline>
        </w:drawing>
      </w:r>
    </w:p>
    <w:p>
      <w:pPr>
        <w:pStyle w:val="Heading1"/>
        <w:spacing w:after="180" w:before="360"/>
      </w:pPr>
      <w:r>
        <w:t xml:space="preserve">4. Le data warehouse : schéma en étoile</w:t>
      </w:r>
    </w:p>
    <w:p>
      <w:pPr>
        <w:spacing w:after="160"/>
      </w:pPr>
      <w:r>
        <w:t xml:space="preserve">Le modèle retenu est un schéma en étoile avec cinq tables de faits à des grains différents (ventes, événements web, stock, expérimentation prix, exposition recommandation) et quatre dimensions partagées.</w:t>
      </w:r>
    </w:p>
    <w:p>
      <w:pPr>
        <w:spacing w:after="240"/>
        <w:jc w:val="center"/>
      </w:pPr>
      <w:r>
        <w:drawing>
          <wp:inline distT="0" distB="0" distL="0" distR="0">
            <wp:extent cx="4762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476750"/>
                    </a:xfrm>
                    <a:prstGeom prst="rect">
                      <a:avLst/>
                    </a:prstGeom>
                  </pic:spPr>
                </pic:pic>
              </a:graphicData>
            </a:graphic>
          </wp:inline>
        </w:drawing>
      </w:r>
    </w:p>
    <w:p>
      <w:pPr>
        <w:pStyle w:val="Heading2"/>
        <w:spacing w:after="140" w:before="280"/>
      </w:pPr>
      <w:r>
        <w:t xml:space="preserve">4.1 Table de faits : FACT_VENTES</w:t>
      </w:r>
    </w:p>
    <w:p>
      <w:pPr>
        <w:spacing w:after="160"/>
      </w:pPr>
      <w:r>
        <w:t xml:space="preserve">Grain : une ligne par produit vendu dans une commande.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00"/>
      </w:tblGrid>
      <w:tr>
        <w:trPr>
          <w:tblHeader/>
        </w:trPr>
        <w:tc>
          <w:tcPr>
            <w:tcW w:type="dxa" w:w="2200"/>
            <w:shd w:fill="993C1D" w:val="clear"/>
            <w:tcMar>
              <w:top w:type="dxa" w:w="80"/>
              <w:left w:type="dxa" w:w="100"/>
              <w:bottom w:type="dxa" w:w="80"/>
              <w:right w:type="dxa" w:w="100"/>
            </w:tcMar>
            <w:vAlign w:val="center"/>
          </w:tcPr>
          <w:p>
            <w:r>
              <w:rPr>
                <w:b/>
                <w:bCs/>
                <w:color w:val="FFFFFF"/>
              </w:rPr>
              <w:t xml:space="preserve">Colonne</w:t>
            </w:r>
          </w:p>
        </w:tc>
        <w:tc>
          <w:tcPr>
            <w:tcW w:type="dxa" w:w="2000"/>
            <w:shd w:fill="993C1D" w:val="clear"/>
            <w:tcMar>
              <w:top w:type="dxa" w:w="80"/>
              <w:left w:type="dxa" w:w="100"/>
              <w:bottom w:type="dxa" w:w="80"/>
              <w:right w:type="dxa" w:w="100"/>
            </w:tcMar>
            <w:vAlign w:val="center"/>
          </w:tcPr>
          <w:p>
            <w:r>
              <w:rPr>
                <w:b/>
                <w:bCs/>
                <w:color w:val="FFFFFF"/>
              </w:rPr>
              <w:t xml:space="preserve">Type</w:t>
            </w:r>
          </w:p>
        </w:tc>
        <w:tc>
          <w:tcPr>
            <w:tcW w:type="dxa" w:w="5100"/>
            <w:shd w:fill="993C1D" w:val="clear"/>
            <w:tcMar>
              <w:top w:type="dxa" w:w="80"/>
              <w:left w:type="dxa" w:w="100"/>
              <w:bottom w:type="dxa" w:w="80"/>
              <w:right w:type="dxa" w:w="100"/>
            </w:tcMar>
            <w:vAlign w:val="center"/>
          </w:tcPr>
          <w:p>
            <w:r>
              <w:rPr>
                <w:b/>
                <w:bCs/>
                <w:color w:val="FFFFFF"/>
              </w:rPr>
              <w:t xml:space="preserve">Description</w:t>
            </w:r>
          </w:p>
        </w:tc>
      </w:tr>
      <w:tr>
        <w:tc>
          <w:tcPr>
            <w:tcW w:type="dxa" w:w="2200"/>
            <w:tcMar>
              <w:top w:type="dxa" w:w="80"/>
              <w:left w:type="dxa" w:w="100"/>
              <w:bottom w:type="dxa" w:w="80"/>
              <w:right w:type="dxa" w:w="100"/>
            </w:tcMar>
            <w:vAlign w:val="center"/>
          </w:tcPr>
          <w:p>
            <w:r>
              <w:rPr>
                <w:b w:val="false"/>
                <w:bCs w:val="false"/>
                <w:color w:val="000000"/>
              </w:rPr>
              <w:t xml:space="preserve">vente_id</w:t>
            </w:r>
          </w:p>
        </w:tc>
        <w:tc>
          <w:tcPr>
            <w:tcW w:type="dxa" w:w="2000"/>
            <w:tcMar>
              <w:top w:type="dxa" w:w="80"/>
              <w:left w:type="dxa" w:w="100"/>
              <w:bottom w:type="dxa" w:w="80"/>
              <w:right w:type="dxa" w:w="100"/>
            </w:tcMar>
            <w:vAlign w:val="center"/>
          </w:tcPr>
          <w:p>
            <w:r>
              <w:rPr>
                <w:b w:val="false"/>
                <w:bCs w:val="false"/>
                <w:color w:val="000000"/>
              </w:rPr>
              <w:t xml:space="preserve">string (PK)</w:t>
            </w:r>
          </w:p>
        </w:tc>
        <w:tc>
          <w:tcPr>
            <w:tcW w:type="dxa" w:w="5100"/>
            <w:tcMar>
              <w:top w:type="dxa" w:w="80"/>
              <w:left w:type="dxa" w:w="100"/>
              <w:bottom w:type="dxa" w:w="80"/>
              <w:right w:type="dxa" w:w="100"/>
            </w:tcMar>
            <w:vAlign w:val="center"/>
          </w:tcPr>
          <w:p>
            <w:r>
              <w:rPr>
                <w:b w:val="false"/>
                <w:bCs w:val="false"/>
                <w:color w:val="000000"/>
              </w:rPr>
              <w:t xml:space="preserve">Identifiant unique de la ligne de vente.</w:t>
            </w:r>
          </w:p>
        </w:tc>
      </w:tr>
      <w:tr>
        <w:tc>
          <w:tcPr>
            <w:tcW w:type="dxa" w:w="2200"/>
            <w:tcMar>
              <w:top w:type="dxa" w:w="80"/>
              <w:left w:type="dxa" w:w="100"/>
              <w:bottom w:type="dxa" w:w="80"/>
              <w:right w:type="dxa" w:w="100"/>
            </w:tcMar>
            <w:vAlign w:val="center"/>
          </w:tcPr>
          <w:p>
            <w:r>
              <w:rPr>
                <w:b w:val="false"/>
                <w:bCs w:val="false"/>
                <w:color w:val="000000"/>
              </w:rPr>
              <w:t xml:space="preserve">produit_key</w:t>
            </w:r>
          </w:p>
        </w:tc>
        <w:tc>
          <w:tcPr>
            <w:tcW w:type="dxa" w:w="2000"/>
            <w:tcMar>
              <w:top w:type="dxa" w:w="80"/>
              <w:left w:type="dxa" w:w="100"/>
              <w:bottom w:type="dxa" w:w="80"/>
              <w:right w:type="dxa" w:w="100"/>
            </w:tcMar>
            <w:vAlign w:val="center"/>
          </w:tcPr>
          <w:p>
            <w:r>
              <w:rPr>
                <w:b w:val="false"/>
                <w:bCs w:val="false"/>
                <w:color w:val="000000"/>
              </w:rPr>
              <w:t xml:space="preserve">string (FK)</w:t>
            </w:r>
          </w:p>
        </w:tc>
        <w:tc>
          <w:tcPr>
            <w:tcW w:type="dxa" w:w="5100"/>
            <w:tcMar>
              <w:top w:type="dxa" w:w="80"/>
              <w:left w:type="dxa" w:w="100"/>
              <w:bottom w:type="dxa" w:w="80"/>
              <w:right w:type="dxa" w:w="100"/>
            </w:tcMar>
            <w:vAlign w:val="center"/>
          </w:tcPr>
          <w:p>
            <w:r>
              <w:rPr>
                <w:b w:val="false"/>
                <w:bCs w:val="false"/>
                <w:color w:val="000000"/>
              </w:rPr>
              <w:t xml:space="preserve">Référence vers DIM_PRODUIT (clé de substitution, pas le product_id métier).</w:t>
            </w:r>
          </w:p>
        </w:tc>
      </w:tr>
      <w:tr>
        <w:tc>
          <w:tcPr>
            <w:tcW w:type="dxa" w:w="2200"/>
            <w:tcMar>
              <w:top w:type="dxa" w:w="80"/>
              <w:left w:type="dxa" w:w="100"/>
              <w:bottom w:type="dxa" w:w="80"/>
              <w:right w:type="dxa" w:w="100"/>
            </w:tcMar>
            <w:vAlign w:val="center"/>
          </w:tcPr>
          <w:p>
            <w:r>
              <w:rPr>
                <w:b w:val="false"/>
                <w:bCs w:val="false"/>
                <w:color w:val="000000"/>
              </w:rPr>
              <w:t xml:space="preserve">client_key</w:t>
            </w:r>
          </w:p>
        </w:tc>
        <w:tc>
          <w:tcPr>
            <w:tcW w:type="dxa" w:w="2000"/>
            <w:tcMar>
              <w:top w:type="dxa" w:w="80"/>
              <w:left w:type="dxa" w:w="100"/>
              <w:bottom w:type="dxa" w:w="80"/>
              <w:right w:type="dxa" w:w="100"/>
            </w:tcMar>
            <w:vAlign w:val="center"/>
          </w:tcPr>
          <w:p>
            <w:r>
              <w:rPr>
                <w:b w:val="false"/>
                <w:bCs w:val="false"/>
                <w:color w:val="000000"/>
              </w:rPr>
              <w:t xml:space="preserve">string (FK)</w:t>
            </w:r>
          </w:p>
        </w:tc>
        <w:tc>
          <w:tcPr>
            <w:tcW w:type="dxa" w:w="5100"/>
            <w:tcMar>
              <w:top w:type="dxa" w:w="80"/>
              <w:left w:type="dxa" w:w="100"/>
              <w:bottom w:type="dxa" w:w="80"/>
              <w:right w:type="dxa" w:w="100"/>
            </w:tcMar>
            <w:vAlign w:val="center"/>
          </w:tcPr>
          <w:p>
            <w:r>
              <w:rPr>
                <w:b w:val="false"/>
                <w:bCs w:val="false"/>
                <w:color w:val="000000"/>
              </w:rPr>
              <w:t xml:space="preserve">Référence vers DIM_CLIENT.</w:t>
            </w:r>
          </w:p>
        </w:tc>
      </w:tr>
      <w:tr>
        <w:tc>
          <w:tcPr>
            <w:tcW w:type="dxa" w:w="2200"/>
            <w:tcMar>
              <w:top w:type="dxa" w:w="80"/>
              <w:left w:type="dxa" w:w="100"/>
              <w:bottom w:type="dxa" w:w="80"/>
              <w:right w:type="dxa" w:w="100"/>
            </w:tcMar>
            <w:vAlign w:val="center"/>
          </w:tcPr>
          <w:p>
            <w:r>
              <w:rPr>
                <w:b w:val="false"/>
                <w:bCs w:val="false"/>
                <w:color w:val="000000"/>
              </w:rPr>
              <w:t xml:space="preserve">date_key</w:t>
            </w:r>
          </w:p>
        </w:tc>
        <w:tc>
          <w:tcPr>
            <w:tcW w:type="dxa" w:w="2000"/>
            <w:tcMar>
              <w:top w:type="dxa" w:w="80"/>
              <w:left w:type="dxa" w:w="100"/>
              <w:bottom w:type="dxa" w:w="80"/>
              <w:right w:type="dxa" w:w="100"/>
            </w:tcMar>
            <w:vAlign w:val="center"/>
          </w:tcPr>
          <w:p>
            <w:r>
              <w:rPr>
                <w:b w:val="false"/>
                <w:bCs w:val="false"/>
                <w:color w:val="000000"/>
              </w:rPr>
              <w:t xml:space="preserve">string (FK)</w:t>
            </w:r>
          </w:p>
        </w:tc>
        <w:tc>
          <w:tcPr>
            <w:tcW w:type="dxa" w:w="5100"/>
            <w:tcMar>
              <w:top w:type="dxa" w:w="80"/>
              <w:left w:type="dxa" w:w="100"/>
              <w:bottom w:type="dxa" w:w="80"/>
              <w:right w:type="dxa" w:w="100"/>
            </w:tcMar>
            <w:vAlign w:val="center"/>
          </w:tcPr>
          <w:p>
            <w:r>
              <w:rPr>
                <w:b w:val="false"/>
                <w:bCs w:val="false"/>
                <w:color w:val="000000"/>
              </w:rPr>
              <w:t xml:space="preserve">Référence vers DIM_DATE.</w:t>
            </w:r>
          </w:p>
        </w:tc>
      </w:tr>
      <w:tr>
        <w:tc>
          <w:tcPr>
            <w:tcW w:type="dxa" w:w="2200"/>
            <w:tcMar>
              <w:top w:type="dxa" w:w="80"/>
              <w:left w:type="dxa" w:w="100"/>
              <w:bottom w:type="dxa" w:w="80"/>
              <w:right w:type="dxa" w:w="100"/>
            </w:tcMar>
            <w:vAlign w:val="center"/>
          </w:tcPr>
          <w:p>
            <w:r>
              <w:rPr>
                <w:b w:val="false"/>
                <w:bCs w:val="false"/>
                <w:color w:val="000000"/>
              </w:rPr>
              <w:t xml:space="preserve">promo_key</w:t>
            </w:r>
          </w:p>
        </w:tc>
        <w:tc>
          <w:tcPr>
            <w:tcW w:type="dxa" w:w="2000"/>
            <w:tcMar>
              <w:top w:type="dxa" w:w="80"/>
              <w:left w:type="dxa" w:w="100"/>
              <w:bottom w:type="dxa" w:w="80"/>
              <w:right w:type="dxa" w:w="100"/>
            </w:tcMar>
            <w:vAlign w:val="center"/>
          </w:tcPr>
          <w:p>
            <w:r>
              <w:rPr>
                <w:b w:val="false"/>
                <w:bCs w:val="false"/>
                <w:color w:val="000000"/>
              </w:rPr>
              <w:t xml:space="preserve">string (FK, nullable)</w:t>
            </w:r>
          </w:p>
        </w:tc>
        <w:tc>
          <w:tcPr>
            <w:tcW w:type="dxa" w:w="5100"/>
            <w:tcMar>
              <w:top w:type="dxa" w:w="80"/>
              <w:left w:type="dxa" w:w="100"/>
              <w:bottom w:type="dxa" w:w="80"/>
              <w:right w:type="dxa" w:w="100"/>
            </w:tcMar>
            <w:vAlign w:val="center"/>
          </w:tcPr>
          <w:p>
            <w:r>
              <w:rPr>
                <w:b w:val="false"/>
                <w:bCs w:val="false"/>
                <w:color w:val="000000"/>
              </w:rPr>
              <w:t xml:space="preserve">Référence vers DIM_PROMOTION si une remise a été appliquée.</w:t>
            </w:r>
          </w:p>
        </w:tc>
      </w:tr>
      <w:tr>
        <w:tc>
          <w:tcPr>
            <w:tcW w:type="dxa" w:w="2200"/>
            <w:tcMar>
              <w:top w:type="dxa" w:w="80"/>
              <w:left w:type="dxa" w:w="100"/>
              <w:bottom w:type="dxa" w:w="80"/>
              <w:right w:type="dxa" w:w="100"/>
            </w:tcMar>
            <w:vAlign w:val="center"/>
          </w:tcPr>
          <w:p>
            <w:r>
              <w:rPr>
                <w:b w:val="false"/>
                <w:bCs w:val="false"/>
                <w:color w:val="000000"/>
              </w:rPr>
              <w:t xml:space="preserve">quantite</w:t>
            </w:r>
          </w:p>
        </w:tc>
        <w:tc>
          <w:tcPr>
            <w:tcW w:type="dxa" w:w="2000"/>
            <w:tcMar>
              <w:top w:type="dxa" w:w="80"/>
              <w:left w:type="dxa" w:w="100"/>
              <w:bottom w:type="dxa" w:w="80"/>
              <w:right w:type="dxa" w:w="100"/>
            </w:tcMar>
            <w:vAlign w:val="center"/>
          </w:tcPr>
          <w:p>
            <w:r>
              <w:rPr>
                <w:b w:val="false"/>
                <w:bCs w:val="false"/>
                <w:color w:val="000000"/>
              </w:rPr>
              <w:t xml:space="preserve">int</w:t>
            </w:r>
          </w:p>
        </w:tc>
        <w:tc>
          <w:tcPr>
            <w:tcW w:type="dxa" w:w="5100"/>
            <w:tcMar>
              <w:top w:type="dxa" w:w="80"/>
              <w:left w:type="dxa" w:w="100"/>
              <w:bottom w:type="dxa" w:w="80"/>
              <w:right w:type="dxa" w:w="100"/>
            </w:tcMar>
            <w:vAlign w:val="center"/>
          </w:tcPr>
          <w:p>
            <w:r>
              <w:rPr>
                <w:b w:val="false"/>
                <w:bCs w:val="false"/>
                <w:color w:val="000000"/>
              </w:rPr>
              <w:t xml:space="preserve">Quantité vendue.</w:t>
            </w:r>
          </w:p>
        </w:tc>
      </w:tr>
      <w:tr>
        <w:tc>
          <w:tcPr>
            <w:tcW w:type="dxa" w:w="2200"/>
            <w:tcMar>
              <w:top w:type="dxa" w:w="80"/>
              <w:left w:type="dxa" w:w="100"/>
              <w:bottom w:type="dxa" w:w="80"/>
              <w:right w:type="dxa" w:w="100"/>
            </w:tcMar>
            <w:vAlign w:val="center"/>
          </w:tcPr>
          <w:p>
            <w:r>
              <w:rPr>
                <w:b w:val="false"/>
                <w:bCs w:val="false"/>
                <w:color w:val="000000"/>
              </w:rPr>
              <w:t xml:space="preserve">montant_net_xof</w:t>
            </w:r>
          </w:p>
        </w:tc>
        <w:tc>
          <w:tcPr>
            <w:tcW w:type="dxa" w:w="2000"/>
            <w:tcMar>
              <w:top w:type="dxa" w:w="80"/>
              <w:left w:type="dxa" w:w="100"/>
              <w:bottom w:type="dxa" w:w="80"/>
              <w:right w:type="dxa" w:w="100"/>
            </w:tcMar>
            <w:vAlign w:val="center"/>
          </w:tcPr>
          <w:p>
            <w:r>
              <w:rPr>
                <w:b w:val="false"/>
                <w:bCs w:val="false"/>
                <w:color w:val="000000"/>
              </w:rPr>
              <w:t xml:space="preserve">float</w:t>
            </w:r>
          </w:p>
        </w:tc>
        <w:tc>
          <w:tcPr>
            <w:tcW w:type="dxa" w:w="5100"/>
            <w:tcMar>
              <w:top w:type="dxa" w:w="80"/>
              <w:left w:type="dxa" w:w="100"/>
              <w:bottom w:type="dxa" w:w="80"/>
              <w:right w:type="dxa" w:w="100"/>
            </w:tcMar>
            <w:vAlign w:val="center"/>
          </w:tcPr>
          <w:p>
            <w:r>
              <w:rPr>
                <w:b w:val="false"/>
                <w:bCs w:val="false"/>
                <w:color w:val="000000"/>
              </w:rPr>
              <w:t xml:space="preserve">Montant réellement payé, remise déjà appliquée.</w:t>
            </w:r>
          </w:p>
        </w:tc>
      </w:tr>
    </w:tbl>
    <w:p>
      <w:pPr>
        <w:spacing w:after="160"/>
      </w:pPr>
      <w:r>
        <w:t xml:space="preserve"/>
      </w:r>
    </w:p>
    <w:p>
      <w:pPr>
        <w:pStyle w:val="Heading2"/>
        <w:spacing w:after="140" w:before="280"/>
      </w:pPr>
      <w:r>
        <w:t xml:space="preserve">4.2 Table de faits : FACT_EVENEMENTS_WEB</w:t>
      </w:r>
    </w:p>
    <w:p>
      <w:pPr>
        <w:spacing w:after="160"/>
      </w:pPr>
      <w:r>
        <w:t xml:space="preserve">Grain : un événement de navigation (view, add_to_cart ou purchase).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00"/>
      </w:tblGrid>
      <w:tr>
        <w:trPr>
          <w:tblHeader/>
        </w:trPr>
        <w:tc>
          <w:tcPr>
            <w:tcW w:type="dxa" w:w="2200"/>
            <w:shd w:fill="993C1D" w:val="clear"/>
            <w:tcMar>
              <w:top w:type="dxa" w:w="80"/>
              <w:left w:type="dxa" w:w="100"/>
              <w:bottom w:type="dxa" w:w="80"/>
              <w:right w:type="dxa" w:w="100"/>
            </w:tcMar>
            <w:vAlign w:val="center"/>
          </w:tcPr>
          <w:p>
            <w:r>
              <w:rPr>
                <w:b/>
                <w:bCs/>
                <w:color w:val="FFFFFF"/>
              </w:rPr>
              <w:t xml:space="preserve">Colonne</w:t>
            </w:r>
          </w:p>
        </w:tc>
        <w:tc>
          <w:tcPr>
            <w:tcW w:type="dxa" w:w="2000"/>
            <w:shd w:fill="993C1D" w:val="clear"/>
            <w:tcMar>
              <w:top w:type="dxa" w:w="80"/>
              <w:left w:type="dxa" w:w="100"/>
              <w:bottom w:type="dxa" w:w="80"/>
              <w:right w:type="dxa" w:w="100"/>
            </w:tcMar>
            <w:vAlign w:val="center"/>
          </w:tcPr>
          <w:p>
            <w:r>
              <w:rPr>
                <w:b/>
                <w:bCs/>
                <w:color w:val="FFFFFF"/>
              </w:rPr>
              <w:t xml:space="preserve">Type</w:t>
            </w:r>
          </w:p>
        </w:tc>
        <w:tc>
          <w:tcPr>
            <w:tcW w:type="dxa" w:w="5100"/>
            <w:shd w:fill="993C1D" w:val="clear"/>
            <w:tcMar>
              <w:top w:type="dxa" w:w="80"/>
              <w:left w:type="dxa" w:w="100"/>
              <w:bottom w:type="dxa" w:w="80"/>
              <w:right w:type="dxa" w:w="100"/>
            </w:tcMar>
            <w:vAlign w:val="center"/>
          </w:tcPr>
          <w:p>
            <w:r>
              <w:rPr>
                <w:b/>
                <w:bCs/>
                <w:color w:val="FFFFFF"/>
              </w:rPr>
              <w:t xml:space="preserve">Description</w:t>
            </w:r>
          </w:p>
        </w:tc>
      </w:tr>
      <w:tr>
        <w:tc>
          <w:tcPr>
            <w:tcW w:type="dxa" w:w="2200"/>
            <w:tcMar>
              <w:top w:type="dxa" w:w="80"/>
              <w:left w:type="dxa" w:w="100"/>
              <w:bottom w:type="dxa" w:w="80"/>
              <w:right w:type="dxa" w:w="100"/>
            </w:tcMar>
            <w:vAlign w:val="center"/>
          </w:tcPr>
          <w:p>
            <w:r>
              <w:rPr>
                <w:b w:val="false"/>
                <w:bCs w:val="false"/>
                <w:color w:val="000000"/>
              </w:rPr>
              <w:t xml:space="preserve">event_id</w:t>
            </w:r>
          </w:p>
        </w:tc>
        <w:tc>
          <w:tcPr>
            <w:tcW w:type="dxa" w:w="2000"/>
            <w:tcMar>
              <w:top w:type="dxa" w:w="80"/>
              <w:left w:type="dxa" w:w="100"/>
              <w:bottom w:type="dxa" w:w="80"/>
              <w:right w:type="dxa" w:w="100"/>
            </w:tcMar>
            <w:vAlign w:val="center"/>
          </w:tcPr>
          <w:p>
            <w:r>
              <w:rPr>
                <w:b w:val="false"/>
                <w:bCs w:val="false"/>
                <w:color w:val="000000"/>
              </w:rPr>
              <w:t xml:space="preserve">string (PK)</w:t>
            </w:r>
          </w:p>
        </w:tc>
        <w:tc>
          <w:tcPr>
            <w:tcW w:type="dxa" w:w="5100"/>
            <w:tcMar>
              <w:top w:type="dxa" w:w="80"/>
              <w:left w:type="dxa" w:w="100"/>
              <w:bottom w:type="dxa" w:w="80"/>
              <w:right w:type="dxa" w:w="100"/>
            </w:tcMar>
            <w:vAlign w:val="center"/>
          </w:tcPr>
          <w:p>
            <w:r>
              <w:rPr>
                <w:b w:val="false"/>
                <w:bCs w:val="false"/>
                <w:color w:val="000000"/>
              </w:rPr>
              <w:t xml:space="preserve">Identifiant unique de l'événement.</w:t>
            </w:r>
          </w:p>
        </w:tc>
      </w:tr>
      <w:tr>
        <w:tc>
          <w:tcPr>
            <w:tcW w:type="dxa" w:w="2200"/>
            <w:tcMar>
              <w:top w:type="dxa" w:w="80"/>
              <w:left w:type="dxa" w:w="100"/>
              <w:bottom w:type="dxa" w:w="80"/>
              <w:right w:type="dxa" w:w="100"/>
            </w:tcMar>
            <w:vAlign w:val="center"/>
          </w:tcPr>
          <w:p>
            <w:r>
              <w:rPr>
                <w:b w:val="false"/>
                <w:bCs w:val="false"/>
                <w:color w:val="000000"/>
              </w:rPr>
              <w:t xml:space="preserve">produit_key</w:t>
            </w:r>
          </w:p>
        </w:tc>
        <w:tc>
          <w:tcPr>
            <w:tcW w:type="dxa" w:w="2000"/>
            <w:tcMar>
              <w:top w:type="dxa" w:w="80"/>
              <w:left w:type="dxa" w:w="100"/>
              <w:bottom w:type="dxa" w:w="80"/>
              <w:right w:type="dxa" w:w="100"/>
            </w:tcMar>
            <w:vAlign w:val="center"/>
          </w:tcPr>
          <w:p>
            <w:r>
              <w:rPr>
                <w:b w:val="false"/>
                <w:bCs w:val="false"/>
                <w:color w:val="000000"/>
              </w:rPr>
              <w:t xml:space="preserve">string (FK)</w:t>
            </w:r>
          </w:p>
        </w:tc>
        <w:tc>
          <w:tcPr>
            <w:tcW w:type="dxa" w:w="5100"/>
            <w:tcMar>
              <w:top w:type="dxa" w:w="80"/>
              <w:left w:type="dxa" w:w="100"/>
              <w:bottom w:type="dxa" w:w="80"/>
              <w:right w:type="dxa" w:w="100"/>
            </w:tcMar>
            <w:vAlign w:val="center"/>
          </w:tcPr>
          <w:p>
            <w:r>
              <w:rPr>
                <w:b w:val="false"/>
                <w:bCs w:val="false"/>
                <w:color w:val="000000"/>
              </w:rPr>
              <w:t xml:space="preserve">Référence vers DIM_PRODUIT.</w:t>
            </w:r>
          </w:p>
        </w:tc>
      </w:tr>
      <w:tr>
        <w:tc>
          <w:tcPr>
            <w:tcW w:type="dxa" w:w="2200"/>
            <w:tcMar>
              <w:top w:type="dxa" w:w="80"/>
              <w:left w:type="dxa" w:w="100"/>
              <w:bottom w:type="dxa" w:w="80"/>
              <w:right w:type="dxa" w:w="100"/>
            </w:tcMar>
            <w:vAlign w:val="center"/>
          </w:tcPr>
          <w:p>
            <w:r>
              <w:rPr>
                <w:b w:val="false"/>
                <w:bCs w:val="false"/>
                <w:color w:val="000000"/>
              </w:rPr>
              <w:t xml:space="preserve">client_key</w:t>
            </w:r>
          </w:p>
        </w:tc>
        <w:tc>
          <w:tcPr>
            <w:tcW w:type="dxa" w:w="2000"/>
            <w:tcMar>
              <w:top w:type="dxa" w:w="80"/>
              <w:left w:type="dxa" w:w="100"/>
              <w:bottom w:type="dxa" w:w="80"/>
              <w:right w:type="dxa" w:w="100"/>
            </w:tcMar>
            <w:vAlign w:val="center"/>
          </w:tcPr>
          <w:p>
            <w:r>
              <w:rPr>
                <w:b w:val="false"/>
                <w:bCs w:val="false"/>
                <w:color w:val="000000"/>
              </w:rPr>
              <w:t xml:space="preserve">string (FK)</w:t>
            </w:r>
          </w:p>
        </w:tc>
        <w:tc>
          <w:tcPr>
            <w:tcW w:type="dxa" w:w="5100"/>
            <w:tcMar>
              <w:top w:type="dxa" w:w="80"/>
              <w:left w:type="dxa" w:w="100"/>
              <w:bottom w:type="dxa" w:w="80"/>
              <w:right w:type="dxa" w:w="100"/>
            </w:tcMar>
            <w:vAlign w:val="center"/>
          </w:tcPr>
          <w:p>
            <w:r>
              <w:rPr>
                <w:b w:val="false"/>
                <w:bCs w:val="false"/>
                <w:color w:val="000000"/>
              </w:rPr>
              <w:t xml:space="preserve">Référence vers DIM_CLIENT.</w:t>
            </w:r>
          </w:p>
        </w:tc>
      </w:tr>
      <w:tr>
        <w:tc>
          <w:tcPr>
            <w:tcW w:type="dxa" w:w="2200"/>
            <w:tcMar>
              <w:top w:type="dxa" w:w="80"/>
              <w:left w:type="dxa" w:w="100"/>
              <w:bottom w:type="dxa" w:w="80"/>
              <w:right w:type="dxa" w:w="100"/>
            </w:tcMar>
            <w:vAlign w:val="center"/>
          </w:tcPr>
          <w:p>
            <w:r>
              <w:rPr>
                <w:b w:val="false"/>
                <w:bCs w:val="false"/>
                <w:color w:val="000000"/>
              </w:rPr>
              <w:t xml:space="preserve">date_key</w:t>
            </w:r>
          </w:p>
        </w:tc>
        <w:tc>
          <w:tcPr>
            <w:tcW w:type="dxa" w:w="2000"/>
            <w:tcMar>
              <w:top w:type="dxa" w:w="80"/>
              <w:left w:type="dxa" w:w="100"/>
              <w:bottom w:type="dxa" w:w="80"/>
              <w:right w:type="dxa" w:w="100"/>
            </w:tcMar>
            <w:vAlign w:val="center"/>
          </w:tcPr>
          <w:p>
            <w:r>
              <w:rPr>
                <w:b w:val="false"/>
                <w:bCs w:val="false"/>
                <w:color w:val="000000"/>
              </w:rPr>
              <w:t xml:space="preserve">string (FK)</w:t>
            </w:r>
          </w:p>
        </w:tc>
        <w:tc>
          <w:tcPr>
            <w:tcW w:type="dxa" w:w="5100"/>
            <w:tcMar>
              <w:top w:type="dxa" w:w="80"/>
              <w:left w:type="dxa" w:w="100"/>
              <w:bottom w:type="dxa" w:w="80"/>
              <w:right w:type="dxa" w:w="100"/>
            </w:tcMar>
            <w:vAlign w:val="center"/>
          </w:tcPr>
          <w:p>
            <w:r>
              <w:rPr>
                <w:b w:val="false"/>
                <w:bCs w:val="false"/>
                <w:color w:val="000000"/>
              </w:rPr>
              <w:t xml:space="preserve">Référence vers DIM_DATE.</w:t>
            </w:r>
          </w:p>
        </w:tc>
      </w:tr>
      <w:tr>
        <w:tc>
          <w:tcPr>
            <w:tcW w:type="dxa" w:w="2200"/>
            <w:tcMar>
              <w:top w:type="dxa" w:w="80"/>
              <w:left w:type="dxa" w:w="100"/>
              <w:bottom w:type="dxa" w:w="80"/>
              <w:right w:type="dxa" w:w="100"/>
            </w:tcMar>
            <w:vAlign w:val="center"/>
          </w:tcPr>
          <w:p>
            <w:r>
              <w:rPr>
                <w:b w:val="false"/>
                <w:bCs w:val="false"/>
                <w:color w:val="000000"/>
              </w:rPr>
              <w:t xml:space="preserve">type_event</w:t>
            </w:r>
          </w:p>
        </w:tc>
        <w:tc>
          <w:tcPr>
            <w:tcW w:type="dxa" w:w="2000"/>
            <w:tcMar>
              <w:top w:type="dxa" w:w="80"/>
              <w:left w:type="dxa" w:w="100"/>
              <w:bottom w:type="dxa" w:w="80"/>
              <w:right w:type="dxa" w:w="100"/>
            </w:tcMar>
            <w:vAlign w:val="center"/>
          </w:tcPr>
          <w:p>
            <w:r>
              <w:rPr>
                <w:b w:val="false"/>
                <w:bCs w:val="false"/>
                <w:color w:val="000000"/>
              </w:rPr>
              <w:t xml:space="preserve">string</w:t>
            </w:r>
          </w:p>
        </w:tc>
        <w:tc>
          <w:tcPr>
            <w:tcW w:type="dxa" w:w="5100"/>
            <w:tcMar>
              <w:top w:type="dxa" w:w="80"/>
              <w:left w:type="dxa" w:w="100"/>
              <w:bottom w:type="dxa" w:w="80"/>
              <w:right w:type="dxa" w:w="100"/>
            </w:tcMar>
            <w:vAlign w:val="center"/>
          </w:tcPr>
          <w:p>
            <w:r>
              <w:rPr>
                <w:b w:val="false"/>
                <w:bCs w:val="false"/>
                <w:color w:val="000000"/>
              </w:rPr>
              <w:t xml:space="preserve">view, add_to_cart ou purchase.</w:t>
            </w:r>
          </w:p>
        </w:tc>
      </w:tr>
      <w:tr>
        <w:tc>
          <w:tcPr>
            <w:tcW w:type="dxa" w:w="2200"/>
            <w:tcMar>
              <w:top w:type="dxa" w:w="80"/>
              <w:left w:type="dxa" w:w="100"/>
              <w:bottom w:type="dxa" w:w="80"/>
              <w:right w:type="dxa" w:w="100"/>
            </w:tcMar>
            <w:vAlign w:val="center"/>
          </w:tcPr>
          <w:p>
            <w:r>
              <w:rPr>
                <w:b w:val="false"/>
                <w:bCs w:val="false"/>
                <w:color w:val="000000"/>
              </w:rPr>
              <w:t xml:space="preserve">appareil</w:t>
            </w:r>
          </w:p>
        </w:tc>
        <w:tc>
          <w:tcPr>
            <w:tcW w:type="dxa" w:w="2000"/>
            <w:tcMar>
              <w:top w:type="dxa" w:w="80"/>
              <w:left w:type="dxa" w:w="100"/>
              <w:bottom w:type="dxa" w:w="80"/>
              <w:right w:type="dxa" w:w="100"/>
            </w:tcMar>
            <w:vAlign w:val="center"/>
          </w:tcPr>
          <w:p>
            <w:r>
              <w:rPr>
                <w:b w:val="false"/>
                <w:bCs w:val="false"/>
                <w:color w:val="000000"/>
              </w:rPr>
              <w:t xml:space="preserve">string</w:t>
            </w:r>
          </w:p>
        </w:tc>
        <w:tc>
          <w:tcPr>
            <w:tcW w:type="dxa" w:w="5100"/>
            <w:tcMar>
              <w:top w:type="dxa" w:w="80"/>
              <w:left w:type="dxa" w:w="100"/>
              <w:bottom w:type="dxa" w:w="80"/>
              <w:right w:type="dxa" w:w="100"/>
            </w:tcMar>
            <w:vAlign w:val="center"/>
          </w:tcPr>
          <w:p>
            <w:r>
              <w:rPr>
                <w:b w:val="false"/>
                <w:bCs w:val="false"/>
                <w:color w:val="000000"/>
              </w:rPr>
              <w:t xml:space="preserve">mobile, desktop ou tablet.</w:t>
            </w:r>
          </w:p>
        </w:tc>
      </w:tr>
    </w:tbl>
    <w:p>
      <w:pPr>
        <w:spacing w:after="160"/>
      </w:pPr>
      <w:r>
        <w:t xml:space="preserve"/>
      </w:r>
    </w:p>
    <w:p>
      <w:pPr>
        <w:pStyle w:val="Heading2"/>
        <w:spacing w:after="140" w:before="280"/>
      </w:pPr>
      <w:r>
        <w:t xml:space="preserve">4.3 Table de faits : FACT_STOCK</w:t>
      </w:r>
    </w:p>
    <w:p>
      <w:pPr>
        <w:spacing w:after="160"/>
      </w:pPr>
      <w:r>
        <w:t xml:space="preserve">Grain : le niveau de stock d'un produit en fin de journée. Table ajoutée après la première version de ce document — voir la note en fin de section.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00"/>
      </w:tblGrid>
      <w:tr>
        <w:trPr>
          <w:tblHeader/>
        </w:trPr>
        <w:tc>
          <w:tcPr>
            <w:tcW w:type="dxa" w:w="2200"/>
            <w:shd w:fill="993C1D" w:val="clear"/>
            <w:tcMar>
              <w:top w:type="dxa" w:w="80"/>
              <w:left w:type="dxa" w:w="100"/>
              <w:bottom w:type="dxa" w:w="80"/>
              <w:right w:type="dxa" w:w="100"/>
            </w:tcMar>
            <w:vAlign w:val="center"/>
          </w:tcPr>
          <w:p>
            <w:r>
              <w:rPr>
                <w:b/>
                <w:bCs/>
                <w:color w:val="FFFFFF"/>
              </w:rPr>
              <w:t xml:space="preserve">Colonne</w:t>
            </w:r>
          </w:p>
        </w:tc>
        <w:tc>
          <w:tcPr>
            <w:tcW w:type="dxa" w:w="2000"/>
            <w:shd w:fill="993C1D" w:val="clear"/>
            <w:tcMar>
              <w:top w:type="dxa" w:w="80"/>
              <w:left w:type="dxa" w:w="100"/>
              <w:bottom w:type="dxa" w:w="80"/>
              <w:right w:type="dxa" w:w="100"/>
            </w:tcMar>
            <w:vAlign w:val="center"/>
          </w:tcPr>
          <w:p>
            <w:r>
              <w:rPr>
                <w:b/>
                <w:bCs/>
                <w:color w:val="FFFFFF"/>
              </w:rPr>
              <w:t xml:space="preserve">Type</w:t>
            </w:r>
          </w:p>
        </w:tc>
        <w:tc>
          <w:tcPr>
            <w:tcW w:type="dxa" w:w="5100"/>
            <w:shd w:fill="993C1D" w:val="clear"/>
            <w:tcMar>
              <w:top w:type="dxa" w:w="80"/>
              <w:left w:type="dxa" w:w="100"/>
              <w:bottom w:type="dxa" w:w="80"/>
              <w:right w:type="dxa" w:w="100"/>
            </w:tcMar>
            <w:vAlign w:val="center"/>
          </w:tcPr>
          <w:p>
            <w:r>
              <w:rPr>
                <w:b/>
                <w:bCs/>
                <w:color w:val="FFFFFF"/>
              </w:rPr>
              <w:t xml:space="preserve">Description</w:t>
            </w:r>
          </w:p>
        </w:tc>
      </w:tr>
      <w:tr>
        <w:tc>
          <w:tcPr>
            <w:tcW w:type="dxa" w:w="2200"/>
            <w:tcMar>
              <w:top w:type="dxa" w:w="80"/>
              <w:left w:type="dxa" w:w="100"/>
              <w:bottom w:type="dxa" w:w="80"/>
              <w:right w:type="dxa" w:w="100"/>
            </w:tcMar>
            <w:vAlign w:val="center"/>
          </w:tcPr>
          <w:p>
            <w:r>
              <w:rPr>
                <w:b w:val="false"/>
                <w:bCs w:val="false"/>
                <w:color w:val="000000"/>
              </w:rPr>
              <w:t xml:space="preserve">produit_key</w:t>
            </w:r>
          </w:p>
        </w:tc>
        <w:tc>
          <w:tcPr>
            <w:tcW w:type="dxa" w:w="2000"/>
            <w:tcMar>
              <w:top w:type="dxa" w:w="80"/>
              <w:left w:type="dxa" w:w="100"/>
              <w:bottom w:type="dxa" w:w="80"/>
              <w:right w:type="dxa" w:w="100"/>
            </w:tcMar>
            <w:vAlign w:val="center"/>
          </w:tcPr>
          <w:p>
            <w:r>
              <w:rPr>
                <w:b w:val="false"/>
                <w:bCs w:val="false"/>
                <w:color w:val="000000"/>
              </w:rPr>
              <w:t xml:space="preserve">string (FK)</w:t>
            </w:r>
          </w:p>
        </w:tc>
        <w:tc>
          <w:tcPr>
            <w:tcW w:type="dxa" w:w="5100"/>
            <w:tcMar>
              <w:top w:type="dxa" w:w="80"/>
              <w:left w:type="dxa" w:w="100"/>
              <w:bottom w:type="dxa" w:w="80"/>
              <w:right w:type="dxa" w:w="100"/>
            </w:tcMar>
            <w:vAlign w:val="center"/>
          </w:tcPr>
          <w:p>
            <w:r>
              <w:rPr>
                <w:b w:val="false"/>
                <w:bCs w:val="false"/>
                <w:color w:val="000000"/>
              </w:rPr>
              <w:t xml:space="preserve">Référence vers DIM_PRODUIT.</w:t>
            </w:r>
          </w:p>
        </w:tc>
      </w:tr>
      <w:tr>
        <w:tc>
          <w:tcPr>
            <w:tcW w:type="dxa" w:w="2200"/>
            <w:tcMar>
              <w:top w:type="dxa" w:w="80"/>
              <w:left w:type="dxa" w:w="100"/>
              <w:bottom w:type="dxa" w:w="80"/>
              <w:right w:type="dxa" w:w="100"/>
            </w:tcMar>
            <w:vAlign w:val="center"/>
          </w:tcPr>
          <w:p>
            <w:r>
              <w:rPr>
                <w:b w:val="false"/>
                <w:bCs w:val="false"/>
                <w:color w:val="000000"/>
              </w:rPr>
              <w:t xml:space="preserve">date_key</w:t>
            </w:r>
          </w:p>
        </w:tc>
        <w:tc>
          <w:tcPr>
            <w:tcW w:type="dxa" w:w="2000"/>
            <w:tcMar>
              <w:top w:type="dxa" w:w="80"/>
              <w:left w:type="dxa" w:w="100"/>
              <w:bottom w:type="dxa" w:w="80"/>
              <w:right w:type="dxa" w:w="100"/>
            </w:tcMar>
            <w:vAlign w:val="center"/>
          </w:tcPr>
          <w:p>
            <w:r>
              <w:rPr>
                <w:b w:val="false"/>
                <w:bCs w:val="false"/>
                <w:color w:val="000000"/>
              </w:rPr>
              <w:t xml:space="preserve">string (FK)</w:t>
            </w:r>
          </w:p>
        </w:tc>
        <w:tc>
          <w:tcPr>
            <w:tcW w:type="dxa" w:w="5100"/>
            <w:tcMar>
              <w:top w:type="dxa" w:w="80"/>
              <w:left w:type="dxa" w:w="100"/>
              <w:bottom w:type="dxa" w:w="80"/>
              <w:right w:type="dxa" w:w="100"/>
            </w:tcMar>
            <w:vAlign w:val="center"/>
          </w:tcPr>
          <w:p>
            <w:r>
              <w:rPr>
                <w:b w:val="false"/>
                <w:bCs w:val="false"/>
                <w:color w:val="000000"/>
              </w:rPr>
              <w:t xml:space="preserve">Référence vers DIM_DATE.</w:t>
            </w:r>
          </w:p>
        </w:tc>
      </w:tr>
      <w:tr>
        <w:tc>
          <w:tcPr>
            <w:tcW w:type="dxa" w:w="2200"/>
            <w:tcMar>
              <w:top w:type="dxa" w:w="80"/>
              <w:left w:type="dxa" w:w="100"/>
              <w:bottom w:type="dxa" w:w="80"/>
              <w:right w:type="dxa" w:w="100"/>
            </w:tcMar>
            <w:vAlign w:val="center"/>
          </w:tcPr>
          <w:p>
            <w:r>
              <w:rPr>
                <w:b w:val="false"/>
                <w:bCs w:val="false"/>
                <w:color w:val="000000"/>
              </w:rPr>
              <w:t xml:space="preserve">niveau_stock</w:t>
            </w:r>
          </w:p>
        </w:tc>
        <w:tc>
          <w:tcPr>
            <w:tcW w:type="dxa" w:w="2000"/>
            <w:tcMar>
              <w:top w:type="dxa" w:w="80"/>
              <w:left w:type="dxa" w:w="100"/>
              <w:bottom w:type="dxa" w:w="80"/>
              <w:right w:type="dxa" w:w="100"/>
            </w:tcMar>
            <w:vAlign w:val="center"/>
          </w:tcPr>
          <w:p>
            <w:r>
              <w:rPr>
                <w:b w:val="false"/>
                <w:bCs w:val="false"/>
                <w:color w:val="000000"/>
              </w:rPr>
              <w:t xml:space="preserve">int</w:t>
            </w:r>
          </w:p>
        </w:tc>
        <w:tc>
          <w:tcPr>
            <w:tcW w:type="dxa" w:w="5100"/>
            <w:tcMar>
              <w:top w:type="dxa" w:w="80"/>
              <w:left w:type="dxa" w:w="100"/>
              <w:bottom w:type="dxa" w:w="80"/>
              <w:right w:type="dxa" w:w="100"/>
            </w:tcMar>
            <w:vAlign w:val="center"/>
          </w:tcPr>
          <w:p>
            <w:r>
              <w:rPr>
                <w:b w:val="false"/>
                <w:bCs w:val="false"/>
                <w:color w:val="000000"/>
              </w:rPr>
              <w:t xml:space="preserve">Stock en fin de journée. Clé primaire composite (produit_key, date_key).</w:t>
            </w:r>
          </w:p>
        </w:tc>
      </w:tr>
    </w:tbl>
    <w:p>
      <w:pPr>
        <w:spacing w:after="160"/>
      </w:pPr>
      <w:r>
        <w:t xml:space="preserve"/>
      </w:r>
    </w:p>
    <w:p>
      <w:pPr>
        <w:spacing w:after="160"/>
      </w:pPr>
      <w:r>
        <w:t xml:space="preserve">Cette table est indispensable pour le forecasting : sans elle, une vente à zéro un jour donné est ambiguë (vraie absence de demande, ou simple rupture de stock). Elle n'était pas présente dans la première version de ce document — un oubli de conception corrigé par la suite, pas une décision volontaire d'exclusion.</w:t>
      </w:r>
    </w:p>
    <w:p>
      <w:pPr>
        <w:pStyle w:val="Heading2"/>
        <w:spacing w:after="140" w:before="280"/>
      </w:pPr>
      <w:r>
        <w:t xml:space="preserve">4.4 Table de faits : FACT_EXPERIMENTATION_PRIX</w:t>
      </w:r>
    </w:p>
    <w:p>
      <w:pPr>
        <w:spacing w:after="160"/>
      </w:pPr>
      <w:r>
        <w:t xml:space="preserve">Grain : une décision de prix évaluée pour un produit, une semaine donnée. Conçue comme une vraie expérience randomisée (assignation persistante par produit, pas une réutilisation des promotions historiques non randomisées).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00"/>
      </w:tblGrid>
      <w:tr>
        <w:trPr>
          <w:tblHeader/>
        </w:trPr>
        <w:tc>
          <w:tcPr>
            <w:tcW w:type="dxa" w:w="2600"/>
            <w:shd w:fill="993C1D" w:val="clear"/>
            <w:tcMar>
              <w:top w:type="dxa" w:w="80"/>
              <w:left w:type="dxa" w:w="100"/>
              <w:bottom w:type="dxa" w:w="80"/>
              <w:right w:type="dxa" w:w="100"/>
            </w:tcMar>
            <w:vAlign w:val="center"/>
          </w:tcPr>
          <w:p>
            <w:r>
              <w:rPr>
                <w:b/>
                <w:bCs/>
                <w:color w:val="FFFFFF"/>
              </w:rPr>
              <w:t xml:space="preserve">Colonne</w:t>
            </w:r>
          </w:p>
        </w:tc>
        <w:tc>
          <w:tcPr>
            <w:tcW w:type="dxa" w:w="1800"/>
            <w:shd w:fill="993C1D" w:val="clear"/>
            <w:tcMar>
              <w:top w:type="dxa" w:w="80"/>
              <w:left w:type="dxa" w:w="100"/>
              <w:bottom w:type="dxa" w:w="80"/>
              <w:right w:type="dxa" w:w="100"/>
            </w:tcMar>
            <w:vAlign w:val="center"/>
          </w:tcPr>
          <w:p>
            <w:r>
              <w:rPr>
                <w:b/>
                <w:bCs/>
                <w:color w:val="FFFFFF"/>
              </w:rPr>
              <w:t xml:space="preserve">Type</w:t>
            </w:r>
          </w:p>
        </w:tc>
        <w:tc>
          <w:tcPr>
            <w:tcW w:type="dxa" w:w="4900"/>
            <w:shd w:fill="993C1D" w:val="clear"/>
            <w:tcMar>
              <w:top w:type="dxa" w:w="80"/>
              <w:left w:type="dxa" w:w="100"/>
              <w:bottom w:type="dxa" w:w="80"/>
              <w:right w:type="dxa" w:w="100"/>
            </w:tcMar>
            <w:vAlign w:val="center"/>
          </w:tcPr>
          <w:p>
            <w:r>
              <w:rPr>
                <w:b/>
                <w:bCs/>
                <w:color w:val="FFFFFF"/>
              </w:rPr>
              <w:t xml:space="preserve">Description</w:t>
            </w:r>
          </w:p>
        </w:tc>
      </w:tr>
      <w:tr>
        <w:tc>
          <w:tcPr>
            <w:tcW w:type="dxa" w:w="2600"/>
            <w:tcMar>
              <w:top w:type="dxa" w:w="80"/>
              <w:left w:type="dxa" w:w="100"/>
              <w:bottom w:type="dxa" w:w="80"/>
              <w:right w:type="dxa" w:w="100"/>
            </w:tcMar>
            <w:vAlign w:val="center"/>
          </w:tcPr>
          <w:p>
            <w:r>
              <w:rPr>
                <w:b w:val="false"/>
                <w:bCs w:val="false"/>
                <w:color w:val="000000"/>
              </w:rPr>
              <w:t xml:space="preserve">decision_id</w:t>
            </w:r>
          </w:p>
        </w:tc>
        <w:tc>
          <w:tcPr>
            <w:tcW w:type="dxa" w:w="1800"/>
            <w:tcMar>
              <w:top w:type="dxa" w:w="80"/>
              <w:left w:type="dxa" w:w="100"/>
              <w:bottom w:type="dxa" w:w="80"/>
              <w:right w:type="dxa" w:w="100"/>
            </w:tcMar>
            <w:vAlign w:val="center"/>
          </w:tcPr>
          <w:p>
            <w:r>
              <w:rPr>
                <w:b w:val="false"/>
                <w:bCs w:val="false"/>
                <w:color w:val="000000"/>
              </w:rPr>
              <w:t xml:space="preserve">string (PK)</w:t>
            </w:r>
          </w:p>
        </w:tc>
        <w:tc>
          <w:tcPr>
            <w:tcW w:type="dxa" w:w="4900"/>
            <w:tcMar>
              <w:top w:type="dxa" w:w="80"/>
              <w:left w:type="dxa" w:w="100"/>
              <w:bottom w:type="dxa" w:w="80"/>
              <w:right w:type="dxa" w:w="100"/>
            </w:tcMar>
            <w:vAlign w:val="center"/>
          </w:tcPr>
          <w:p>
            <w:r>
              <w:rPr>
                <w:b w:val="false"/>
                <w:bCs w:val="false"/>
                <w:color w:val="000000"/>
              </w:rPr>
              <w:t xml:space="preserve">Identifiant unique de la décision.</w:t>
            </w:r>
          </w:p>
        </w:tc>
      </w:tr>
      <w:tr>
        <w:tc>
          <w:tcPr>
            <w:tcW w:type="dxa" w:w="2600"/>
            <w:tcMar>
              <w:top w:type="dxa" w:w="80"/>
              <w:left w:type="dxa" w:w="100"/>
              <w:bottom w:type="dxa" w:w="80"/>
              <w:right w:type="dxa" w:w="100"/>
            </w:tcMar>
            <w:vAlign w:val="center"/>
          </w:tcPr>
          <w:p>
            <w:r>
              <w:rPr>
                <w:b w:val="false"/>
                <w:bCs w:val="false"/>
                <w:color w:val="000000"/>
              </w:rPr>
              <w:t xml:space="preserve">experiment_id</w:t>
            </w:r>
          </w:p>
        </w:tc>
        <w:tc>
          <w:tcPr>
            <w:tcW w:type="dxa" w:w="1800"/>
            <w:tcMar>
              <w:top w:type="dxa" w:w="80"/>
              <w:left w:type="dxa" w:w="100"/>
              <w:bottom w:type="dxa" w:w="80"/>
              <w:right w:type="dxa" w:w="100"/>
            </w:tcMar>
            <w:vAlign w:val="center"/>
          </w:tcPr>
          <w:p>
            <w:r>
              <w:rPr>
                <w:b w:val="false"/>
                <w:bCs w:val="false"/>
                <w:color w:val="000000"/>
              </w:rPr>
              <w:t xml:space="preserve">string</w:t>
            </w:r>
          </w:p>
        </w:tc>
        <w:tc>
          <w:tcPr>
            <w:tcW w:type="dxa" w:w="4900"/>
            <w:tcMar>
              <w:top w:type="dxa" w:w="80"/>
              <w:left w:type="dxa" w:w="100"/>
              <w:bottom w:type="dxa" w:w="80"/>
              <w:right w:type="dxa" w:w="100"/>
            </w:tcMar>
            <w:vAlign w:val="center"/>
          </w:tcPr>
          <w:p>
            <w:r>
              <w:rPr>
                <w:b w:val="false"/>
                <w:bCs w:val="false"/>
                <w:color w:val="000000"/>
              </w:rPr>
              <w:t xml:space="preserve">Identifiant de la vague hebdomadaire d'expérimentation.</w:t>
            </w:r>
          </w:p>
        </w:tc>
      </w:tr>
      <w:tr>
        <w:tc>
          <w:tcPr>
            <w:tcW w:type="dxa" w:w="2600"/>
            <w:tcMar>
              <w:top w:type="dxa" w:w="80"/>
              <w:left w:type="dxa" w:w="100"/>
              <w:bottom w:type="dxa" w:w="80"/>
              <w:right w:type="dxa" w:w="100"/>
            </w:tcMar>
            <w:vAlign w:val="center"/>
          </w:tcPr>
          <w:p>
            <w:r>
              <w:rPr>
                <w:b w:val="false"/>
                <w:bCs w:val="false"/>
                <w:color w:val="000000"/>
              </w:rPr>
              <w:t xml:space="preserve">produit_key</w:t>
            </w:r>
          </w:p>
        </w:tc>
        <w:tc>
          <w:tcPr>
            <w:tcW w:type="dxa" w:w="1800"/>
            <w:tcMar>
              <w:top w:type="dxa" w:w="80"/>
              <w:left w:type="dxa" w:w="100"/>
              <w:bottom w:type="dxa" w:w="80"/>
              <w:right w:type="dxa" w:w="100"/>
            </w:tcMar>
            <w:vAlign w:val="center"/>
          </w:tcPr>
          <w:p>
            <w:r>
              <w:rPr>
                <w:b w:val="false"/>
                <w:bCs w:val="false"/>
                <w:color w:val="000000"/>
              </w:rPr>
              <w:t xml:space="preserve">string (FK)</w:t>
            </w:r>
          </w:p>
        </w:tc>
        <w:tc>
          <w:tcPr>
            <w:tcW w:type="dxa" w:w="4900"/>
            <w:tcMar>
              <w:top w:type="dxa" w:w="80"/>
              <w:left w:type="dxa" w:w="100"/>
              <w:bottom w:type="dxa" w:w="80"/>
              <w:right w:type="dxa" w:w="100"/>
            </w:tcMar>
            <w:vAlign w:val="center"/>
          </w:tcPr>
          <w:p>
            <w:r>
              <w:rPr>
                <w:b w:val="false"/>
                <w:bCs w:val="false"/>
                <w:color w:val="000000"/>
              </w:rPr>
              <w:t xml:space="preserve">Référence vers DIM_PRODUIT.</w:t>
            </w:r>
          </w:p>
        </w:tc>
      </w:tr>
      <w:tr>
        <w:tc>
          <w:tcPr>
            <w:tcW w:type="dxa" w:w="2600"/>
            <w:tcMar>
              <w:top w:type="dxa" w:w="80"/>
              <w:left w:type="dxa" w:w="100"/>
              <w:bottom w:type="dxa" w:w="80"/>
              <w:right w:type="dxa" w:w="100"/>
            </w:tcMar>
            <w:vAlign w:val="center"/>
          </w:tcPr>
          <w:p>
            <w:r>
              <w:rPr>
                <w:b w:val="false"/>
                <w:bCs w:val="false"/>
                <w:color w:val="000000"/>
              </w:rPr>
              <w:t xml:space="preserve">decision_timestamp</w:t>
            </w:r>
          </w:p>
        </w:tc>
        <w:tc>
          <w:tcPr>
            <w:tcW w:type="dxa" w:w="1800"/>
            <w:tcMar>
              <w:top w:type="dxa" w:w="80"/>
              <w:left w:type="dxa" w:w="100"/>
              <w:bottom w:type="dxa" w:w="80"/>
              <w:right w:type="dxa" w:w="100"/>
            </w:tcMar>
            <w:vAlign w:val="center"/>
          </w:tcPr>
          <w:p>
            <w:r>
              <w:rPr>
                <w:b w:val="false"/>
                <w:bCs w:val="false"/>
                <w:color w:val="000000"/>
              </w:rPr>
              <w:t xml:space="preserve">timestamptz</w:t>
            </w:r>
          </w:p>
        </w:tc>
        <w:tc>
          <w:tcPr>
            <w:tcW w:type="dxa" w:w="4900"/>
            <w:tcMar>
              <w:top w:type="dxa" w:w="80"/>
              <w:left w:type="dxa" w:w="100"/>
              <w:bottom w:type="dxa" w:w="80"/>
              <w:right w:type="dxa" w:w="100"/>
            </w:tcMar>
            <w:vAlign w:val="center"/>
          </w:tcPr>
          <w:p>
            <w:r>
              <w:rPr>
                <w:b w:val="false"/>
                <w:bCs w:val="false"/>
                <w:color w:val="000000"/>
              </w:rPr>
              <w:t xml:space="preserve">Horodatage de la décision, UTC.</w:t>
            </w:r>
          </w:p>
        </w:tc>
      </w:tr>
      <w:tr>
        <w:tc>
          <w:tcPr>
            <w:tcW w:type="dxa" w:w="2600"/>
            <w:tcMar>
              <w:top w:type="dxa" w:w="80"/>
              <w:left w:type="dxa" w:w="100"/>
              <w:bottom w:type="dxa" w:w="80"/>
              <w:right w:type="dxa" w:w="100"/>
            </w:tcMar>
            <w:vAlign w:val="center"/>
          </w:tcPr>
          <w:p>
            <w:r>
              <w:rPr>
                <w:b w:val="false"/>
                <w:bCs w:val="false"/>
                <w:color w:val="000000"/>
              </w:rPr>
              <w:t xml:space="preserve">treatment_group</w:t>
            </w:r>
          </w:p>
        </w:tc>
        <w:tc>
          <w:tcPr>
            <w:tcW w:type="dxa" w:w="1800"/>
            <w:tcMar>
              <w:top w:type="dxa" w:w="80"/>
              <w:left w:type="dxa" w:w="100"/>
              <w:bottom w:type="dxa" w:w="80"/>
              <w:right w:type="dxa" w:w="100"/>
            </w:tcMar>
            <w:vAlign w:val="center"/>
          </w:tcPr>
          <w:p>
            <w:r>
              <w:rPr>
                <w:b w:val="false"/>
                <w:bCs w:val="false"/>
                <w:color w:val="000000"/>
              </w:rPr>
              <w:t xml:space="preserve">string</w:t>
            </w:r>
          </w:p>
        </w:tc>
        <w:tc>
          <w:tcPr>
            <w:tcW w:type="dxa" w:w="4900"/>
            <w:tcMar>
              <w:top w:type="dxa" w:w="80"/>
              <w:left w:type="dxa" w:w="100"/>
              <w:bottom w:type="dxa" w:w="80"/>
              <w:right w:type="dxa" w:w="100"/>
            </w:tcMar>
            <w:vAlign w:val="center"/>
          </w:tcPr>
          <w:p>
            <w:r>
              <w:rPr>
                <w:b w:val="false"/>
                <w:bCs w:val="false"/>
                <w:color w:val="000000"/>
              </w:rPr>
              <w:t xml:space="preserve">controle_0pct / traitement_5pct / traitement_10pct / traitement_15pct — assignation persistante par produit sur toute l'expérience, stratifiée par catégorie et classe ABC.</w:t>
            </w:r>
          </w:p>
        </w:tc>
      </w:tr>
      <w:tr>
        <w:tc>
          <w:tcPr>
            <w:tcW w:type="dxa" w:w="2600"/>
            <w:tcMar>
              <w:top w:type="dxa" w:w="80"/>
              <w:left w:type="dxa" w:w="100"/>
              <w:bottom w:type="dxa" w:w="80"/>
              <w:right w:type="dxa" w:w="100"/>
            </w:tcMar>
            <w:vAlign w:val="center"/>
          </w:tcPr>
          <w:p>
            <w:r>
              <w:rPr>
                <w:b w:val="false"/>
                <w:bCs w:val="false"/>
                <w:color w:val="000000"/>
              </w:rPr>
              <w:t xml:space="preserve">eligible_for_discount</w:t>
            </w:r>
          </w:p>
        </w:tc>
        <w:tc>
          <w:tcPr>
            <w:tcW w:type="dxa" w:w="1800"/>
            <w:tcMar>
              <w:top w:type="dxa" w:w="80"/>
              <w:left w:type="dxa" w:w="100"/>
              <w:bottom w:type="dxa" w:w="80"/>
              <w:right w:type="dxa" w:w="100"/>
            </w:tcMar>
            <w:vAlign w:val="center"/>
          </w:tcPr>
          <w:p>
            <w:r>
              <w:rPr>
                <w:b w:val="false"/>
                <w:bCs w:val="false"/>
                <w:color w:val="000000"/>
              </w:rPr>
              <w:t xml:space="preserve">boolean</w:t>
            </w:r>
          </w:p>
        </w:tc>
        <w:tc>
          <w:tcPr>
            <w:tcW w:type="dxa" w:w="4900"/>
            <w:tcMar>
              <w:top w:type="dxa" w:w="80"/>
              <w:left w:type="dxa" w:w="100"/>
              <w:bottom w:type="dxa" w:w="80"/>
              <w:right w:type="dxa" w:w="100"/>
            </w:tcMar>
            <w:vAlign w:val="center"/>
          </w:tcPr>
          <w:p>
            <w:r>
              <w:rPr>
                <w:b w:val="false"/>
                <w:bCs w:val="false"/>
                <w:color w:val="000000"/>
              </w:rPr>
              <w:t xml:space="preserve">Vrai si le prix respecte le plancher (prix ≥ coût) et la marge minimale (5%).</w:t>
            </w:r>
          </w:p>
        </w:tc>
      </w:tr>
      <w:tr>
        <w:tc>
          <w:tcPr>
            <w:tcW w:type="dxa" w:w="2600"/>
            <w:tcMar>
              <w:top w:type="dxa" w:w="80"/>
              <w:left w:type="dxa" w:w="100"/>
              <w:bottom w:type="dxa" w:w="80"/>
              <w:right w:type="dxa" w:w="100"/>
            </w:tcMar>
            <w:vAlign w:val="center"/>
          </w:tcPr>
          <w:p>
            <w:r>
              <w:rPr>
                <w:b w:val="false"/>
                <w:bCs w:val="false"/>
                <w:color w:val="000000"/>
              </w:rPr>
              <w:t xml:space="preserve">discount_proposed / discount_applied</w:t>
            </w:r>
          </w:p>
        </w:tc>
        <w:tc>
          <w:tcPr>
            <w:tcW w:type="dxa" w:w="1800"/>
            <w:tcMar>
              <w:top w:type="dxa" w:w="80"/>
              <w:left w:type="dxa" w:w="100"/>
              <w:bottom w:type="dxa" w:w="80"/>
              <w:right w:type="dxa" w:w="100"/>
            </w:tcMar>
            <w:vAlign w:val="center"/>
          </w:tcPr>
          <w:p>
            <w:r>
              <w:rPr>
                <w:b w:val="false"/>
                <w:bCs w:val="false"/>
                <w:color w:val="000000"/>
              </w:rPr>
              <w:t xml:space="preserve">int / int</w:t>
            </w:r>
          </w:p>
        </w:tc>
        <w:tc>
          <w:tcPr>
            <w:tcW w:type="dxa" w:w="4900"/>
            <w:tcMar>
              <w:top w:type="dxa" w:w="80"/>
              <w:left w:type="dxa" w:w="100"/>
              <w:bottom w:type="dxa" w:w="80"/>
              <w:right w:type="dxa" w:w="100"/>
            </w:tcMar>
            <w:vAlign w:val="center"/>
          </w:tcPr>
          <w:p>
            <w:r>
              <w:rPr>
                <w:b w:val="false"/>
                <w:bCs w:val="false"/>
                <w:color w:val="000000"/>
              </w:rPr>
              <w:t xml:space="preserve">Remise du groupe assigné, et remise réellement appliquée (0 si le garde-fou bloque la proposition).</w:t>
            </w:r>
          </w:p>
        </w:tc>
      </w:tr>
      <w:tr>
        <w:tc>
          <w:tcPr>
            <w:tcW w:type="dxa" w:w="2600"/>
            <w:tcMar>
              <w:top w:type="dxa" w:w="80"/>
              <w:left w:type="dxa" w:w="100"/>
              <w:bottom w:type="dxa" w:w="80"/>
              <w:right w:type="dxa" w:w="100"/>
            </w:tcMar>
            <w:vAlign w:val="center"/>
          </w:tcPr>
          <w:p>
            <w:r>
              <w:rPr>
                <w:b w:val="false"/>
                <w:bCs w:val="false"/>
                <w:color w:val="000000"/>
              </w:rPr>
              <w:t xml:space="preserve">prix_applique_xof</w:t>
            </w:r>
          </w:p>
        </w:tc>
        <w:tc>
          <w:tcPr>
            <w:tcW w:type="dxa" w:w="1800"/>
            <w:tcMar>
              <w:top w:type="dxa" w:w="80"/>
              <w:left w:type="dxa" w:w="100"/>
              <w:bottom w:type="dxa" w:w="80"/>
              <w:right w:type="dxa" w:w="100"/>
            </w:tcMar>
            <w:vAlign w:val="center"/>
          </w:tcPr>
          <w:p>
            <w:r>
              <w:rPr>
                <w:b w:val="false"/>
                <w:bCs w:val="false"/>
                <w:color w:val="000000"/>
              </w:rPr>
              <w:t xml:space="preserve">numeric</w:t>
            </w:r>
          </w:p>
        </w:tc>
        <w:tc>
          <w:tcPr>
            <w:tcW w:type="dxa" w:w="4900"/>
            <w:tcMar>
              <w:top w:type="dxa" w:w="80"/>
              <w:left w:type="dxa" w:w="100"/>
              <w:bottom w:type="dxa" w:w="80"/>
              <w:right w:type="dxa" w:w="100"/>
            </w:tcMar>
            <w:vAlign w:val="center"/>
          </w:tcPr>
          <w:p>
            <w:r>
              <w:rPr>
                <w:b w:val="false"/>
                <w:bCs w:val="false"/>
                <w:color w:val="000000"/>
              </w:rPr>
              <w:t xml:space="preserve">Prix recalculé APRÈS le contrôle d'éligibilité, à partir de discount_applied (pas discount_proposed).</w:t>
            </w:r>
          </w:p>
        </w:tc>
      </w:tr>
      <w:tr>
        <w:tc>
          <w:tcPr>
            <w:tcW w:type="dxa" w:w="2600"/>
            <w:tcMar>
              <w:top w:type="dxa" w:w="80"/>
              <w:left w:type="dxa" w:w="100"/>
              <w:bottom w:type="dxa" w:w="80"/>
              <w:right w:type="dxa" w:w="100"/>
            </w:tcMar>
            <w:vAlign w:val="center"/>
          </w:tcPr>
          <w:p>
            <w:r>
              <w:rPr>
                <w:b w:val="false"/>
                <w:bCs w:val="false"/>
                <w:color w:val="000000"/>
              </w:rPr>
              <w:t xml:space="preserve">propensity_score</w:t>
            </w:r>
          </w:p>
        </w:tc>
        <w:tc>
          <w:tcPr>
            <w:tcW w:type="dxa" w:w="1800"/>
            <w:tcMar>
              <w:top w:type="dxa" w:w="80"/>
              <w:left w:type="dxa" w:w="100"/>
              <w:bottom w:type="dxa" w:w="80"/>
              <w:right w:type="dxa" w:w="100"/>
            </w:tcMar>
            <w:vAlign w:val="center"/>
          </w:tcPr>
          <w:p>
            <w:r>
              <w:rPr>
                <w:b w:val="false"/>
                <w:bCs w:val="false"/>
                <w:color w:val="000000"/>
              </w:rPr>
              <w:t xml:space="preserve">numeric</w:t>
            </w:r>
          </w:p>
        </w:tc>
        <w:tc>
          <w:tcPr>
            <w:tcW w:type="dxa" w:w="4900"/>
            <w:tcMar>
              <w:top w:type="dxa" w:w="80"/>
              <w:left w:type="dxa" w:w="100"/>
              <w:bottom w:type="dxa" w:w="80"/>
              <w:right w:type="dxa" w:w="100"/>
            </w:tcMar>
            <w:vAlign w:val="center"/>
          </w:tcPr>
          <w:p>
            <w:r>
              <w:rPr>
                <w:b w:val="false"/>
                <w:bCs w:val="false"/>
                <w:color w:val="000000"/>
              </w:rPr>
              <w:t xml:space="preserve">Probabilité d'assignation au groupe (0,25 — 4 groupes équiprobables).</w:t>
            </w:r>
          </w:p>
        </w:tc>
      </w:tr>
      <w:tr>
        <w:tc>
          <w:tcPr>
            <w:tcW w:type="dxa" w:w="2600"/>
            <w:tcMar>
              <w:top w:type="dxa" w:w="80"/>
              <w:left w:type="dxa" w:w="100"/>
              <w:bottom w:type="dxa" w:w="80"/>
              <w:right w:type="dxa" w:w="100"/>
            </w:tcMar>
            <w:vAlign w:val="center"/>
          </w:tcPr>
          <w:p>
            <w:r>
              <w:rPr>
                <w:b w:val="false"/>
                <w:bCs w:val="false"/>
                <w:color w:val="000000"/>
              </w:rPr>
              <w:t xml:space="preserve">product_impressions</w:t>
            </w:r>
          </w:p>
        </w:tc>
        <w:tc>
          <w:tcPr>
            <w:tcW w:type="dxa" w:w="1800"/>
            <w:tcMar>
              <w:top w:type="dxa" w:w="80"/>
              <w:left w:type="dxa" w:w="100"/>
              <w:bottom w:type="dxa" w:w="80"/>
              <w:right w:type="dxa" w:w="100"/>
            </w:tcMar>
            <w:vAlign w:val="center"/>
          </w:tcPr>
          <w:p>
            <w:r>
              <w:rPr>
                <w:b w:val="false"/>
                <w:bCs w:val="false"/>
                <w:color w:val="000000"/>
              </w:rPr>
              <w:t xml:space="preserve">int</w:t>
            </w:r>
          </w:p>
        </w:tc>
        <w:tc>
          <w:tcPr>
            <w:tcW w:type="dxa" w:w="4900"/>
            <w:tcMar>
              <w:top w:type="dxa" w:w="80"/>
              <w:left w:type="dxa" w:w="100"/>
              <w:bottom w:type="dxa" w:w="80"/>
              <w:right w:type="dxa" w:w="100"/>
            </w:tcMar>
            <w:vAlign w:val="center"/>
          </w:tcPr>
          <w:p>
            <w:r>
              <w:rPr>
                <w:b w:val="false"/>
                <w:bCs w:val="false"/>
                <w:color w:val="000000"/>
              </w:rPr>
              <w:t xml:space="preserve">Cumul d'expositions recommandation STRICTEMENT antérieur à decision_timestamp (voir note sur le correctif ci-dessous).</w:t>
            </w:r>
          </w:p>
        </w:tc>
      </w:tr>
      <w:tr>
        <w:tc>
          <w:tcPr>
            <w:tcW w:type="dxa" w:w="2600"/>
            <w:tcMar>
              <w:top w:type="dxa" w:w="80"/>
              <w:left w:type="dxa" w:w="100"/>
              <w:bottom w:type="dxa" w:w="80"/>
              <w:right w:type="dxa" w:w="100"/>
            </w:tcMar>
            <w:vAlign w:val="center"/>
          </w:tcPr>
          <w:p>
            <w:r>
              <w:rPr>
                <w:b w:val="false"/>
                <w:bCs w:val="false"/>
                <w:color w:val="000000"/>
              </w:rPr>
              <w:t xml:space="preserve">stock_at_decision</w:t>
            </w:r>
          </w:p>
        </w:tc>
        <w:tc>
          <w:tcPr>
            <w:tcW w:type="dxa" w:w="1800"/>
            <w:tcMar>
              <w:top w:type="dxa" w:w="80"/>
              <w:left w:type="dxa" w:w="100"/>
              <w:bottom w:type="dxa" w:w="80"/>
              <w:right w:type="dxa" w:w="100"/>
            </w:tcMar>
            <w:vAlign w:val="center"/>
          </w:tcPr>
          <w:p>
            <w:r>
              <w:rPr>
                <w:b w:val="false"/>
                <w:bCs w:val="false"/>
                <w:color w:val="000000"/>
              </w:rPr>
              <w:t xml:space="preserve">int</w:t>
            </w:r>
          </w:p>
        </w:tc>
        <w:tc>
          <w:tcPr>
            <w:tcW w:type="dxa" w:w="4900"/>
            <w:tcMar>
              <w:top w:type="dxa" w:w="80"/>
              <w:left w:type="dxa" w:w="100"/>
              <w:bottom w:type="dxa" w:w="80"/>
              <w:right w:type="dxa" w:w="100"/>
            </w:tcMar>
            <w:vAlign w:val="center"/>
          </w:tcPr>
          <w:p>
            <w:r>
              <w:rPr>
                <w:b w:val="false"/>
                <w:bCs w:val="false"/>
                <w:color w:val="000000"/>
              </w:rPr>
              <w:t xml:space="preserve">Stock de clôture J-1 (jamais le jour même de la décision).</w:t>
            </w:r>
          </w:p>
        </w:tc>
      </w:tr>
      <w:tr>
        <w:tc>
          <w:tcPr>
            <w:tcW w:type="dxa" w:w="2600"/>
            <w:tcMar>
              <w:top w:type="dxa" w:w="80"/>
              <w:left w:type="dxa" w:w="100"/>
              <w:bottom w:type="dxa" w:w="80"/>
              <w:right w:type="dxa" w:w="100"/>
            </w:tcMar>
            <w:vAlign w:val="center"/>
          </w:tcPr>
          <w:p>
            <w:r>
              <w:rPr>
                <w:b w:val="false"/>
                <w:bCs w:val="false"/>
                <w:color w:val="000000"/>
              </w:rPr>
              <w:t xml:space="preserve">categorie / classe_abc</w:t>
            </w:r>
          </w:p>
        </w:tc>
        <w:tc>
          <w:tcPr>
            <w:tcW w:type="dxa" w:w="1800"/>
            <w:tcMar>
              <w:top w:type="dxa" w:w="80"/>
              <w:left w:type="dxa" w:w="100"/>
              <w:bottom w:type="dxa" w:w="80"/>
              <w:right w:type="dxa" w:w="100"/>
            </w:tcMar>
            <w:vAlign w:val="center"/>
          </w:tcPr>
          <w:p>
            <w:r>
              <w:rPr>
                <w:b w:val="false"/>
                <w:bCs w:val="false"/>
                <w:color w:val="000000"/>
              </w:rPr>
              <w:t xml:space="preserve">string / string</w:t>
            </w:r>
          </w:p>
        </w:tc>
        <w:tc>
          <w:tcPr>
            <w:tcW w:type="dxa" w:w="4900"/>
            <w:tcMar>
              <w:top w:type="dxa" w:w="80"/>
              <w:left w:type="dxa" w:w="100"/>
              <w:bottom w:type="dxa" w:w="80"/>
              <w:right w:type="dxa" w:w="100"/>
            </w:tcMar>
            <w:vAlign w:val="center"/>
          </w:tcPr>
          <w:p>
            <w:r>
              <w:rPr>
                <w:b w:val="false"/>
                <w:bCs w:val="false"/>
                <w:color w:val="000000"/>
              </w:rPr>
              <w:t xml:space="preserve">Classe ABC calculée sur un warm-up de 90 jours, strictement antérieur au début de l'expérience.</w:t>
            </w:r>
          </w:p>
        </w:tc>
      </w:tr>
      <w:tr>
        <w:tc>
          <w:tcPr>
            <w:tcW w:type="dxa" w:w="2600"/>
            <w:tcMar>
              <w:top w:type="dxa" w:w="80"/>
              <w:left w:type="dxa" w:w="100"/>
              <w:bottom w:type="dxa" w:w="80"/>
              <w:right w:type="dxa" w:w="100"/>
            </w:tcMar>
            <w:vAlign w:val="center"/>
          </w:tcPr>
          <w:p>
            <w:r>
              <w:rPr>
                <w:b w:val="false"/>
                <w:bCs w:val="false"/>
                <w:color w:val="000000"/>
              </w:rPr>
              <w:t xml:space="preserve">cold_start_warmup</w:t>
            </w:r>
          </w:p>
        </w:tc>
        <w:tc>
          <w:tcPr>
            <w:tcW w:type="dxa" w:w="1800"/>
            <w:tcMar>
              <w:top w:type="dxa" w:w="80"/>
              <w:left w:type="dxa" w:w="100"/>
              <w:bottom w:type="dxa" w:w="80"/>
              <w:right w:type="dxa" w:w="100"/>
            </w:tcMar>
            <w:vAlign w:val="center"/>
          </w:tcPr>
          <w:p>
            <w:r>
              <w:rPr>
                <w:b w:val="false"/>
                <w:bCs w:val="false"/>
                <w:color w:val="000000"/>
              </w:rPr>
              <w:t xml:space="preserve">boolean</w:t>
            </w:r>
          </w:p>
        </w:tc>
        <w:tc>
          <w:tcPr>
            <w:tcW w:type="dxa" w:w="4900"/>
            <w:tcMar>
              <w:top w:type="dxa" w:w="80"/>
              <w:left w:type="dxa" w:w="100"/>
              <w:bottom w:type="dxa" w:w="80"/>
              <w:right w:type="dxa" w:w="100"/>
            </w:tcMar>
            <w:vAlign w:val="center"/>
          </w:tcPr>
          <w:p>
            <w:r>
              <w:rPr>
                <w:b w:val="false"/>
                <w:bCs w:val="false"/>
                <w:color w:val="000000"/>
              </w:rPr>
              <w:t xml:space="preserve">Vrai si le produit n'a eu aucune vente confirmée pendant le warm-up (explicite, pas de plancher de demande silencieux).</w:t>
            </w:r>
          </w:p>
        </w:tc>
      </w:tr>
      <w:tr>
        <w:tc>
          <w:tcPr>
            <w:tcW w:type="dxa" w:w="2600"/>
            <w:tcMar>
              <w:top w:type="dxa" w:w="80"/>
              <w:left w:type="dxa" w:w="100"/>
              <w:bottom w:type="dxa" w:w="80"/>
              <w:right w:type="dxa" w:w="100"/>
            </w:tcMar>
            <w:vAlign w:val="center"/>
          </w:tcPr>
          <w:p>
            <w:r>
              <w:rPr>
                <w:b w:val="false"/>
                <w:bCs w:val="false"/>
                <w:color w:val="000000"/>
              </w:rPr>
              <w:t xml:space="preserve">units_sold_window_7j / revenue_window_xof_7j / margin_window_xof_7j</w:t>
            </w:r>
          </w:p>
        </w:tc>
        <w:tc>
          <w:tcPr>
            <w:tcW w:type="dxa" w:w="1800"/>
            <w:tcMar>
              <w:top w:type="dxa" w:w="80"/>
              <w:left w:type="dxa" w:w="100"/>
              <w:bottom w:type="dxa" w:w="80"/>
              <w:right w:type="dxa" w:w="100"/>
            </w:tcMar>
            <w:vAlign w:val="center"/>
          </w:tcPr>
          <w:p>
            <w:r>
              <w:rPr>
                <w:b w:val="false"/>
                <w:bCs w:val="false"/>
                <w:color w:val="000000"/>
              </w:rPr>
              <w:t xml:space="preserve">int / numeric / numeric</w:t>
            </w:r>
          </w:p>
        </w:tc>
        <w:tc>
          <w:tcPr>
            <w:tcW w:type="dxa" w:w="4900"/>
            <w:tcMar>
              <w:top w:type="dxa" w:w="80"/>
              <w:left w:type="dxa" w:w="100"/>
              <w:bottom w:type="dxa" w:w="80"/>
              <w:right w:type="dxa" w:w="100"/>
            </w:tcMar>
            <w:vAlign w:val="center"/>
          </w:tcPr>
          <w:p>
            <w:r>
              <w:rPr>
                <w:b w:val="false"/>
                <w:bCs w:val="false"/>
                <w:color w:val="000000"/>
              </w:rPr>
              <w:t xml:space="preserve">Outcomes simulés comme fonction causale de discount_applied (élasticité documentée + bruit) — pas déconnectés de l'assignation.</w:t>
            </w:r>
          </w:p>
        </w:tc>
      </w:tr>
      <w:tr>
        <w:tc>
          <w:tcPr>
            <w:tcW w:type="dxa" w:w="2600"/>
            <w:tcMar>
              <w:top w:type="dxa" w:w="80"/>
              <w:left w:type="dxa" w:w="100"/>
              <w:bottom w:type="dxa" w:w="80"/>
              <w:right w:type="dxa" w:w="100"/>
            </w:tcMar>
            <w:vAlign w:val="center"/>
          </w:tcPr>
          <w:p>
            <w:r>
              <w:rPr>
                <w:b w:val="false"/>
                <w:bCs w:val="false"/>
                <w:color w:val="000000"/>
              </w:rPr>
              <w:t xml:space="preserve">fenetre_observation_debut / fin</w:t>
            </w:r>
          </w:p>
        </w:tc>
        <w:tc>
          <w:tcPr>
            <w:tcW w:type="dxa" w:w="1800"/>
            <w:tcMar>
              <w:top w:type="dxa" w:w="80"/>
              <w:left w:type="dxa" w:w="100"/>
              <w:bottom w:type="dxa" w:w="80"/>
              <w:right w:type="dxa" w:w="100"/>
            </w:tcMar>
            <w:vAlign w:val="center"/>
          </w:tcPr>
          <w:p>
            <w:r>
              <w:rPr>
                <w:b w:val="false"/>
                <w:bCs w:val="false"/>
                <w:color w:val="000000"/>
              </w:rPr>
              <w:t xml:space="preserve">timestamptz / timestamptz</w:t>
            </w:r>
          </w:p>
        </w:tc>
        <w:tc>
          <w:tcPr>
            <w:tcW w:type="dxa" w:w="4900"/>
            <w:tcMar>
              <w:top w:type="dxa" w:w="80"/>
              <w:left w:type="dxa" w:w="100"/>
              <w:bottom w:type="dxa" w:w="80"/>
              <w:right w:type="dxa" w:w="100"/>
            </w:tcMar>
            <w:vAlign w:val="center"/>
          </w:tcPr>
          <w:p>
            <w:r>
              <w:rPr>
                <w:b w:val="false"/>
                <w:bCs w:val="false"/>
                <w:color w:val="000000"/>
              </w:rPr>
              <w:t xml:space="preserve">Bornes explicites de la fenêtre d'observation de 7 jours.</w:t>
            </w:r>
          </w:p>
        </w:tc>
      </w:tr>
      <w:tr>
        <w:tc>
          <w:tcPr>
            <w:tcW w:type="dxa" w:w="2600"/>
            <w:tcMar>
              <w:top w:type="dxa" w:w="80"/>
              <w:left w:type="dxa" w:w="100"/>
              <w:bottom w:type="dxa" w:w="80"/>
              <w:right w:type="dxa" w:w="100"/>
            </w:tcMar>
            <w:vAlign w:val="center"/>
          </w:tcPr>
          <w:p>
            <w:r>
              <w:rPr>
                <w:b w:val="false"/>
                <w:bCs w:val="false"/>
                <w:color w:val="000000"/>
              </w:rPr>
              <w:t xml:space="preserve">statut_experience</w:t>
            </w:r>
          </w:p>
        </w:tc>
        <w:tc>
          <w:tcPr>
            <w:tcW w:type="dxa" w:w="1800"/>
            <w:tcMar>
              <w:top w:type="dxa" w:w="80"/>
              <w:left w:type="dxa" w:w="100"/>
              <w:bottom w:type="dxa" w:w="80"/>
              <w:right w:type="dxa" w:w="100"/>
            </w:tcMar>
            <w:vAlign w:val="center"/>
          </w:tcPr>
          <w:p>
            <w:r>
              <w:rPr>
                <w:b w:val="false"/>
                <w:bCs w:val="false"/>
                <w:color w:val="000000"/>
              </w:rPr>
              <w:t xml:space="preserve">string</w:t>
            </w:r>
          </w:p>
        </w:tc>
        <w:tc>
          <w:tcPr>
            <w:tcW w:type="dxa" w:w="4900"/>
            <w:tcMar>
              <w:top w:type="dxa" w:w="80"/>
              <w:left w:type="dxa" w:w="100"/>
              <w:bottom w:type="dxa" w:w="80"/>
              <w:right w:type="dxa" w:w="100"/>
            </w:tcMar>
            <w:vAlign w:val="center"/>
          </w:tcPr>
          <w:p>
            <w:r>
              <w:rPr>
                <w:b w:val="false"/>
                <w:bCs w:val="false"/>
                <w:color w:val="000000"/>
              </w:rPr>
              <w:t xml:space="preserve">Toujours 'synthetic_academic_experiment' — jamais présentée comme une vraie expérience.</w:t>
            </w:r>
          </w:p>
        </w:tc>
      </w:tr>
    </w:tbl>
    <w:p>
      <w:pPr>
        <w:spacing w:after="160"/>
      </w:pPr>
      <w:r>
        <w:t xml:space="preserve"/>
      </w:r>
    </w:p>
    <w:p>
      <w:pPr>
        <w:spacing w:after="160"/>
      </w:pPr>
      <w:r>
        <w:t xml:space="preserve">Correctif du 22 août — product_impressions : un audit indépendant de l'équipe data science a détecté que cette colonne valait le total de la période entière au lieu du cumul antérieur à la décision, pour toutes les lignes. Cause identifiée : un mélange d'unité (microseconde vs nanoseconde) dans le calcul de la recherche binaire sur les horodatages. Corrigé et vérifié à la source ; les 2 tables ont été reconstruites et rechargées dans Supabase avec la nouvelle empreinte SHA-256.</w:t>
      </w:r>
    </w:p>
    <w:p>
      <w:pPr>
        <w:pStyle w:val="Heading2"/>
        <w:spacing w:after="140" w:before="280"/>
      </w:pPr>
      <w:r>
        <w:t xml:space="preserve">4.5 Table de faits : FACT_EXPOSITION_RECO</w:t>
      </w:r>
    </w:p>
    <w:p>
      <w:pPr>
        <w:spacing w:after="160"/>
      </w:pPr>
      <w:r>
        <w:t xml:space="preserve">Grain : une recommandation affichée à un visiteur, dans une liste (slate). Chaque slate n'est construit qu'avec des informations disponibles strictement avant l'impression — jamais avec la connaissance de ce qui sera vu/acheté plus tard dans la session.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00"/>
      </w:tblGrid>
      <w:tr>
        <w:trPr>
          <w:tblHeader/>
        </w:trPr>
        <w:tc>
          <w:tcPr>
            <w:tcW w:type="dxa" w:w="2600"/>
            <w:shd w:fill="993C1D" w:val="clear"/>
            <w:tcMar>
              <w:top w:type="dxa" w:w="80"/>
              <w:left w:type="dxa" w:w="100"/>
              <w:bottom w:type="dxa" w:w="80"/>
              <w:right w:type="dxa" w:w="100"/>
            </w:tcMar>
            <w:vAlign w:val="center"/>
          </w:tcPr>
          <w:p>
            <w:r>
              <w:rPr>
                <w:b/>
                <w:bCs/>
                <w:color w:val="FFFFFF"/>
              </w:rPr>
              <w:t xml:space="preserve">Colonne</w:t>
            </w:r>
          </w:p>
        </w:tc>
        <w:tc>
          <w:tcPr>
            <w:tcW w:type="dxa" w:w="1800"/>
            <w:shd w:fill="993C1D" w:val="clear"/>
            <w:tcMar>
              <w:top w:type="dxa" w:w="80"/>
              <w:left w:type="dxa" w:w="100"/>
              <w:bottom w:type="dxa" w:w="80"/>
              <w:right w:type="dxa" w:w="100"/>
            </w:tcMar>
            <w:vAlign w:val="center"/>
          </w:tcPr>
          <w:p>
            <w:r>
              <w:rPr>
                <w:b/>
                <w:bCs/>
                <w:color w:val="FFFFFF"/>
              </w:rPr>
              <w:t xml:space="preserve">Type</w:t>
            </w:r>
          </w:p>
        </w:tc>
        <w:tc>
          <w:tcPr>
            <w:tcW w:type="dxa" w:w="4900"/>
            <w:shd w:fill="993C1D" w:val="clear"/>
            <w:tcMar>
              <w:top w:type="dxa" w:w="80"/>
              <w:left w:type="dxa" w:w="100"/>
              <w:bottom w:type="dxa" w:w="80"/>
              <w:right w:type="dxa" w:w="100"/>
            </w:tcMar>
            <w:vAlign w:val="center"/>
          </w:tcPr>
          <w:p>
            <w:r>
              <w:rPr>
                <w:b/>
                <w:bCs/>
                <w:color w:val="FFFFFF"/>
              </w:rPr>
              <w:t xml:space="preserve">Description</w:t>
            </w:r>
          </w:p>
        </w:tc>
      </w:tr>
      <w:tr>
        <w:tc>
          <w:tcPr>
            <w:tcW w:type="dxa" w:w="2600"/>
            <w:tcMar>
              <w:top w:type="dxa" w:w="80"/>
              <w:left w:type="dxa" w:w="100"/>
              <w:bottom w:type="dxa" w:w="80"/>
              <w:right w:type="dxa" w:w="100"/>
            </w:tcMar>
            <w:vAlign w:val="center"/>
          </w:tcPr>
          <w:p>
            <w:r>
              <w:rPr>
                <w:b w:val="false"/>
                <w:bCs w:val="false"/>
                <w:color w:val="000000"/>
              </w:rPr>
              <w:t xml:space="preserve">recommendation_id</w:t>
            </w:r>
          </w:p>
        </w:tc>
        <w:tc>
          <w:tcPr>
            <w:tcW w:type="dxa" w:w="1800"/>
            <w:tcMar>
              <w:top w:type="dxa" w:w="80"/>
              <w:left w:type="dxa" w:w="100"/>
              <w:bottom w:type="dxa" w:w="80"/>
              <w:right w:type="dxa" w:w="100"/>
            </w:tcMar>
            <w:vAlign w:val="center"/>
          </w:tcPr>
          <w:p>
            <w:r>
              <w:rPr>
                <w:b w:val="false"/>
                <w:bCs w:val="false"/>
                <w:color w:val="000000"/>
              </w:rPr>
              <w:t xml:space="preserve">string (PK)</w:t>
            </w:r>
          </w:p>
        </w:tc>
        <w:tc>
          <w:tcPr>
            <w:tcW w:type="dxa" w:w="4900"/>
            <w:tcMar>
              <w:top w:type="dxa" w:w="80"/>
              <w:left w:type="dxa" w:w="100"/>
              <w:bottom w:type="dxa" w:w="80"/>
              <w:right w:type="dxa" w:w="100"/>
            </w:tcMar>
            <w:vAlign w:val="center"/>
          </w:tcPr>
          <w:p>
            <w:r>
              <w:rPr>
                <w:b w:val="false"/>
                <w:bCs w:val="false"/>
                <w:color w:val="000000"/>
              </w:rPr>
              <w:t xml:space="preserve">Identifiant unique de l'exposition.</w:t>
            </w:r>
          </w:p>
        </w:tc>
      </w:tr>
      <w:tr>
        <w:tc>
          <w:tcPr>
            <w:tcW w:type="dxa" w:w="2600"/>
            <w:tcMar>
              <w:top w:type="dxa" w:w="80"/>
              <w:left w:type="dxa" w:w="100"/>
              <w:bottom w:type="dxa" w:w="80"/>
              <w:right w:type="dxa" w:w="100"/>
            </w:tcMar>
            <w:vAlign w:val="center"/>
          </w:tcPr>
          <w:p>
            <w:r>
              <w:rPr>
                <w:b w:val="false"/>
                <w:bCs w:val="false"/>
                <w:color w:val="000000"/>
              </w:rPr>
              <w:t xml:space="preserve">slate_id</w:t>
            </w:r>
          </w:p>
        </w:tc>
        <w:tc>
          <w:tcPr>
            <w:tcW w:type="dxa" w:w="1800"/>
            <w:tcMar>
              <w:top w:type="dxa" w:w="80"/>
              <w:left w:type="dxa" w:w="100"/>
              <w:bottom w:type="dxa" w:w="80"/>
              <w:right w:type="dxa" w:w="100"/>
            </w:tcMar>
            <w:vAlign w:val="center"/>
          </w:tcPr>
          <w:p>
            <w:r>
              <w:rPr>
                <w:b w:val="false"/>
                <w:bCs w:val="false"/>
                <w:color w:val="000000"/>
              </w:rPr>
              <w:t xml:space="preserve">string</w:t>
            </w:r>
          </w:p>
        </w:tc>
        <w:tc>
          <w:tcPr>
            <w:tcW w:type="dxa" w:w="4900"/>
            <w:tcMar>
              <w:top w:type="dxa" w:w="80"/>
              <w:left w:type="dxa" w:w="100"/>
              <w:bottom w:type="dxa" w:w="80"/>
              <w:right w:type="dxa" w:w="100"/>
            </w:tcMar>
            <w:vAlign w:val="center"/>
          </w:tcPr>
          <w:p>
            <w:r>
              <w:rPr>
                <w:b w:val="false"/>
                <w:bCs w:val="false"/>
                <w:color w:val="000000"/>
              </w:rPr>
              <w:t xml:space="preserve">Identifiant partagé par tous les produits d'une même liste affichée.</w:t>
            </w:r>
          </w:p>
        </w:tc>
      </w:tr>
      <w:tr>
        <w:tc>
          <w:tcPr>
            <w:tcW w:type="dxa" w:w="2600"/>
            <w:tcMar>
              <w:top w:type="dxa" w:w="80"/>
              <w:left w:type="dxa" w:w="100"/>
              <w:bottom w:type="dxa" w:w="80"/>
              <w:right w:type="dxa" w:w="100"/>
            </w:tcMar>
            <w:vAlign w:val="center"/>
          </w:tcPr>
          <w:p>
            <w:r>
              <w:rPr>
                <w:b w:val="false"/>
                <w:bCs w:val="false"/>
                <w:color w:val="000000"/>
              </w:rPr>
              <w:t xml:space="preserve">experiment_id / assignment_id</w:t>
            </w:r>
          </w:p>
        </w:tc>
        <w:tc>
          <w:tcPr>
            <w:tcW w:type="dxa" w:w="1800"/>
            <w:tcMar>
              <w:top w:type="dxa" w:w="80"/>
              <w:left w:type="dxa" w:w="100"/>
              <w:bottom w:type="dxa" w:w="80"/>
              <w:right w:type="dxa" w:w="100"/>
            </w:tcMar>
            <w:vAlign w:val="center"/>
          </w:tcPr>
          <w:p>
            <w:r>
              <w:rPr>
                <w:b w:val="false"/>
                <w:bCs w:val="false"/>
                <w:color w:val="000000"/>
              </w:rPr>
              <w:t xml:space="preserve">string / string</w:t>
            </w:r>
          </w:p>
        </w:tc>
        <w:tc>
          <w:tcPr>
            <w:tcW w:type="dxa" w:w="4900"/>
            <w:tcMar>
              <w:top w:type="dxa" w:w="80"/>
              <w:left w:type="dxa" w:w="100"/>
              <w:bottom w:type="dxa" w:w="80"/>
              <w:right w:type="dxa" w:w="100"/>
            </w:tcMar>
            <w:vAlign w:val="center"/>
          </w:tcPr>
          <w:p>
            <w:r>
              <w:rPr>
                <w:b w:val="false"/>
                <w:bCs w:val="false"/>
                <w:color w:val="000000"/>
              </w:rPr>
              <w:t xml:space="preserve">Identifiants de l'expérience et de l'assignation persistante du visiteur.</w:t>
            </w:r>
          </w:p>
        </w:tc>
      </w:tr>
      <w:tr>
        <w:tc>
          <w:tcPr>
            <w:tcW w:type="dxa" w:w="2600"/>
            <w:tcMar>
              <w:top w:type="dxa" w:w="80"/>
              <w:left w:type="dxa" w:w="100"/>
              <w:bottom w:type="dxa" w:w="80"/>
              <w:right w:type="dxa" w:w="100"/>
            </w:tcMar>
            <w:vAlign w:val="center"/>
          </w:tcPr>
          <w:p>
            <w:r>
              <w:rPr>
                <w:b w:val="false"/>
                <w:bCs w:val="false"/>
                <w:color w:val="000000"/>
              </w:rPr>
              <w:t xml:space="preserve">client_key / anonymous_id</w:t>
            </w:r>
          </w:p>
        </w:tc>
        <w:tc>
          <w:tcPr>
            <w:tcW w:type="dxa" w:w="1800"/>
            <w:tcMar>
              <w:top w:type="dxa" w:w="80"/>
              <w:left w:type="dxa" w:w="100"/>
              <w:bottom w:type="dxa" w:w="80"/>
              <w:right w:type="dxa" w:w="100"/>
            </w:tcMar>
            <w:vAlign w:val="center"/>
          </w:tcPr>
          <w:p>
            <w:r>
              <w:rPr>
                <w:b w:val="false"/>
                <w:bCs w:val="false"/>
                <w:color w:val="000000"/>
              </w:rPr>
              <w:t xml:space="preserve">string / string</w:t>
            </w:r>
          </w:p>
        </w:tc>
        <w:tc>
          <w:tcPr>
            <w:tcW w:type="dxa" w:w="4900"/>
            <w:tcMar>
              <w:top w:type="dxa" w:w="80"/>
              <w:left w:type="dxa" w:w="100"/>
              <w:bottom w:type="dxa" w:w="80"/>
              <w:right w:type="dxa" w:w="100"/>
            </w:tcMar>
            <w:vAlign w:val="center"/>
          </w:tcPr>
          <w:p>
            <w:r>
              <w:rPr>
                <w:b w:val="false"/>
                <w:bCs w:val="false"/>
                <w:color w:val="000000"/>
              </w:rPr>
              <w:t xml:space="preserve">Mutuellement exclusifs — visiteur connu ou anonyme.</w:t>
            </w:r>
          </w:p>
        </w:tc>
      </w:tr>
      <w:tr>
        <w:tc>
          <w:tcPr>
            <w:tcW w:type="dxa" w:w="2600"/>
            <w:tcMar>
              <w:top w:type="dxa" w:w="80"/>
              <w:left w:type="dxa" w:w="100"/>
              <w:bottom w:type="dxa" w:w="80"/>
              <w:right w:type="dxa" w:w="100"/>
            </w:tcMar>
            <w:vAlign w:val="center"/>
          </w:tcPr>
          <w:p>
            <w:r>
              <w:rPr>
                <w:b w:val="false"/>
                <w:bCs w:val="false"/>
                <w:color w:val="000000"/>
              </w:rPr>
              <w:t xml:space="preserve">session_id</w:t>
            </w:r>
          </w:p>
        </w:tc>
        <w:tc>
          <w:tcPr>
            <w:tcW w:type="dxa" w:w="1800"/>
            <w:tcMar>
              <w:top w:type="dxa" w:w="80"/>
              <w:left w:type="dxa" w:w="100"/>
              <w:bottom w:type="dxa" w:w="80"/>
              <w:right w:type="dxa" w:w="100"/>
            </w:tcMar>
            <w:vAlign w:val="center"/>
          </w:tcPr>
          <w:p>
            <w:r>
              <w:rPr>
                <w:b w:val="false"/>
                <w:bCs w:val="false"/>
                <w:color w:val="000000"/>
              </w:rPr>
              <w:t xml:space="preserve">string</w:t>
            </w:r>
          </w:p>
        </w:tc>
        <w:tc>
          <w:tcPr>
            <w:tcW w:type="dxa" w:w="4900"/>
            <w:tcMar>
              <w:top w:type="dxa" w:w="80"/>
              <w:left w:type="dxa" w:w="100"/>
              <w:bottom w:type="dxa" w:w="80"/>
              <w:right w:type="dxa" w:w="100"/>
            </w:tcMar>
            <w:vAlign w:val="center"/>
          </w:tcPr>
          <w:p>
            <w:r>
              <w:rPr>
                <w:b w:val="false"/>
                <w:bCs w:val="false"/>
                <w:color w:val="000000"/>
              </w:rPr>
              <w:t xml:space="preserve">Référence vers une session réelle de FACT_EVENEMENTS_WEB (toujours renseigné, jamais hors bornes de la session).</w:t>
            </w:r>
          </w:p>
        </w:tc>
      </w:tr>
      <w:tr>
        <w:tc>
          <w:tcPr>
            <w:tcW w:type="dxa" w:w="2600"/>
            <w:tcMar>
              <w:top w:type="dxa" w:w="80"/>
              <w:left w:type="dxa" w:w="100"/>
              <w:bottom w:type="dxa" w:w="80"/>
              <w:right w:type="dxa" w:w="100"/>
            </w:tcMar>
            <w:vAlign w:val="center"/>
          </w:tcPr>
          <w:p>
            <w:r>
              <w:rPr>
                <w:b w:val="false"/>
                <w:bCs w:val="false"/>
                <w:color w:val="000000"/>
              </w:rPr>
              <w:t xml:space="preserve">model_version</w:t>
            </w:r>
          </w:p>
        </w:tc>
        <w:tc>
          <w:tcPr>
            <w:tcW w:type="dxa" w:w="1800"/>
            <w:tcMar>
              <w:top w:type="dxa" w:w="80"/>
              <w:left w:type="dxa" w:w="100"/>
              <w:bottom w:type="dxa" w:w="80"/>
              <w:right w:type="dxa" w:w="100"/>
            </w:tcMar>
            <w:vAlign w:val="center"/>
          </w:tcPr>
          <w:p>
            <w:r>
              <w:rPr>
                <w:b w:val="false"/>
                <w:bCs w:val="false"/>
                <w:color w:val="000000"/>
              </w:rPr>
              <w:t xml:space="preserve">string</w:t>
            </w:r>
          </w:p>
        </w:tc>
        <w:tc>
          <w:tcPr>
            <w:tcW w:type="dxa" w:w="4900"/>
            <w:tcMar>
              <w:top w:type="dxa" w:w="80"/>
              <w:left w:type="dxa" w:w="100"/>
              <w:bottom w:type="dxa" w:w="80"/>
              <w:right w:type="dxa" w:w="100"/>
            </w:tcMar>
            <w:vAlign w:val="center"/>
          </w:tcPr>
          <w:p>
            <w:r>
              <w:rPr>
                <w:b w:val="false"/>
                <w:bCs w:val="false"/>
                <w:color w:val="000000"/>
              </w:rPr>
              <w:t xml:space="preserve">popularite_globale_v1 (contrôle) ou challenger_affinite_categorie_v1 (traitement) — déterminé par le groupe assigné, jamais aléatoire.</w:t>
            </w:r>
          </w:p>
        </w:tc>
      </w:tr>
      <w:tr>
        <w:tc>
          <w:tcPr>
            <w:tcW w:type="dxa" w:w="2600"/>
            <w:tcMar>
              <w:top w:type="dxa" w:w="80"/>
              <w:left w:type="dxa" w:w="100"/>
              <w:bottom w:type="dxa" w:w="80"/>
              <w:right w:type="dxa" w:w="100"/>
            </w:tcMar>
            <w:vAlign w:val="center"/>
          </w:tcPr>
          <w:p>
            <w:r>
              <w:rPr>
                <w:b w:val="false"/>
                <w:bCs w:val="false"/>
                <w:color w:val="000000"/>
              </w:rPr>
              <w:t xml:space="preserve">model_score</w:t>
            </w:r>
          </w:p>
        </w:tc>
        <w:tc>
          <w:tcPr>
            <w:tcW w:type="dxa" w:w="1800"/>
            <w:tcMar>
              <w:top w:type="dxa" w:w="80"/>
              <w:left w:type="dxa" w:w="100"/>
              <w:bottom w:type="dxa" w:w="80"/>
              <w:right w:type="dxa" w:w="100"/>
            </w:tcMar>
            <w:vAlign w:val="center"/>
          </w:tcPr>
          <w:p>
            <w:r>
              <w:rPr>
                <w:b w:val="false"/>
                <w:bCs w:val="false"/>
                <w:color w:val="000000"/>
              </w:rPr>
              <w:t xml:space="preserve">numeric</w:t>
            </w:r>
          </w:p>
        </w:tc>
        <w:tc>
          <w:tcPr>
            <w:tcW w:type="dxa" w:w="4900"/>
            <w:tcMar>
              <w:top w:type="dxa" w:w="80"/>
              <w:left w:type="dxa" w:w="100"/>
              <w:bottom w:type="dxa" w:w="80"/>
              <w:right w:type="dxa" w:w="100"/>
            </w:tcMar>
            <w:vAlign w:val="center"/>
          </w:tcPr>
          <w:p>
            <w:r>
              <w:rPr>
                <w:b w:val="false"/>
                <w:bCs w:val="false"/>
                <w:color w:val="000000"/>
              </w:rPr>
              <w:t xml:space="preserve">Score réellement calculé par le modèle correspondant, à partir d'informations strictement antérieures à l'impression.</w:t>
            </w:r>
          </w:p>
        </w:tc>
      </w:tr>
      <w:tr>
        <w:tc>
          <w:tcPr>
            <w:tcW w:type="dxa" w:w="2600"/>
            <w:tcMar>
              <w:top w:type="dxa" w:w="80"/>
              <w:left w:type="dxa" w:w="100"/>
              <w:bottom w:type="dxa" w:w="80"/>
              <w:right w:type="dxa" w:w="100"/>
            </w:tcMar>
            <w:vAlign w:val="center"/>
          </w:tcPr>
          <w:p>
            <w:r>
              <w:rPr>
                <w:b w:val="false"/>
                <w:bCs w:val="false"/>
                <w:color w:val="000000"/>
              </w:rPr>
              <w:t xml:space="preserve">produit_key</w:t>
            </w:r>
          </w:p>
        </w:tc>
        <w:tc>
          <w:tcPr>
            <w:tcW w:type="dxa" w:w="1800"/>
            <w:tcMar>
              <w:top w:type="dxa" w:w="80"/>
              <w:left w:type="dxa" w:w="100"/>
              <w:bottom w:type="dxa" w:w="80"/>
              <w:right w:type="dxa" w:w="100"/>
            </w:tcMar>
            <w:vAlign w:val="center"/>
          </w:tcPr>
          <w:p>
            <w:r>
              <w:rPr>
                <w:b w:val="false"/>
                <w:bCs w:val="false"/>
                <w:color w:val="000000"/>
              </w:rPr>
              <w:t xml:space="preserve">string (FK)</w:t>
            </w:r>
          </w:p>
        </w:tc>
        <w:tc>
          <w:tcPr>
            <w:tcW w:type="dxa" w:w="4900"/>
            <w:tcMar>
              <w:top w:type="dxa" w:w="80"/>
              <w:left w:type="dxa" w:w="100"/>
              <w:bottom w:type="dxa" w:w="80"/>
              <w:right w:type="dxa" w:w="100"/>
            </w:tcMar>
            <w:vAlign w:val="center"/>
          </w:tcPr>
          <w:p>
            <w:r>
              <w:rPr>
                <w:b w:val="false"/>
                <w:bCs w:val="false"/>
                <w:color w:val="000000"/>
              </w:rPr>
              <w:t xml:space="preserve">Produit recommandé, référence vers DIM_PRODUIT.</w:t>
            </w:r>
          </w:p>
        </w:tc>
      </w:tr>
      <w:tr>
        <w:tc>
          <w:tcPr>
            <w:tcW w:type="dxa" w:w="2600"/>
            <w:tcMar>
              <w:top w:type="dxa" w:w="80"/>
              <w:left w:type="dxa" w:w="100"/>
              <w:bottom w:type="dxa" w:w="80"/>
              <w:right w:type="dxa" w:w="100"/>
            </w:tcMar>
            <w:vAlign w:val="center"/>
          </w:tcPr>
          <w:p>
            <w:r>
              <w:rPr>
                <w:b w:val="false"/>
                <w:bCs w:val="false"/>
                <w:color w:val="000000"/>
              </w:rPr>
              <w:t xml:space="preserve">rank</w:t>
            </w:r>
          </w:p>
        </w:tc>
        <w:tc>
          <w:tcPr>
            <w:tcW w:type="dxa" w:w="1800"/>
            <w:tcMar>
              <w:top w:type="dxa" w:w="80"/>
              <w:left w:type="dxa" w:w="100"/>
              <w:bottom w:type="dxa" w:w="80"/>
              <w:right w:type="dxa" w:w="100"/>
            </w:tcMar>
            <w:vAlign w:val="center"/>
          </w:tcPr>
          <w:p>
            <w:r>
              <w:rPr>
                <w:b w:val="false"/>
                <w:bCs w:val="false"/>
                <w:color w:val="000000"/>
              </w:rPr>
              <w:t xml:space="preserve">int</w:t>
            </w:r>
          </w:p>
        </w:tc>
        <w:tc>
          <w:tcPr>
            <w:tcW w:type="dxa" w:w="4900"/>
            <w:tcMar>
              <w:top w:type="dxa" w:w="80"/>
              <w:left w:type="dxa" w:w="100"/>
              <w:bottom w:type="dxa" w:w="80"/>
              <w:right w:type="dxa" w:w="100"/>
            </w:tcMar>
            <w:vAlign w:val="center"/>
          </w:tcPr>
          <w:p>
            <w:r>
              <w:rPr>
                <w:b w:val="false"/>
                <w:bCs w:val="false"/>
                <w:color w:val="000000"/>
              </w:rPr>
              <w:t xml:space="preserve">Position dans la liste, dérivée du tri par model_score (jamais aléatoire).</w:t>
            </w:r>
          </w:p>
        </w:tc>
      </w:tr>
      <w:tr>
        <w:tc>
          <w:tcPr>
            <w:tcW w:type="dxa" w:w="2600"/>
            <w:tcMar>
              <w:top w:type="dxa" w:w="80"/>
              <w:left w:type="dxa" w:w="100"/>
              <w:bottom w:type="dxa" w:w="80"/>
              <w:right w:type="dxa" w:w="100"/>
            </w:tcMar>
            <w:vAlign w:val="center"/>
          </w:tcPr>
          <w:p>
            <w:r>
              <w:rPr>
                <w:b w:val="false"/>
                <w:bCs w:val="false"/>
                <w:color w:val="000000"/>
              </w:rPr>
              <w:t xml:space="preserve">impression_timestamp</w:t>
            </w:r>
          </w:p>
        </w:tc>
        <w:tc>
          <w:tcPr>
            <w:tcW w:type="dxa" w:w="1800"/>
            <w:tcMar>
              <w:top w:type="dxa" w:w="80"/>
              <w:left w:type="dxa" w:w="100"/>
              <w:bottom w:type="dxa" w:w="80"/>
              <w:right w:type="dxa" w:w="100"/>
            </w:tcMar>
            <w:vAlign w:val="center"/>
          </w:tcPr>
          <w:p>
            <w:r>
              <w:rPr>
                <w:b w:val="false"/>
                <w:bCs w:val="false"/>
                <w:color w:val="000000"/>
              </w:rPr>
              <w:t xml:space="preserve">timestamptz</w:t>
            </w:r>
          </w:p>
        </w:tc>
        <w:tc>
          <w:tcPr>
            <w:tcW w:type="dxa" w:w="4900"/>
            <w:tcMar>
              <w:top w:type="dxa" w:w="80"/>
              <w:left w:type="dxa" w:w="100"/>
              <w:bottom w:type="dxa" w:w="80"/>
              <w:right w:type="dxa" w:w="100"/>
            </w:tcMar>
            <w:vAlign w:val="center"/>
          </w:tcPr>
          <w:p>
            <w:r>
              <w:rPr>
                <w:b w:val="false"/>
                <w:bCs w:val="false"/>
                <w:color w:val="000000"/>
              </w:rPr>
              <w:t xml:space="preserve">Horodatage de l'affichage, UTC — toujours dans les bornes réelles de la session.</w:t>
            </w:r>
          </w:p>
        </w:tc>
      </w:tr>
      <w:tr>
        <w:tc>
          <w:tcPr>
            <w:tcW w:type="dxa" w:w="2600"/>
            <w:tcMar>
              <w:top w:type="dxa" w:w="80"/>
              <w:left w:type="dxa" w:w="100"/>
              <w:bottom w:type="dxa" w:w="80"/>
              <w:right w:type="dxa" w:w="100"/>
            </w:tcMar>
            <w:vAlign w:val="center"/>
          </w:tcPr>
          <w:p>
            <w:r>
              <w:rPr>
                <w:b w:val="false"/>
                <w:bCs w:val="false"/>
                <w:color w:val="000000"/>
              </w:rPr>
              <w:t xml:space="preserve">viewed_after_impression / view_timestamp</w:t>
            </w:r>
          </w:p>
        </w:tc>
        <w:tc>
          <w:tcPr>
            <w:tcW w:type="dxa" w:w="1800"/>
            <w:tcMar>
              <w:top w:type="dxa" w:w="80"/>
              <w:left w:type="dxa" w:w="100"/>
              <w:bottom w:type="dxa" w:w="80"/>
              <w:right w:type="dxa" w:w="100"/>
            </w:tcMar>
            <w:vAlign w:val="center"/>
          </w:tcPr>
          <w:p>
            <w:r>
              <w:rPr>
                <w:b w:val="false"/>
                <w:bCs w:val="false"/>
                <w:color w:val="000000"/>
              </w:rPr>
              <w:t xml:space="preserve">boolean / timestamptz</w:t>
            </w:r>
          </w:p>
        </w:tc>
        <w:tc>
          <w:tcPr>
            <w:tcW w:type="dxa" w:w="4900"/>
            <w:tcMar>
              <w:top w:type="dxa" w:w="80"/>
              <w:left w:type="dxa" w:w="100"/>
              <w:bottom w:type="dxa" w:w="80"/>
              <w:right w:type="dxa" w:w="100"/>
            </w:tcMar>
            <w:vAlign w:val="center"/>
          </w:tcPr>
          <w:p>
            <w:r>
              <w:rPr>
                <w:b w:val="false"/>
                <w:bCs w:val="false"/>
                <w:color w:val="000000"/>
              </w:rPr>
              <w:t xml:space="preserve">Remplace "clicked" — la source ne distingue pas un clic d'une vue. Dérivé des vrais événements postérieurs à l'impression, jamais simulé au hasard.</w:t>
            </w:r>
          </w:p>
        </w:tc>
      </w:tr>
      <w:tr>
        <w:tc>
          <w:tcPr>
            <w:tcW w:type="dxa" w:w="2600"/>
            <w:tcMar>
              <w:top w:type="dxa" w:w="80"/>
              <w:left w:type="dxa" w:w="100"/>
              <w:bottom w:type="dxa" w:w="80"/>
              <w:right w:type="dxa" w:w="100"/>
            </w:tcMar>
            <w:vAlign w:val="center"/>
          </w:tcPr>
          <w:p>
            <w:r>
              <w:rPr>
                <w:b w:val="false"/>
                <w:bCs w:val="false"/>
                <w:color w:val="000000"/>
              </w:rPr>
              <w:t xml:space="preserve">added_to_cart_after / add_to_cart_timestamp</w:t>
            </w:r>
          </w:p>
        </w:tc>
        <w:tc>
          <w:tcPr>
            <w:tcW w:type="dxa" w:w="1800"/>
            <w:tcMar>
              <w:top w:type="dxa" w:w="80"/>
              <w:left w:type="dxa" w:w="100"/>
              <w:bottom w:type="dxa" w:w="80"/>
              <w:right w:type="dxa" w:w="100"/>
            </w:tcMar>
            <w:vAlign w:val="center"/>
          </w:tcPr>
          <w:p>
            <w:r>
              <w:rPr>
                <w:b w:val="false"/>
                <w:bCs w:val="false"/>
                <w:color w:val="000000"/>
              </w:rPr>
              <w:t xml:space="preserve">boolean / timestamptz</w:t>
            </w:r>
          </w:p>
        </w:tc>
        <w:tc>
          <w:tcPr>
            <w:tcW w:type="dxa" w:w="4900"/>
            <w:tcMar>
              <w:top w:type="dxa" w:w="80"/>
              <w:left w:type="dxa" w:w="100"/>
              <w:bottom w:type="dxa" w:w="80"/>
              <w:right w:type="dxa" w:w="100"/>
            </w:tcMar>
            <w:vAlign w:val="center"/>
          </w:tcPr>
          <w:p>
            <w:r>
              <w:rPr>
                <w:b w:val="false"/>
                <w:bCs w:val="false"/>
                <w:color w:val="000000"/>
              </w:rPr>
              <w:t xml:space="preserve">Idem, strictement postérieur à l'impression.</w:t>
            </w:r>
          </w:p>
        </w:tc>
      </w:tr>
      <w:tr>
        <w:tc>
          <w:tcPr>
            <w:tcW w:type="dxa" w:w="2600"/>
            <w:tcMar>
              <w:top w:type="dxa" w:w="80"/>
              <w:left w:type="dxa" w:w="100"/>
              <w:bottom w:type="dxa" w:w="80"/>
              <w:right w:type="dxa" w:w="100"/>
            </w:tcMar>
            <w:vAlign w:val="center"/>
          </w:tcPr>
          <w:p>
            <w:r>
              <w:rPr>
                <w:b w:val="false"/>
                <w:bCs w:val="false"/>
                <w:color w:val="000000"/>
              </w:rPr>
              <w:t xml:space="preserve">purchased_after / purchase_timestamp</w:t>
            </w:r>
          </w:p>
        </w:tc>
        <w:tc>
          <w:tcPr>
            <w:tcW w:type="dxa" w:w="1800"/>
            <w:tcMar>
              <w:top w:type="dxa" w:w="80"/>
              <w:left w:type="dxa" w:w="100"/>
              <w:bottom w:type="dxa" w:w="80"/>
              <w:right w:type="dxa" w:w="100"/>
            </w:tcMar>
            <w:vAlign w:val="center"/>
          </w:tcPr>
          <w:p>
            <w:r>
              <w:rPr>
                <w:b w:val="false"/>
                <w:bCs w:val="false"/>
                <w:color w:val="000000"/>
              </w:rPr>
              <w:t xml:space="preserve">boolean / timestamptz</w:t>
            </w:r>
          </w:p>
        </w:tc>
        <w:tc>
          <w:tcPr>
            <w:tcW w:type="dxa" w:w="4900"/>
            <w:tcMar>
              <w:top w:type="dxa" w:w="80"/>
              <w:left w:type="dxa" w:w="100"/>
              <w:bottom w:type="dxa" w:w="80"/>
              <w:right w:type="dxa" w:w="100"/>
            </w:tcMar>
            <w:vAlign w:val="center"/>
          </w:tcPr>
          <w:p>
            <w:r>
              <w:rPr>
                <w:b w:val="false"/>
                <w:bCs w:val="false"/>
                <w:color w:val="000000"/>
              </w:rPr>
              <w:t xml:space="preserve">Idem, strictement postérieur à l'impression.</w:t>
            </w:r>
          </w:p>
        </w:tc>
      </w:tr>
      <w:tr>
        <w:tc>
          <w:tcPr>
            <w:tcW w:type="dxa" w:w="2600"/>
            <w:tcMar>
              <w:top w:type="dxa" w:w="80"/>
              <w:left w:type="dxa" w:w="100"/>
              <w:bottom w:type="dxa" w:w="80"/>
              <w:right w:type="dxa" w:w="100"/>
            </w:tcMar>
            <w:vAlign w:val="center"/>
          </w:tcPr>
          <w:p>
            <w:r>
              <w:rPr>
                <w:b w:val="false"/>
                <w:bCs w:val="false"/>
                <w:color w:val="000000"/>
              </w:rPr>
              <w:t xml:space="preserve">experiment_group</w:t>
            </w:r>
          </w:p>
        </w:tc>
        <w:tc>
          <w:tcPr>
            <w:tcW w:type="dxa" w:w="1800"/>
            <w:tcMar>
              <w:top w:type="dxa" w:w="80"/>
              <w:left w:type="dxa" w:w="100"/>
              <w:bottom w:type="dxa" w:w="80"/>
              <w:right w:type="dxa" w:w="100"/>
            </w:tcMar>
            <w:vAlign w:val="center"/>
          </w:tcPr>
          <w:p>
            <w:r>
              <w:rPr>
                <w:b w:val="false"/>
                <w:bCs w:val="false"/>
                <w:color w:val="000000"/>
              </w:rPr>
              <w:t xml:space="preserve">string</w:t>
            </w:r>
          </w:p>
        </w:tc>
        <w:tc>
          <w:tcPr>
            <w:tcW w:type="dxa" w:w="4900"/>
            <w:tcMar>
              <w:top w:type="dxa" w:w="80"/>
              <w:left w:type="dxa" w:w="100"/>
              <w:bottom w:type="dxa" w:w="80"/>
              <w:right w:type="dxa" w:w="100"/>
            </w:tcMar>
            <w:vAlign w:val="center"/>
          </w:tcPr>
          <w:p>
            <w:r>
              <w:rPr>
                <w:b w:val="false"/>
                <w:bCs w:val="false"/>
                <w:color w:val="000000"/>
              </w:rPr>
              <w:t xml:space="preserve">controle / traitement, assignation persistante par client ou visiteur anonyme.</w:t>
            </w:r>
          </w:p>
        </w:tc>
      </w:tr>
      <w:tr>
        <w:tc>
          <w:tcPr>
            <w:tcW w:type="dxa" w:w="2600"/>
            <w:tcMar>
              <w:top w:type="dxa" w:w="80"/>
              <w:left w:type="dxa" w:w="100"/>
              <w:bottom w:type="dxa" w:w="80"/>
              <w:right w:type="dxa" w:w="100"/>
            </w:tcMar>
            <w:vAlign w:val="center"/>
          </w:tcPr>
          <w:p>
            <w:r>
              <w:rPr>
                <w:b w:val="false"/>
                <w:bCs w:val="false"/>
                <w:color w:val="000000"/>
              </w:rPr>
              <w:t xml:space="preserve">group_assignment_propensity</w:t>
            </w:r>
          </w:p>
        </w:tc>
        <w:tc>
          <w:tcPr>
            <w:tcW w:type="dxa" w:w="1800"/>
            <w:tcMar>
              <w:top w:type="dxa" w:w="80"/>
              <w:left w:type="dxa" w:w="100"/>
              <w:bottom w:type="dxa" w:w="80"/>
              <w:right w:type="dxa" w:w="100"/>
            </w:tcMar>
            <w:vAlign w:val="center"/>
          </w:tcPr>
          <w:p>
            <w:r>
              <w:rPr>
                <w:b w:val="false"/>
                <w:bCs w:val="false"/>
                <w:color w:val="000000"/>
              </w:rPr>
              <w:t xml:space="preserve">numeric</w:t>
            </w:r>
          </w:p>
        </w:tc>
        <w:tc>
          <w:tcPr>
            <w:tcW w:type="dxa" w:w="4900"/>
            <w:tcMar>
              <w:top w:type="dxa" w:w="80"/>
              <w:left w:type="dxa" w:w="100"/>
              <w:bottom w:type="dxa" w:w="80"/>
              <w:right w:type="dxa" w:w="100"/>
            </w:tcMar>
            <w:vAlign w:val="center"/>
          </w:tcPr>
          <w:p>
            <w:r>
              <w:rPr>
                <w:b w:val="false"/>
                <w:bCs w:val="false"/>
                <w:color w:val="000000"/>
              </w:rPr>
              <w:t xml:space="preserve">Probabilité d'assignation au groupe d'expérience.</w:t>
            </w:r>
          </w:p>
        </w:tc>
      </w:tr>
      <w:tr>
        <w:tc>
          <w:tcPr>
            <w:tcW w:type="dxa" w:w="2600"/>
            <w:tcMar>
              <w:top w:type="dxa" w:w="80"/>
              <w:left w:type="dxa" w:w="100"/>
              <w:bottom w:type="dxa" w:w="80"/>
              <w:right w:type="dxa" w:w="100"/>
            </w:tcMar>
            <w:vAlign w:val="center"/>
          </w:tcPr>
          <w:p>
            <w:r>
              <w:rPr>
                <w:b w:val="false"/>
                <w:bCs w:val="false"/>
                <w:color w:val="000000"/>
              </w:rPr>
              <w:t xml:space="preserve">session_selection_probability</w:t>
            </w:r>
          </w:p>
        </w:tc>
        <w:tc>
          <w:tcPr>
            <w:tcW w:type="dxa" w:w="1800"/>
            <w:tcMar>
              <w:top w:type="dxa" w:w="80"/>
              <w:left w:type="dxa" w:w="100"/>
              <w:bottom w:type="dxa" w:w="80"/>
              <w:right w:type="dxa" w:w="100"/>
            </w:tcMar>
            <w:vAlign w:val="center"/>
          </w:tcPr>
          <w:p>
            <w:r>
              <w:rPr>
                <w:b w:val="false"/>
                <w:bCs w:val="false"/>
                <w:color w:val="000000"/>
              </w:rPr>
              <w:t xml:space="preserve">numeric</w:t>
            </w:r>
          </w:p>
        </w:tc>
        <w:tc>
          <w:tcPr>
            <w:tcW w:type="dxa" w:w="4900"/>
            <w:tcMar>
              <w:top w:type="dxa" w:w="80"/>
              <w:left w:type="dxa" w:w="100"/>
              <w:bottom w:type="dxa" w:w="80"/>
              <w:right w:type="dxa" w:w="100"/>
            </w:tcMar>
            <w:vAlign w:val="center"/>
          </w:tcPr>
          <w:p>
            <w:r>
              <w:rPr>
                <w:b w:val="false"/>
                <w:bCs w:val="false"/>
                <w:color w:val="000000"/>
              </w:rPr>
              <w:t xml:space="preserve">Probabilité que cette session ait été échantillonnée (taux unique, même règle achat/non-achat).</w:t>
            </w:r>
          </w:p>
        </w:tc>
      </w:tr>
      <w:tr>
        <w:tc>
          <w:tcPr>
            <w:tcW w:type="dxa" w:w="2600"/>
            <w:tcMar>
              <w:top w:type="dxa" w:w="80"/>
              <w:left w:type="dxa" w:w="100"/>
              <w:bottom w:type="dxa" w:w="80"/>
              <w:right w:type="dxa" w:w="100"/>
            </w:tcMar>
            <w:vAlign w:val="center"/>
          </w:tcPr>
          <w:p>
            <w:r>
              <w:rPr>
                <w:b w:val="false"/>
                <w:bCs w:val="false"/>
                <w:color w:val="000000"/>
              </w:rPr>
              <w:t xml:space="preserve">product_exposure_probability</w:t>
            </w:r>
          </w:p>
        </w:tc>
        <w:tc>
          <w:tcPr>
            <w:tcW w:type="dxa" w:w="1800"/>
            <w:tcMar>
              <w:top w:type="dxa" w:w="80"/>
              <w:left w:type="dxa" w:w="100"/>
              <w:bottom w:type="dxa" w:w="80"/>
              <w:right w:type="dxa" w:w="100"/>
            </w:tcMar>
            <w:vAlign w:val="center"/>
          </w:tcPr>
          <w:p>
            <w:r>
              <w:rPr>
                <w:b w:val="false"/>
                <w:bCs w:val="false"/>
                <w:color w:val="000000"/>
              </w:rPr>
              <w:t xml:space="preserve">numeric</w:t>
            </w:r>
          </w:p>
        </w:tc>
        <w:tc>
          <w:tcPr>
            <w:tcW w:type="dxa" w:w="4900"/>
            <w:tcMar>
              <w:top w:type="dxa" w:w="80"/>
              <w:left w:type="dxa" w:w="100"/>
              <w:bottom w:type="dxa" w:w="80"/>
              <w:right w:type="dxa" w:w="100"/>
            </w:tcMar>
            <w:vAlign w:val="center"/>
          </w:tcPr>
          <w:p>
            <w:r>
              <w:rPr>
                <w:b w:val="false"/>
                <w:bCs w:val="false"/>
                <w:color w:val="000000"/>
              </w:rPr>
              <w:t xml:space="preserve">Probabilité que ce produit précis figure dans le slate, sous une version stochastique de la politique.</w:t>
            </w:r>
          </w:p>
        </w:tc>
      </w:tr>
    </w:tbl>
    <w:p>
      <w:pPr>
        <w:spacing w:after="160"/>
      </w:pPr>
      <w:r>
        <w:t xml:space="preserve"/>
      </w:r>
    </w:p>
    <w:p>
      <w:pPr>
        <w:spacing w:after="160"/>
      </w:pPr>
      <w:r>
        <w:t xml:space="preserve">Trois champs demandés par l'équipe data science (competitor_price, campaign_budget, lost_sales) ne sont volontairement pas inclus : aucune source fiable ne permet de les remplir honnêtement dans ce projet. Choix assumé plutôt que des colonnes NULL fantômes.</w:t>
      </w:r>
    </w:p>
    <w:p>
      <w:pPr>
        <w:pStyle w:val="Heading2"/>
        <w:spacing w:after="140" w:before="280"/>
      </w:pPr>
      <w:r>
        <w:t xml:space="preserve">4.6 Dimensions</w:t>
      </w:r>
    </w:p>
    <w:p>
      <w:pPr>
        <w:spacing w:after="160"/>
      </w:pPr>
      <w:r>
        <w:t xml:space="preserve">DIM_PRODUIT et DIM_CLIENT sont gérées en SCD Type 2 (colonnes valid_from, valid_to, is_current) : quand un prix ou un segment de fidélité change, une nouvelle ligne est insérée plutôt que d'écraser l'historique. C'est indispensable pour le forecasting et le pricing, qui doivent pouvoir reconstituer le prix ou le segment en vigueur à une date donnée, et non uniquement l'état actuel.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00"/>
      </w:tblGrid>
      <w:tr>
        <w:trPr>
          <w:tblHeader/>
        </w:trPr>
        <w:tc>
          <w:tcPr>
            <w:tcW w:type="dxa" w:w="3200"/>
            <w:shd w:fill="185FA5" w:val="clear"/>
            <w:tcMar>
              <w:top w:type="dxa" w:w="80"/>
              <w:left w:type="dxa" w:w="100"/>
              <w:bottom w:type="dxa" w:w="80"/>
              <w:right w:type="dxa" w:w="100"/>
            </w:tcMar>
            <w:vAlign w:val="center"/>
          </w:tcPr>
          <w:p>
            <w:r>
              <w:rPr>
                <w:b/>
                <w:bCs/>
                <w:color w:val="FFFFFF"/>
              </w:rPr>
              <w:t xml:space="preserve">Colonne</w:t>
            </w:r>
          </w:p>
        </w:tc>
        <w:tc>
          <w:tcPr>
            <w:tcW w:type="dxa" w:w="2000"/>
            <w:shd w:fill="185FA5" w:val="clear"/>
            <w:tcMar>
              <w:top w:type="dxa" w:w="80"/>
              <w:left w:type="dxa" w:w="100"/>
              <w:bottom w:type="dxa" w:w="80"/>
              <w:right w:type="dxa" w:w="100"/>
            </w:tcMar>
            <w:vAlign w:val="center"/>
          </w:tcPr>
          <w:p>
            <w:r>
              <w:rPr>
                <w:b/>
                <w:bCs/>
                <w:color w:val="FFFFFF"/>
              </w:rPr>
              <w:t xml:space="preserve">Type</w:t>
            </w:r>
          </w:p>
        </w:tc>
        <w:tc>
          <w:tcPr>
            <w:tcW w:type="dxa" w:w="4100"/>
            <w:shd w:fill="185FA5" w:val="clear"/>
            <w:tcMar>
              <w:top w:type="dxa" w:w="80"/>
              <w:left w:type="dxa" w:w="100"/>
              <w:bottom w:type="dxa" w:w="80"/>
              <w:right w:type="dxa" w:w="100"/>
            </w:tcMar>
            <w:vAlign w:val="center"/>
          </w:tcPr>
          <w:p>
            <w:r>
              <w:rPr>
                <w:b/>
                <w:bCs/>
                <w:color w:val="FFFFFF"/>
              </w:rPr>
              <w:t xml:space="preserve">Description</w:t>
            </w:r>
          </w:p>
        </w:tc>
      </w:tr>
      <w:tr>
        <w:tc>
          <w:tcPr>
            <w:tcW w:type="dxa" w:w="3200"/>
            <w:tcMar>
              <w:top w:type="dxa" w:w="80"/>
              <w:left w:type="dxa" w:w="100"/>
              <w:bottom w:type="dxa" w:w="80"/>
              <w:right w:type="dxa" w:w="100"/>
            </w:tcMar>
            <w:vAlign w:val="center"/>
          </w:tcPr>
          <w:p>
            <w:r>
              <w:rPr>
                <w:b w:val="false"/>
                <w:bCs w:val="false"/>
                <w:color w:val="000000"/>
              </w:rPr>
              <w:t xml:space="preserve">produit_key</w:t>
            </w:r>
          </w:p>
        </w:tc>
        <w:tc>
          <w:tcPr>
            <w:tcW w:type="dxa" w:w="2000"/>
            <w:tcMar>
              <w:top w:type="dxa" w:w="80"/>
              <w:left w:type="dxa" w:w="100"/>
              <w:bottom w:type="dxa" w:w="80"/>
              <w:right w:type="dxa" w:w="100"/>
            </w:tcMar>
            <w:vAlign w:val="center"/>
          </w:tcPr>
          <w:p>
            <w:r>
              <w:rPr>
                <w:b w:val="false"/>
                <w:bCs w:val="false"/>
                <w:color w:val="000000"/>
              </w:rPr>
              <w:t xml:space="preserve">string (PK)</w:t>
            </w:r>
          </w:p>
        </w:tc>
        <w:tc>
          <w:tcPr>
            <w:tcW w:type="dxa" w:w="4100"/>
            <w:tcMar>
              <w:top w:type="dxa" w:w="80"/>
              <w:left w:type="dxa" w:w="100"/>
              <w:bottom w:type="dxa" w:w="80"/>
              <w:right w:type="dxa" w:w="100"/>
            </w:tcMar>
            <w:vAlign w:val="center"/>
          </w:tcPr>
          <w:p>
            <w:r>
              <w:rPr>
                <w:b w:val="false"/>
                <w:bCs w:val="false"/>
                <w:color w:val="000000"/>
              </w:rPr>
              <w:t xml:space="preserve">Clé de substitution, change à chaque nouvelle version du produit.</w:t>
            </w:r>
          </w:p>
        </w:tc>
      </w:tr>
      <w:tr>
        <w:tc>
          <w:tcPr>
            <w:tcW w:type="dxa" w:w="3200"/>
            <w:tcMar>
              <w:top w:type="dxa" w:w="80"/>
              <w:left w:type="dxa" w:w="100"/>
              <w:bottom w:type="dxa" w:w="80"/>
              <w:right w:type="dxa" w:w="100"/>
            </w:tcMar>
            <w:vAlign w:val="center"/>
          </w:tcPr>
          <w:p>
            <w:r>
              <w:rPr>
                <w:b w:val="false"/>
                <w:bCs w:val="false"/>
                <w:color w:val="000000"/>
              </w:rPr>
              <w:t xml:space="preserve">product_id</w:t>
            </w:r>
          </w:p>
        </w:tc>
        <w:tc>
          <w:tcPr>
            <w:tcW w:type="dxa" w:w="2000"/>
            <w:tcMar>
              <w:top w:type="dxa" w:w="80"/>
              <w:left w:type="dxa" w:w="100"/>
              <w:bottom w:type="dxa" w:w="80"/>
              <w:right w:type="dxa" w:w="100"/>
            </w:tcMar>
            <w:vAlign w:val="center"/>
          </w:tcPr>
          <w:p>
            <w:r>
              <w:rPr>
                <w:b w:val="false"/>
                <w:bCs w:val="false"/>
                <w:color w:val="000000"/>
              </w:rPr>
              <w:t xml:space="preserve">string</w:t>
            </w:r>
          </w:p>
        </w:tc>
        <w:tc>
          <w:tcPr>
            <w:tcW w:type="dxa" w:w="4100"/>
            <w:tcMar>
              <w:top w:type="dxa" w:w="80"/>
              <w:left w:type="dxa" w:w="100"/>
              <w:bottom w:type="dxa" w:w="80"/>
              <w:right w:type="dxa" w:w="100"/>
            </w:tcMar>
            <w:vAlign w:val="center"/>
          </w:tcPr>
          <w:p>
            <w:r>
              <w:rPr>
                <w:b w:val="false"/>
                <w:bCs w:val="false"/>
                <w:color w:val="000000"/>
              </w:rPr>
              <w:t xml:space="preserve">Identifiant métier stable, constant à travers les versions.</w:t>
            </w:r>
          </w:p>
        </w:tc>
      </w:tr>
      <w:tr>
        <w:tc>
          <w:tcPr>
            <w:tcW w:type="dxa" w:w="3200"/>
            <w:tcMar>
              <w:top w:type="dxa" w:w="80"/>
              <w:left w:type="dxa" w:w="100"/>
              <w:bottom w:type="dxa" w:w="80"/>
              <w:right w:type="dxa" w:w="100"/>
            </w:tcMar>
            <w:vAlign w:val="center"/>
          </w:tcPr>
          <w:p>
            <w:r>
              <w:rPr>
                <w:b w:val="false"/>
                <w:bCs w:val="false"/>
                <w:color w:val="000000"/>
              </w:rPr>
              <w:t xml:space="preserve">categorie / marque</w:t>
            </w:r>
          </w:p>
        </w:tc>
        <w:tc>
          <w:tcPr>
            <w:tcW w:type="dxa" w:w="2000"/>
            <w:tcMar>
              <w:top w:type="dxa" w:w="80"/>
              <w:left w:type="dxa" w:w="100"/>
              <w:bottom w:type="dxa" w:w="80"/>
              <w:right w:type="dxa" w:w="100"/>
            </w:tcMar>
            <w:vAlign w:val="center"/>
          </w:tcPr>
          <w:p>
            <w:r>
              <w:rPr>
                <w:b w:val="false"/>
                <w:bCs w:val="false"/>
                <w:color w:val="000000"/>
              </w:rPr>
              <w:t xml:space="preserve">string</w:t>
            </w:r>
          </w:p>
        </w:tc>
        <w:tc>
          <w:tcPr>
            <w:tcW w:type="dxa" w:w="4100"/>
            <w:tcMar>
              <w:top w:type="dxa" w:w="80"/>
              <w:left w:type="dxa" w:w="100"/>
              <w:bottom w:type="dxa" w:w="80"/>
              <w:right w:type="dxa" w:w="100"/>
            </w:tcMar>
            <w:vAlign w:val="center"/>
          </w:tcPr>
          <w:p>
            <w:r>
              <w:rPr>
                <w:b w:val="false"/>
                <w:bCs w:val="false"/>
                <w:color w:val="000000"/>
              </w:rPr>
              <w:t xml:space="preserve">Attributs descriptifs.</w:t>
            </w:r>
          </w:p>
        </w:tc>
      </w:tr>
      <w:tr>
        <w:tc>
          <w:tcPr>
            <w:tcW w:type="dxa" w:w="3200"/>
            <w:tcMar>
              <w:top w:type="dxa" w:w="80"/>
              <w:left w:type="dxa" w:w="100"/>
              <w:bottom w:type="dxa" w:w="80"/>
              <w:right w:type="dxa" w:w="100"/>
            </w:tcMar>
            <w:vAlign w:val="center"/>
          </w:tcPr>
          <w:p>
            <w:r>
              <w:rPr>
                <w:b w:val="false"/>
                <w:bCs w:val="false"/>
                <w:color w:val="000000"/>
              </w:rPr>
              <w:t xml:space="preserve">prix_base_xof</w:t>
            </w:r>
          </w:p>
        </w:tc>
        <w:tc>
          <w:tcPr>
            <w:tcW w:type="dxa" w:w="2000"/>
            <w:tcMar>
              <w:top w:type="dxa" w:w="80"/>
              <w:left w:type="dxa" w:w="100"/>
              <w:bottom w:type="dxa" w:w="80"/>
              <w:right w:type="dxa" w:w="100"/>
            </w:tcMar>
            <w:vAlign w:val="center"/>
          </w:tcPr>
          <w:p>
            <w:r>
              <w:rPr>
                <w:b w:val="false"/>
                <w:bCs w:val="false"/>
                <w:color w:val="000000"/>
              </w:rPr>
              <w:t xml:space="preserve">float</w:t>
            </w:r>
          </w:p>
        </w:tc>
        <w:tc>
          <w:tcPr>
            <w:tcW w:type="dxa" w:w="4100"/>
            <w:tcMar>
              <w:top w:type="dxa" w:w="80"/>
              <w:left w:type="dxa" w:w="100"/>
              <w:bottom w:type="dxa" w:w="80"/>
              <w:right w:type="dxa" w:w="100"/>
            </w:tcMar>
            <w:vAlign w:val="center"/>
          </w:tcPr>
          <w:p>
            <w:r>
              <w:rPr>
                <w:b w:val="false"/>
                <w:bCs w:val="false"/>
                <w:color w:val="000000"/>
              </w:rPr>
              <w:t xml:space="preserve">Prix catalogue en vigueur pour cette version.</w:t>
            </w:r>
          </w:p>
        </w:tc>
      </w:tr>
      <w:tr>
        <w:tc>
          <w:tcPr>
            <w:tcW w:type="dxa" w:w="3200"/>
            <w:tcMar>
              <w:top w:type="dxa" w:w="80"/>
              <w:left w:type="dxa" w:w="100"/>
              <w:bottom w:type="dxa" w:w="80"/>
              <w:right w:type="dxa" w:w="100"/>
            </w:tcMar>
            <w:vAlign w:val="center"/>
          </w:tcPr>
          <w:p>
            <w:r>
              <w:rPr>
                <w:b w:val="false"/>
                <w:bCs w:val="false"/>
                <w:color w:val="000000"/>
              </w:rPr>
              <w:t xml:space="preserve">valid_from / valid_to / is_current</w:t>
            </w:r>
          </w:p>
        </w:tc>
        <w:tc>
          <w:tcPr>
            <w:tcW w:type="dxa" w:w="2000"/>
            <w:tcMar>
              <w:top w:type="dxa" w:w="80"/>
              <w:left w:type="dxa" w:w="100"/>
              <w:bottom w:type="dxa" w:w="80"/>
              <w:right w:type="dxa" w:w="100"/>
            </w:tcMar>
            <w:vAlign w:val="center"/>
          </w:tcPr>
          <w:p>
            <w:r>
              <w:rPr>
                <w:b w:val="false"/>
                <w:bCs w:val="false"/>
                <w:color w:val="000000"/>
              </w:rPr>
              <w:t xml:space="preserve">date / date / bool</w:t>
            </w:r>
          </w:p>
        </w:tc>
        <w:tc>
          <w:tcPr>
            <w:tcW w:type="dxa" w:w="4100"/>
            <w:tcMar>
              <w:top w:type="dxa" w:w="80"/>
              <w:left w:type="dxa" w:w="100"/>
              <w:bottom w:type="dxa" w:w="80"/>
              <w:right w:type="dxa" w:w="100"/>
            </w:tcMar>
            <w:vAlign w:val="center"/>
          </w:tcPr>
          <w:p>
            <w:r>
              <w:rPr>
                <w:b w:val="false"/>
                <w:bCs w:val="false"/>
                <w:color w:val="000000"/>
              </w:rPr>
              <w:t xml:space="preserve">Fenêtre de validité de la version (SCD Type 2).</w:t>
            </w:r>
          </w:p>
        </w:tc>
      </w:tr>
    </w:tbl>
    <w:p>
      <w:pPr>
        <w:spacing w:after="160"/>
      </w:pPr>
      <w:r>
        <w:t xml:space="preserve"/>
      </w:r>
    </w:p>
    <w:p>
      <w:pPr>
        <w:spacing w:after="160"/>
      </w:pPr>
      <w:r>
        <w:t xml:space="preserve">DIM_CLIENT suit le même principe pour le segment de fidélité et la région. DIM_DATE est une dimension calendaire pré-calculée (année, mois, jour de semaine, week-end) pour éviter de recalculer ces attributs dans chaque requête.</w:t>
      </w:r>
    </w:p>
    <w:p>
      <w:pPr>
        <w:spacing w:after="160"/>
      </w:pPr>
      <w:r>
        <w:t xml:space="preserve">DIM_PROMOTION reste simple (pas de SCD), une promotion étant par nature une entité à durée de vie courte et non modifiée après création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00"/>
      </w:tblGrid>
      <w:tr>
        <w:trPr>
          <w:tblHeader/>
        </w:trPr>
        <w:tc>
          <w:tcPr>
            <w:tcW w:type="dxa" w:w="3200"/>
            <w:shd w:fill="185FA5" w:val="clear"/>
            <w:tcMar>
              <w:top w:type="dxa" w:w="80"/>
              <w:left w:type="dxa" w:w="100"/>
              <w:bottom w:type="dxa" w:w="80"/>
              <w:right w:type="dxa" w:w="100"/>
            </w:tcMar>
            <w:vAlign w:val="center"/>
          </w:tcPr>
          <w:p>
            <w:r>
              <w:rPr>
                <w:b/>
                <w:bCs/>
                <w:color w:val="FFFFFF"/>
              </w:rPr>
              <w:t xml:space="preserve">Colonne</w:t>
            </w:r>
          </w:p>
        </w:tc>
        <w:tc>
          <w:tcPr>
            <w:tcW w:type="dxa" w:w="2000"/>
            <w:shd w:fill="185FA5" w:val="clear"/>
            <w:tcMar>
              <w:top w:type="dxa" w:w="80"/>
              <w:left w:type="dxa" w:w="100"/>
              <w:bottom w:type="dxa" w:w="80"/>
              <w:right w:type="dxa" w:w="100"/>
            </w:tcMar>
            <w:vAlign w:val="center"/>
          </w:tcPr>
          <w:p>
            <w:r>
              <w:rPr>
                <w:b/>
                <w:bCs/>
                <w:color w:val="FFFFFF"/>
              </w:rPr>
              <w:t xml:space="preserve">Type</w:t>
            </w:r>
          </w:p>
        </w:tc>
        <w:tc>
          <w:tcPr>
            <w:tcW w:type="dxa" w:w="4100"/>
            <w:shd w:fill="185FA5" w:val="clear"/>
            <w:tcMar>
              <w:top w:type="dxa" w:w="80"/>
              <w:left w:type="dxa" w:w="100"/>
              <w:bottom w:type="dxa" w:w="80"/>
              <w:right w:type="dxa" w:w="100"/>
            </w:tcMar>
            <w:vAlign w:val="center"/>
          </w:tcPr>
          <w:p>
            <w:r>
              <w:rPr>
                <w:b/>
                <w:bCs/>
                <w:color w:val="FFFFFF"/>
              </w:rPr>
              <w:t xml:space="preserve">Description</w:t>
            </w:r>
          </w:p>
        </w:tc>
      </w:tr>
      <w:tr>
        <w:tc>
          <w:tcPr>
            <w:tcW w:type="dxa" w:w="3200"/>
            <w:tcMar>
              <w:top w:type="dxa" w:w="80"/>
              <w:left w:type="dxa" w:w="100"/>
              <w:bottom w:type="dxa" w:w="80"/>
              <w:right w:type="dxa" w:w="100"/>
            </w:tcMar>
            <w:vAlign w:val="center"/>
          </w:tcPr>
          <w:p>
            <w:r>
              <w:rPr>
                <w:b w:val="false"/>
                <w:bCs w:val="false"/>
                <w:color w:val="000000"/>
              </w:rPr>
              <w:t xml:space="preserve">promo_key</w:t>
            </w:r>
          </w:p>
        </w:tc>
        <w:tc>
          <w:tcPr>
            <w:tcW w:type="dxa" w:w="2000"/>
            <w:tcMar>
              <w:top w:type="dxa" w:w="80"/>
              <w:left w:type="dxa" w:w="100"/>
              <w:bottom w:type="dxa" w:w="80"/>
              <w:right w:type="dxa" w:w="100"/>
            </w:tcMar>
            <w:vAlign w:val="center"/>
          </w:tcPr>
          <w:p>
            <w:r>
              <w:rPr>
                <w:b w:val="false"/>
                <w:bCs w:val="false"/>
                <w:color w:val="000000"/>
              </w:rPr>
              <w:t xml:space="preserve">string (PK)</w:t>
            </w:r>
          </w:p>
        </w:tc>
        <w:tc>
          <w:tcPr>
            <w:tcW w:type="dxa" w:w="4100"/>
            <w:tcMar>
              <w:top w:type="dxa" w:w="80"/>
              <w:left w:type="dxa" w:w="100"/>
              <w:bottom w:type="dxa" w:w="80"/>
              <w:right w:type="dxa" w:w="100"/>
            </w:tcMar>
            <w:vAlign w:val="center"/>
          </w:tcPr>
          <w:p>
            <w:r>
              <w:rPr>
                <w:b w:val="false"/>
                <w:bCs w:val="false"/>
                <w:color w:val="000000"/>
              </w:rPr>
              <w:t xml:space="preserve">Clé de substitution.</w:t>
            </w:r>
          </w:p>
        </w:tc>
      </w:tr>
      <w:tr>
        <w:tc>
          <w:tcPr>
            <w:tcW w:type="dxa" w:w="3200"/>
            <w:tcMar>
              <w:top w:type="dxa" w:w="80"/>
              <w:left w:type="dxa" w:w="100"/>
              <w:bottom w:type="dxa" w:w="80"/>
              <w:right w:type="dxa" w:w="100"/>
            </w:tcMar>
            <w:vAlign w:val="center"/>
          </w:tcPr>
          <w:p>
            <w:r>
              <w:rPr>
                <w:b w:val="false"/>
                <w:bCs w:val="false"/>
                <w:color w:val="000000"/>
              </w:rPr>
              <w:t xml:space="preserve">promotion_id</w:t>
            </w:r>
          </w:p>
        </w:tc>
        <w:tc>
          <w:tcPr>
            <w:tcW w:type="dxa" w:w="2000"/>
            <w:tcMar>
              <w:top w:type="dxa" w:w="80"/>
              <w:left w:type="dxa" w:w="100"/>
              <w:bottom w:type="dxa" w:w="80"/>
              <w:right w:type="dxa" w:w="100"/>
            </w:tcMar>
            <w:vAlign w:val="center"/>
          </w:tcPr>
          <w:p>
            <w:r>
              <w:rPr>
                <w:b w:val="false"/>
                <w:bCs w:val="false"/>
                <w:color w:val="000000"/>
              </w:rPr>
              <w:t xml:space="preserve">string</w:t>
            </w:r>
          </w:p>
        </w:tc>
        <w:tc>
          <w:tcPr>
            <w:tcW w:type="dxa" w:w="4100"/>
            <w:tcMar>
              <w:top w:type="dxa" w:w="80"/>
              <w:left w:type="dxa" w:w="100"/>
              <w:bottom w:type="dxa" w:w="80"/>
              <w:right w:type="dxa" w:w="100"/>
            </w:tcMar>
            <w:vAlign w:val="center"/>
          </w:tcPr>
          <w:p>
            <w:r>
              <w:rPr>
                <w:b w:val="false"/>
                <w:bCs w:val="false"/>
                <w:color w:val="000000"/>
              </w:rPr>
              <w:t xml:space="preserve">Identifiant métier stable.</w:t>
            </w:r>
          </w:p>
        </w:tc>
      </w:tr>
      <w:tr>
        <w:tc>
          <w:tcPr>
            <w:tcW w:type="dxa" w:w="3200"/>
            <w:tcMar>
              <w:top w:type="dxa" w:w="80"/>
              <w:left w:type="dxa" w:w="100"/>
              <w:bottom w:type="dxa" w:w="80"/>
              <w:right w:type="dxa" w:w="100"/>
            </w:tcMar>
            <w:vAlign w:val="center"/>
          </w:tcPr>
          <w:p>
            <w:r>
              <w:rPr>
                <w:b w:val="false"/>
                <w:bCs w:val="false"/>
                <w:color w:val="000000"/>
              </w:rPr>
              <w:t xml:space="preserve">portee</w:t>
            </w:r>
          </w:p>
        </w:tc>
        <w:tc>
          <w:tcPr>
            <w:tcW w:type="dxa" w:w="2000"/>
            <w:tcMar>
              <w:top w:type="dxa" w:w="80"/>
              <w:left w:type="dxa" w:w="100"/>
              <w:bottom w:type="dxa" w:w="80"/>
              <w:right w:type="dxa" w:w="100"/>
            </w:tcMar>
            <w:vAlign w:val="center"/>
          </w:tcPr>
          <w:p>
            <w:r>
              <w:rPr>
                <w:b w:val="false"/>
                <w:bCs w:val="false"/>
                <w:color w:val="000000"/>
              </w:rPr>
              <w:t xml:space="preserve">string</w:t>
            </w:r>
          </w:p>
        </w:tc>
        <w:tc>
          <w:tcPr>
            <w:tcW w:type="dxa" w:w="4100"/>
            <w:tcMar>
              <w:top w:type="dxa" w:w="80"/>
              <w:left w:type="dxa" w:w="100"/>
              <w:bottom w:type="dxa" w:w="80"/>
              <w:right w:type="dxa" w:w="100"/>
            </w:tcMar>
            <w:vAlign w:val="center"/>
          </w:tcPr>
          <w:p>
            <w:r>
              <w:rPr>
                <w:b w:val="false"/>
                <w:bCs w:val="false"/>
                <w:color w:val="000000"/>
              </w:rPr>
              <w:t xml:space="preserve">category ou product.</w:t>
            </w:r>
          </w:p>
        </w:tc>
      </w:tr>
      <w:tr>
        <w:tc>
          <w:tcPr>
            <w:tcW w:type="dxa" w:w="3200"/>
            <w:tcMar>
              <w:top w:type="dxa" w:w="80"/>
              <w:left w:type="dxa" w:w="100"/>
              <w:bottom w:type="dxa" w:w="80"/>
              <w:right w:type="dxa" w:w="100"/>
            </w:tcMar>
            <w:vAlign w:val="center"/>
          </w:tcPr>
          <w:p>
            <w:r>
              <w:rPr>
                <w:b w:val="false"/>
                <w:bCs w:val="false"/>
                <w:color w:val="000000"/>
              </w:rPr>
              <w:t xml:space="preserve">cible</w:t>
            </w:r>
          </w:p>
        </w:tc>
        <w:tc>
          <w:tcPr>
            <w:tcW w:type="dxa" w:w="2000"/>
            <w:tcMar>
              <w:top w:type="dxa" w:w="80"/>
              <w:left w:type="dxa" w:w="100"/>
              <w:bottom w:type="dxa" w:w="80"/>
              <w:right w:type="dxa" w:w="100"/>
            </w:tcMar>
            <w:vAlign w:val="center"/>
          </w:tcPr>
          <w:p>
            <w:r>
              <w:rPr>
                <w:b w:val="false"/>
                <w:bCs w:val="false"/>
                <w:color w:val="000000"/>
              </w:rPr>
              <w:t xml:space="preserve">string</w:t>
            </w:r>
          </w:p>
        </w:tc>
        <w:tc>
          <w:tcPr>
            <w:tcW w:type="dxa" w:w="4100"/>
            <w:tcMar>
              <w:top w:type="dxa" w:w="80"/>
              <w:left w:type="dxa" w:w="100"/>
              <w:bottom w:type="dxa" w:w="80"/>
              <w:right w:type="dxa" w:w="100"/>
            </w:tcMar>
            <w:vAlign w:val="center"/>
          </w:tcPr>
          <w:p>
            <w:r>
              <w:rPr>
                <w:b w:val="false"/>
                <w:bCs w:val="false"/>
                <w:color w:val="000000"/>
              </w:rPr>
              <w:t xml:space="preserve">Nom de catégorie ou product_id selon portee.</w:t>
            </w:r>
          </w:p>
        </w:tc>
      </w:tr>
      <w:tr>
        <w:tc>
          <w:tcPr>
            <w:tcW w:type="dxa" w:w="3200"/>
            <w:tcMar>
              <w:top w:type="dxa" w:w="80"/>
              <w:left w:type="dxa" w:w="100"/>
              <w:bottom w:type="dxa" w:w="80"/>
              <w:right w:type="dxa" w:w="100"/>
            </w:tcMar>
            <w:vAlign w:val="center"/>
          </w:tcPr>
          <w:p>
            <w:r>
              <w:rPr>
                <w:b w:val="false"/>
                <w:bCs w:val="false"/>
                <w:color w:val="000000"/>
              </w:rPr>
              <w:t xml:space="preserve">remise_pct</w:t>
            </w:r>
          </w:p>
        </w:tc>
        <w:tc>
          <w:tcPr>
            <w:tcW w:type="dxa" w:w="2000"/>
            <w:tcMar>
              <w:top w:type="dxa" w:w="80"/>
              <w:left w:type="dxa" w:w="100"/>
              <w:bottom w:type="dxa" w:w="80"/>
              <w:right w:type="dxa" w:w="100"/>
            </w:tcMar>
            <w:vAlign w:val="center"/>
          </w:tcPr>
          <w:p>
            <w:r>
              <w:rPr>
                <w:b w:val="false"/>
                <w:bCs w:val="false"/>
                <w:color w:val="000000"/>
              </w:rPr>
              <w:t xml:space="preserve">int</w:t>
            </w:r>
          </w:p>
        </w:tc>
        <w:tc>
          <w:tcPr>
            <w:tcW w:type="dxa" w:w="4100"/>
            <w:tcMar>
              <w:top w:type="dxa" w:w="80"/>
              <w:left w:type="dxa" w:w="100"/>
              <w:bottom w:type="dxa" w:w="80"/>
              <w:right w:type="dxa" w:w="100"/>
            </w:tcMar>
            <w:vAlign w:val="center"/>
          </w:tcPr>
          <w:p>
            <w:r>
              <w:rPr>
                <w:b w:val="false"/>
                <w:bCs w:val="false"/>
                <w:color w:val="000000"/>
              </w:rPr>
              <w:t xml:space="preserve">Pourcentage de remise.</w:t>
            </w:r>
          </w:p>
        </w:tc>
      </w:tr>
      <w:tr>
        <w:tc>
          <w:tcPr>
            <w:tcW w:type="dxa" w:w="3200"/>
            <w:tcMar>
              <w:top w:type="dxa" w:w="80"/>
              <w:left w:type="dxa" w:w="100"/>
              <w:bottom w:type="dxa" w:w="80"/>
              <w:right w:type="dxa" w:w="100"/>
            </w:tcMar>
            <w:vAlign w:val="center"/>
          </w:tcPr>
          <w:p>
            <w:r>
              <w:rPr>
                <w:b w:val="false"/>
                <w:bCs w:val="false"/>
                <w:color w:val="000000"/>
              </w:rPr>
              <w:t xml:space="preserve">date_debut / date_fin</w:t>
            </w:r>
          </w:p>
        </w:tc>
        <w:tc>
          <w:tcPr>
            <w:tcW w:type="dxa" w:w="2000"/>
            <w:tcMar>
              <w:top w:type="dxa" w:w="80"/>
              <w:left w:type="dxa" w:w="100"/>
              <w:bottom w:type="dxa" w:w="80"/>
              <w:right w:type="dxa" w:w="100"/>
            </w:tcMar>
            <w:vAlign w:val="center"/>
          </w:tcPr>
          <w:p>
            <w:r>
              <w:rPr>
                <w:b w:val="false"/>
                <w:bCs w:val="false"/>
                <w:color w:val="000000"/>
              </w:rPr>
              <w:t xml:space="preserve">date / date</w:t>
            </w:r>
          </w:p>
        </w:tc>
        <w:tc>
          <w:tcPr>
            <w:tcW w:type="dxa" w:w="4100"/>
            <w:tcMar>
              <w:top w:type="dxa" w:w="80"/>
              <w:left w:type="dxa" w:w="100"/>
              <w:bottom w:type="dxa" w:w="80"/>
              <w:right w:type="dxa" w:w="100"/>
            </w:tcMar>
            <w:vAlign w:val="center"/>
          </w:tcPr>
          <w:p>
            <w:r>
              <w:rPr>
                <w:b w:val="false"/>
                <w:bCs w:val="false"/>
                <w:color w:val="000000"/>
              </w:rPr>
              <w:t xml:space="preserve">Fenêtre de validité de la promotion.</w:t>
            </w:r>
          </w:p>
        </w:tc>
      </w:tr>
    </w:tbl>
    <w:p>
      <w:pPr>
        <w:pStyle w:val="Heading1"/>
        <w:spacing w:after="180" w:before="360"/>
      </w:pPr>
      <w:r>
        <w:t xml:space="preserve">5. Choix techniques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00"/>
      </w:tblGrid>
      <w:tr>
        <w:trPr>
          <w:tblHeader/>
        </w:trPr>
        <w:tc>
          <w:tcPr>
            <w:tcW w:type="dxa" w:w="2400"/>
            <w:shd w:fill="26215C" w:val="clear"/>
            <w:tcMar>
              <w:top w:type="dxa" w:w="80"/>
              <w:left w:type="dxa" w:w="100"/>
              <w:bottom w:type="dxa" w:w="80"/>
              <w:right w:type="dxa" w:w="100"/>
            </w:tcMar>
            <w:vAlign w:val="center"/>
          </w:tcPr>
          <w:p>
            <w:r>
              <w:rPr>
                <w:b/>
                <w:bCs/>
                <w:color w:val="FFFFFF"/>
              </w:rPr>
              <w:t xml:space="preserve">Colonne</w:t>
            </w:r>
          </w:p>
        </w:tc>
        <w:tc>
          <w:tcPr>
            <w:tcW w:type="dxa" w:w="2600"/>
            <w:shd w:fill="26215C" w:val="clear"/>
            <w:tcMar>
              <w:top w:type="dxa" w:w="80"/>
              <w:left w:type="dxa" w:w="100"/>
              <w:bottom w:type="dxa" w:w="80"/>
              <w:right w:type="dxa" w:w="100"/>
            </w:tcMar>
            <w:vAlign w:val="center"/>
          </w:tcPr>
          <w:p>
            <w:r>
              <w:rPr>
                <w:b/>
                <w:bCs/>
                <w:color w:val="FFFFFF"/>
              </w:rPr>
              <w:t xml:space="preserve">Type</w:t>
            </w:r>
          </w:p>
        </w:tc>
        <w:tc>
          <w:tcPr>
            <w:tcW w:type="dxa" w:w="4300"/>
            <w:shd w:fill="26215C" w:val="clear"/>
            <w:tcMar>
              <w:top w:type="dxa" w:w="80"/>
              <w:left w:type="dxa" w:w="100"/>
              <w:bottom w:type="dxa" w:w="80"/>
              <w:right w:type="dxa" w:w="100"/>
            </w:tcMar>
            <w:vAlign w:val="center"/>
          </w:tcPr>
          <w:p>
            <w:r>
              <w:rPr>
                <w:b/>
                <w:bCs/>
                <w:color w:val="FFFFFF"/>
              </w:rPr>
              <w:t xml:space="preserve">Description</w:t>
            </w:r>
          </w:p>
        </w:tc>
      </w:tr>
      <w:tr>
        <w:tc>
          <w:tcPr>
            <w:tcW w:type="dxa" w:w="2400"/>
            <w:tcMar>
              <w:top w:type="dxa" w:w="80"/>
              <w:left w:type="dxa" w:w="100"/>
              <w:bottom w:type="dxa" w:w="80"/>
              <w:right w:type="dxa" w:w="100"/>
            </w:tcMar>
            <w:vAlign w:val="center"/>
          </w:tcPr>
          <w:p>
            <w:r>
              <w:rPr>
                <w:b w:val="false"/>
                <w:bCs w:val="false"/>
                <w:color w:val="000000"/>
              </w:rPr>
              <w:t xml:space="preserve">Stockage lake</w:t>
            </w:r>
          </w:p>
        </w:tc>
        <w:tc>
          <w:tcPr>
            <w:tcW w:type="dxa" w:w="2600"/>
            <w:tcMar>
              <w:top w:type="dxa" w:w="80"/>
              <w:left w:type="dxa" w:w="100"/>
              <w:bottom w:type="dxa" w:w="80"/>
              <w:right w:type="dxa" w:w="100"/>
            </w:tcMar>
            <w:vAlign w:val="center"/>
          </w:tcPr>
          <w:p>
            <w:r>
              <w:rPr>
                <w:b w:val="false"/>
                <w:bCs w:val="false"/>
                <w:color w:val="000000"/>
              </w:rPr>
              <w:t xml:space="preserve">S3 / MinIO, format Parquet</w:t>
            </w:r>
          </w:p>
        </w:tc>
        <w:tc>
          <w:tcPr>
            <w:tcW w:type="dxa" w:w="4300"/>
            <w:tcMar>
              <w:top w:type="dxa" w:w="80"/>
              <w:left w:type="dxa" w:w="100"/>
              <w:bottom w:type="dxa" w:w="80"/>
              <w:right w:type="dxa" w:w="100"/>
            </w:tcMar>
            <w:vAlign w:val="center"/>
          </w:tcPr>
          <w:p>
            <w:r>
              <w:rPr>
                <w:b w:val="false"/>
                <w:bCs w:val="false"/>
                <w:color w:val="000000"/>
              </w:rPr>
              <w:t xml:space="preserve">Standard pour un data lake, colonne-oriented, compatible Spark et pandas.</w:t>
            </w:r>
          </w:p>
        </w:tc>
      </w:tr>
      <w:tr>
        <w:tc>
          <w:tcPr>
            <w:tcW w:type="dxa" w:w="2400"/>
            <w:tcMar>
              <w:top w:type="dxa" w:w="80"/>
              <w:left w:type="dxa" w:w="100"/>
              <w:bottom w:type="dxa" w:w="80"/>
              <w:right w:type="dxa" w:w="100"/>
            </w:tcMar>
            <w:vAlign w:val="center"/>
          </w:tcPr>
          <w:p>
            <w:r>
              <w:rPr>
                <w:b w:val="false"/>
                <w:bCs w:val="false"/>
                <w:color w:val="000000"/>
              </w:rPr>
              <w:t xml:space="preserve">Data warehouse</w:t>
            </w:r>
          </w:p>
        </w:tc>
        <w:tc>
          <w:tcPr>
            <w:tcW w:type="dxa" w:w="2600"/>
            <w:tcMar>
              <w:top w:type="dxa" w:w="80"/>
              <w:left w:type="dxa" w:w="100"/>
              <w:bottom w:type="dxa" w:w="80"/>
              <w:right w:type="dxa" w:w="100"/>
            </w:tcMar>
            <w:vAlign w:val="center"/>
          </w:tcPr>
          <w:p>
            <w:r>
              <w:rPr>
                <w:b w:val="false"/>
                <w:bCs w:val="false"/>
                <w:color w:val="000000"/>
              </w:rPr>
              <w:t xml:space="preserve">PostgreSQL (Supabase)</w:t>
            </w:r>
          </w:p>
        </w:tc>
        <w:tc>
          <w:tcPr>
            <w:tcW w:type="dxa" w:w="4300"/>
            <w:tcMar>
              <w:top w:type="dxa" w:w="80"/>
              <w:left w:type="dxa" w:w="100"/>
              <w:bottom w:type="dxa" w:w="80"/>
              <w:right w:type="dxa" w:w="100"/>
            </w:tcMar>
            <w:vAlign w:val="center"/>
          </w:tcPr>
          <w:p>
            <w:r>
              <w:rPr>
                <w:b w:val="false"/>
                <w:bCs w:val="false"/>
                <w:color w:val="000000"/>
              </w:rPr>
              <w:t xml:space="preserve">Suffisant pour les volumes du projet (84 319 ventes, 657 392 événements web, 117 763 lignes de stock, 11 799 décisions de pricing, 221 080 expositions reco) ; Supabase permet un déploiement managé rapide.</w:t>
            </w:r>
          </w:p>
        </w:tc>
      </w:tr>
      <w:tr>
        <w:tc>
          <w:tcPr>
            <w:tcW w:type="dxa" w:w="2400"/>
            <w:tcMar>
              <w:top w:type="dxa" w:w="80"/>
              <w:left w:type="dxa" w:w="100"/>
              <w:bottom w:type="dxa" w:w="80"/>
              <w:right w:type="dxa" w:w="100"/>
            </w:tcMar>
            <w:vAlign w:val="center"/>
          </w:tcPr>
          <w:p>
            <w:r>
              <w:rPr>
                <w:b w:val="false"/>
                <w:bCs w:val="false"/>
                <w:color w:val="000000"/>
              </w:rPr>
              <w:t xml:space="preserve">Orchestration</w:t>
            </w:r>
          </w:p>
        </w:tc>
        <w:tc>
          <w:tcPr>
            <w:tcW w:type="dxa" w:w="2600"/>
            <w:tcMar>
              <w:top w:type="dxa" w:w="80"/>
              <w:left w:type="dxa" w:w="100"/>
              <w:bottom w:type="dxa" w:w="80"/>
              <w:right w:type="dxa" w:w="100"/>
            </w:tcMar>
            <w:vAlign w:val="center"/>
          </w:tcPr>
          <w:p>
            <w:r>
              <w:rPr>
                <w:b w:val="false"/>
                <w:bCs w:val="false"/>
                <w:color w:val="000000"/>
              </w:rPr>
              <w:t xml:space="preserve">Airflow ou Prefect</w:t>
            </w:r>
          </w:p>
        </w:tc>
        <w:tc>
          <w:tcPr>
            <w:tcW w:type="dxa" w:w="4300"/>
            <w:tcMar>
              <w:top w:type="dxa" w:w="80"/>
              <w:left w:type="dxa" w:w="100"/>
              <w:bottom w:type="dxa" w:w="80"/>
              <w:right w:type="dxa" w:w="100"/>
            </w:tcMar>
            <w:vAlign w:val="center"/>
          </w:tcPr>
          <w:p>
            <w:r>
              <w:rPr>
                <w:b w:val="false"/>
                <w:bCs w:val="false"/>
                <w:color w:val="000000"/>
              </w:rPr>
              <w:t xml:space="preserve">Un DAG par zone (Raw→Bronze, Bronze→Silver, Silver→Gold), avec dépendances explicites et reprise sur échec.</w:t>
            </w:r>
          </w:p>
        </w:tc>
      </w:tr>
      <w:tr>
        <w:tc>
          <w:tcPr>
            <w:tcW w:type="dxa" w:w="2400"/>
            <w:tcMar>
              <w:top w:type="dxa" w:w="80"/>
              <w:left w:type="dxa" w:w="100"/>
              <w:bottom w:type="dxa" w:w="80"/>
              <w:right w:type="dxa" w:w="100"/>
            </w:tcMar>
            <w:vAlign w:val="center"/>
          </w:tcPr>
          <w:p>
            <w:r>
              <w:rPr>
                <w:b w:val="false"/>
                <w:bCs w:val="false"/>
                <w:color w:val="000000"/>
              </w:rPr>
              <w:t xml:space="preserve">Qualité de données</w:t>
            </w:r>
          </w:p>
        </w:tc>
        <w:tc>
          <w:tcPr>
            <w:tcW w:type="dxa" w:w="2600"/>
            <w:tcMar>
              <w:top w:type="dxa" w:w="80"/>
              <w:left w:type="dxa" w:w="100"/>
              <w:bottom w:type="dxa" w:w="80"/>
              <w:right w:type="dxa" w:w="100"/>
            </w:tcMar>
            <w:vAlign w:val="center"/>
          </w:tcPr>
          <w:p>
            <w:r>
              <w:rPr>
                <w:b w:val="false"/>
                <w:bCs w:val="false"/>
                <w:color w:val="000000"/>
              </w:rPr>
              <w:t xml:space="preserve">great_expectations</w:t>
            </w:r>
          </w:p>
        </w:tc>
        <w:tc>
          <w:tcPr>
            <w:tcW w:type="dxa" w:w="4300"/>
            <w:tcMar>
              <w:top w:type="dxa" w:w="80"/>
              <w:left w:type="dxa" w:w="100"/>
              <w:bottom w:type="dxa" w:w="80"/>
              <w:right w:type="dxa" w:w="100"/>
            </w:tcMar>
            <w:vAlign w:val="center"/>
          </w:tcPr>
          <w:p>
            <w:r>
              <w:rPr>
                <w:b w:val="false"/>
                <w:bCs w:val="false"/>
                <w:color w:val="000000"/>
              </w:rPr>
              <w:t xml:space="preserve">Règles automatisées sur le passage Bronze→Silver (doublons, FK, valeurs manquantes).</w:t>
            </w:r>
          </w:p>
        </w:tc>
      </w:tr>
      <w:tr>
        <w:tc>
          <w:tcPr>
            <w:tcW w:type="dxa" w:w="2400"/>
            <w:tcMar>
              <w:top w:type="dxa" w:w="80"/>
              <w:left w:type="dxa" w:w="100"/>
              <w:bottom w:type="dxa" w:w="80"/>
              <w:right w:type="dxa" w:w="100"/>
            </w:tcMar>
            <w:vAlign w:val="center"/>
          </w:tcPr>
          <w:p>
            <w:r>
              <w:rPr>
                <w:b w:val="false"/>
                <w:bCs w:val="false"/>
                <w:color w:val="000000"/>
              </w:rPr>
              <w:t xml:space="preserve">Transformation SQL</w:t>
            </w:r>
          </w:p>
        </w:tc>
        <w:tc>
          <w:tcPr>
            <w:tcW w:type="dxa" w:w="2600"/>
            <w:tcMar>
              <w:top w:type="dxa" w:w="80"/>
              <w:left w:type="dxa" w:w="100"/>
              <w:bottom w:type="dxa" w:w="80"/>
              <w:right w:type="dxa" w:w="100"/>
            </w:tcMar>
            <w:vAlign w:val="center"/>
          </w:tcPr>
          <w:p>
            <w:r>
              <w:rPr>
                <w:b w:val="false"/>
                <w:bCs w:val="false"/>
                <w:color w:val="000000"/>
              </w:rPr>
              <w:t xml:space="preserve">dbt (optionnel)</w:t>
            </w:r>
          </w:p>
        </w:tc>
        <w:tc>
          <w:tcPr>
            <w:tcW w:type="dxa" w:w="4300"/>
            <w:tcMar>
              <w:top w:type="dxa" w:w="80"/>
              <w:left w:type="dxa" w:w="100"/>
              <w:bottom w:type="dxa" w:w="80"/>
              <w:right w:type="dxa" w:w="100"/>
            </w:tcMar>
            <w:vAlign w:val="center"/>
          </w:tcPr>
          <w:p>
            <w:r>
              <w:rPr>
                <w:b w:val="false"/>
                <w:bCs w:val="false"/>
                <w:color w:val="000000"/>
              </w:rPr>
              <w:t xml:space="preserve">Pour matérialiser Silver→Gold→schéma en étoile de façon versionnée et testable.</w:t>
            </w:r>
          </w:p>
        </w:tc>
      </w:tr>
    </w:tbl>
    <w:p>
      <w:pPr>
        <w:spacing w:after="160"/>
      </w:pPr>
      <w:r>
        <w:t xml:space="preserve"/>
      </w:r>
    </w:p>
    <w:p>
      <w:pPr>
        <w:pStyle w:val="Heading1"/>
        <w:spacing w:after="180" w:before="360"/>
      </w:pPr>
      <w:r>
        <w:t xml:space="preserve">6. Prochaines étapes</w:t>
      </w:r>
    </w:p>
    <w:p>
      <w:pPr>
        <w:pStyle w:val="ListParagraph"/>
        <w:numPr>
          <w:ilvl w:val="0"/>
          <w:numId w:val="1"/>
        </w:numPr>
        <w:spacing w:after="80"/>
      </w:pPr>
      <w:r>
        <w:t xml:space="preserve">Exécuter la suite great_expectations (script prêt et vérifié en pandas, non encore exécuté faute d'accès réseau dans l'environnement de développement).</w:t>
      </w:r>
    </w:p>
    <w:p>
      <w:pPr>
        <w:pStyle w:val="ListParagraph"/>
        <w:numPr>
          <w:ilvl w:val="0"/>
          <w:numId w:val="1"/>
        </w:numPr>
        <w:spacing w:after="80"/>
      </w:pPr>
      <w:r>
        <w:t xml:space="preserve">L'API FastAPI dockerisée (recommandations, pricing, prévision) a été construite et déployée côté data science/MLOps (147 tests, 0 échec) — brancher le dashboard décisionnel dessus et sur le data warehouse (Supabase).</w:t>
      </w:r>
    </w:p>
    <w:p>
      <w:pPr>
        <w:pStyle w:val="ListParagraph"/>
        <w:numPr>
          <w:ilvl w:val="0"/>
          <w:numId w:val="1"/>
        </w:numPr>
        <w:spacing w:after="80"/>
      </w:pPr>
      <w:r>
        <w:t xml:space="preserve">Une fois l'expérience de pricing randomisée (FACT_EXPERIMENTATION_PRIX) réellement exécutée en conditions réelles, mesurer l'effet causal des remises par comparaison groupe contrôle / groupes traitement.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cb091f3f9f09cdc7efe1c16e24685c6b67dbcf.png"/><Relationship Id="rId8" Type="http://schemas.openxmlformats.org/officeDocument/2006/relationships/image" Target="media/33a66e33ad0dbd560b3d1924c2d12d2f3fd1eeb0.png"/><Relationship Id="rId9" Type="http://schemas.openxmlformats.org/officeDocument/2006/relationships/image" Target="media/8fecbec3607ce41f5cc818c0325a34972e48b11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2026-08-22T20:36:46.442Z</dcterms:created>
  <dcterms:modified xsi:type="dcterms:W3CDTF">2026-08-22T20:36:46.443Z</dcterms:modified>
</cp:coreProperties>
</file>

<file path=docProps/custom.xml><?xml version="1.0" encoding="utf-8"?>
<Properties xmlns="http://schemas.openxmlformats.org/officeDocument/2006/custom-properties" xmlns:vt="http://schemas.openxmlformats.org/officeDocument/2006/docPropsVTypes"/>
</file>