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698AC" w14:textId="6F046B41" w:rsidR="00B22D28" w:rsidRDefault="00B22D28" w:rsidP="00B22D28">
      <w:r>
        <w:t>Access to safe drinking water remains a serious issue for many remote Indigenous Australians. In Western Australia alone, 19 communities have nitrate levels exceeding 50 ppm, the safe limit for infants. In the Northern Territory, uranium levels reach 57 micrograms per litre, nearly three times the acceptable limit. South Australia faces persistent issues with hardness, fluoride, and turbidity.</w:t>
      </w:r>
    </w:p>
    <w:p w14:paraId="671BBD33" w14:textId="3AB62B30" w:rsidR="00B22D28" w:rsidRDefault="00B22D28" w:rsidP="00B22D28">
      <w:r>
        <w:t>The consequences are severe: Aboriginal children experience cryptosporidiosis rates 20 times higher than non-Indigenous children, and chronic kidney disease affects Indigenous Australians at six times the rate of other Australians. Currently, over 500 remote communities lack consistent water quality testing. Traditional lab testing means sending samples hundreds of kilometres away, waiting weeks for results, by which time people may already be sick.</w:t>
      </w:r>
    </w:p>
    <w:p w14:paraId="1B5960D1" w14:textId="77777777" w:rsidR="001A4A67" w:rsidRDefault="001A4A67" w:rsidP="00B22D28"/>
    <w:p w14:paraId="2E3628A4" w14:textId="77777777" w:rsidR="00B22D28" w:rsidRDefault="00B22D28" w:rsidP="00B22D28">
      <w:r>
        <w:t>The Solution: Raman Spectroscopy</w:t>
      </w:r>
    </w:p>
    <w:p w14:paraId="6EC1F09F" w14:textId="38D20872" w:rsidR="00B22D28" w:rsidRDefault="00B22D28" w:rsidP="00B22D28">
      <w:r>
        <w:t>Raman spectroscopy offers a powerful alternative through the physics of inelastic light scattering. By measuring this energy shift in wavenumbers, we can identify specific contaminants.</w:t>
      </w:r>
    </w:p>
    <w:p w14:paraId="2138E3D2" w14:textId="4FC2AAF3" w:rsidR="00B22D28" w:rsidRDefault="00B22D28" w:rsidP="00B22D28">
      <w:r>
        <w:t>Each pollutant has a unique Raman signature, like a molecular fingerprint. Nitrate, uranium compounds, fluoride, and heavy metals each show distinct vibrational peaks. Modern portable systems use 785-nanometre lasers to minimise fluorescence interference, combined with fibre-optic probes and CCD detectors to achieve lab-quality spectral resolution in a handheld device.</w:t>
      </w:r>
    </w:p>
    <w:p w14:paraId="1E88C409" w14:textId="5DEB21C2" w:rsidR="00B22D28" w:rsidRDefault="00B22D28" w:rsidP="00B22D28">
      <w:r>
        <w:t>The key advantage? Water is a weak Raman scatterer, making this technique ideal for liquid samples, unlike infrared spectroscopy, which struggles with water absorption.</w:t>
      </w:r>
    </w:p>
    <w:p w14:paraId="08FEA05E" w14:textId="77777777" w:rsidR="001A4A67" w:rsidRDefault="001A4A67" w:rsidP="00B22D28"/>
    <w:p w14:paraId="3DE8A388" w14:textId="77777777" w:rsidR="00B22D28" w:rsidRDefault="00B22D28" w:rsidP="00B22D28">
      <w:r>
        <w:t>The Ethics: Partnership Approach</w:t>
      </w:r>
    </w:p>
    <w:p w14:paraId="20D6746C" w14:textId="4006533D" w:rsidR="00B22D28" w:rsidRDefault="00B22D28" w:rsidP="00B22D28">
      <w:r>
        <w:t>But technology alone isn't the answer. Following AIATSIS principles, implementation must centre on genuine partnership.</w:t>
      </w:r>
    </w:p>
    <w:p w14:paraId="5E3D08CE" w14:textId="3E1E7E4B" w:rsidR="00B22D28" w:rsidRDefault="00B22D28" w:rsidP="00B22D28">
      <w:r>
        <w:t>Data sovereignty: Communities own and control their water quality data, not researchers, not government agencies.</w:t>
      </w:r>
    </w:p>
    <w:p w14:paraId="6687C22A" w14:textId="5702599C" w:rsidR="00B22D28" w:rsidRDefault="00B22D28" w:rsidP="00B22D28">
      <w:r>
        <w:t>Capacity building: We train Indigenous environmental officers to operate the equipment themselves, creating jobs and technical expertise rather than dependency on outside experts. Some Northern Territory communities already train Indigenous rangers in environmental monitoring; this extends that proven model.</w:t>
      </w:r>
    </w:p>
    <w:p w14:paraId="0130C4B7" w14:textId="59F071E6" w:rsidR="00B22D28" w:rsidRDefault="00B22D28" w:rsidP="00B22D28">
      <w:r>
        <w:t>Genuine benefit: When contamination is detected, there must be a real commitment to fixing the problem, not just documenting it. Indigenous communities have been over-researched and underserved for too long.</w:t>
      </w:r>
    </w:p>
    <w:p w14:paraId="5AEC6358" w14:textId="77777777" w:rsidR="001A4A67" w:rsidRDefault="001A4A67" w:rsidP="00B22D28"/>
    <w:p w14:paraId="46F752D5" w14:textId="77777777" w:rsidR="00B22D28" w:rsidRDefault="00B22D28" w:rsidP="00B22D28">
      <w:r>
        <w:t>Conclusion</w:t>
      </w:r>
    </w:p>
    <w:p w14:paraId="1931919F" w14:textId="0DB62D4F" w:rsidR="00B22D28" w:rsidRDefault="00B22D28" w:rsidP="00B22D28">
      <w:r>
        <w:t>Portable Raman spectroscopy, using inelastic light scattering and molecular vibrational analysis, enables real-time, on-site water quality monitoring for the specific contaminants affecting remote Australian communities.</w:t>
      </w:r>
    </w:p>
    <w:p w14:paraId="1DAC3058" w14:textId="77777777" w:rsidR="00B22D28" w:rsidRDefault="00B22D28" w:rsidP="00B22D28">
      <w:r>
        <w:lastRenderedPageBreak/>
        <w:t>But the science is just the tool. Success depends on who controls it, who benefits from it, and whether it genuinely empowers communities rather than creating new dependencies.</w:t>
      </w:r>
    </w:p>
    <w:p w14:paraId="71C7608E" w14:textId="72EF46AC" w:rsidR="00B22D28" w:rsidRDefault="00B22D28" w:rsidP="00B22D28">
      <w:r>
        <w:t>Done right, with true partnership and shared ownership, this technology could help address water quality issues affecting over 500 remote communities. Done wrong, it's just extracting data instead of minerals.</w:t>
      </w:r>
    </w:p>
    <w:p w14:paraId="000EE6AA" w14:textId="1D4CA719" w:rsidR="00B22D28" w:rsidRDefault="00B22D28" w:rsidP="00B22D28"/>
    <w:sdt>
      <w:sdtPr>
        <w:rPr>
          <w:rFonts w:asciiTheme="minorHAnsi" w:eastAsiaTheme="minorHAnsi" w:hAnsiTheme="minorHAnsi" w:cstheme="minorBidi"/>
          <w:color w:val="auto"/>
          <w:sz w:val="22"/>
          <w:szCs w:val="22"/>
        </w:rPr>
        <w:id w:val="1957601287"/>
        <w:docPartObj>
          <w:docPartGallery w:val="Bibliographies"/>
          <w:docPartUnique/>
        </w:docPartObj>
      </w:sdtPr>
      <w:sdtContent>
        <w:p w14:paraId="56B3A91A" w14:textId="0DB02A69" w:rsidR="00B22D28" w:rsidRDefault="00B22D28">
          <w:pPr>
            <w:pStyle w:val="Heading1"/>
          </w:pPr>
          <w:r>
            <w:t>References</w:t>
          </w:r>
        </w:p>
        <w:p w14:paraId="500488EA" w14:textId="31BF8CF4" w:rsidR="00B22D28" w:rsidRDefault="00B22D28">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03"/>
          </w:tblGrid>
          <w:tr w:rsidR="00B22D28" w14:paraId="0AFF0C1D" w14:textId="77777777">
            <w:trPr>
              <w:divId w:val="1231503997"/>
              <w:tblCellSpacing w:w="15" w:type="dxa"/>
            </w:trPr>
            <w:tc>
              <w:tcPr>
                <w:tcW w:w="50" w:type="pct"/>
                <w:hideMark/>
              </w:tcPr>
              <w:p w14:paraId="4206E998" w14:textId="4957FFFE" w:rsidR="00B22D28" w:rsidRDefault="00B22D28">
                <w:pPr>
                  <w:pStyle w:val="Bibliography"/>
                  <w:rPr>
                    <w:noProof/>
                    <w:kern w:val="0"/>
                    <w:sz w:val="24"/>
                    <w:szCs w:val="24"/>
                    <w14:ligatures w14:val="none"/>
                  </w:rPr>
                </w:pPr>
                <w:r>
                  <w:rPr>
                    <w:noProof/>
                  </w:rPr>
                  <w:t xml:space="preserve">[1] </w:t>
                </w:r>
              </w:p>
            </w:tc>
            <w:tc>
              <w:tcPr>
                <w:tcW w:w="0" w:type="auto"/>
                <w:hideMark/>
              </w:tcPr>
              <w:p w14:paraId="1E3C5113" w14:textId="77777777" w:rsidR="00B22D28" w:rsidRDefault="00B22D28">
                <w:pPr>
                  <w:pStyle w:val="Bibliography"/>
                  <w:rPr>
                    <w:noProof/>
                  </w:rPr>
                </w:pPr>
                <w:r>
                  <w:rPr>
                    <w:noProof/>
                  </w:rPr>
                  <w:t>R. Fielden, “Real-time water quality monitoring for Homeland communities,” Australian Water Association, 2024.</w:t>
                </w:r>
              </w:p>
            </w:tc>
          </w:tr>
          <w:tr w:rsidR="00B22D28" w14:paraId="0F753544" w14:textId="77777777">
            <w:trPr>
              <w:divId w:val="1231503997"/>
              <w:tblCellSpacing w:w="15" w:type="dxa"/>
            </w:trPr>
            <w:tc>
              <w:tcPr>
                <w:tcW w:w="50" w:type="pct"/>
                <w:hideMark/>
              </w:tcPr>
              <w:p w14:paraId="75806F93" w14:textId="77777777" w:rsidR="00B22D28" w:rsidRDefault="00B22D28">
                <w:pPr>
                  <w:pStyle w:val="Bibliography"/>
                  <w:rPr>
                    <w:noProof/>
                  </w:rPr>
                </w:pPr>
                <w:r>
                  <w:rPr>
                    <w:noProof/>
                  </w:rPr>
                  <w:t xml:space="preserve">[2] </w:t>
                </w:r>
              </w:p>
            </w:tc>
            <w:tc>
              <w:tcPr>
                <w:tcW w:w="0" w:type="auto"/>
                <w:hideMark/>
              </w:tcPr>
              <w:p w14:paraId="5B455FB3" w14:textId="77777777" w:rsidR="00B22D28" w:rsidRDefault="00B22D28">
                <w:pPr>
                  <w:pStyle w:val="Bibliography"/>
                  <w:rPr>
                    <w:noProof/>
                  </w:rPr>
                </w:pPr>
                <w:r>
                  <w:rPr>
                    <w:noProof/>
                  </w:rPr>
                  <w:t xml:space="preserve">Z. Li, M. J. Deen, S. Kumar and P. R. Selvaganapathy, “Raman Spectroscopy for In-Line Water Quality Monitoring Instrumentation and Potential,” </w:t>
                </w:r>
                <w:r>
                  <w:rPr>
                    <w:i/>
                    <w:iCs/>
                    <w:noProof/>
                  </w:rPr>
                  <w:t xml:space="preserve">Sensors, </w:t>
                </w:r>
                <w:r>
                  <w:rPr>
                    <w:noProof/>
                  </w:rPr>
                  <w:t xml:space="preserve">vol. 14, no. 9, pp. 17275-17303, 2014. </w:t>
                </w:r>
              </w:p>
            </w:tc>
          </w:tr>
          <w:tr w:rsidR="00B22D28" w14:paraId="7A4D2988" w14:textId="77777777">
            <w:trPr>
              <w:divId w:val="1231503997"/>
              <w:tblCellSpacing w:w="15" w:type="dxa"/>
            </w:trPr>
            <w:tc>
              <w:tcPr>
                <w:tcW w:w="50" w:type="pct"/>
                <w:hideMark/>
              </w:tcPr>
              <w:p w14:paraId="1E892003" w14:textId="77777777" w:rsidR="00B22D28" w:rsidRDefault="00B22D28">
                <w:pPr>
                  <w:pStyle w:val="Bibliography"/>
                  <w:rPr>
                    <w:noProof/>
                  </w:rPr>
                </w:pPr>
                <w:r>
                  <w:rPr>
                    <w:noProof/>
                  </w:rPr>
                  <w:t xml:space="preserve">[3] </w:t>
                </w:r>
              </w:p>
            </w:tc>
            <w:tc>
              <w:tcPr>
                <w:tcW w:w="0" w:type="auto"/>
                <w:hideMark/>
              </w:tcPr>
              <w:p w14:paraId="0D9DD04F" w14:textId="77777777" w:rsidR="00B22D28" w:rsidRDefault="00B22D28">
                <w:pPr>
                  <w:pStyle w:val="Bibliography"/>
                  <w:rPr>
                    <w:noProof/>
                  </w:rPr>
                </w:pPr>
                <w:r>
                  <w:rPr>
                    <w:noProof/>
                  </w:rPr>
                  <w:t xml:space="preserve">B. K. Balasooriya, J. Rajapakse and C. Gallage, “A review of drinking water quality issues in remote and indigenous communities in rich nations with special emphasis on Australia,” </w:t>
                </w:r>
                <w:r>
                  <w:rPr>
                    <w:i/>
                    <w:iCs/>
                    <w:noProof/>
                  </w:rPr>
                  <w:t xml:space="preserve">Science of the Total Enviroment, </w:t>
                </w:r>
                <w:r>
                  <w:rPr>
                    <w:noProof/>
                  </w:rPr>
                  <w:t xml:space="preserve">vol. 903, 2023. </w:t>
                </w:r>
              </w:p>
            </w:tc>
          </w:tr>
        </w:tbl>
        <w:p w14:paraId="7D3F4781" w14:textId="77777777" w:rsidR="00B22D28" w:rsidRDefault="00B22D28">
          <w:pPr>
            <w:divId w:val="1231503997"/>
            <w:rPr>
              <w:rFonts w:eastAsia="Times New Roman"/>
              <w:noProof/>
            </w:rPr>
          </w:pPr>
        </w:p>
        <w:p w14:paraId="456B1DC4" w14:textId="53D872F9" w:rsidR="00B22D28" w:rsidRDefault="00000000"/>
      </w:sdtContent>
    </w:sdt>
    <w:p w14:paraId="799E1556" w14:textId="05CF62D3" w:rsidR="00B22D28" w:rsidRDefault="00B22D28" w:rsidP="00B22D28"/>
    <w:sectPr w:rsidR="00B22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28"/>
    <w:rsid w:val="001103DC"/>
    <w:rsid w:val="001A4A67"/>
    <w:rsid w:val="003A6090"/>
    <w:rsid w:val="00402AE7"/>
    <w:rsid w:val="00A4611F"/>
    <w:rsid w:val="00AC072C"/>
    <w:rsid w:val="00B22D28"/>
    <w:rsid w:val="00BA0142"/>
    <w:rsid w:val="00C835BE"/>
    <w:rsid w:val="00FC40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33B99"/>
  <w15:chartTrackingRefBased/>
  <w15:docId w15:val="{CCD9EC28-6759-491D-874C-2FB9116C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28"/>
  </w:style>
  <w:style w:type="paragraph" w:styleId="Heading1">
    <w:name w:val="heading 1"/>
    <w:basedOn w:val="Normal"/>
    <w:next w:val="Normal"/>
    <w:link w:val="Heading1Char"/>
    <w:uiPriority w:val="9"/>
    <w:qFormat/>
    <w:rsid w:val="00B22D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D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D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D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D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D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D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D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D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D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D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D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D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D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D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D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D28"/>
    <w:rPr>
      <w:rFonts w:eastAsiaTheme="majorEastAsia" w:cstheme="majorBidi"/>
      <w:color w:val="272727" w:themeColor="text1" w:themeTint="D8"/>
    </w:rPr>
  </w:style>
  <w:style w:type="paragraph" w:styleId="Title">
    <w:name w:val="Title"/>
    <w:basedOn w:val="Normal"/>
    <w:next w:val="Normal"/>
    <w:link w:val="TitleChar"/>
    <w:uiPriority w:val="10"/>
    <w:qFormat/>
    <w:rsid w:val="00B22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D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D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D28"/>
    <w:pPr>
      <w:spacing w:before="160"/>
      <w:jc w:val="center"/>
    </w:pPr>
    <w:rPr>
      <w:i/>
      <w:iCs/>
      <w:color w:val="404040" w:themeColor="text1" w:themeTint="BF"/>
    </w:rPr>
  </w:style>
  <w:style w:type="character" w:customStyle="1" w:styleId="QuoteChar">
    <w:name w:val="Quote Char"/>
    <w:basedOn w:val="DefaultParagraphFont"/>
    <w:link w:val="Quote"/>
    <w:uiPriority w:val="29"/>
    <w:rsid w:val="00B22D28"/>
    <w:rPr>
      <w:i/>
      <w:iCs/>
      <w:color w:val="404040" w:themeColor="text1" w:themeTint="BF"/>
    </w:rPr>
  </w:style>
  <w:style w:type="paragraph" w:styleId="ListParagraph">
    <w:name w:val="List Paragraph"/>
    <w:basedOn w:val="Normal"/>
    <w:uiPriority w:val="34"/>
    <w:qFormat/>
    <w:rsid w:val="00B22D28"/>
    <w:pPr>
      <w:ind w:left="720"/>
      <w:contextualSpacing/>
    </w:pPr>
  </w:style>
  <w:style w:type="character" w:styleId="IntenseEmphasis">
    <w:name w:val="Intense Emphasis"/>
    <w:basedOn w:val="DefaultParagraphFont"/>
    <w:uiPriority w:val="21"/>
    <w:qFormat/>
    <w:rsid w:val="00B22D28"/>
    <w:rPr>
      <w:i/>
      <w:iCs/>
      <w:color w:val="0F4761" w:themeColor="accent1" w:themeShade="BF"/>
    </w:rPr>
  </w:style>
  <w:style w:type="paragraph" w:styleId="IntenseQuote">
    <w:name w:val="Intense Quote"/>
    <w:basedOn w:val="Normal"/>
    <w:next w:val="Normal"/>
    <w:link w:val="IntenseQuoteChar"/>
    <w:uiPriority w:val="30"/>
    <w:qFormat/>
    <w:rsid w:val="00B22D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D28"/>
    <w:rPr>
      <w:i/>
      <w:iCs/>
      <w:color w:val="0F4761" w:themeColor="accent1" w:themeShade="BF"/>
    </w:rPr>
  </w:style>
  <w:style w:type="character" w:styleId="IntenseReference">
    <w:name w:val="Intense Reference"/>
    <w:basedOn w:val="DefaultParagraphFont"/>
    <w:uiPriority w:val="32"/>
    <w:qFormat/>
    <w:rsid w:val="00B22D28"/>
    <w:rPr>
      <w:b/>
      <w:bCs/>
      <w:smallCaps/>
      <w:color w:val="0F4761" w:themeColor="accent1" w:themeShade="BF"/>
      <w:spacing w:val="5"/>
    </w:rPr>
  </w:style>
  <w:style w:type="paragraph" w:styleId="Bibliography">
    <w:name w:val="Bibliography"/>
    <w:basedOn w:val="Normal"/>
    <w:next w:val="Normal"/>
    <w:uiPriority w:val="37"/>
    <w:unhideWhenUsed/>
    <w:rsid w:val="00B22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454263">
      <w:bodyDiv w:val="1"/>
      <w:marLeft w:val="0"/>
      <w:marRight w:val="0"/>
      <w:marTop w:val="0"/>
      <w:marBottom w:val="0"/>
      <w:divBdr>
        <w:top w:val="none" w:sz="0" w:space="0" w:color="auto"/>
        <w:left w:val="none" w:sz="0" w:space="0" w:color="auto"/>
        <w:bottom w:val="none" w:sz="0" w:space="0" w:color="auto"/>
        <w:right w:val="none" w:sz="0" w:space="0" w:color="auto"/>
      </w:divBdr>
    </w:div>
    <w:div w:id="636641276">
      <w:bodyDiv w:val="1"/>
      <w:marLeft w:val="0"/>
      <w:marRight w:val="0"/>
      <w:marTop w:val="0"/>
      <w:marBottom w:val="0"/>
      <w:divBdr>
        <w:top w:val="none" w:sz="0" w:space="0" w:color="auto"/>
        <w:left w:val="none" w:sz="0" w:space="0" w:color="auto"/>
        <w:bottom w:val="none" w:sz="0" w:space="0" w:color="auto"/>
        <w:right w:val="none" w:sz="0" w:space="0" w:color="auto"/>
      </w:divBdr>
    </w:div>
    <w:div w:id="931469477">
      <w:bodyDiv w:val="1"/>
      <w:marLeft w:val="0"/>
      <w:marRight w:val="0"/>
      <w:marTop w:val="0"/>
      <w:marBottom w:val="0"/>
      <w:divBdr>
        <w:top w:val="none" w:sz="0" w:space="0" w:color="auto"/>
        <w:left w:val="none" w:sz="0" w:space="0" w:color="auto"/>
        <w:bottom w:val="none" w:sz="0" w:space="0" w:color="auto"/>
        <w:right w:val="none" w:sz="0" w:space="0" w:color="auto"/>
      </w:divBdr>
    </w:div>
    <w:div w:id="1142889068">
      <w:bodyDiv w:val="1"/>
      <w:marLeft w:val="0"/>
      <w:marRight w:val="0"/>
      <w:marTop w:val="0"/>
      <w:marBottom w:val="0"/>
      <w:divBdr>
        <w:top w:val="none" w:sz="0" w:space="0" w:color="auto"/>
        <w:left w:val="none" w:sz="0" w:space="0" w:color="auto"/>
        <w:bottom w:val="none" w:sz="0" w:space="0" w:color="auto"/>
        <w:right w:val="none" w:sz="0" w:space="0" w:color="auto"/>
      </w:divBdr>
    </w:div>
    <w:div w:id="1152521887">
      <w:bodyDiv w:val="1"/>
      <w:marLeft w:val="0"/>
      <w:marRight w:val="0"/>
      <w:marTop w:val="0"/>
      <w:marBottom w:val="0"/>
      <w:divBdr>
        <w:top w:val="none" w:sz="0" w:space="0" w:color="auto"/>
        <w:left w:val="none" w:sz="0" w:space="0" w:color="auto"/>
        <w:bottom w:val="none" w:sz="0" w:space="0" w:color="auto"/>
        <w:right w:val="none" w:sz="0" w:space="0" w:color="auto"/>
      </w:divBdr>
    </w:div>
    <w:div w:id="1231503997">
      <w:bodyDiv w:val="1"/>
      <w:marLeft w:val="0"/>
      <w:marRight w:val="0"/>
      <w:marTop w:val="0"/>
      <w:marBottom w:val="0"/>
      <w:divBdr>
        <w:top w:val="none" w:sz="0" w:space="0" w:color="auto"/>
        <w:left w:val="none" w:sz="0" w:space="0" w:color="auto"/>
        <w:bottom w:val="none" w:sz="0" w:space="0" w:color="auto"/>
        <w:right w:val="none" w:sz="0" w:space="0" w:color="auto"/>
      </w:divBdr>
    </w:div>
    <w:div w:id="1903131004">
      <w:bodyDiv w:val="1"/>
      <w:marLeft w:val="0"/>
      <w:marRight w:val="0"/>
      <w:marTop w:val="0"/>
      <w:marBottom w:val="0"/>
      <w:divBdr>
        <w:top w:val="none" w:sz="0" w:space="0" w:color="auto"/>
        <w:left w:val="none" w:sz="0" w:space="0" w:color="auto"/>
        <w:bottom w:val="none" w:sz="0" w:space="0" w:color="auto"/>
        <w:right w:val="none" w:sz="0" w:space="0" w:color="auto"/>
      </w:divBdr>
    </w:div>
    <w:div w:id="213104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Fie24</b:Tag>
    <b:SourceType>Report</b:SourceType>
    <b:Guid>{07849F1E-BFA9-4FC2-9E35-CA09EC5A85F7}</b:Guid>
    <b:Title>Real-time water quality monitoring for Homeland communities</b:Title>
    <b:Year>2024</b:Year>
    <b:Author>
      <b:Author>
        <b:NameList>
          <b:Person>
            <b:Last>Fielden</b:Last>
            <b:First>Raymond</b:First>
          </b:Person>
        </b:NameList>
      </b:Author>
    </b:Author>
    <b:Publisher>Australian Water Association</b:Publisher>
    <b:RefOrder>1</b:RefOrder>
  </b:Source>
  <b:Source>
    <b:Tag>LiZ14</b:Tag>
    <b:SourceType>JournalArticle</b:SourceType>
    <b:Guid>{6CD88D4B-1526-4EF5-B370-F7470591947B}</b:Guid>
    <b:Title>Raman Spectroscopy for In-Line Water Quality Monitoring Instrumentation and Potential</b:Title>
    <b:Year>2014</b:Year>
    <b:JournalName>Sensors</b:JournalName>
    <b:Pages>17275-17303</b:Pages>
    <b:Volume>14</b:Volume>
    <b:Issue>9</b:Issue>
    <b:Author>
      <b:Author>
        <b:NameList>
          <b:Person>
            <b:Last>Li</b:Last>
            <b:First>Zhiyun</b:First>
          </b:Person>
          <b:Person>
            <b:Last>Deen</b:Last>
            <b:Middle>Jamal</b:Middle>
            <b:First>M.</b:First>
          </b:Person>
          <b:Person>
            <b:Last>Kumar</b:Last>
            <b:First>Shiva</b:First>
          </b:Person>
          <b:Person>
            <b:Last>Selvaganapathy</b:Last>
            <b:Middle>Ravi</b:Middle>
            <b:First>P.</b:First>
          </b:Person>
        </b:NameList>
      </b:Author>
    </b:Author>
    <b:RefOrder>2</b:RefOrder>
  </b:Source>
  <b:Source>
    <b:Tag>Bal23</b:Tag>
    <b:SourceType>JournalArticle</b:SourceType>
    <b:Guid>{7D1EDFB8-13DF-4F66-A27C-4F3F0278C5D4}</b:Guid>
    <b:Title>A review of drinking water quality issues in remote and indigenous communities in rich nations with special emphasis on Australia</b:Title>
    <b:JournalName>Science of the Total Enviroment</b:JournalName>
    <b:Year>2023</b:Year>
    <b:Volume>903</b:Volume>
    <b:Author>
      <b:Author>
        <b:NameList>
          <b:Person>
            <b:Last>Balasooriya</b:Last>
            <b:Middle>Kalpana</b:Middle>
            <b:First>B.M.J.</b:First>
          </b:Person>
          <b:Person>
            <b:Last>Rajapakse</b:Last>
            <b:First>Jay</b:First>
          </b:Person>
          <b:Person>
            <b:Last>Gallage</b:Last>
            <b:First>Chaminda</b:First>
          </b:Person>
        </b:NameList>
      </b:Author>
    </b:Author>
    <b:RefOrder>3</b:RefOrder>
  </b:Source>
</b:Sources>
</file>

<file path=customXml/itemProps1.xml><?xml version="1.0" encoding="utf-8"?>
<ds:datastoreItem xmlns:ds="http://schemas.openxmlformats.org/officeDocument/2006/customXml" ds:itemID="{E6BB5679-4C59-454C-92B2-A497A34E0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495</Words>
  <Characters>3093</Characters>
  <Application>Microsoft Office Word</Application>
  <DocSecurity>0</DocSecurity>
  <Lines>56</Lines>
  <Paragraphs>22</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4</cp:revision>
  <cp:lastPrinted>2025-10-19T15:14:00Z</cp:lastPrinted>
  <dcterms:created xsi:type="dcterms:W3CDTF">2025-10-19T08:20:00Z</dcterms:created>
  <dcterms:modified xsi:type="dcterms:W3CDTF">2025-10-19T15:15:00Z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7b08fa92-6e35-486d-a1f5-9a4c2050a591</vt:lpwstr>
  </property>
</Properties>
</file>