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488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Lawak Store: demo shop with a customer storefront and an admin panel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Plan version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1.0 (13 Oct 2026)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Test cases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50 (41 UI with Playwright, 9 API with Bruno CLI)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Source of truth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demo/test-cases/source/lawak-store.json. The workbook, catalog and this plan are generated from it.</w:t>
            </w:r>
          </w:p>
        </w:tc>
      </w:tr>
    </w:tbl>
    <w:p>
      <w:pPr>
        <w:pStyle w:val="Heading1"/>
      </w:pPr>
      <w:r>
        <w:t>1. Scope</w:t>
      </w:r>
    </w:p>
    <w:p>
      <w:r>
        <w:rPr>
          <w:b w:val="0"/>
          <w:i w:val="0"/>
        </w:rPr>
        <w:t>In scope: sign in, registration, catalog, cart, checkout with mock payment, customer orders, and the admin panel (dashboard, products, orders, users). Access control is tested at the UI and at the API.</w:t>
      </w:r>
    </w:p>
    <w:p>
      <w:r>
        <w:rPr>
          <w:b w:val="0"/>
          <w:i w:val="0"/>
        </w:rPr>
        <w:t>Out of scope: real payments, email delivery, performance and load, and browsers other than Microsoft Edge (Chromium and a mobile viewport are available as optional projects).</w:t>
      </w:r>
    </w:p>
    <w:p>
      <w:pPr>
        <w:pStyle w:val="Heading1"/>
      </w:pPr>
      <w:r>
        <w:t>2. Test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5760"/>
            <w:shd w:val="clear" w:color="auto" w:fill="F0EDE6"/>
          </w:tcPr>
          <w:p>
            <w:r/>
            <w:r>
              <w:rPr>
                <w:b/>
                <w:sz w:val="18"/>
              </w:rPr>
              <w:t>What it checks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Playwright runner (@playwright/test)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What a user sees: pages, messages, totals, access rules. One test per case ID, one caseStep per case step, a screenshot per step.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r/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Bruno CLI (@usebruno/cli)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Endpoint contracts: status codes and error codes for the business rules.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(python-docx, openpyxl)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Word evidence per run and the Excel workbook with the latest result of each case.</w:t>
            </w:r>
          </w:p>
        </w:tc>
      </w:tr>
    </w:tbl>
    <w:p>
      <w:pPr>
        <w:pStyle w:val="Heading1"/>
      </w:pPr>
      <w:r>
        <w:t>3. Suites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Suite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Cases</w:t>
            </w:r>
          </w:p>
        </w:tc>
        <w:tc>
          <w:tcPr>
            <w:tcW w:type="dxa" w:w="4032"/>
            <w:shd w:val="clear" w:color="auto" w:fill="F0EDE6"/>
          </w:tcPr>
          <w:p>
            <w:r/>
            <w:r>
              <w:rPr>
                <w:b/>
                <w:sz w:val="18"/>
              </w:rPr>
              <w:t>When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Command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Smoke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Critical paths only. Shallow and wide. Target under 10 minutes. Run on every deploy.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node scripts/run-suite.js --suite smoke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Regression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41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Every UI case. Run nightly and before a release.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node scripts/run-suite.js --suite regression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Full Cycle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Regression UI suite plus the Bruno API suite and the evidence documents. Run at the end of a sprint.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node scripts/run-suite.js --suite full</w:t>
            </w:r>
          </w:p>
        </w:tc>
      </w:tr>
    </w:tbl>
    <w:p>
      <w:r>
        <w:rPr>
          <w:b w:val="0"/>
          <w:i/>
        </w:rPr>
        <w:t>Every suite can be narrowed by sprint, phase and module, for example node scripts/run-suite.js --suite regression --sprint 2 --module chk. The test dashboard builds this command.</w:t>
      </w:r>
    </w:p>
    <w:p>
      <w:pPr>
        <w:pStyle w:val="Heading1"/>
      </w:pPr>
      <w:r>
        <w:t>4. Phases and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Modules (cases)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Phase 1 - MVP storefront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Sign in, registration and catalog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Authentication (11), Catalog (8)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Phase 1 - MVP storefront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Cart, checkout and customer orders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Cart (6), Checkout (7), Customer Orders (2)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Phase 2 - Admin panel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products and admin orders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Products (5), Admin Orders (4)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Phase 2 - Admin panel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users and dashboard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Admin Users (6), Admin Dashboard (1)</w:t>
            </w:r>
          </w:p>
        </w:tc>
      </w:tr>
    </w:tbl>
    <w:p>
      <w:pPr>
        <w:pStyle w:val="Heading1"/>
      </w:pPr>
      <w:r>
        <w:t>5. Environment and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488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Local target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http://127.0.0.1:4173 (demo/server/server.js). The same backend.js runs in the GitHub Pages build.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Microsoft Edge (installed channel). Optional: Chromium, Pixel 7 viewport.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Demo accounts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Admin login@demo.com. Customer customer@demo.com. Disabled budi@demo.com. Passwords are in the README.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Mock cards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4242 4242 4242 4242 is approved. 4000 0000 0000 0002 is declined.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Test data rule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Tests make their own data with the prefix qa-auto and remove the products they create. Each run starts from the seed data.</w:t>
            </w:r>
          </w:p>
        </w:tc>
      </w:tr>
    </w:tbl>
    <w:p>
      <w:pPr>
        <w:pStyle w:val="Heading1"/>
      </w:pPr>
      <w:r>
        <w:t>6. Entry and exit criteria</w:t>
      </w:r>
    </w:p>
    <w:p>
      <w:r>
        <w:rPr>
          <w:b w:val="0"/>
          <w:i w:val="0"/>
        </w:rPr>
        <w:t>Entry: the build starts, the smoke suite passes, and the test cases of the sprint are Ready to test.</w:t>
      </w:r>
    </w:p>
    <w:p>
      <w:r>
        <w:rPr>
          <w:b w:val="0"/>
          <w:i w:val="0"/>
        </w:rPr>
        <w:t>Exit: every High priority case passes, every failure has a defect or a reason, and the Word evidence and workbook of the last Full Cycle run are published to the dashboard.</w:t>
      </w:r>
    </w:p>
    <w:p>
      <w:pPr>
        <w:pStyle w:val="Heading1"/>
      </w:pPr>
      <w:r>
        <w:t>7. Defects</w:t>
      </w:r>
    </w:p>
    <w:p>
      <w:r>
        <w:rPr>
          <w:b w:val="0"/>
          <w:i w:val="0"/>
        </w:rPr>
        <w:t>A failed case is a finding, not a reason to change the expected result. Each failure is reported with the failed step, the actual result, the layer and owner (Frontend, Backend, Environment, Reference) and the evidence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Defect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Case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008"/>
            <w:shd w:val="clear" w:color="auto" w:fill="F0EDE6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r/>
            <w:r>
              <w:rPr>
                <w:sz w:val="18"/>
              </w:rPr>
              <w:t>DEF-001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TC-CHK-006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Checkout accepts a 4-digit postal code. Rule R-07 needs exactly 5 digits.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Minor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Open (planted for the demo)</w:t>
            </w:r>
          </w:p>
        </w:tc>
      </w:tr>
    </w:tbl>
    <w:p>
      <w:pPr>
        <w:pStyle w:val="Heading1"/>
      </w:pPr>
      <w:r>
        <w:t>8. Deliverables</w:t>
      </w:r>
    </w:p>
    <w:p>
      <w:pPr>
        <w:pStyle w:val="ListBullet"/>
      </w:pPr>
      <w:r>
        <w:t>LawakStore_TestCases.xlsx: every case with steps, expected results and the latest result.</w:t>
      </w:r>
    </w:p>
    <w:p>
      <w:pPr>
        <w:pStyle w:val="ListBullet"/>
      </w:pPr>
      <w:r>
        <w:t>Evidence_&lt;scenario&gt;_RunTestN.docx: per run, status of all cases, failure summary, and every step with its screenshot or API response.</w:t>
      </w:r>
    </w:p>
    <w:p>
      <w:pPr>
        <w:pStyle w:val="ListBullet"/>
      </w:pPr>
      <w:r>
        <w:t>Playwright HTML report, JUnit XML and Bruno HTML report in each local run folder.</w:t>
      </w:r>
    </w:p>
    <w:p>
      <w:pPr>
        <w:pStyle w:val="ListBullet"/>
      </w:pPr>
      <w:r>
        <w:t>Test dashboard on GitHub Pages: suite builder, case list, run history and documents.</w:t>
      </w:r>
    </w:p>
    <w:p>
      <w:pPr>
        <w:pStyle w:val="Heading1"/>
      </w:pPr>
      <w:r>
        <w:t>9.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776"/>
            <w:shd w:val="clear" w:color="auto" w:fill="F0EDE6"/>
          </w:tcPr>
          <w:p>
            <w:r/>
            <w:r>
              <w:rPr>
                <w:b/>
                <w:sz w:val="18"/>
              </w:rPr>
              <w:t>Test cases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US-001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TC-AUTH-001, TC-AUTH-002, TC-AUTH-003, TC-AUTH-101, TC-AUTH-102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US-002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TC-AUTH-004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US-003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TC-AUTH-005, TC-AUTH-006, TC-AUTH-007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US-004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TC-AUTH-008, TC-AUTH-009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US-010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TC-CAT-001, TC-CAT-101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US-011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TC-CAT-002, TC-CAT-003, TC-CAT-004, TC-CAT-005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US-012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TC-CAT-006, TC-CAT-007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US-020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TC-CART-001, TC-CART-101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US-021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TC-CART-002, TC-CART-003, TC-CART-005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US-022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TC-CART-004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US-030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TC-CHK-001, TC-CHK-002, TC-CHK-006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US-031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TC-CHK-003, TC-CHK-004, TC-CHK-005, TC-CHK-101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US-032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TC-ORD-001, TC-ORD-002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US-040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TC-PRD-001, TC-PRD-004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US-041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TC-PRD-002, TC-PRD-005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US-042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TC-PRD-003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US-050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TC-AOR-001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US-051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TC-AOR-002, TC-AOR-003, TC-AOR-101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US-060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TC-USR-001, TC-USR-101, TC-USR-102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US-061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TC-USR-002, TC-USR-003, TC-USR-103</w:t>
            </w:r>
          </w:p>
        </w:tc>
      </w:tr>
      <w:tr>
        <w:trPr>
          <w:cantSplit w:val="true"/>
        </w:trPr>
        <w:tc>
          <w:tcPr>
            <w:tcW w:type="dxa" w:w="2016"/>
          </w:tcPr>
          <w:p>
            <w:r/>
            <w:r>
              <w:rPr>
                <w:sz w:val="18"/>
              </w:rPr>
              <w:t>US-070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TC-DSH-001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