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 Technology</w:t>
      </w:r>
    </w:p>
    <w:p>
      <w:pPr>
        <w:jc w:val="center"/>
      </w:pPr>
      <w:r>
        <w:t>--- 更新: 00:27 ---</w:t>
      </w:r>
    </w:p>
    <w:p>
      <w:pPr>
        <w:pStyle w:val="Heading2"/>
      </w:pPr>
      <w:r/>
      <w:r>
        <w:rPr>
          <w:rFonts w:ascii="Times New Roman" w:hAnsi="Times New Roman" w:eastAsia="宋体"/>
          <w:b/>
          <w:color w:val="000000"/>
          <w:sz w:val="24"/>
        </w:rPr>
        <w:t>通过频分复用同时双波长单像素显微成像</w:t>
      </w:r>
    </w:p>
    <w:p>
      <w:r>
        <w:rPr>
          <w:rFonts w:ascii="Times New Roman" w:hAnsi="Times New Roman" w:eastAsia="宋体"/>
          <w:b/>
          <w:color w:val="003264"/>
          <w:sz w:val="24"/>
        </w:rPr>
        <w:t>Simultaneous dual-wavelength single-pixel microscopic imaging via frequency-division multiplexing</w:t>
      </w:r>
    </w:p>
    <w:p>
      <w:r>
        <w:rPr>
          <w:rFonts w:ascii="Times New Roman" w:hAnsi="Times New Roman" w:eastAsia="宋体"/>
          <w:sz w:val="21"/>
        </w:rPr>
        <w:t>作者: Yipeng Cao, Mingzhong Pan, Ran Zhou, Shengxiang Cao, Jin Yang, Yikun Wang, Hongxing Qi</w:t>
        <w:br/>
      </w:r>
      <w:r>
        <w:rPr>
          <w:rFonts w:ascii="Times New Roman" w:hAnsi="Times New Roman" w:eastAsia="宋体"/>
          <w:sz w:val="21"/>
        </w:rPr>
        <w:t xml:space="preserve">时间: 2026-05-01 | </w:t>
      </w:r>
      <w:r>
        <w:t xml:space="preserve">链接: </w:t>
      </w:r>
      <w:hyperlink r:id="rId10">
        <w:r>
          <w:rPr>
            <w:rFonts w:ascii="Times New Roman" w:hAnsi="Times New Roman" w:eastAsia="宋体"/>
            <w:color w:val="0000FF"/>
            <w:sz w:val="21"/>
            <w:u w:val="single"/>
          </w:rPr>
          <w:t>https://doi.org/10.1016/j.optlastec.2026.114845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紫外激光脉冲原子双光子电离的光电子角分布</w:t>
      </w:r>
    </w:p>
    <w:p>
      <w:r>
        <w:rPr>
          <w:rFonts w:ascii="Times New Roman" w:hAnsi="Times New Roman" w:eastAsia="宋体"/>
          <w:b/>
          <w:color w:val="003264"/>
          <w:sz w:val="24"/>
        </w:rPr>
        <w:t>Photoelectron angular distributions for the two-photon ionization of atoms by ultraviolet laser pulses</w:t>
      </w:r>
    </w:p>
    <w:p>
      <w:r>
        <w:rPr>
          <w:rFonts w:ascii="Times New Roman" w:hAnsi="Times New Roman" w:eastAsia="宋体"/>
          <w:sz w:val="21"/>
        </w:rPr>
        <w:t>作者: Zichao Liu, Wanhong Wen, Yingbin Li, Benhai Yu, Cheng Huang</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FBG 带宽对高保真应变传感双梳询问的影响</w:t>
      </w:r>
    </w:p>
    <w:p>
      <w:r>
        <w:rPr>
          <w:rFonts w:ascii="Times New Roman" w:hAnsi="Times New Roman" w:eastAsia="宋体"/>
          <w:b/>
          <w:color w:val="003264"/>
          <w:sz w:val="24"/>
        </w:rPr>
        <w:t>FBG bandwidth impact on dual-comb interrogation for high fidelity strain sensing</w:t>
      </w:r>
    </w:p>
    <w:p>
      <w:r>
        <w:rPr>
          <w:rFonts w:ascii="Times New Roman" w:hAnsi="Times New Roman" w:eastAsia="宋体"/>
          <w:sz w:val="21"/>
        </w:rPr>
        <w:t>作者: Malhar A. Nagar, Minghao Wei, Alejandro Rosado, Conor McArdle, Aleksandra Kaszubowska-Anandarajah, Prince M. Anandarajah, Davide Janner</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基于LCVR的可见光谱范围宽带时分偏振成像技术</w:t>
      </w:r>
    </w:p>
    <w:p>
      <w:r>
        <w:rPr>
          <w:rFonts w:ascii="Times New Roman" w:hAnsi="Times New Roman" w:eastAsia="宋体"/>
          <w:b/>
          <w:color w:val="003264"/>
          <w:sz w:val="24"/>
        </w:rPr>
        <w:t>LCVR-based broadband time-division polarimetric imaging technology in visible spectral range</w:t>
      </w:r>
    </w:p>
    <w:p>
      <w:r>
        <w:rPr>
          <w:rFonts w:ascii="Times New Roman" w:hAnsi="Times New Roman" w:eastAsia="宋体"/>
          <w:sz w:val="21"/>
        </w:rPr>
        <w:t>作者: Wenxu Jiang, Liyong Ren, Jian Liang</w:t>
        <w:br/>
      </w:r>
      <w:r>
        <w:rPr>
          <w:rFonts w:ascii="Times New Roman" w:hAnsi="Times New Roman" w:eastAsia="宋体"/>
          <w:sz w:val="21"/>
        </w:rPr>
        <w:t xml:space="preserve">时间: 2026-06-01 | </w:t>
      </w:r>
      <w:r>
        <w:t xml:space="preserve">链接: </w:t>
      </w:r>
      <w:hyperlink r:id="rId13">
        <w:r>
          <w:rPr>
            <w:rFonts w:ascii="Times New Roman" w:hAnsi="Times New Roman" w:eastAsia="宋体"/>
            <w:color w:val="0000FF"/>
            <w:sz w:val="21"/>
            <w:u w:val="single"/>
          </w:rPr>
          <w:t>https://doi.org/10.1016/j.optlaseng.2025.109581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使用加权整数剪切平均值进行分数横向剪切测量的波前重建</w:t>
      </w:r>
    </w:p>
    <w:p>
      <w:r>
        <w:rPr>
          <w:rFonts w:ascii="Times New Roman" w:hAnsi="Times New Roman" w:eastAsia="宋体"/>
          <w:b/>
          <w:color w:val="003264"/>
          <w:sz w:val="24"/>
        </w:rPr>
        <w:t>Wavefront reconstruction for fractional lateral shear measurements using weighted integer shear averages</w:t>
      </w:r>
    </w:p>
    <w:p>
      <w:r>
        <w:rPr>
          <w:rFonts w:ascii="Times New Roman" w:hAnsi="Times New Roman" w:eastAsia="宋体"/>
          <w:sz w:val="21"/>
        </w:rPr>
        <w:t>作者: Samia Heshmat, Satoshi Tomioka, Naoki Miyamoto, Yuji Yamauchi, Yutaka Matsumoto, Naoki Higashi</w:t>
        <w:br/>
      </w:r>
      <w:r>
        <w:rPr>
          <w:rFonts w:ascii="Times New Roman" w:hAnsi="Times New Roman" w:eastAsia="宋体"/>
          <w:sz w:val="21"/>
        </w:rPr>
        <w:t xml:space="preserve">时间: 2026-06-01 | </w:t>
      </w:r>
      <w:r>
        <w:t xml:space="preserve">链接: </w:t>
      </w:r>
      <w:hyperlink r:id="rId14">
        <w:r>
          <w:rPr>
            <w:rFonts w:ascii="Times New Roman" w:hAnsi="Times New Roman" w:eastAsia="宋体"/>
            <w:color w:val="0000FF"/>
            <w:sz w:val="21"/>
            <w:u w:val="single"/>
          </w:rPr>
          <w:t>https://doi.org/10.1016/j.optlaseng.2026.109664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一种优化的 GPU 加速数字图像相关算法</w:t>
      </w:r>
    </w:p>
    <w:p>
      <w:r>
        <w:rPr>
          <w:rFonts w:ascii="Times New Roman" w:hAnsi="Times New Roman" w:eastAsia="宋体"/>
          <w:b/>
          <w:color w:val="003264"/>
          <w:sz w:val="24"/>
        </w:rPr>
        <w:t>An optimized GPU-accelerated digital image correlation algorithm</w:t>
      </w:r>
    </w:p>
    <w:p>
      <w:r>
        <w:rPr>
          <w:rFonts w:ascii="Times New Roman" w:hAnsi="Times New Roman" w:eastAsia="宋体"/>
          <w:sz w:val="21"/>
        </w:rPr>
        <w:t>作者: Yuanhang Dou, Xuexi Cui, Xiangdong Wu, Min Wan</w:t>
        <w:br/>
      </w:r>
      <w:r>
        <w:rPr>
          <w:rFonts w:ascii="Times New Roman" w:hAnsi="Times New Roman" w:eastAsia="宋体"/>
          <w:sz w:val="21"/>
        </w:rPr>
        <w:t xml:space="preserve">时间: 2026-06-01 | </w:t>
      </w:r>
      <w:r>
        <w:t xml:space="preserve">链接: </w:t>
      </w:r>
      <w:hyperlink r:id="rId15">
        <w:r>
          <w:rPr>
            <w:rFonts w:ascii="Times New Roman" w:hAnsi="Times New Roman" w:eastAsia="宋体"/>
            <w:color w:val="0000FF"/>
            <w:sz w:val="21"/>
            <w:u w:val="single"/>
          </w:rPr>
          <w:t>https://doi.org/10.1016/j.optlaseng.2026.109635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00:27 ---</w:t>
      </w:r>
    </w:p>
    <w:p>
      <w:pPr>
        <w:pStyle w:val="Heading2"/>
      </w:pPr>
      <w:r/>
      <w:r>
        <w:rPr>
          <w:rFonts w:ascii="Times New Roman" w:hAnsi="Times New Roman" w:eastAsia="宋体"/>
          <w:b/>
          <w:color w:val="000000"/>
          <w:sz w:val="24"/>
        </w:rPr>
        <w:t>基于一维反射光栅的分束四分之一波片</w:t>
      </w:r>
    </w:p>
    <w:p>
      <w:r>
        <w:rPr>
          <w:rFonts w:ascii="Times New Roman" w:hAnsi="Times New Roman" w:eastAsia="宋体"/>
          <w:b/>
          <w:color w:val="003264"/>
          <w:sz w:val="24"/>
        </w:rPr>
        <w:t>Beam splitting quarter wave plate based on one-dimensional reflective grating</w:t>
      </w:r>
    </w:p>
    <w:p>
      <w:r>
        <w:rPr>
          <w:rFonts w:ascii="Times New Roman" w:hAnsi="Times New Roman" w:eastAsia="宋体"/>
          <w:sz w:val="21"/>
        </w:rPr>
        <w:t>作者: Rongwei Peng, Minhui Du, Huabin LI, Jin Wang, Shanwen Zhang, Wei Jia, Changhe Zhou</w:t>
        <w:br/>
      </w:r>
      <w:r>
        <w:rPr>
          <w:rFonts w:ascii="Times New Roman" w:hAnsi="Times New Roman" w:eastAsia="宋体"/>
          <w:sz w:val="21"/>
        </w:rPr>
        <w:t xml:space="preserve">时间: 2026-01-01 | </w:t>
      </w:r>
      <w:r>
        <w:t xml:space="preserve">链接: </w:t>
      </w:r>
      <w:hyperlink r:id="rId16">
        <w:r>
          <w:rPr>
            <w:rFonts w:ascii="Times New Roman" w:hAnsi="Times New Roman" w:eastAsia="宋体"/>
            <w:color w:val="0000FF"/>
            <w:sz w:val="21"/>
            <w:u w:val="single"/>
          </w:rPr>
          <w:t>https://doi.org/10.1016/j.optcom.2026.132976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混合阶庞加莱球光束二次谐波产生的不对称拓扑演化和角动量重新分布</w:t>
      </w:r>
    </w:p>
    <w:p>
      <w:r>
        <w:rPr>
          <w:rFonts w:ascii="Times New Roman" w:hAnsi="Times New Roman" w:eastAsia="宋体"/>
          <w:b/>
          <w:color w:val="003264"/>
          <w:sz w:val="24"/>
        </w:rPr>
        <w:t>Asymmetric topological evolution and angular momentum redistribution in second-harmonic generation of hybrid-order Poincaré sphere beams</w:t>
      </w:r>
    </w:p>
    <w:p>
      <w:r>
        <w:rPr>
          <w:rFonts w:ascii="Times New Roman" w:hAnsi="Times New Roman" w:eastAsia="宋体"/>
          <w:sz w:val="21"/>
        </w:rPr>
        <w:t>作者: Xinrui Zhang, Yating Chen, Shun Wang, Shuolin Wang, Li Fan, Bo Li, Youyou Hu</w:t>
        <w:br/>
      </w:r>
      <w:r>
        <w:rPr>
          <w:rFonts w:ascii="Times New Roman" w:hAnsi="Times New Roman" w:eastAsia="宋体"/>
          <w:sz w:val="21"/>
        </w:rPr>
        <w:t xml:space="preserve">时间: 2026-01-01 | </w:t>
      </w:r>
      <w:r>
        <w:t xml:space="preserve">链接: </w:t>
      </w:r>
      <w:hyperlink r:id="rId17">
        <w:r>
          <w:rPr>
            <w:rFonts w:ascii="Times New Roman" w:hAnsi="Times New Roman" w:eastAsia="宋体"/>
            <w:color w:val="0000FF"/>
            <w:sz w:val="21"/>
            <w:u w:val="single"/>
          </w:rPr>
          <w:t>https://doi.org/10.1016/j.optcom.2026.132961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使用胶体生物合成型WO3-δ的短脉冲调Q光纤激光器</w:t>
      </w:r>
    </w:p>
    <w:p>
      <w:r>
        <w:rPr>
          <w:rFonts w:ascii="Times New Roman" w:hAnsi="Times New Roman" w:eastAsia="宋体"/>
          <w:b/>
          <w:color w:val="003264"/>
          <w:sz w:val="24"/>
        </w:rPr>
        <w:t>Short-pulsed Q-switched fiber laser using colloidal biosynthesized type WO3-δ</w:t>
      </w:r>
    </w:p>
    <w:p>
      <w:r>
        <w:rPr>
          <w:rFonts w:ascii="Times New Roman" w:hAnsi="Times New Roman" w:eastAsia="宋体"/>
          <w:sz w:val="21"/>
        </w:rPr>
        <w:t>作者: Celia L. Gomez, F. Díaz Monge, O. Zaca-Moran, Ariel Fong-González, Carlos Alberto Megchum-Ruedas, Elsa Ventura Zapata, J. Padilla-Martínez, P. Zaca-Morán</w:t>
        <w:br/>
      </w:r>
      <w:r>
        <w:rPr>
          <w:rFonts w:ascii="Times New Roman" w:hAnsi="Times New Roman" w:eastAsia="宋体"/>
          <w:sz w:val="21"/>
        </w:rPr>
        <w:t xml:space="preserve">时间: 2026-01-01 | </w:t>
      </w:r>
      <w:r>
        <w:t xml:space="preserve">链接: </w:t>
      </w:r>
      <w:hyperlink r:id="rId18">
        <w:r>
          <w:rPr>
            <w:rFonts w:ascii="Times New Roman" w:hAnsi="Times New Roman" w:eastAsia="宋体"/>
            <w:color w:val="0000FF"/>
            <w:sz w:val="21"/>
            <w:u w:val="single"/>
          </w:rPr>
          <w:t>https://doi.org/10.1016/j.optcom.2026.132972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00:27 ---</w:t>
      </w:r>
    </w:p>
    <w:p>
      <w:pPr>
        <w:pStyle w:val="Heading2"/>
      </w:pPr>
      <w:r/>
      <w:r>
        <w:rPr>
          <w:rFonts w:ascii="Times New Roman" w:hAnsi="Times New Roman" w:eastAsia="宋体"/>
          <w:b/>
          <w:color w:val="000000"/>
          <w:sz w:val="24"/>
        </w:rPr>
        <w:t>基于Ψ结和多模干涉仪的可重构低损耗三模光开关</w:t>
      </w:r>
    </w:p>
    <w:p>
      <w:r>
        <w:rPr>
          <w:rFonts w:ascii="Times New Roman" w:hAnsi="Times New Roman" w:eastAsia="宋体"/>
          <w:b/>
          <w:color w:val="003264"/>
          <w:sz w:val="24"/>
        </w:rPr>
        <w:t>Reconfigurable and low-loss three-mode optical switch based on Ψ-junctions and multimode interferometers</w:t>
      </w:r>
    </w:p>
    <w:p>
      <w:r>
        <w:rPr>
          <w:rFonts w:ascii="Times New Roman" w:hAnsi="Times New Roman" w:eastAsia="宋体"/>
          <w:sz w:val="21"/>
        </w:rPr>
        <w:t>作者: Manzhuo Wang, Yu Xin, Tingyu Liu, Xiaoqiang Sun, Yuanda Wu, Daming Zhang</w:t>
        <w:br/>
      </w:r>
      <w:r>
        <w:rPr>
          <w:rFonts w:ascii="Times New Roman" w:hAnsi="Times New Roman" w:eastAsia="宋体"/>
          <w:sz w:val="21"/>
        </w:rPr>
        <w:t xml:space="preserve">时间: 2026-01-20 | </w:t>
      </w:r>
      <w:r>
        <w:t xml:space="preserve">链接: </w:t>
      </w:r>
      <w:hyperlink r:id="rId19">
        <w:r>
          <w:rPr>
            <w:rFonts w:ascii="Times New Roman" w:hAnsi="Times New Roman" w:eastAsia="宋体"/>
            <w:color w:val="0000FF"/>
            <w:sz w:val="21"/>
            <w:u w:val="single"/>
          </w:rPr>
          <w:t>https://doi.org/10.1364/ol.583825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提出了一种在二氧化硅平面光波电路上进行 N 通道模分复用 (MDM) 信号切换的方案。具体来说，我们展示了一种三模光开关，采用级联对称 Ψ 结、马赫-曾德干涉仪 (MZI) 波导和电极移相器进行热光调制。对称 Ψ 结将 E 11 、E 21 和 E 31 模式分成 E 11 模式并将它们耦合回其原始模式。 MZI 充当该三模光开关的调制臂。该器件通过 CMOS 兼容的硅基硅处理工艺制造，可实现三种模式的低损耗切换。在 1550 nm 处，当单独输入 E 11 、E 21 和 E 31 模式时，所制造的开关表现出 3.7 ± 0.1 dB 的插入损耗 (IL)、10.3 ± 0.5 dB 的消光比 (ER) 和 &lt;1.36 ms 的响应时间。对于 E 11 和 E 21 模式，工作带宽扩展超过 100 nm (1500–1600 nm)，IL &lt;5 dB 且 ER ≥8 dB。该交换机可重新配置为同时或单独路由所有传播模式，满足不同的应用需求。此外，该器件在MDM系统模块的光互连中具有广阔的应用前景。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scheme for N- channel mode-division multiplexing (MDM) signal switching is proposed on a silica planar lightwave circuit. Specifically, we demonstrate a three-mode optical switch that adopts cascaded symmetric Ψ-junctions, Mach–Zehnder interferometer (MZI) waveguides, and electrode phase shifters for thermo-optic modulation. The symmetric Ψ-junctions split the E 11 , E 21 , and E 31 modes into the E 11 mode and couple them back to their original modes. The MZIs act as the modulation arms of this three-mode optical switch. Fabricated via CMOS-compatible silica-on-silicon processing, the device enables low-loss switching of the three modes. At 1550 nm, when E 11 , E 21 , and E 31 modes are input individually, the fabricated switch exhibits an insertion loss (IL) of 3.7 ± 0.1 dB, an extinction ratio (ER) of 10.3 ± 0.5 dB, and a response time of &lt;1.36 ms. For E 11 and E 21 modes, the operational bandwidth extends over 100 nm (1500–1600 nm), with IL &lt;5 dB and ER ≥8 dB. Reconfigurable to route all propagating modes simultaneously or individually, this switch meets diverse application requirements. Moreover, the device holds broad application prospects in optical interconnects of MDM system modules.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1.2 kW峰值功率准连续波掺铥光纤激光器</w:t>
      </w:r>
    </w:p>
    <w:p>
      <w:r>
        <w:rPr>
          <w:rFonts w:ascii="Times New Roman" w:hAnsi="Times New Roman" w:eastAsia="宋体"/>
          <w:b/>
          <w:color w:val="003264"/>
          <w:sz w:val="24"/>
        </w:rPr>
        <w:t>1.2 kW peak power quasi-continuous-wave thulium-doped fiber laser</w:t>
      </w:r>
    </w:p>
    <w:p>
      <w:r>
        <w:rPr>
          <w:rFonts w:ascii="Times New Roman" w:hAnsi="Times New Roman" w:eastAsia="宋体"/>
          <w:sz w:val="21"/>
        </w:rPr>
        <w:t>作者: Dieter Panitzek, Michael Písařík, Helena Picmausová, Julian Schaal, Jan Lautenschläger, Dominik Lorenz, Julian Schneider, Marc Eichhorn, Christelle Kieleck</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https://doi.org/10.1364/ol.581863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这封信研究了准连续波操作的高功率掺铥光纤激光器。通过调制六个泵浦二极管，在 2031 nm、10 µs 脉冲宽度下获得了 1287 W 的泵浦功率限制峰值功率。此外，还测量了衍射极限光束质量因数并且没有测量到横向调制不稳定性的迹象。在观察到四波混频的同时，研究了一种新颖的缓解策略。通过应用十个 10 µs 脉冲而不是单个 100 µs 脉冲，四波混频的特征边带的最大频谱功率降低了 7.4 dB。</w:t>
      </w:r>
    </w:p>
    <w:p>
      <w:pPr>
        <w:spacing w:before="120"/>
      </w:pPr>
      <w:r>
        <w:rPr>
          <w:rFonts w:ascii="Times New Roman" w:hAnsi="Times New Roman" w:eastAsia="宋体"/>
          <w:b/>
          <w:sz w:val="21"/>
        </w:rPr>
        <w:t>English Abstract:</w:t>
      </w:r>
    </w:p>
    <w:p>
      <w:r>
        <w:rPr>
          <w:rFonts w:ascii="Times New Roman" w:hAnsi="Times New Roman" w:eastAsia="宋体"/>
          <w:sz w:val="21"/>
        </w:rPr>
        <w:t>This Letter investigates a high-power thulium-doped fiber laser in quasi-continuous-wave operation. By modulating six pump diodes, a pump power limited peak power of 1287 W at 2031 nm with 10 µs pulse width was obtained. Moreover, a diffraction limited beam quality factor and no indication of transversal modulation instability were measured. While four-wave mixing was observed, a novel mitigation strategy was investigated. By applying a burst of ten 10 µs pulses instead of a single 100 µs pulse, the maximum of the spectral power for the characteristic sidebands of four-wave mixing was reduced by 7.4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少量光子的质心检测</w:t>
      </w:r>
    </w:p>
    <w:p>
      <w:r>
        <w:rPr>
          <w:rFonts w:ascii="Times New Roman" w:hAnsi="Times New Roman" w:eastAsia="宋体"/>
          <w:b/>
          <w:color w:val="003264"/>
          <w:sz w:val="24"/>
        </w:rPr>
        <w:t>Centroid detection with a small number of photons</w:t>
      </w:r>
    </w:p>
    <w:p>
      <w:r>
        <w:rPr>
          <w:rFonts w:ascii="Times New Roman" w:hAnsi="Times New Roman" w:eastAsia="宋体"/>
          <w:sz w:val="21"/>
        </w:rPr>
        <w:t>作者: Zhaocong Li, Xiaosong Wu, Linhai Huang, Hao Chen, Naiting Gu, Yang Li</w:t>
        <w:br/>
      </w:r>
      <w:r>
        <w:rPr>
          <w:rFonts w:ascii="Times New Roman" w:hAnsi="Times New Roman" w:eastAsia="宋体"/>
          <w:sz w:val="21"/>
        </w:rPr>
        <w:t xml:space="preserve">时间: 2026-01-29 | </w:t>
      </w:r>
      <w:r>
        <w:t xml:space="preserve">链接: </w:t>
      </w:r>
      <w:hyperlink r:id="rId21">
        <w:r>
          <w:rPr>
            <w:rFonts w:ascii="Times New Roman" w:hAnsi="Times New Roman" w:eastAsia="宋体"/>
            <w:color w:val="0000FF"/>
            <w:sz w:val="21"/>
            <w:u w:val="single"/>
          </w:rPr>
          <w:t>https://doi.org/10.1364/ol.585707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在这封信中，我们提出了一种基于多像素光子计数器（MPPC）阵列和强度空间分布调制器阵列的质心检测方法。即使仅检测到少量光子，该方法也能够有效地确定二维质心位置。我们将每个单点 MPPC 与强度空间分布调制器集成，这增强了其辨别位置的能力。只需两个单元即可检测光斑的二维质心位置。此外，第三个单元可用于监测光斑的整体强度闪烁，这显着增强了检测的稳定性和鲁棒性。在检测到 500 个均方根 (RMS) 光子时，传感器始终以令人印象深刻的 30 kHz 帧速率和 7.11 μm 的均方根误差 (RMSE) 提取二维质心。这些结果证明了一种有前景的方法，可以显着提高对微弱目标的高灵敏度检测，同时仍保持较快的帧速率。因此，该方法有可能增强倾斜像差的检测能力，从而为未来超大望远镜的自适应光学系统提供基础。</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present a centroid detection method based on a Multi-pixel Photon Counter (MPPC) array and an intensity spatial distribution modulator array. This method is adept at efficiently determining the two-dimensional centroid position, even when only a small number of photons are detected. We have integrated every single-point MPPC with an intensity spatial distribution modulator, which enhances its ability to discern positions. Only two units are required to detect the two-dimensional centroid position of the spot. Additionally, a third unit can be used to monitor the overall intensity flicker of the spot, which significantly enhances the stability and robustness of the detection. Under 500 root mean square (RMS) photons detected, the sensor consistently extracts the two-dimensional centroid with an impressive frame rate of 30 kHz and a root mean square error (RMSE) of 7.11 μm. These results demonstrate a promising approach that could significantly improve the detection of faint targets with high sensitivity while still maintaining a fast frame rate. Therefore, this method has the potential to enhance the detection capability of tilt aberrations, thereby providing the foundation of the adaptive optics system for the coming extremely large telescopes.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纯钛产品的突发模式飞秒激光着色</w:t>
      </w:r>
    </w:p>
    <w:p>
      <w:r>
        <w:rPr>
          <w:rFonts w:ascii="Times New Roman" w:hAnsi="Times New Roman" w:eastAsia="宋体"/>
          <w:b/>
          <w:color w:val="003264"/>
          <w:sz w:val="24"/>
        </w:rPr>
        <w:t>Burst-mode femtosecond laser coloring on pure titanium products</w:t>
      </w:r>
    </w:p>
    <w:p>
      <w:r>
        <w:rPr>
          <w:rFonts w:ascii="Times New Roman" w:hAnsi="Times New Roman" w:eastAsia="宋体"/>
          <w:sz w:val="21"/>
        </w:rPr>
        <w:t>作者: Jiao Geng, Xiangwei Liu, Shuyao Zhang, Minghui Fan, Jilin Chen, Jingjie Tang, Chenxiao Zhang, Kezhao Ma, Panpan Niu, Liping Shi</w:t>
        <w:br/>
      </w:r>
      <w:r>
        <w:rPr>
          <w:rFonts w:ascii="Times New Roman" w:hAnsi="Times New Roman" w:eastAsia="宋体"/>
          <w:sz w:val="21"/>
        </w:rPr>
        <w:t xml:space="preserve">时间: 2026-01-26 | </w:t>
      </w:r>
      <w:r>
        <w:t xml:space="preserve">链接: </w:t>
      </w:r>
      <w:hyperlink r:id="rId22">
        <w:r>
          <w:rPr>
            <w:rFonts w:ascii="Times New Roman" w:hAnsi="Times New Roman" w:eastAsia="宋体"/>
            <w:color w:val="0000FF"/>
            <w:sz w:val="21"/>
            <w:u w:val="single"/>
          </w:rPr>
          <w:t>https://doi.org/10.1364/ol.581474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在没有有毒化学物质或热变形的情况下对纯钛进行着色仍然是消费品的一个关键挑战。在这里，我们引入突发模式飞秒激光加工，通过改变每个 400 kHz 突发内的子脉冲数量来调整钛表面上的氧化物生长。随着子脉冲数从 1 逐渐增加到 10，我们观察到从柔和、低饱和度的色调到鲜艳、均匀的颜色的连续转变。这种演变源于超快非热氧化和温和的热量积累之间的协同作用，逐渐平滑氧化物表面并抑制虹彩微结构。所得颜色不含电解质残留物，并且底层钛保留其原始平整度。因此，该技术为纯钛产品的高分辨率装饰提供了一种无酸、无掩模的途径。</w:t>
      </w:r>
    </w:p>
    <w:p>
      <w:pPr>
        <w:spacing w:before="120"/>
      </w:pPr>
      <w:r>
        <w:rPr>
          <w:rFonts w:ascii="Times New Roman" w:hAnsi="Times New Roman" w:eastAsia="宋体"/>
          <w:b/>
          <w:sz w:val="21"/>
        </w:rPr>
        <w:t>English Abstract:</w:t>
      </w:r>
    </w:p>
    <w:p>
      <w:r>
        <w:rPr>
          <w:rFonts w:ascii="Times New Roman" w:hAnsi="Times New Roman" w:eastAsia="宋体"/>
          <w:sz w:val="21"/>
        </w:rPr>
        <w:t>Coloring on pure titanium without toxic chemicals or thermal distortion remains a key challenge for consumer products. Here, we introduce burst-mode femtosecond laser processing that tailors oxide growth on the titanium surface by varying the number of sub-pulses within each 400 kHz burst. We observe a continuous transition from muted, low-saturation hues to vivid, uniform colors as the sub-pulse count gradually increases from 1 to 10. This evolution arises from the synergy between ultrafast non-thermal oxidation and gentle heat accumulation, which progressively smooths the oxide surface and suppresses iridescent microstructures. The resulting colors are free of electrolyte residues and the underlying titanium retains its original flatness. The technique thus offers an acid-free and maskless route for high-resolution decoration of pure titanium products.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瓦级全固态单频248 nm DUV光源</w:t>
      </w:r>
    </w:p>
    <w:p>
      <w:r>
        <w:rPr>
          <w:rFonts w:ascii="Times New Roman" w:hAnsi="Times New Roman" w:eastAsia="宋体"/>
          <w:b/>
          <w:color w:val="003264"/>
          <w:sz w:val="24"/>
        </w:rPr>
        <w:t>Watt-level all-solid-state single-frequency 248 nm DUV source</w:t>
      </w:r>
    </w:p>
    <w:p>
      <w:r>
        <w:rPr>
          <w:rFonts w:ascii="Times New Roman" w:hAnsi="Times New Roman" w:eastAsia="宋体"/>
          <w:sz w:val="21"/>
        </w:rPr>
        <w:t>作者: Tianxiang Cheng, Zhenhua Cong, Zhaojun Liu, Zhigang Zhao</w:t>
        <w:br/>
      </w:r>
      <w:r>
        <w:rPr>
          <w:rFonts w:ascii="Times New Roman" w:hAnsi="Times New Roman" w:eastAsia="宋体"/>
          <w:sz w:val="21"/>
        </w:rPr>
        <w:t xml:space="preserve">时间: 2026-01-14 | </w:t>
      </w:r>
      <w:r>
        <w:t xml:space="preserve">链接: </w:t>
      </w:r>
      <w:hyperlink r:id="rId23">
        <w:r>
          <w:rPr>
            <w:rFonts w:ascii="Times New Roman" w:hAnsi="Times New Roman" w:eastAsia="宋体"/>
            <w:color w:val="0000FF"/>
            <w:sz w:val="21"/>
            <w:u w:val="single"/>
          </w:rPr>
          <w:t>https://doi.org/10.1364/ol.585441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通过355 nm和827 nm激光器之间的和频产生（SFG）实现了平均功率为瓦特级（~1.2 W）的全固态单频248 nm深紫外（DUV）源，这比我们之前的结果高了近一个数量级[选项1]。莱特。 50、1881（2025）10.1364/OL.553247]。为了实现这一进步，采用脉冲泵浦来增加 1064 nm 基本驱动器的脉冲能量。同时，对 LBO 晶体的长度进行了仿真引导优化，以最大限度地提高 827 nm 光参量振荡器 (OPO) 的转换效率。受益于两者，4 kHz 时从 1064 nm 到 248 nm 光源的转换效率从 1.41% 提高到 3.93%。 x 和 y 方向上的光束质量因子 M 2 测得分别为 1.61 和 1.10，线宽估计为约 270 MHz。据我们所知，这是第一个报道的全固态单频 248 nm 光源的瓦特级输出。</w:t>
      </w:r>
    </w:p>
    <w:p>
      <w:pPr>
        <w:spacing w:before="120"/>
      </w:pPr>
      <w:r>
        <w:rPr>
          <w:rFonts w:ascii="Times New Roman" w:hAnsi="Times New Roman" w:eastAsia="宋体"/>
          <w:b/>
          <w:sz w:val="21"/>
        </w:rPr>
        <w:t>English Abstract:</w:t>
      </w:r>
    </w:p>
    <w:p>
      <w:r>
        <w:rPr>
          <w:rFonts w:ascii="Times New Roman" w:hAnsi="Times New Roman" w:eastAsia="宋体"/>
          <w:sz w:val="21"/>
        </w:rPr>
        <w:t>An all-solid-state single-frequency 248 nm deep-ultraviolet (DUV) source with watt-level (~1.2 W) average power was realized by sum-frequency generation (SFG) between 355 nm and 827 nm lasers, which is nearly one order-of-magnitude higher than our previous result [ Opt. Lett. 50 , 1881 ( 2025 ) 10.1364/OL.553247 ]. For this advancement, pulsed pumping was employed to increase the pulse energy of the 1064-nm fundamental driver. Meanwhile, simulation-guided optimization on the length of the LBO crystal was performed to maximize the conversion efficiency of the 827-nm optical parametric oscillator (OPO). Benefiting from both, the conversion efficiency from 1064 nm to 248 nm source was improved from 1.41% to 3.93% at 4 kHz. The beam quality factors M 2 in the x and y directions were measured to be 1.61 and 1.10, respectively, and the linewidth was estimated to be ~270 MHz. To the best of our knowledge, this is the first watt-level output reported for all-solid-state single-frequency 248 nm source.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飞秒旋转相干拉曼散射中时空相干性的几何控制</w:t>
      </w:r>
    </w:p>
    <w:p>
      <w:r>
        <w:rPr>
          <w:rFonts w:ascii="Times New Roman" w:hAnsi="Times New Roman" w:eastAsia="宋体"/>
          <w:b/>
          <w:color w:val="003264"/>
          <w:sz w:val="24"/>
        </w:rPr>
        <w:t>Geometrical control of spatio–temporal coherence in femtosecond rotational coherent Raman scattering</w:t>
      </w:r>
    </w:p>
    <w:p>
      <w:r>
        <w:rPr>
          <w:rFonts w:ascii="Times New Roman" w:hAnsi="Times New Roman" w:eastAsia="宋体"/>
          <w:sz w:val="21"/>
        </w:rPr>
        <w:t>作者: Francesco Vergari, Francesco Mazza, Michele Marrocco, Ali Hosseinnia</w:t>
        <w:br/>
      </w:r>
      <w:r>
        <w:rPr>
          <w:rFonts w:ascii="Times New Roman" w:hAnsi="Times New Roman" w:eastAsia="宋体"/>
          <w:sz w:val="21"/>
        </w:rPr>
        <w:t xml:space="preserve">时间: 2026-01-23 | </w:t>
      </w:r>
      <w:r>
        <w:t xml:space="preserve">链接: </w:t>
      </w:r>
      <w:hyperlink r:id="rId24">
        <w:r>
          <w:rPr>
            <w:rFonts w:ascii="Times New Roman" w:hAnsi="Times New Roman" w:eastAsia="宋体"/>
            <w:color w:val="0000FF"/>
            <w:sz w:val="21"/>
            <w:u w:val="single"/>
          </w:rPr>
          <w:t>https://doi.org/10.1364/ol.583339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飞秒旋转相干拉曼散射（fs-RCRS）中空间相位相干性的理论框架，展示了相位匹配几何结构如何将时间动力学与检测到的信号的横向结构耦合起来。在此基础上，我们确定了两种具有重大实际意义的配置。在一种情况下，该几何结构允许对碰撞相移和旋转能量转移进行单次测量，以及多物种检测。另一方面，几何形状为一维测温提供了一种简单的方案。总之，这些结果将几何驱动的时空相干性确立为飞秒旋转光谱学和诊断的多功能工具。</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framework for spatial phase coherence in femtosecond rotational coherent Raman scattering (fs-RCRS), demonstrating how phase-matching geometry couples temporal dynamics to the transverse structure of the detected signal. On this basis, we identify two configurations with significant practical implications. In one case, the geometry allows single-shot measurements of collisional dephasing and rotational energy transfer, as well as multi-species detection. In the other, the geometry provides a straightforward scheme for one-dimensional thermometry. Together, these results establish geometry-driven space–time coherence as a versatile tool for femtosecond rotational spectroscopy and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离任和新任编辑的告别和问候：社论</w:t>
      </w:r>
    </w:p>
    <w:p>
      <w:r>
        <w:rPr>
          <w:rFonts w:ascii="Times New Roman" w:hAnsi="Times New Roman" w:eastAsia="宋体"/>
          <w:b/>
          <w:color w:val="003264"/>
          <w:sz w:val="24"/>
        </w:rPr>
        <w:t>Farewell and greetings from the outgoing and incoming editors: editorial</w:t>
      </w:r>
    </w:p>
    <w:p>
      <w:r>
        <w:rPr>
          <w:rFonts w:ascii="Times New Roman" w:hAnsi="Times New Roman" w:eastAsia="宋体"/>
          <w:sz w:val="21"/>
        </w:rPr>
        <w:t>作者: Miguel A. Alonso, Carsten Rockstuhl</w:t>
        <w:br/>
      </w:r>
      <w:r>
        <w:rPr>
          <w:rFonts w:ascii="Times New Roman" w:hAnsi="Times New Roman" w:eastAsia="宋体"/>
          <w:sz w:val="21"/>
        </w:rPr>
        <w:t xml:space="preserve">时间: 2026-01-14 | </w:t>
      </w:r>
      <w:r>
        <w:t xml:space="preserve">链接: </w:t>
      </w:r>
      <w:hyperlink r:id="rId25">
        <w:r>
          <w:rPr>
            <w:rFonts w:ascii="Times New Roman" w:hAnsi="Times New Roman" w:eastAsia="宋体"/>
            <w:color w:val="0000FF"/>
            <w:sz w:val="21"/>
            <w:u w:val="single"/>
          </w:rPr>
          <w:t>https://doi.org/10.1364/ol.589579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在担任主编六年后，Miguel A. Alonso 将结束其任期，Carsten Rockstuhl 将于 2026 年 1 月 1 日接任该职位。正如《光学快报》的领导地位正在发生变化一样，出版格局、光学和光子学领域以及科学家开展研究活动的方式也在发生变化。这些变化促使我们在不断变化的环境中反思《华尔街日报》的过去和未来。</w:t>
      </w:r>
    </w:p>
    <w:p>
      <w:pPr>
        <w:spacing w:before="120"/>
      </w:pPr>
      <w:r>
        <w:rPr>
          <w:rFonts w:ascii="Times New Roman" w:hAnsi="Times New Roman" w:eastAsia="宋体"/>
          <w:b/>
          <w:sz w:val="21"/>
        </w:rPr>
        <w:t>English Abstract:</w:t>
      </w:r>
    </w:p>
    <w:p>
      <w:r>
        <w:rPr>
          <w:rFonts w:ascii="Times New Roman" w:hAnsi="Times New Roman" w:eastAsia="宋体"/>
          <w:sz w:val="21"/>
        </w:rPr>
        <w:t>After six years as Editor-in-Chief, Miguel A. Alonso will conclude his term, and Carsten Rockstuhl will take over the role on January 1, 2026. Just as the leadership of Optics Letters is changing, so are the publishing landscape, the field of optics and photonics, and the way in which scientists pursue their research activity. These changes prompted us to reflect on the past and future of the Journal in a permanently evolving environment.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使用一个基于 OFDM 的收发器进行高性能多协议连续可变量子密钥分发</w:t>
      </w:r>
    </w:p>
    <w:p>
      <w:r>
        <w:rPr>
          <w:rFonts w:ascii="Times New Roman" w:hAnsi="Times New Roman" w:eastAsia="宋体"/>
          <w:b/>
          <w:color w:val="003264"/>
          <w:sz w:val="24"/>
        </w:rPr>
        <w:t>High-performance multi-protocol continuous-variable quantum key distribution using one OFDM-based transceiver</w:t>
      </w:r>
    </w:p>
    <w:p>
      <w:r>
        <w:rPr>
          <w:rFonts w:ascii="Times New Roman" w:hAnsi="Times New Roman" w:eastAsia="宋体"/>
          <w:sz w:val="21"/>
        </w:rPr>
        <w:t>作者: Heng Wang, Yan Pan, Ting Ye, Yun Shao, Yaodi Pi, Lifeng Fu, Yazhuo Jiang, Ao Sun, Yang Li, Yichen Zhang, Wei Huang, Bingjie Xu</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https://doi.org/10.1364/ol.579333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我们使用一个收发器通过实验演示了一种高性能多协议连续可变量子密钥分发 (CV-QKD)。所演示的多协议CV-QKD系统可以基于正交频分复用（OFDM）技术，使用高斯、4QAM、16QAM、64QAM和1024QAM调制协议同时分配5个子载波。此外，5个子载波的调制方差和概率分布因子经过仔细优化，以最大化它们各自的SKR。此外，我们创新性地设计了有效的基于 OFDM 的 DSP 方案和精确的双级相位噪声补偿方案，以实现在 2 GHz 符号率下运行的每个子载波的低过量噪声。因此，多协议CV-QKD在单次传输中在50公里的典型传输距离上实现了48.79、7.58、23.67、32.93和36.78 Mbps的多个SKR。因此，我们的工作为实现高速量子安全通信的高效、可互操作、灵活和安全的 QKD 提供了实用的解决方案。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demonstrated a high-performance multi-protocol continuous-variable quantum key distribution (CV-QKD) using one transceiver. The demonstrated multi-protocol CV-QKD system can simultaneously distribute 5 subcarriers with Gaussian, 4QAM, 16QAM, 64QAM, and 1024QAM modulation protocols based on orthogonal-frequency-division-multiplexing (OFDM) technology. Moreover, the modulation variance and probability distribution factor of 5 subcarriers are carefully optimized to maximize their respective SKRs. Besides, we innovatively design an effective OFDM-based DSP scheme and a precise dual-stage phase noise compensation scheme to realize a low excess noise for each subcarrier operating at a 2 GHz symbol rate. Thus, the multi-protocol CV-QKD achieves multiple SKRs of 48.79, 7.58, 23.67, 32.93, and 36.78 Mbps over a typical transmission distance of 50 km within a single transmission. Therefore, our work provides a practical solution to achieve highly efficient, interoperable, flexible, and secure QKDs for high-speed quantum secure communication.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00:28 ---</w:t>
      </w:r>
    </w:p>
    <w:p>
      <w:pPr>
        <w:pStyle w:val="Heading1"/>
      </w:pPr>
      <w:r>
        <w:rPr>
          <w:rFonts w:ascii="Times New Roman" w:hAnsi="Times New Roman" w:eastAsia="宋体"/>
          <w:b/>
          <w:color w:val="000000"/>
          <w:sz w:val="32"/>
        </w:rPr>
        <w:t>Photonics Research</w:t>
      </w:r>
    </w:p>
    <w:p>
      <w:pPr>
        <w:jc w:val="center"/>
      </w:pPr>
      <w:r>
        <w:t>--- 更新: 00:28 ---</w:t>
      </w:r>
    </w:p>
    <w:p>
      <w:pPr>
        <w:pStyle w:val="Heading2"/>
      </w:pPr>
      <w:r/>
      <w:r>
        <w:rPr>
          <w:rFonts w:ascii="Times New Roman" w:hAnsi="Times New Roman" w:eastAsia="宋体"/>
          <w:b/>
          <w:color w:val="000000"/>
          <w:sz w:val="24"/>
        </w:rPr>
        <w:t>直接观察 InGaN/GaN 量子阱局域态中的载流子动力学</w:t>
      </w:r>
    </w:p>
    <w:p>
      <w:r>
        <w:rPr>
          <w:rFonts w:ascii="Times New Roman" w:hAnsi="Times New Roman" w:eastAsia="宋体"/>
          <w:b/>
          <w:color w:val="003264"/>
          <w:sz w:val="24"/>
        </w:rPr>
        <w:t>Direct observation of carrier dynamics in the localization states of InGaN/GaN quantum wells</w:t>
      </w:r>
    </w:p>
    <w:p>
      <w:r>
        <w:rPr>
          <w:rFonts w:ascii="Times New Roman" w:hAnsi="Times New Roman" w:eastAsia="宋体"/>
          <w:sz w:val="21"/>
        </w:rPr>
        <w:t>作者: Xiangxin Xia, Gaoqiang Deng, Yusen Wang, Jingkai Zhao, Yuliang Liu, Qingyi Li, Helong Li, Yuantao Zhang, Huailiang Xu</w:t>
        <w:br/>
      </w:r>
      <w:r>
        <w:rPr>
          <w:rFonts w:ascii="Times New Roman" w:hAnsi="Times New Roman" w:eastAsia="宋体"/>
          <w:sz w:val="21"/>
        </w:rPr>
        <w:t xml:space="preserve">时间: 2025-12-24 | </w:t>
      </w:r>
      <w:r>
        <w:t xml:space="preserve">链接: </w:t>
      </w:r>
      <w:hyperlink r:id="rId27">
        <w:r>
          <w:rPr>
            <w:rFonts w:ascii="Times New Roman" w:hAnsi="Times New Roman" w:eastAsia="宋体"/>
            <w:color w:val="0000FF"/>
            <w:sz w:val="21"/>
            <w:u w:val="single"/>
          </w:rPr>
          <w:t>https://doi.org/10.1364/prj.574410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基于InGaN/GaN量子阱(QW)的发光器件给普通照明带来了一场持续的革命。该领域备受关注的讨论之一是，随着InGaN/GaN QW中铟含量的增加，效率急剧下降，这对InGaN基长波长光电器件提出了严峻的挑战。不幸的是，造成这种限制的因素仍不清楚。在这里，通过使用飞秒瞬态吸收光谱，我们研究了InGaN/GaN QW的载流子动力学，发现InGaN/GaN QW的发光效率与InGaN层中的局域态（LS），即点状富InGaN团簇密切相关。我们证明，铟含量的增加不仅可以降低LSs的势深度，削弱局域结合效应，增加电子被缺陷捕获的可能性，而且可以提高LSs的密度，增加复合通道，扩大发光光谱的半高宽。根据这些发现，我们提出了一个载流子动力学模型，以深入了解 InGaN/GaN QW 的发射机制，为实现高性能 InGaN 光电器件铺平了道路。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Light-emission devices based on InGaN/GaN quantum well (QW) bring about an ongoing revolution in general lighting. One of the highly deliberated discussions in this field is the steep efficiency drop with the increasing indium content of InGaN/GaN QW, posing a critical challenge to InGaN-based long-wavelength optoelectronic devices. Unfortunately, the factors that underlie the limitation remain unclear. Here, by using femtosecond transient absorption spectroscopy, we investigate the carrier dynamics of InGaN/GaN QW and find that the luminescence efficiency of InGaN/GaN QW is closely related to the localization states (LSs), i.e., dot-like In-rich InGaN clusters, in the InGaN layer. We demonstrate that the increase in the indium content can not only decrease the potential depth of LSs to weaken the localization binding effect and enhance the possibility of electrons being trapped by defects, but also enhance the density of LSs to increase the recombination channels and enlarge the full width at half maximum of the luminescence spectra. With these findings, we propose a model of carrier dynamics to deeply understand the emission mechanisms of InGaN/GaN QW, paving a way towards realizing high-performance InGaN-based optoelectronic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栅极可调石墨烯太赫兹超表面中的无串扰双通道幅度相位控制</w:t>
      </w:r>
    </w:p>
    <w:p>
      <w:r>
        <w:rPr>
          <w:rFonts w:ascii="Times New Roman" w:hAnsi="Times New Roman" w:eastAsia="宋体"/>
          <w:b/>
          <w:color w:val="003264"/>
          <w:sz w:val="24"/>
        </w:rPr>
        <w:t>Crosstalk-free dual-channel amplitude-phase control in a gate tunable graphene THz metasurface</w:t>
      </w:r>
    </w:p>
    <w:p>
      <w:r>
        <w:rPr>
          <w:rFonts w:ascii="Times New Roman" w:hAnsi="Times New Roman" w:eastAsia="宋体"/>
          <w:sz w:val="21"/>
        </w:rPr>
        <w:t>作者: Min Zhang, Huiyun Zhang, Shuo Wang, Yuping Zhang</w:t>
        <w:br/>
      </w:r>
      <w:r>
        <w:rPr>
          <w:rFonts w:ascii="Times New Roman" w:hAnsi="Times New Roman" w:eastAsia="宋体"/>
          <w:sz w:val="21"/>
        </w:rPr>
        <w:t xml:space="preserve">时间: 2026-01-22 | </w:t>
      </w:r>
      <w:r>
        <w:t xml:space="preserve">链接: </w:t>
      </w:r>
      <w:hyperlink r:id="rId28">
        <w:r>
          <w:rPr>
            <w:rFonts w:ascii="Times New Roman" w:hAnsi="Times New Roman" w:eastAsia="宋体"/>
            <w:color w:val="0000FF"/>
            <w:sz w:val="21"/>
            <w:u w:val="single"/>
          </w:rPr>
          <w:t>https://doi.org/10.1364/prj.577829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基于石墨烯的太赫兹 (THz) 超表面为通信和安全光子学提供紧凑的电可调波前控制。然而，单个设备内幅度和相位的无串扰调谐仍然是一个主要挑战。在这里，我们报告了一种基于石墨烯的太赫兹超表面，该超表面由具有五重旋转对称性的晶胞（C 5 ）组成，可通过调节栅极电压来实现无串扰且独立的传输幅度和相位控制。 C 5 晶胞产生近乎各向同性的角谐波分布，赋予偏振不敏感性和广角稳定性。实验和模拟表明，在低栅极偏压下，超表面在共偏振通道中实现了25%的传输幅度调制，同时保持相位谱不变。同偏振和交叉偏振传输之间超过 40 dB 的消光比证实了其高偏振纯度。在交叉极化通道中，在多个频带上实现了超过 180 度的连续相移，同时保持超低传输幅度，这表明相位控制是门控可编程的，并且可以有效地与同极化通道幅度输出解耦。据我们所知，我们的研究结果为具有无串扰控制的电可编程超表面建立了一种新的设计范例，为光电调制和密钥分配通道的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Graphene-based terahertz (THz) metasurfaces offer compact, electrically tunable wavefront control for communications and secure photonics. Yet, crosstalk-free tuning of amplitude and phase within a single device has remained a central challenge. Here, we report a graphene-based THz metasurface composed of a unit cell with five-fold rotational symmetry ( C 5 ), enabling crosstalk-free and independent control of transmission amplitude and phase by tuning the gate voltage. The C 5 unit cell produces a nearly isotropic angular harmonic distribution, imparting polarization insensitivity and wide-angle stability. Experiments and simulations indicate that, under low gate bias, the metasurface achieves 25% modulation of transmission amplitude in the co-polarized channel while maintaining an unchanged phase spectrum. An extinction ratio exceeding 40 dB between co- and cross-polarized transmissions confirms its high polarization purity. In the cross-polarized channel, continuous phase shifts exceeding 180 deg are realized across multiple frequency bands while maintaining ultralow transmission amplitude, indicating that phase control is gate-programmable and effectively decoupled from the co-polarized channel amplitude output. To our knowledge, our results establish a new design paradigm for electrically programmable metasurfaces with crosstalk-free control, opening avenues for applications in optoelectronic modulation and key-distribution channels.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自支撑结构MEMS可调谐超表面热发射体的设计与制作方法</w:t>
      </w:r>
    </w:p>
    <w:p>
      <w:r>
        <w:rPr>
          <w:rFonts w:ascii="Times New Roman" w:hAnsi="Times New Roman" w:eastAsia="宋体"/>
          <w:b/>
          <w:color w:val="003264"/>
          <w:sz w:val="24"/>
        </w:rPr>
        <w:t>Design and fabrication method of the MEMS tunable metasurface thermal emitter with free-standing structures</w:t>
      </w:r>
    </w:p>
    <w:p>
      <w:r>
        <w:rPr>
          <w:rFonts w:ascii="Times New Roman" w:hAnsi="Times New Roman" w:eastAsia="宋体"/>
          <w:sz w:val="21"/>
        </w:rPr>
        <w:t>作者: Xiayu Wang, Fengjie Zhu, Qingsong Feng, Ziqi Mei, Rongbo Xie, Zhongjie Jiang, Chao Liang, Xiangyang Wei, Gaofei Zhang, Xiaoguang Zhao, Kebin Fan, Zheng You</w:t>
        <w:br/>
      </w:r>
      <w:r>
        <w:rPr>
          <w:rFonts w:ascii="Times New Roman" w:hAnsi="Times New Roman" w:eastAsia="宋体"/>
          <w:sz w:val="21"/>
        </w:rPr>
        <w:t xml:space="preserve">时间: 2025-12-24 | </w:t>
      </w:r>
      <w:r>
        <w:t xml:space="preserve">链接: </w:t>
      </w:r>
      <w:hyperlink r:id="rId29">
        <w:r>
          <w:rPr>
            <w:rFonts w:ascii="Times New Roman" w:hAnsi="Times New Roman" w:eastAsia="宋体"/>
            <w:color w:val="0000FF"/>
            <w:sz w:val="21"/>
            <w:u w:val="single"/>
          </w:rPr>
          <w:t>https://doi.org/10.1364/prj.574681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调谐超表面的出现为动态红外操纵铺平了道路，并在推进生化传感和红外成像等应用中发挥了至关重要的作用。在本文中，我们通过将微机电系统（MEMS）可重构超表面与片上微加热器集成，提出了一种微机械可调谐窄带热发射器，具有宽调谐范围和高品质因数。由于超表面和法布里-珀罗腔的共振模式耦合，通过连续改变气隙的厚度，可以在2-14μm范围内调制发射峰。通过将独立式全金属超表面和硅基MEMS执行器相结合，提出了一种构建MEMS可重构超表面的通用方案，该方案可以消除衬底中的固有损耗和多重谐振，从而大幅提高光谱分辨率。该器件开发并实施了晶圆级 MEMS 微加工工艺，显示出大规模生产的潜力。我们进一步制造了小型化可调谐超表面热发射器，实现了覆盖长波长红外范围的调谐范围，并通过实验证明了热发射能力。我们的设计为实现高性能的实时热发射控制提供了实用有效的解决方案，在实现高度集成、低成本的动态红外元器件方面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The emergence of tunable metasurfaces has paved the way for dynamic infrared manipulation and played a crucial role in advancing applications such as biochemical sensing and infrared imaging. In this paper, we present a micromachined tunable narrowband thermal emitter with a wide tuning range and a high quality factor by integrating microelectromechanical system (MEMS) reconfigurable metasurfaces with on-chip micro-heaters. Due to the resonance mode coupling of the metasurface and Fabry–Perot cavity, the emission peak can be modulated from 2–14 μm by continuously altering the thickness of the air gap. A versatile scheme for constructing a MEMS reconfigurable metasurface is proposed by combining free-standing all-metallic metasurfaces and silicon-based MEMS actuators, which can eliminate the intrinsic losses and multiple resonances in substrates, substantially increasing the spectral resolutions. A wafer-scaled MEMS microfabrication process is developed and implemented for the devices, indicating a potential for mass production. We further fabricate miniaturized tunable metasurface thermal emitters, realizing a tuning range covering the long wavelength infrared range and experimentally demonstrating the thermal emission capability as well. Our design provides a practical and effective solution for realizing a real-time thermal emission control with high performance and has a promising prospect in achieving highly integrated, low-cost dynamic infrared meta-devices.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用于近眼显示的仿生能量分布可调多焦平面超透镜，具有增强的景深和分辨率</w:t>
      </w:r>
    </w:p>
    <w:p>
      <w:r>
        <w:rPr>
          <w:rFonts w:ascii="Times New Roman" w:hAnsi="Times New Roman" w:eastAsia="宋体"/>
          <w:b/>
          <w:color w:val="003264"/>
          <w:sz w:val="24"/>
        </w:rPr>
        <w:t>Bioinspired energy-distribution-adjustable multi-focal-plane metalens for near-eye display with enhanced depth-of-field and resolution</w:t>
      </w:r>
    </w:p>
    <w:p>
      <w:r>
        <w:rPr>
          <w:rFonts w:ascii="Times New Roman" w:hAnsi="Times New Roman" w:eastAsia="宋体"/>
          <w:sz w:val="21"/>
        </w:rPr>
        <w:t>作者: Yuyan Peng, Weiquan Yang, Zhenyou Zou, Jiawei Zhang, Chan Hee Suk, Xiongtu Zhou, Tailiang Guo, Yongai Zhang, Qun Yan, Chaoxing Wu, Tae Whan Kim</w:t>
        <w:br/>
      </w:r>
      <w:r>
        <w:rPr>
          <w:rFonts w:ascii="Times New Roman" w:hAnsi="Times New Roman" w:eastAsia="宋体"/>
          <w:sz w:val="21"/>
        </w:rPr>
        <w:t xml:space="preserve">时间: 2026-01-28 | </w:t>
      </w:r>
      <w:r>
        <w:t xml:space="preserve">链接: </w:t>
      </w:r>
      <w:hyperlink r:id="rId30">
        <w:r>
          <w:rPr>
            <w:rFonts w:ascii="Times New Roman" w:hAnsi="Times New Roman" w:eastAsia="宋体"/>
            <w:color w:val="0000FF"/>
            <w:sz w:val="21"/>
            <w:u w:val="single"/>
          </w:rPr>
          <w:t>https://doi.org/10.1364/prj.571242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由亚波长元原子组成的平面多焦平面超透镜（MFPM）通过提供立体视觉和紧凑的光学解决方案，在推进近眼显示方面具有巨大的潜力。然而，全景深度成像无疑浪费了资源。有针对性地增强给定 MFPM 焦点的能量可以增强景深 (DoF)，同时细化感兴趣深度的信息，从而实现最佳资源分配。受到跳蛛的多层视网膜和人眼的多点聚焦能力的启发，我们提出了一种可以通过人工智能设计的能量分布可调的MFPM（EDA-MFPM）。为了进行演示，通过电子束光刻技术制造了三个能量分布比为 0.5、1、2、最小尺寸为 52 nm 的 EDA-MFPM。所有EDA-MFPM的斯特列尔比均大于0.9，分辨率为181 lp/mm或更高，在目前的实验条件和图像融合方法下，DoF近似为传统超透镜的10倍。作为概念验证，通过调整能量分配比，开发了一种利用 EDA-MFPM 的可变焦距增强现实视觉系统，该系统具有两个通道，对感兴趣的物体表现出宽自由度和高细节分辨率。这些 EDA-MFPM 预计将通过优化能量分布来提高光利用率，从而促进近眼显示器的发展。</w:t>
      </w:r>
    </w:p>
    <w:p>
      <w:pPr>
        <w:spacing w:before="120"/>
      </w:pPr>
      <w:r>
        <w:rPr>
          <w:rFonts w:ascii="Times New Roman" w:hAnsi="Times New Roman" w:eastAsia="宋体"/>
          <w:b/>
          <w:sz w:val="21"/>
        </w:rPr>
        <w:t>English Abstract:</w:t>
      </w:r>
    </w:p>
    <w:p>
      <w:r>
        <w:rPr>
          <w:rFonts w:ascii="Times New Roman" w:hAnsi="Times New Roman" w:eastAsia="宋体"/>
          <w:sz w:val="21"/>
        </w:rPr>
        <w:t>The planar multi-focal-plane metalens (MFPM) consisting of subwavelength meta-atoms has immense potential for advancing near-eye displays by providing stereoscopic vision and compact optical solutions. However, panoramic deep imaging undoubtedly wastes resources. Strengthening the energy of a given MFPM’s focus in a targeted manner can enhance the depth-of-field (DoF) while refining information in the depth of interest, resulting in optimal resource allocation. Drawing inspiration from the multitiered retina of a jumping spider and the multi-point focusing capability of the human eye, we propose an energy-distribution-adjustable MFPM (EDA-MFPM) that can be designed by artificial intelligence. For demonstration, three EDA-MFPMs with energy distribution ratios of 0.5, 1, 2, and minimum size of 52 nm are fabricated by electron beam lithography. All EDA-MFPMs have a Strehl ratio greater than 0.9 and a resolution of 181 lp/mm or higher, and DoF is approximated to be 10 times that of a traditional metalens under the present experimental conditions and image-fusion method. As a proof of concept, a variable-focus augmented reality vision system utilizing the EDA-MFPMs, with two channels exhibiting a wide DoF and high-detail resolution for objects of interest is developed by adjusting the energy distribution ratios. These EDA-MFPMs are anticipated to promote the evolution of near-eye displays by enhancing light utilization through optimized energy distribution.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用于协同散射减少增强调制的智能超表面</w:t>
      </w:r>
    </w:p>
    <w:p>
      <w:r>
        <w:rPr>
          <w:rFonts w:ascii="Times New Roman" w:hAnsi="Times New Roman" w:eastAsia="宋体"/>
          <w:b/>
          <w:color w:val="003264"/>
          <w:sz w:val="24"/>
        </w:rPr>
        <w:t>Intelligent metasurface for synergistic scattering reduction-enhancement modulation</w:t>
      </w:r>
    </w:p>
    <w:p>
      <w:r>
        <w:rPr>
          <w:rFonts w:ascii="Times New Roman" w:hAnsi="Times New Roman" w:eastAsia="宋体"/>
          <w:sz w:val="21"/>
        </w:rPr>
        <w:t>作者: Weikang Xie, Zhaowang Cao, Yunfei Xia, Zishan Chen, Zhuo Cheng, Dayi Wan, Yulu Zhang, Ling Miao, Jianjun Jiang</w:t>
        <w:br/>
      </w:r>
      <w:r>
        <w:rPr>
          <w:rFonts w:ascii="Times New Roman" w:hAnsi="Times New Roman" w:eastAsia="宋体"/>
          <w:sz w:val="21"/>
        </w:rPr>
        <w:t xml:space="preserve">时间: 2026-01-28 | </w:t>
      </w:r>
      <w:r>
        <w:t xml:space="preserve">链接: </w:t>
      </w:r>
      <w:hyperlink r:id="rId31">
        <w:r>
          <w:rPr>
            <w:rFonts w:ascii="Times New Roman" w:hAnsi="Times New Roman" w:eastAsia="宋体"/>
            <w:color w:val="0000FF"/>
            <w:sz w:val="21"/>
            <w:u w:val="single"/>
          </w:rPr>
          <w:t>https://doi.org/10.1364/prj.571833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雷达探测威胁需要采取电磁欺骗和隐身等多种对策，同时保持高可追溯性有利于联盟协调。尽管许多研究都集中在电磁散射的增强或减少上，但结构的相互冲突的能量调制要求使得对这两种功能的集成控制的研究很少。这项研究引入了一种智能散射调制超表面（ISMM）来实现电磁散射的大动态范围调制，以增强和减少电磁散射。 ISMM 将散射增强单元 (EC) 和散射增强单元 (RC) 集成在单层中，以提高紧凑性并最大限度地减少串扰。通过平衡整体结构散射增强和减少要求来优化这些电池的性能和拓扑。 ISMM通过协调调节EC中的放大器增益和RC中的反射率，实现了S频段内+20dB至-20dB的准连续雷达截面（RCS）调制，实现了超隐身、融合伪装、动态欺骗和高可追溯性等功能。实验验证证实所制造的原型具有大动态范围电磁散射调制能力。利用ISMM独特的调制性能，提出了一种具有复杂伪装效果的协同干扰操作模式。据我们所知，这项工作为电磁伪装装置的发展铺平了一条前所未有的道路。</w:t>
      </w:r>
    </w:p>
    <w:p>
      <w:pPr>
        <w:spacing w:before="120"/>
      </w:pPr>
      <w:r>
        <w:rPr>
          <w:rFonts w:ascii="Times New Roman" w:hAnsi="Times New Roman" w:eastAsia="宋体"/>
          <w:b/>
          <w:sz w:val="21"/>
        </w:rPr>
        <w:t>English Abstract:</w:t>
      </w:r>
    </w:p>
    <w:p>
      <w:r>
        <w:rPr>
          <w:rFonts w:ascii="Times New Roman" w:hAnsi="Times New Roman" w:eastAsia="宋体"/>
          <w:sz w:val="21"/>
        </w:rPr>
        <w:t>Modern radar detection threats necessitate diverse countermeasures such as electromagnetic deception and stealth, while maintaining high traceability facilitates alliance coordination. Although numerous studies have focused on electromagnetic scattering enhancement or reduction, the conflicting energy modulation requirements of structures have rendered research on the integrated control of both functionalities scarce. This investigation introduces an intelligent scattering modulation metasurface (ISMM) to realize large dynamic range modulation of electromagnetic scattering for both enhancement and reduction. The ISMM integrates scattering enhancing cells (ECs) and reducing cells (RCs) in a single layer to improve compactness and minimize crosstalk. The performance and topology of these cells are optimized by balancing overall structural scattering enhancement and reduction requirements. By coordinately regulating the amplifier gain in ECs and the reflectivity in RCs, ISMM enables a quasi-continuous radar cross-section (RCS) modulation from +20 dB to -20 dB within the S-band, realizing functionalities including ultra-stealth, fusion camouflage, dynamic deception, and high traceability. Experimental validation confirms that the fabricated prototype exhibits large dynamic range electromagnetic scattering modulation capability. Leveraging ISMM’s unique modulation performance, a collaborative jamming operation mode with complex camouflage effects is proposed. This work paves, to our knowledge, an unprecedented pathway for the development of electromagnetic camouflage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00:28 ---</w:t>
      </w:r>
    </w:p>
    <w:p>
      <w:pPr>
        <w:pStyle w:val="Heading2"/>
      </w:pPr>
      <w:r/>
      <w:r>
        <w:rPr>
          <w:rFonts w:ascii="Times New Roman" w:hAnsi="Times New Roman" w:eastAsia="宋体"/>
          <w:b/>
          <w:color w:val="000000"/>
          <w:sz w:val="24"/>
        </w:rPr>
        <w:t>使用张量统一线性比较分析进行可视化分析</w:t>
      </w:r>
    </w:p>
    <w:p>
      <w:r>
        <w:rPr>
          <w:rFonts w:ascii="Times New Roman" w:hAnsi="Times New Roman" w:eastAsia="宋体"/>
          <w:b/>
          <w:color w:val="003264"/>
          <w:sz w:val="24"/>
        </w:rPr>
        <w:t>Visual Analytics Using Tensor Unified Linear Comparative Analysis</w:t>
      </w:r>
    </w:p>
    <w:p>
      <w:r>
        <w:rPr>
          <w:rFonts w:ascii="Times New Roman" w:hAnsi="Times New Roman" w:eastAsia="宋体"/>
          <w:sz w:val="21"/>
        </w:rPr>
        <w:t>作者: Naoki Okami, Kazuki Miyake, Naohisa Sakamoto, Jorji Nonaka, Takanori Fujiwara</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https://doi.org/10.1109/tvcg.2025.3633912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比较张量并识别它们（不）相似的结构对于理解复杂数据的潜在现象至关重要。张量分解方法可以帮助分析人员提取张量的基本特征，并有助于张量的可视化分析。与仅用于分析矩阵（即二阶张量）的降维（DR）方法相比，现有的张量分解方法不支持灵活的比较分析。为了解决这一分析限制，我们引入了一种新的张量分解方法，称为张量统一线性比较分析（TULCA），通过扩展其 DR 对应物 ULCA 来进行张量分析。 TULCA 集成了判别分析和对比学习方案来进行张量分解，从而实现张量的灵活比较。我们还介绍了一种有效的方法，将从 TULCA 中提取的核心张量可视化为一组 2D 可视化。我们将 TULCA 的功能集成到可视化分析界面中，以支持分析师解释和完善 TULCA 结果。我们通过计算评估和两个案例研究（包括对从超级计算机收集的日志数据的分析）展示了 TULCA 和可视化分析界面的功效。</w:t>
      </w:r>
    </w:p>
    <w:p>
      <w:pPr>
        <w:spacing w:before="120"/>
      </w:pPr>
      <w:r>
        <w:rPr>
          <w:rFonts w:ascii="Times New Roman" w:hAnsi="Times New Roman" w:eastAsia="宋体"/>
          <w:b/>
          <w:sz w:val="21"/>
        </w:rPr>
        <w:t>English Abstract:</w:t>
      </w:r>
    </w:p>
    <w:p>
      <w:r>
        <w:rPr>
          <w:rFonts w:ascii="Times New Roman" w:hAnsi="Times New Roman" w:eastAsia="宋体"/>
          <w:sz w:val="21"/>
        </w:rPr>
        <w:t>Comparing tensors and identifying their (dis)similar structures is fundamental in understanding the underlying phenomena for complex data. Tensor decomposition methods help analysts extract tensors' essential characteristics and aid in visual analytics for tensors. In contrast to dimensionality reduction (DR) methods designed only for analyzing a matrix (i.e., second-order tensor), existing tensor decomposition methods do not support flexible comparative analysis. To address this analysis limitation, we introduce a new tensor decomposition method, named tensor unified linear comparative analysis (TULCA), by extending its DR counterpart, ULCA, for tensor analysis. TULCA integrates discriminant analysis and contrastive learning schemes for tensor decomposition, enabling f lexible comparison of tensors. We also introduce an effective method to visualize a core tensor extracted from TULCA into a set of 2D visualizations. We integrate TULCA's functionalities into a visual analytics interface to support analysts in interpreting and refining the TULCA results. We demonstrate the efficacy of TULCA and the visual analytics interface with computational evaluations and two case studies, including an analysis of log data collected from a supercomputer.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00:28 ---</w:t>
      </w:r>
    </w:p>
    <w:p>
      <w:pPr>
        <w:pStyle w:val="Heading2"/>
      </w:pPr>
      <w:r/>
      <w:r>
        <w:rPr>
          <w:rFonts w:ascii="Times New Roman" w:hAnsi="Times New Roman" w:eastAsia="宋体"/>
          <w:b/>
          <w:color w:val="000000"/>
          <w:sz w:val="24"/>
        </w:rPr>
        <w:t>从解开到融合：实现多模态图像融合的内容保存和跨模态一致性</w:t>
      </w:r>
    </w:p>
    <w:p>
      <w:r>
        <w:rPr>
          <w:rFonts w:ascii="Times New Roman" w:hAnsi="Times New Roman" w:eastAsia="宋体"/>
          <w:b/>
          <w:color w:val="003264"/>
          <w:sz w:val="24"/>
        </w:rPr>
        <w:t>Disentangle to Fuse: Towards Content Preservation and Cross-Modality Consistency for Multi-Modality Image Fusion</w:t>
      </w:r>
    </w:p>
    <w:p>
      <w:r>
        <w:rPr>
          <w:rFonts w:ascii="Times New Roman" w:hAnsi="Times New Roman" w:eastAsia="宋体"/>
          <w:sz w:val="21"/>
        </w:rPr>
        <w:t>作者: Xinran Qin, Yuning Cui, Shangquan Sun, Ruoyu Chen, Wenqi Ren, Alois Knoll, Xiaochun Cao</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https://doi.org/10.1109/tip.2026.3657183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多模态图像融合（MMIF）旨在集成来自异构传感器模态的互补信息。然而，大量的跨模态差异阻碍了联合场景表示并导致融合输出的语义退化。为了解决这一限制，我们提出了 C 2 MFuse，这是一种新颖的框架，旨在保留内容，同时确保跨模态一致性。据我们所知，这是第一个明确地解开图像融合模式的风格和内容表示的 MMIF 方法。 C 2 MFuse 引入了内容保留样式规范化机制，可抑制特定于模态的变化，同时保持底层场景结构。然后逐步聚合标准化特征，以增强细粒度细节并提高内容完整性。鉴于缺乏基本事实和融合分布固有的模糊性，我们进一步将融合表示与明确定义的源模态对齐，从而增强语义一致性并减少分布不确定性。此外，我们引入了具有可学习转换的自适应一致性损失，它通过在异构输入之间强制执行全局一致性来提供动态的、模态感知的监督。对三个代表性 MMIF 任务的五个数据集进行的广泛实验表明，C 2 MFuse 实现了高效、高质量的融合，超越了现有方法，并有效地推广到下游视觉应用。</w:t>
      </w:r>
    </w:p>
    <w:p>
      <w:pPr>
        <w:spacing w:before="120"/>
      </w:pPr>
      <w:r>
        <w:rPr>
          <w:rFonts w:ascii="Times New Roman" w:hAnsi="Times New Roman" w:eastAsia="宋体"/>
          <w:b/>
          <w:sz w:val="21"/>
        </w:rPr>
        <w:t>English Abstract:</w:t>
      </w:r>
    </w:p>
    <w:p>
      <w:r>
        <w:rPr>
          <w:rFonts w:ascii="Times New Roman" w:hAnsi="Times New Roman" w:eastAsia="宋体"/>
          <w:sz w:val="21"/>
        </w:rPr>
        <w:t>Multi-modal image fusion (MMIF) aims to integrate complementary information from heterogeneous sensor modalities. However, substantial cross-modality discrepancies hinder joint scene representation and lead to semantic degradation in the fused output. To address this limitation, we propose C 2 MFuse, a novel framework designed to preserve content while ensuring cross-modality consistency. To the best of our knowledge, this is the first MMIF approach to explicitly disentangle style and content representations across modalities for image fusion. C 2 MFuse introduces a content-preserving style normalization mechanism that suppresses modality-specific variations while maintaining the underlying scene structure. The normalized features are then progressively aggregated to enhance fine-grained details and improve content completeness. In light of the lack of ground truth and the inherent ambiguity of the fused distribution, we further align the fused representation with a well-defined source modality, thereby enhancing semantic consistency and reducing distributional uncertainty. Additionally, we introduce an adaptive consistency loss with learnable transformation, which provides dynamic, modality-aware supervision by enforcing global consistency across heterogeneous inputs. Extensive experiments on five datasets across three representative MMIF tasks demonstrate that C 2 MFuse achieves efficient and high-quality fusion, surpasses existing methods, and generalizes effectively to downstream visual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用于高效神经模型的 Padé 神经元</w:t>
      </w:r>
    </w:p>
    <w:p>
      <w:r>
        <w:rPr>
          <w:rFonts w:ascii="Times New Roman" w:hAnsi="Times New Roman" w:eastAsia="宋体"/>
          <w:b/>
          <w:color w:val="003264"/>
          <w:sz w:val="24"/>
        </w:rPr>
        <w:t>Padé Neurons for Efficient Neural Models</w:t>
      </w:r>
    </w:p>
    <w:p>
      <w:r>
        <w:rPr>
          <w:rFonts w:ascii="Times New Roman" w:hAnsi="Times New Roman" w:eastAsia="宋体"/>
          <w:sz w:val="21"/>
        </w:rPr>
        <w:t>作者: Onur Keleş, A. Murat Tekalp</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https://doi.org/10.1109/tip.2026.3653202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神经网络通常采用 McCulloch-Pitts 神经元模型，这是一个线性模型，后跟逐点非线性激活。许多研究人员已经提出了固有的非线性神经元模型，例如二次神经元、广义运算神经元、生成神经元和超级神经元，与逐点激活函数相比，它们提供了更强的非线性。在本文中，我们介绍了一种新颖且更好的非线性神经元模型，称为 Padé 神经元（Paons），其灵感来自 Padé 近似。 Paons 具有多种优势，例如非线性多样性（因为每个 Paon 都会学习其输入的不同非线性函数）和层效率（因为与分段线性逼近相比，Paons 在更少的层中提供更强的非线性）。此外，Paons 包括所有先前提出的神经元模型作为特例，因此任何网络中的任何神经元模型都可以被 Paons 替换。我们注意到有人建议采用 Padé 近似作为广义的逐点激活函数，这与我们的模型有根本的不同。为了验证 Paons 的功效，在我们的实验中，我们将一些著名的基于 ResNet 架构的神经图像超分辨率、压缩和分类模型中的经典神经元替换为 Paons 。我们全面的实验结果和分析表明，Paons 构建的神经模型比层数较少的经典模型提供更好或相同的性能。 Paon 的 PyTorch 实现代码在 https://github.com/onur-keles/Paon 上开源。</w:t>
      </w:r>
    </w:p>
    <w:p>
      <w:pPr>
        <w:spacing w:before="120"/>
      </w:pPr>
      <w:r>
        <w:rPr>
          <w:rFonts w:ascii="Times New Roman" w:hAnsi="Times New Roman" w:eastAsia="宋体"/>
          <w:b/>
          <w:sz w:val="21"/>
        </w:rPr>
        <w:t>English Abstract:</w:t>
      </w:r>
    </w:p>
    <w:p>
      <w:r>
        <w:rPr>
          <w:rFonts w:ascii="Times New Roman" w:hAnsi="Times New Roman" w:eastAsia="宋体"/>
          <w:sz w:val="21"/>
        </w:rPr>
        <w:t>Neural networks commonly employ the McCulloch-Pitts neuron model, which is a linear model followed by a point-wise non-linear activation. Various researchers have already advanced inherently non-linear neuron models, such as quadratic neurons, generalized operational neurons, generative neurons, and super neurons, which offer stronger non-linearity compared to point-wise activation functions. In this paper, we introduce a novel and better non-linear neuron model called Padé neurons (Paons) , inspired by Padé approximants. Paons offer several advantages, such as diversity of non-linearity, since each Paon learns a different non-linear function of its inputs, and layer efficiency, since Paons provide stronger non-linearity in much fewer layers compared to piecewise linear approximation. Furthermore, Paons include all previously proposed neuron models as special cases, thus any neuron model in any network can be replaced by Paons . We note that there has been a proposal to employ the Padé approximation as a generalized point-wise activation function, which is fundamentally different from our model. To validate the efficacy of Paons , in our experiments, we replace classic neurons in some well-known neural image super-resolution, compression, and classification models based on the ResNet architecture with Paons . Our comprehensive experimental results and analyses demonstrate that neural models built by Paons provide better or equal performance than their classic counterparts with a smaller number of layers. The PyTorch implementation code for Paon is open-sourced at https://github.com/onur-keles/Paon.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CycleDiff：用于不成对图像到图像转换的循环扩散模型</w:t>
      </w:r>
    </w:p>
    <w:p>
      <w:r>
        <w:rPr>
          <w:rFonts w:ascii="Times New Roman" w:hAnsi="Times New Roman" w:eastAsia="宋体"/>
          <w:b/>
          <w:color w:val="003264"/>
          <w:sz w:val="24"/>
        </w:rPr>
        <w:t>CycleDiff: Cycle Diffusion Models for Unpaired Image-to-image Translation</w:t>
      </w:r>
    </w:p>
    <w:p>
      <w:r>
        <w:rPr>
          <w:rFonts w:ascii="Times New Roman" w:hAnsi="Times New Roman" w:eastAsia="宋体"/>
          <w:sz w:val="21"/>
        </w:rPr>
        <w:t>作者: Shilong Zou, Yuhang Huang, Renjiao Yi, Chenyang Zhu, Kai Xu</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https://doi.org/10.1109/tip.2026.3657240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我们在缺乏配对训练数据的情况下引入了基于扩散的跨域图像转换器。与基于 GAN 的方法不同，我们的方法集成了扩散模型来学习图像翻译过程，从而可以对数据分布进行更可覆盖的建模，并提高跨域翻译的性能。然而，将平移过程合并到扩散过程中仍然具有挑战性，因为这两个过程并不完全一致，即扩散过程应用于噪声信号，而平移过程则对干净信号进行。因此，最近基于扩散的研究采用单独训练或浅层集成来学习这两个过程，但这可能会导致平移优化的局部最小化，从而限制了扩散模型的有效性。为了解决这个问题，我们提出了一种新颖的联合学习框架，该框架可以协调扩散和翻译过程，从而提高全局最优性。具体来说，我们建议用扩散模型提取图像分量来表示干净的信号，并对图像分量采用翻译过程，从而实现端到端的联合学习方式。另一方面，我们引入了时间相关的翻译网络来学习复杂的翻译映射，从而实现有效的翻译学习和显着的性能提升。受益于联合学习的设计，我们的方法能够对两个过程进行全局优化，增强最优性并实现更高的保真度和结构一致性。我们对 RGB↔RGB 和各种跨模态翻译任务（包括 RGB↔Edge、RGB↔Semantics 和 RGB↔Depth）进行了广泛的实验，展示了比现有技术更好的生成性能。特别是，我们的方法在广泛采用的任务中取得了最好的 FID 分数，并且在 Dog→Cat 和 Dog→Wild 上的 FID 分别提高了 19.61 和 19.67，优于第二好的方法。</w:t>
      </w:r>
    </w:p>
    <w:p>
      <w:pPr>
        <w:spacing w:before="120"/>
      </w:pPr>
      <w:r>
        <w:rPr>
          <w:rFonts w:ascii="Times New Roman" w:hAnsi="Times New Roman" w:eastAsia="宋体"/>
          <w:b/>
          <w:sz w:val="21"/>
        </w:rPr>
        <w:t>English Abstract:</w:t>
      </w:r>
    </w:p>
    <w:p>
      <w:r>
        <w:rPr>
          <w:rFonts w:ascii="Times New Roman" w:hAnsi="Times New Roman" w:eastAsia="宋体"/>
          <w:sz w:val="21"/>
        </w:rPr>
        <w:t>We introduce a diffusion-based cross-domain image translator in the absence of paired training data. Unlike GAN-based methods, our approach integrates diffusion models to learn the image translation process, allowing for more coverable modeling of the data distribution and performance improvement of the cross-domain translation. However, incorporating the translation process within the diffusion process is still challenging since the two processes are not aligned exactly, i.e., the diffusion process is applied to the noisy signal while the translation process is conducted on the clean signal. As a result, recent diffusion-based studies employ separate training or shallow integration to learn the two processes, yet this may cause the local minimal of the translation optimization, constraining the effectiveness of diffusion models. To address the problem, we propose a novel joint learning framework that aligns the diffusion and the translation process, thereby improving the global optimality. Specifically, we propose to extract the image components with diffusion models to represent the clean signal and employ the translation process with the image components, enabling an end-to- end joint learning manner. On the other hand, we introduce a time-dependent translation network to learn the complex translation mapping, resulting in effective translation learning and significant performance improvement. Benefiting from the design of joint learning, our method enables global optimization of both processes, enhancing the optimality and achieving improved fidelity and structural consistency. We have conducted extensive experiments on RGB↔RGB and diverse cross-modality translation tasks including RGB↔Edge, RGB↔Semantics and RGB↔Depth, showcasing better generative performances than the state of the arts. Especially, our method achieves the best FID score in widely-adopted tasks and outperforms the second-best method with an improved FID of 19.61 and 19.67 on Dog→Cat and Dog→Wild respectively.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00:28 ---</w:t>
      </w:r>
    </w:p>
    <w:p>
      <w:pPr>
        <w:pStyle w:val="Heading2"/>
      </w:pPr>
      <w:r/>
      <w:r>
        <w:rPr>
          <w:rFonts w:ascii="Times New Roman" w:hAnsi="Times New Roman" w:eastAsia="宋体"/>
          <w:b/>
          <w:color w:val="000000"/>
          <w:sz w:val="24"/>
        </w:rPr>
        <w:t>RealLiFe：通过分层稀疏梯度下降进行实时光场重建</w:t>
      </w:r>
    </w:p>
    <w:p>
      <w:r>
        <w:rPr>
          <w:rFonts w:ascii="Times New Roman" w:hAnsi="Times New Roman" w:eastAsia="宋体"/>
          <w:b/>
          <w:color w:val="003264"/>
          <w:sz w:val="24"/>
        </w:rPr>
        <w:t>RealLiFe: Real-Time Light Field Reconstruction via Hierarchical Sparse Gradient Descent</w:t>
      </w:r>
    </w:p>
    <w:p>
      <w:r>
        <w:rPr>
          <w:rFonts w:ascii="Times New Roman" w:hAnsi="Times New Roman" w:eastAsia="宋体"/>
          <w:sz w:val="21"/>
        </w:rPr>
        <w:t>作者: Yijie Deng, Lei Han, Tianpeng Lin, Lin Li, Jinzhi Zhang, Lu Fang</w:t>
        <w:br/>
      </w:r>
      <w:r>
        <w:rPr>
          <w:rFonts w:ascii="Times New Roman" w:hAnsi="Times New Roman" w:eastAsia="宋体"/>
          <w:sz w:val="21"/>
        </w:rPr>
        <w:t xml:space="preserve">时间: 2026 | </w:t>
      </w:r>
      <w:r>
        <w:t xml:space="preserve">链接: </w:t>
      </w:r>
      <w:hyperlink r:id="rId36">
        <w:r>
          <w:rPr>
            <w:rFonts w:ascii="Times New Roman" w:hAnsi="Times New Roman" w:eastAsia="宋体"/>
            <w:color w:val="0000FF"/>
            <w:sz w:val="21"/>
            <w:u w:val="single"/>
          </w:rPr>
          <w:t>https://doi.org/10.1109/tpami.2026.3651958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随着扩展现实 (XR) 技术的兴起，对稀疏视图输入的实时光场重建的需求日益增长。现有的方法可以分为离线技术和在线方法，离线技术可以生成高质量的新颖视图，但代价是较长的推理/训练时间，而在线方法则缺乏通用性或产生不令人满意的结果。然而，我们观察到，多平面图像（MPI）固有的稀疏流形能够显着加速光场重建，同时保持渲染质量。基于这一见解，我们引入了 RealLiFe，一种新颖的光场优化方法，该方法利用所提出的分层稀疏梯度下降（HSGD）从稀疏输入图像实时产生高质量的光场。从技术上讲，场景的粗略 MPI 首先使用 3D CNN 生成，然后在几次迭代中仅利用与稀疏 MPI 梯度对齐的场景内容进行进一步优化。大量实验表明，与其他在线方法相比，我们的方法实现了可比的视觉质量，同时平均速度比最先进的离线方法快 100 倍，并且提供更好的性能（PSNR 高出约 2 dB）。</w:t>
      </w:r>
    </w:p>
    <w:p>
      <w:pPr>
        <w:spacing w:before="120"/>
      </w:pPr>
      <w:r>
        <w:rPr>
          <w:rFonts w:ascii="Times New Roman" w:hAnsi="Times New Roman" w:eastAsia="宋体"/>
          <w:b/>
          <w:sz w:val="21"/>
        </w:rPr>
        <w:t>English Abstract:</w:t>
      </w:r>
    </w:p>
    <w:p>
      <w:r>
        <w:rPr>
          <w:rFonts w:ascii="Times New Roman" w:hAnsi="Times New Roman" w:eastAsia="宋体"/>
          <w:sz w:val="21"/>
        </w:rPr>
        <w:t>With the rise of Extended Reality (XR) technology, there is a growing need for real-time light field reconstruction from sparse view inputs. Existing methods can be classified into offline techniques, which can generate high-quality novel views but at the cost of long inference/training time, and online methods, which either lack generalizability or produce unsatisfactory results. However, we have observed that the intrinsic sparse manifold of Multi-plane Images (MPI) enables a significant acceleration of light field reconstruction while maintaining rendering quality. Based on this insight, we introduce RealLiFe , a novel light field optimization method, which leverages the proposed Hierarchical Sparse Gradient Descent (HSGD) to produce high-quality light fields from sparse input images in real time. Technically, the coarse MPI of a scene is first generated using a 3D CNN, and it is further optimized leveraging only the scene content aligned sparse MPI gradients in a few iterations. Extensive experiments demonstrate that our method achieves comparable visual quality while being 100x faster on average than state-of-the-art offline methods and delivers better performance (about 2 dB higher in PSNR) compared to other online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表格数据的表示学习：综合调查</w:t>
      </w:r>
    </w:p>
    <w:p>
      <w:r>
        <w:rPr>
          <w:rFonts w:ascii="Times New Roman" w:hAnsi="Times New Roman" w:eastAsia="宋体"/>
          <w:b/>
          <w:color w:val="003264"/>
          <w:sz w:val="24"/>
        </w:rPr>
        <w:t>Representation Learning for Tabular Data: A Comprehensive Survey</w:t>
      </w:r>
    </w:p>
    <w:p>
      <w:r>
        <w:rPr>
          <w:rFonts w:ascii="Times New Roman" w:hAnsi="Times New Roman" w:eastAsia="宋体"/>
          <w:sz w:val="21"/>
        </w:rPr>
        <w:t>作者: Jun-Peng Jiang, Si-Yang Liu, Hao-Run Cai, Qi-Le Zhou, Han-Jia Ye</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https://doi.org/10.1109/tpami.2026.3657217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表格数据由行和列构成，是机器学习分类和回归应用中最流行的数据类型之一。从表格数据中学习的模型不断发展，深度神经网络 (DNN) 最近通过其表示学习能力展示了有希望的结果。在本次调查中，我们系统地介绍了表格表示学习领域，涵盖背景、挑战和基准，以及使用 DNN 的优点和缺点。我们根据现有方法的泛化能力将其分为三大类：专用模型、可转移模型和通用模型。专业模型专注于在同一数据分布中进行训练和评估的任务。我们根据表格数据的关键方面（特征、样本和目标）引入了专门模型的分层分类法，并深入研究了获得高质量特征和样本级别表示的详细策略。可迁移模型在一个或多个数据集上进行预训练，随后对下游任务进行微调，利用从同质或异构来源甚至跨模态（例如视觉和语言）获取的知识。通用模型，也称为表格基础模型，进一步扩展了这一概念，允许直接应用于下游任务，而无需额外的微调。我们根据用于适应异构数据集的策略对这些通用模型进行分组。此外，我们还探索了集成方法，它集成了多个表格模型的优点。最后，我们讨论表格学习的代表性扩展，包括开放环境表格机器学习、表格数据的多模态学习和表格理解任务。更多信息可以在以下存储库中找到：https://github.com/LAMDA-Tabular/Tabular-Survey。</w:t>
      </w:r>
    </w:p>
    <w:p>
      <w:pPr>
        <w:spacing w:before="120"/>
      </w:pPr>
      <w:r>
        <w:rPr>
          <w:rFonts w:ascii="Times New Roman" w:hAnsi="Times New Roman" w:eastAsia="宋体"/>
          <w:b/>
          <w:sz w:val="21"/>
        </w:rPr>
        <w:t>English Abstract:</w:t>
      </w:r>
    </w:p>
    <w:p>
      <w:r>
        <w:rPr>
          <w:rFonts w:ascii="Times New Roman" w:hAnsi="Times New Roman" w:eastAsia="宋体"/>
          <w:sz w:val="21"/>
        </w:rPr>
        <w:t>Tabular data, structured as rows and columns, is among the most prevalent data types in machine learning classification and regression applications. Models for learning from tabular data have continuously evolved, with Deep Neural Networks (DNNs) recently demonstrating promising results through their capability of representation learning. In this survey, we systematically introduce the field of tabular representation learning, covering the background, challenges, and benchmarks, along with the pros and cons of using DNNs. We organize existing methods into three main categories according to their generalization capabilities: specialized, transferable, and general models. Specialized models focus on tasks where training and evaluation occur within the same data distribution. We introduce a hierarchical taxonomy for specialized models based on the key aspects of tabular data—features, samples, and objectives—and delve into detailed strategies for obtaining high-quality feature- and sample-level representations. Transferable models are pre-trained on one or more datasets and subsequently fine-tuned on downstream tasks, leveraging knowledge acquired from homogeneous or heterogeneous sources, or even cross-modalities such as vision and language. General models, also known as tabular foundation models, extend this concept further, allowing direct application to downstream tasks without additional fine-tuning. We group these general models based on the strategies used to adapt across heterogeneous datasets. Additionally, we explore ensemble methods, which integrate the strengths of multiple tabular models. Finally, we discuss representative extensions of tabular learning, including open-environment tabular machine learning, multimodal learning with tabular data, and tabular understanding tasks. More information can be found in the following repository: https://github.com/LAMDA-Tabular/Tabular-Survey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NAP-Tuning：对抗性鲁棒视觉语言模型的神经增强提示调整</w:t>
      </w:r>
    </w:p>
    <w:p>
      <w:r>
        <w:rPr>
          <w:rFonts w:ascii="Times New Roman" w:hAnsi="Times New Roman" w:eastAsia="宋体"/>
          <w:b/>
          <w:color w:val="003264"/>
          <w:sz w:val="24"/>
        </w:rPr>
        <w:t>NAP-Tuning: Neural Augmented Prompt Tuning for Adversarially Robust Vision-Language Models</w:t>
      </w:r>
    </w:p>
    <w:p>
      <w:r>
        <w:rPr>
          <w:rFonts w:ascii="Times New Roman" w:hAnsi="Times New Roman" w:eastAsia="宋体"/>
          <w:sz w:val="21"/>
        </w:rPr>
        <w:t>作者: Jiaming Zhang, Xin Wang, Xingjun Ma, Lingyu Qiu, Yu-Gang Jiang, Jitao Sang</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https://doi.org/10.1109/tpami.2026.3659598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CLIP 等视觉语言模型 (VLM) 在通过联合嵌入空间理解视觉和文本数据之间的关系方面表现出了卓越的能力。尽管它们很有效，但这些模型仍然容易受到对抗性攻击，特别是在图像模式中，从而带来重大的安全问题。基于我们之前关于对抗性提示调整 (AdvPT) 的工作，该工作引入了可学习的文本提示来增强 VLM 中的对抗性鲁棒性，而无需进行大量的参数训练，我们通过引入用于多模式对抗性提示调整 (NAP-Tuning) 的神经增强器框架来提供重要的扩展。作为一个重要的延伸，NAP-Tuning首先建立了一个全面的多模态（文本和视觉）、多层提示框架。该框架的核心是通过我们的神经增强器方法实现用于特征级纯化的有针对性的结构增强。该框架通过结合 TokenRefiners（轻量级神经模块，学习通过残差连接重建纯化的特征）来实现特征纯化，以直接解决特征空间中的扭曲问题。这种结构干预使得多模态和多层系统能够有效地执行特定于模态和特定于层的特征校正。综合实验表明，NAP-Tuning 在各种数据集和攻击类型上明显优于现有方法。值得注意的是，我们的方法在具有挑战性的 AutoAttack 基准测试下比最强基线有了显着改进，在 ViT-B16 上比它们高出 32.3%，在 ViT-B32 架构上比它们高出 31.3%，同时保持有竞争力的干净精度。这项工作强调了内部特征级干预在快速调整对抗性鲁棒性方面的有效性，超越输入侧对齐方法，创建一种自适应防御机制，可以识别和纠正嵌入空间中的对抗性扰动。</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such as CLIP have demonstrated remarkable capabilities in understanding relationships between visual and textual data through joint embedding spaces. Despite their effectiveness, these models remain vulnerable to adversarial attacks, particularly in the image modality, posing significant security concerns. Building upon our previous work on Adversarial Prompt Tuning (AdvPT), which introduced learnable text prompts to enhance adversarial robustness in VLMs without extensive parameter training, we present a significant extension by introducing the Neural Augmentor framework for Multi-modal Adversarial Prompt Tuning ( NAP-Tuning ). As a significant extension, NAP-Tuning first establishes a comprehensive multi-modal (text and visual) and multi-layer prompting framework. The core of this framework is a targeted structural augmentation for feature-level purification, implemented through our Neural Augmentor approach. This framework implements feature purification by incorporating TokenRefiners-lightweight neural modules that learn to reconstruct purified features via residual connections-to directly address distortions in the feature space. This structural intervention is what enables the multi-modal and multi-layer system to effectively perform modality-specific and layer-specific feature rectification. Comprehensive experiments demonstrate that NAP-Tuning significantly outperforms existing methods across various datasets and attack types. Notably, our approach shows significant improvements over the strongest baselines under the challenging AutoAttack benchmark, outperforming them by 32.3% on ViT-B16 and 31.3% on ViT-B32 architectures while maintaining competitive clean accuracy. This work highlights the efficacy of internal feature-level intervention in prompt tuning for adversarial robustness, moving beyond input-side alignment approaches to create an adaptive defense mechanism that can identify and rectify adversarial perturbations across embedding spaces.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tec.2026.114845" TargetMode="External"/><Relationship Id="rId11" Type="http://schemas.openxmlformats.org/officeDocument/2006/relationships/hyperlink" Target="https://doi.org/10.1016/j.optlastec.2026.114839" TargetMode="External"/><Relationship Id="rId12" Type="http://schemas.openxmlformats.org/officeDocument/2006/relationships/hyperlink" Target="https://doi.org/10.1016/j.optlastec.2026.114840" TargetMode="External"/><Relationship Id="rId13" Type="http://schemas.openxmlformats.org/officeDocument/2006/relationships/hyperlink" Target="https://doi.org/10.1016/j.optlaseng.2025.109581" TargetMode="External"/><Relationship Id="rId14" Type="http://schemas.openxmlformats.org/officeDocument/2006/relationships/hyperlink" Target="https://doi.org/10.1016/j.optlaseng.2026.109664" TargetMode="External"/><Relationship Id="rId15" Type="http://schemas.openxmlformats.org/officeDocument/2006/relationships/hyperlink" Target="https://doi.org/10.1016/j.optlaseng.2026.109635" TargetMode="External"/><Relationship Id="rId16" Type="http://schemas.openxmlformats.org/officeDocument/2006/relationships/hyperlink" Target="https://doi.org/10.1016/j.optcom.2026.132976" TargetMode="External"/><Relationship Id="rId17" Type="http://schemas.openxmlformats.org/officeDocument/2006/relationships/hyperlink" Target="https://doi.org/10.1016/j.optcom.2026.132961" TargetMode="External"/><Relationship Id="rId18" Type="http://schemas.openxmlformats.org/officeDocument/2006/relationships/hyperlink" Target="https://doi.org/10.1016/j.optcom.2026.132972" TargetMode="External"/><Relationship Id="rId19" Type="http://schemas.openxmlformats.org/officeDocument/2006/relationships/hyperlink" Target="https://doi.org/10.1364/ol.583825" TargetMode="External"/><Relationship Id="rId20" Type="http://schemas.openxmlformats.org/officeDocument/2006/relationships/hyperlink" Target="https://doi.org/10.1364/ol.581863" TargetMode="External"/><Relationship Id="rId21" Type="http://schemas.openxmlformats.org/officeDocument/2006/relationships/hyperlink" Target="https://doi.org/10.1364/ol.585707" TargetMode="External"/><Relationship Id="rId22" Type="http://schemas.openxmlformats.org/officeDocument/2006/relationships/hyperlink" Target="https://doi.org/10.1364/ol.581474" TargetMode="External"/><Relationship Id="rId23" Type="http://schemas.openxmlformats.org/officeDocument/2006/relationships/hyperlink" Target="https://doi.org/10.1364/ol.585441" TargetMode="External"/><Relationship Id="rId24" Type="http://schemas.openxmlformats.org/officeDocument/2006/relationships/hyperlink" Target="https://doi.org/10.1364/ol.583339" TargetMode="External"/><Relationship Id="rId25" Type="http://schemas.openxmlformats.org/officeDocument/2006/relationships/hyperlink" Target="https://doi.org/10.1364/ol.589579" TargetMode="External"/><Relationship Id="rId26" Type="http://schemas.openxmlformats.org/officeDocument/2006/relationships/hyperlink" Target="https://doi.org/10.1364/ol.579333" TargetMode="External"/><Relationship Id="rId27" Type="http://schemas.openxmlformats.org/officeDocument/2006/relationships/hyperlink" Target="https://doi.org/10.1364/prj.574410" TargetMode="External"/><Relationship Id="rId28" Type="http://schemas.openxmlformats.org/officeDocument/2006/relationships/hyperlink" Target="https://doi.org/10.1364/prj.577829" TargetMode="External"/><Relationship Id="rId29" Type="http://schemas.openxmlformats.org/officeDocument/2006/relationships/hyperlink" Target="https://doi.org/10.1364/prj.574681" TargetMode="External"/><Relationship Id="rId30" Type="http://schemas.openxmlformats.org/officeDocument/2006/relationships/hyperlink" Target="https://doi.org/10.1364/prj.571242" TargetMode="External"/><Relationship Id="rId31" Type="http://schemas.openxmlformats.org/officeDocument/2006/relationships/hyperlink" Target="https://doi.org/10.1364/prj.571833" TargetMode="External"/><Relationship Id="rId32" Type="http://schemas.openxmlformats.org/officeDocument/2006/relationships/hyperlink" Target="https://doi.org/10.1109/tvcg.2025.3633912" TargetMode="External"/><Relationship Id="rId33" Type="http://schemas.openxmlformats.org/officeDocument/2006/relationships/hyperlink" Target="https://doi.org/10.1109/tip.2026.3657183" TargetMode="External"/><Relationship Id="rId34" Type="http://schemas.openxmlformats.org/officeDocument/2006/relationships/hyperlink" Target="https://doi.org/10.1109/tip.2026.3653202" TargetMode="External"/><Relationship Id="rId35" Type="http://schemas.openxmlformats.org/officeDocument/2006/relationships/hyperlink" Target="https://doi.org/10.1109/tip.2026.3657240" TargetMode="External"/><Relationship Id="rId36" Type="http://schemas.openxmlformats.org/officeDocument/2006/relationships/hyperlink" Target="https://doi.org/10.1109/tpami.2026.3651958" TargetMode="External"/><Relationship Id="rId37" Type="http://schemas.openxmlformats.org/officeDocument/2006/relationships/hyperlink" Target="https://doi.org/10.1109/tpami.2026.3657217" TargetMode="External"/><Relationship Id="rId38" Type="http://schemas.openxmlformats.org/officeDocument/2006/relationships/hyperlink" Target="https://doi.org/10.1109/tpami.2026.36595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