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欧亚急流轴上下游地带一致性变化破纪录出现</w:t>
      </w:r>
    </w:p>
    <w:p>
      <w:r>
        <w:rPr>
          <w:rFonts w:ascii="Times New Roman" w:hAnsi="Times New Roman" w:eastAsia="宋体"/>
          <w:b/>
          <w:color w:val="003264"/>
          <w:sz w:val="24"/>
        </w:rPr>
        <w:t>Record-breaking emergence of upstream-downstream zonal-consistent variation in the Eurasian jet axis</w:t>
      </w:r>
    </w:p>
    <w:p>
      <w:r>
        <w:rPr>
          <w:rFonts w:ascii="Times New Roman" w:hAnsi="Times New Roman" w:eastAsia="宋体"/>
          <w:sz w:val="21"/>
        </w:rPr>
        <w:t>作者: Lifei Lin, Chundi Hu, Dake Chen, Renguang Wu, Tao Lian, Quanliang Chen, Zeming Wu, Song Yang</w:t>
        <w:br/>
      </w:r>
      <w:r>
        <w:rPr>
          <w:rFonts w:ascii="Times New Roman" w:hAnsi="Times New Roman" w:eastAsia="宋体"/>
          <w:sz w:val="21"/>
        </w:rPr>
        <w:t xml:space="preserve">时间: 2026-02-04 | </w:t>
      </w:r>
      <w:r>
        <w:t xml:space="preserve">链接: </w:t>
      </w:r>
      <w:hyperlink r:id="rId27">
        <w:r>
          <w:rPr>
            <w:rFonts w:ascii="Times New Roman" w:hAnsi="Times New Roman" w:eastAsia="宋体"/>
            <w:color w:val="0000FF"/>
            <w:sz w:val="21"/>
            <w:u w:val="single"/>
          </w:rPr>
          <w:t>https://doi.org/10.1038/s41467-026-68772-y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欧亚地区的天气/气候极端事件通常与高层西风急流的蜿蜒和/或纬度变化有很大关系，但欧亚急流轴上下游纬向一致性（UDZC）的变化和影响却鲜为人知。在这里，我们报告了过去两到三十年中破纪录的增强型 UDZC 的出现。特别是上下游协方差从&lt;10%​​增加到&gt;60%，欧亚对流层上层西风异常以欧亚急流强度变化模式为主，促使亚洲和太平洋副热带高压发生大规模相互作用，从而引起欧亚大陆环流和气候异常分布格局的巨变。这种大范围的环流调整还伴随着环全球丝绸之路遥相关，即纬向波数为6的罗斯贝波列，它起源于东北大西洋，将亚洲气候与西欧和北美的热浪和干旱条件联系起来。气候模型模拟表明，随着北部中纬度地区变暖变得更加明显，UDZC将进一步加剧。我们的研究结果强调，欧亚急流轴上增强的UDZC的出现能够引发行星规模的极端气候，甚至遍及整个北半球，从而造成更严重的气候威胁。</w:t>
      </w:r>
    </w:p>
    <w:p>
      <w:pPr>
        <w:spacing w:before="120"/>
      </w:pPr>
      <w:r>
        <w:rPr>
          <w:rFonts w:ascii="Times New Roman" w:hAnsi="Times New Roman" w:eastAsia="宋体"/>
          <w:b/>
          <w:sz w:val="21"/>
        </w:rPr>
        <w:t>English Abstract:</w:t>
      </w:r>
    </w:p>
    <w:p>
      <w:r>
        <w:rPr>
          <w:rFonts w:ascii="Times New Roman" w:hAnsi="Times New Roman" w:eastAsia="宋体"/>
          <w:sz w:val="21"/>
        </w:rPr>
        <w:t>Abstract Eurasian weather/climate extremes are often considerably linked to the meandering and/or latitudinal shifts of upper-level westerly jet, but the variation and impact of the upstream-downstream zonal consistency (UDZC) in the Eurasian jet axis are less known. Here we report a record-breaking emergence of an enhanced UDZC during the past two-to-three decades. In particular, the upstream-downstream covariance has increased from &lt;10% to &gt;60%, with the Eurasian upper-tropospheric westerly wind anomalies dominated by the Eurasian jet intensity change mode, which prompts a large-scale interplay between Asian and Pacific subtropical highs and thereby induces mega-shifts in the distribution patterns of circulation and climate anomalies across Eurasia. Such large-range circulation adjustments are also accompanied by a circumglobal Silk Road teleconnection, a Rossby wavetrain with zonal wavenumber 6, which originates from the Northeast Atlantic and connects Asian climate with western Europe and North America heatwave and drought conditions. Climate model simulations suggest that the UDZC would further intensify as the northern mid-latitude warming becomes more pronounced. Our results highlight that the emergence of enhancing UDZC in the Eurasian jet axis is capable of triggering planetary-scale climate extremes even across the whole Northern Hemisphere, imposing more serious climate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乌干达肠道微生物组和代谢组与曼氏血吸虫感染和心血管疾病风险相关</w:t>
      </w:r>
    </w:p>
    <w:p>
      <w:r>
        <w:rPr>
          <w:rFonts w:ascii="Times New Roman" w:hAnsi="Times New Roman" w:eastAsia="宋体"/>
          <w:b/>
          <w:color w:val="003264"/>
          <w:sz w:val="24"/>
        </w:rPr>
        <w:t>The gut microbiome and metabolome associate with Schistosoma mansoni infection and cardiovascular disease risk in Uganda</w:t>
      </w:r>
    </w:p>
    <w:p>
      <w:r>
        <w:rPr>
          <w:rFonts w:ascii="Times New Roman" w:hAnsi="Times New Roman" w:eastAsia="宋体"/>
          <w:sz w:val="21"/>
        </w:rPr>
        <w:t>作者: Bridgious Walusimbi, Melissa AE Lawson, Allison J. Bancroft, Jacent Nassuuna, Drupad K. Trivedi, George Taylor, Richard E. Sanya, Emily L. Webb, David P. Kateete, Richard K. Grencis, Alison M. Elliott</w:t>
        <w:br/>
      </w:r>
      <w:r>
        <w:rPr>
          <w:rFonts w:ascii="Times New Roman" w:hAnsi="Times New Roman" w:eastAsia="宋体"/>
          <w:sz w:val="21"/>
        </w:rPr>
        <w:t xml:space="preserve">时间: 2026-02-04 | </w:t>
      </w:r>
      <w:r>
        <w:t xml:space="preserve">链接: </w:t>
      </w:r>
      <w:hyperlink r:id="rId65">
        <w:r>
          <w:rPr>
            <w:rFonts w:ascii="Times New Roman" w:hAnsi="Times New Roman" w:eastAsia="宋体"/>
            <w:color w:val="0000FF"/>
            <w:sz w:val="21"/>
            <w:u w:val="single"/>
          </w:rPr>
          <w:t>https://doi.org/10.1038/s41467-026-68983-3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蠕虫感染始终与降低心血管疾病 (CVD) 风险相关，但这种关系背后的生物学机制仍不清楚。肠道微生物组和代谢组是心脏代谢健康的关键调节因子，可能介导感染相关的对宿主生理的影响。在这里，我们发现曼氏血吸虫感染与乌干达人的独特肠道微生物和代谢特征相关，而这些肠道微生物和代谢特征与乌干达人的心血管疾病风险相关。在一项针对曼氏链球菌流行社区中生活的 209 名个体的横断面研究中，我们使用 16S rRNA 基因测序分析肠道微生物组，并使用液相色谱-质谱分析分析粪便代谢组。曼氏沙门氏菌感染与肠道微生物多样性增加和独特的分类学特征相关，包括密螺旋体等分类单元的富集以及普雷沃氏菌和链球菌的消耗。一些与感染相关的微生物类群在统计上介导了曼氏沙门氏菌感染与心血管疾病风险之间的关系。粪便代谢组学分析确定了与感染相关的代谢物，综合分析显示了与心血管风险相关的微生物-代谢物网络。这些发现确定了乌干达与曼氏沙门氏菌感染和心血管疾病风险相关的肠道微生物组和代谢组特征。尽管无法推断因果关系，但这项工作提供了对宿主-寄生虫-微生物组相互作用的深入了解，并强调了与心脏代谢健康相关的微生物和代谢途径。</w:t>
      </w:r>
    </w:p>
    <w:p>
      <w:pPr>
        <w:spacing w:before="120"/>
      </w:pPr>
      <w:r>
        <w:rPr>
          <w:rFonts w:ascii="Times New Roman" w:hAnsi="Times New Roman" w:eastAsia="宋体"/>
          <w:b/>
          <w:sz w:val="21"/>
        </w:rPr>
        <w:t>English Abstract:</w:t>
      </w:r>
    </w:p>
    <w:p>
      <w:r>
        <w:rPr>
          <w:rFonts w:ascii="Times New Roman" w:hAnsi="Times New Roman" w:eastAsia="宋体"/>
          <w:sz w:val="21"/>
        </w:rPr>
        <w:t>Abstract Helminth infections are consistently associated with reduced cardiovascular disease (CVD) risk, yet the biological mechanisms underlying this relationship remain unclear. The gut microbiome and metabolome are key regulators of cardiometabolic health and may mediate infection-associated effects on host physiology. Here we show that Schistosoma mansoni infection associates with distinct gut microbial and metabolic profiles linked to CVD risk in people living in Uganda. In a cross-sectional study of 209 individuals living in communities with contrasting S. mansoni endemicity, we profile the gut microbiome using 16S rRNA gene sequencing and the faecal metabolome using liquid chromatography–mass spectrometry. S. mansoni infection associates with increased gut microbial diversity and distinct taxonomic signatures, including enrichment of taxa such as Treponema and depletion of Prevotella and Streptococcus . Several infection-associated microbial taxa statistically mediate the relationships between S. mansoni infection and cardiovascular disease risk. Faecal metabolomic profiling identifies infection-associated metabolites, and integrative analyses showed linked microbe–metabolite networks associated with cardiovascular risk.These findings identify gut microbiome and metabolome signatures associated with S. mansoni infection and cardiovascular disease risk in Uganda. Although causality cannot be inferred, this work provides insight into host–parasite–microbiome interactions and highlights microbial and metabolic pathways relevant to cardiometabolic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非规范核酸数据存储的进展和挑战</w:t>
      </w:r>
    </w:p>
    <w:p>
      <w:r>
        <w:rPr>
          <w:rFonts w:ascii="Times New Roman" w:hAnsi="Times New Roman" w:eastAsia="宋体"/>
          <w:b/>
          <w:color w:val="003264"/>
          <w:sz w:val="24"/>
        </w:rPr>
        <w:t>Advances and challenges in non-canonical nucleic acids data storage</w:t>
      </w:r>
    </w:p>
    <w:p>
      <w:r>
        <w:rPr>
          <w:rFonts w:ascii="Times New Roman" w:hAnsi="Times New Roman" w:eastAsia="宋体"/>
          <w:sz w:val="21"/>
        </w:rPr>
        <w:t>作者: Yan Wang, Yufeng Pei, Linlin Tang, Xinyu Sun, Songtao Zhou, Jie Song</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https://doi.org/10.1038/s41467-026-68708-6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具有高存储密度的规范核酸是有前途的数据存储介质，但受到不稳定性的限制。在这里，作者总结了非规范核酸在数据存储方面的独特性质和优势，并强调了其实际应用的关键挑战。</w:t>
      </w:r>
    </w:p>
    <w:p>
      <w:pPr>
        <w:spacing w:before="120"/>
      </w:pPr>
      <w:r>
        <w:rPr>
          <w:rFonts w:ascii="Times New Roman" w:hAnsi="Times New Roman" w:eastAsia="宋体"/>
          <w:b/>
          <w:sz w:val="21"/>
        </w:rPr>
        <w:t>English Abstract:</w:t>
      </w:r>
    </w:p>
    <w:p>
      <w:r>
        <w:rPr>
          <w:rFonts w:ascii="Times New Roman" w:hAnsi="Times New Roman" w:eastAsia="宋体"/>
          <w:sz w:val="21"/>
        </w:rPr>
        <w:t>Canonical nucleic acids, with high storage density, are promising media for data storage but are limited by instability. Here, authors summarise the unique properties and advantages of non-canonical nucleic acids in data storage and highlight key challenges for their practical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用于显微镜数据分析的机器学习，针对半导体纳米晶体的实时光学表征</w:t>
      </w:r>
    </w:p>
    <w:p>
      <w:r>
        <w:rPr>
          <w:rFonts w:ascii="Times New Roman" w:hAnsi="Times New Roman" w:eastAsia="宋体"/>
          <w:b/>
          <w:color w:val="003264"/>
          <w:sz w:val="24"/>
        </w:rPr>
        <w:t>Machine learning for microscopy data analytics targeting real-time optical characterization of semiconductor nanocrystals</w:t>
      </w:r>
    </w:p>
    <w:p>
      <w:r>
        <w:rPr>
          <w:rFonts w:ascii="Times New Roman" w:hAnsi="Times New Roman" w:eastAsia="宋体"/>
          <w:sz w:val="21"/>
        </w:rPr>
        <w:t>作者: Amitrajit Mukherjee, Robby Reynaerts, Bapi Pradhan, Sudipta Seth, Andreas T. Rösch, Tamali Banerjee, Lata Chouhan, Handong Jin, Christian Sternemann, Michael Paulus, Luca Leoncino, Kunal S. Mali, Steven De Feyter, Maarten B. J. Roeffaers, E. W. Meijer, Johan Hofkens, Elke Debroye</w:t>
        <w:br/>
      </w:r>
      <w:r>
        <w:rPr>
          <w:rFonts w:ascii="Times New Roman" w:hAnsi="Times New Roman" w:eastAsia="宋体"/>
          <w:sz w:val="21"/>
        </w:rPr>
        <w:t xml:space="preserve">时间: 2026-02-04 | </w:t>
      </w:r>
      <w:r>
        <w:t xml:space="preserve">链接: </w:t>
      </w:r>
      <w:hyperlink r:id="rId163">
        <w:r>
          <w:rPr>
            <w:rFonts w:ascii="Times New Roman" w:hAnsi="Times New Roman" w:eastAsia="宋体"/>
            <w:color w:val="0000FF"/>
            <w:sz w:val="21"/>
            <w:u w:val="single"/>
          </w:rPr>
          <w:t>https://doi.org/10.1038/s41467-026-68939-7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均匀形态和成分的半导体纳米晶体有望在光与物质相互作用期间表现出一致的响应。然而，即使在相同的实验条件下，显微镜也显示出它们的光致发光闪烁模式存在显着差异。这种差异是由晶体缺陷和非辐射陷阱态的差异引起的。因此，异构闪烁模式可以作为材料质量的重要指标，通过对大型数据集的统计分析揭示一些隐藏的特征。尽管如此，由于繁琐的计算、计算瓶颈和人工干预，对大量闪烁轨迹进行有效分离和分析仍然是一个挑战。在这项研究中，我们引入了一个强大的无监督机器学习（UML）辅助模块来近实时地聚类高维闪烁模式，同时计算类别功率谱密度（PSD）以研究活动陷阱。此外，我们探讨了数据预处理对聚类性能的影响。 “聚类-偏析-分析”（UML-PSD）方法展示了多功能性，为推进当代（微观）光谱学铺平了道路，特别是对于半导体纳米晶体的快速且经济高效的光学表征。</w:t>
      </w:r>
    </w:p>
    <w:p>
      <w:pPr>
        <w:spacing w:before="120"/>
      </w:pPr>
      <w:r>
        <w:rPr>
          <w:rFonts w:ascii="Times New Roman" w:hAnsi="Times New Roman" w:eastAsia="宋体"/>
          <w:b/>
          <w:sz w:val="21"/>
        </w:rPr>
        <w:t>English Abstract:</w:t>
      </w:r>
    </w:p>
    <w:p>
      <w:r>
        <w:rPr>
          <w:rFonts w:ascii="Times New Roman" w:hAnsi="Times New Roman" w:eastAsia="宋体"/>
          <w:sz w:val="21"/>
        </w:rPr>
        <w:t>Abstract Semiconductor nanocrystals with uniform morphology and composition are expected to show consistent responses during light-matter interactions. However, microscopy reveals significant variations in their photoluminescence blinking patterns, even under identical experimental conditions. This discrepancy arises from differences in crystal defects and nonradiative trap states. As a result, heterogeneous blinking patterns serve as valuable indicator of material quality, uncovering several concealed features through statistical analysis of large datasets. Nonetheless, efficient segregation and analysis of numerous blinking trajectories remain a challenge due to laborious calculations, computational bottlenecks, and manual intervention. In this study, we introduce a robust unsupervised machine learning (UML) assisted module to cluster high-dimensional blinking patterns in near-real-time, while calculating category-wise power spectral densities (PSD) to investigate active traps. Furthermore, we explore the impact of data preprocessing on clustering performance. The ‘clustering-segregation-analysis’ (UML-PSD) methodology demonstrates versatility, paving a way to advance contemporary (micro)spectroscopy, specifically for rapid and cost-effective optical characterization of semiconductor nanocrystals.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从空气中无电制氢</w:t>
      </w:r>
    </w:p>
    <w:p>
      <w:r>
        <w:rPr>
          <w:rFonts w:ascii="Times New Roman" w:hAnsi="Times New Roman" w:eastAsia="宋体"/>
          <w:b/>
          <w:color w:val="003264"/>
          <w:sz w:val="24"/>
        </w:rPr>
        <w:t>Electricity-free hydrogen production from the air</w:t>
      </w:r>
    </w:p>
    <w:p>
      <w:r>
        <w:rPr>
          <w:rFonts w:ascii="Times New Roman" w:hAnsi="Times New Roman" w:eastAsia="宋体"/>
          <w:sz w:val="21"/>
        </w:rPr>
        <w:t>作者: Qili Xu, Xiaoxue Yao, Hoi Ying Chung, Xiongyi Liang, Zhi Zhang, Zhenwen Zhang, Wai Kin Lo, Yijun Zeng, Xiao Cheng Zeng, Yun Hau Ng, Steven Wang</w:t>
        <w:br/>
      </w:r>
      <w:r>
        <w:rPr>
          <w:rFonts w:ascii="Times New Roman" w:hAnsi="Times New Roman" w:eastAsia="宋体"/>
          <w:sz w:val="21"/>
        </w:rPr>
        <w:t xml:space="preserve">时间: 2026-02-04 | </w:t>
      </w:r>
      <w:r>
        <w:t xml:space="preserve">链接: </w:t>
      </w:r>
      <w:hyperlink r:id="rId164">
        <w:r>
          <w:rPr>
            <w:rFonts w:ascii="Times New Roman" w:hAnsi="Times New Roman" w:eastAsia="宋体"/>
            <w:color w:val="0000FF"/>
            <w:sz w:val="21"/>
            <w:u w:val="single"/>
          </w:rPr>
          <w:t>https://doi.org/10.1038/s41467-025-67511-z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电力和清洁水不断增长的需求限制了通过水电解或光催化水分解制氢的广泛应用。在这里，我们提出了一种自给自足的无电空气制氢系统，通过制造光谱选择性吸收/发射吸湿析氢纳米纤维膜，将辐射冷却增强水吸附与协同光催化和光热转换相结合，以收集大气水分并产生氢气。利用夜间辐射冷却效应，我们扩大了纳米纤维膜的操作相对湿度范围，并增强了集水能力和动力学。白天，收集到的水通过光热催化过程进行高效的气相水分解，产生 H 2 ，无需电力和液态水辅助。放大的空气制H 2 系统在室外自然光下的产氢率达到6467.55 µmol·m -2 ·h -1 。将这一经过实验验证的速率推断到陆基部署表明了大规模制氢的潜力，其实际可行性取决于区域湿度和太阳条件。因此，我们的方法经济高效地解决了绿色H 2 稀缺问题，无需天然淡水和电力，从而为全球可持续发展提供了原型。</w:t>
      </w:r>
    </w:p>
    <w:p>
      <w:pPr>
        <w:spacing w:before="120"/>
      </w:pPr>
      <w:r>
        <w:rPr>
          <w:rFonts w:ascii="Times New Roman" w:hAnsi="Times New Roman" w:eastAsia="宋体"/>
          <w:b/>
          <w:sz w:val="21"/>
        </w:rPr>
        <w:t>English Abstract:</w:t>
      </w:r>
    </w:p>
    <w:p>
      <w:r>
        <w:rPr>
          <w:rFonts w:ascii="Times New Roman" w:hAnsi="Times New Roman" w:eastAsia="宋体"/>
          <w:sz w:val="21"/>
        </w:rPr>
        <w:t>Abstract The ever-growing demand for electricity and clean water restricts widespread application of hydrogen production via water electrolysis or photocatalytic water splitting. Here, we present a self-sufficient electricity-free air-to-hydrogen system that integrates radiative cooling-enhanced water adsorption with synergistic photocatalysis and photothermal conversion by fabricating spectral selective absorbing/emitting hygroscopic hydrogen evolution nanofiber membranes to harvest atmospheric moisture and produce hydrogen. Leveraging the nocturnal radiative cooling effect, we expand the operational relative humidity range of nanofiber membranes and enhance both water collection capacity and kinetics. The collected water undergoes efficient gas-phase water splitting for H 2 production during the day through photothermal catalytic processes without electrical and liquid water assistance. The hydrogen production rate of the scale-up air-to-H 2 system under outdoor natural light reaches 6467.55 µmol·m -2 ·h -1 . Extrapolating this experimentally validated rate to land-based deployment demonstrates the potential for large-scale hydrogen generation, with practical feasibility dependent on regional humidity and solar conditions. Thus, our approach cost-effectively addresses green-H 2 scarcity without demanding natural freshwater and electricity, thereby providing an archetype for global sustainable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15年来棕熊对意大利东北部农牧业活动的损害模式</w:t>
      </w:r>
    </w:p>
    <w:p>
      <w:r>
        <w:rPr>
          <w:rFonts w:ascii="Times New Roman" w:hAnsi="Times New Roman" w:eastAsia="宋体"/>
          <w:b/>
          <w:color w:val="003264"/>
          <w:sz w:val="24"/>
        </w:rPr>
        <w:t>Patterns of brown bear damages to agro-livestock activities in North-Eastern Italy across 15 years</w:t>
      </w:r>
    </w:p>
    <w:p>
      <w:r>
        <w:rPr>
          <w:rFonts w:ascii="Times New Roman" w:hAnsi="Times New Roman" w:eastAsia="宋体"/>
          <w:sz w:val="21"/>
        </w:rPr>
        <w:t>作者: Marcello Franchini, Salvatore Raniolo, Mirco Corazzin, Paolo Zanghellini, Natalia Bragalanti, Stefano Bovolenta</w:t>
        <w:br/>
      </w:r>
      <w:r>
        <w:rPr>
          <w:rFonts w:ascii="Times New Roman" w:hAnsi="Times New Roman" w:eastAsia="宋体"/>
          <w:sz w:val="21"/>
        </w:rPr>
        <w:t xml:space="preserve">时间: 2026-02-04 | </w:t>
      </w:r>
      <w:r>
        <w:t xml:space="preserve">链接: </w:t>
      </w:r>
      <w:hyperlink r:id="rId28">
        <w:r>
          <w:rPr>
            <w:rFonts w:ascii="Times New Roman" w:hAnsi="Times New Roman" w:eastAsia="宋体"/>
            <w:color w:val="0000FF"/>
            <w:sz w:val="21"/>
            <w:u w:val="single"/>
          </w:rPr>
          <w:t>https://doi.org/10.1038/s41598-026-38371-4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牲畜的捕食以及对农田和蜂箱的破坏是共享景观中人熊冲突的一些主要驱动因素。在意大利东北部阿尔卑斯山，唯一的棕熊 Ursus arctos 繁殖种群持续存在于特伦托自治省，通过 LIFE Ursus 计划（1999-2004）重新引入，而在弗留利·威尼斯朱利亚 (FVG)，每年很少发现分散的雄性。这两个地区均报告主要对人类住区附近的农牧业活动造成损害。本研究的目的是：(i) 使用 15 年的索赔数据描述与熊相关的对牲畜（被捕食、受伤和失踪个体的总和）、农业、蜂箱和结构的损害； ㈡ 评估人类住区附近损害的时间趋势； (iii) 评估损害的空间扩展。我们分析了特伦托自治省和 FVG 2009 年至 2023 年的官方赔偿索赔。广义相加模型评估邻近趋势，同时使用基于 5 × 5 公里网格的热点分析来分析空间扩展。调查结果显示，多年来，牲畜和结构性破坏发生在距离人类住区更近的地方；但仅在特伦托自治省观察到损害在空间上显着扩大。结果强调需要有效预防以减少冲突并支持人与熊共存。</w:t>
      </w:r>
    </w:p>
    <w:p>
      <w:pPr>
        <w:spacing w:before="120"/>
      </w:pPr>
      <w:r>
        <w:rPr>
          <w:rFonts w:ascii="Times New Roman" w:hAnsi="Times New Roman" w:eastAsia="宋体"/>
          <w:b/>
          <w:sz w:val="21"/>
        </w:rPr>
        <w:t>English Abstract:</w:t>
      </w:r>
    </w:p>
    <w:p>
      <w:r>
        <w:rPr>
          <w:rFonts w:ascii="Times New Roman" w:hAnsi="Times New Roman" w:eastAsia="宋体"/>
          <w:sz w:val="21"/>
        </w:rPr>
        <w:t>Livestock predations along with damages to croplands and beehives, are some of the main drivers of human-bear conflicts in shared landscapes. In the North-Eastern Italian Alps, the only brown bear Ursus arctos breeding population persists in the Autonomous Province of Trento, reintroduced via the LIFE Ursus program (1999–2004), while in Friuli Venezia Giulia (FVG) few dispersing males are detected annually. Both areas report damages mainly to agro-livestock activities near human settlements. This study aimed to: (i) describe bear-related damages to livestock (sum of preyed, injured, and missing individuals), agriculture, beehives, and structures using 15 years of claims data; (ii) assess temporal trends in damages near human settlements; and (iii) evaluate the spatial expansion of damages. We analysed official compensation claims from 2009 to 2023 in the Autonomous Province of Trento and FVG. Generalized Additive Models assessed proximity trends, while spatial expansion was analysed using 5 × 5 km grid-based hotspot analysis. Findings revealed that livestock and structural damages occurred significantly closer to human settlements across years; but a significant spatial expansion of damages was observed only in the Autonomous Province of Trento. Results highlight the need for effective prevention to reduce conflicts and support human-bear coexistence.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使用光学相干断层扫描血管造影诊断帕金森病的整体机器学习分类器</w:t>
      </w:r>
    </w:p>
    <w:p>
      <w:r>
        <w:rPr>
          <w:rFonts w:ascii="Times New Roman" w:hAnsi="Times New Roman" w:eastAsia="宋体"/>
          <w:b/>
          <w:color w:val="003264"/>
          <w:sz w:val="24"/>
        </w:rPr>
        <w:t>An ensemble machine learning classifier for Parkinson’s disease diagnosis using optical coherence tomography angiography</w:t>
      </w:r>
    </w:p>
    <w:p>
      <w:r>
        <w:rPr>
          <w:rFonts w:ascii="Times New Roman" w:hAnsi="Times New Roman" w:eastAsia="宋体"/>
          <w:sz w:val="21"/>
        </w:rPr>
        <w:t>作者: MohammadReza Hasanshahi, Alireza Mehdizadeh, Tahereh Mahmoudi, Vahid Reza Ostovan, M. Hossein Nowroozzadeh, Hossein Parsaei</w:t>
        <w:br/>
      </w:r>
      <w:r>
        <w:rPr>
          <w:rFonts w:ascii="Times New Roman" w:hAnsi="Times New Roman" w:eastAsia="宋体"/>
          <w:sz w:val="21"/>
        </w:rPr>
        <w:t xml:space="preserve">时间: 2026-02-04 | </w:t>
      </w:r>
      <w:r>
        <w:t xml:space="preserve">链接: </w:t>
      </w:r>
      <w:hyperlink r:id="rId29">
        <w:r>
          <w:rPr>
            <w:rFonts w:ascii="Times New Roman" w:hAnsi="Times New Roman" w:eastAsia="宋体"/>
            <w:color w:val="0000FF"/>
            <w:sz w:val="21"/>
            <w:u w:val="single"/>
          </w:rPr>
          <w:t>https://doi.org/10.1038/s41598-026-38407-9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帕金森病（PD）是全球增长最快的神经退行性疾病，但由于缺乏可靠的生物标志物，其早期诊断仍然是一个重大挑战。新的证据表明，可通过光学相干断层扫描血管造影 (OCTA) 检测到的视网膜微血管改变可能作为 PD 的有前途的非侵入性生物标志物。然而，早期 PD 缺乏明确的诊断测试突显了迫切需要客观、非侵入性的工具来促进及时检测和干预。在这项回顾性研究中，从 53 名 PD 患者和 39 名健康对照中获得了 OCTA 图像。对浅表血管复合体 (SVC) 和深层血管复合体 (DVC) 进行分割，以提取 22 个定量特征，包括中心凹无血管区 (FAZ) 描述符和血管密度测量值。采用基于患者的交叉验证策略将数据集划分为训练集、验证集和独立测试集，确保来自同一个体的数据不会出现在多个子集中。为了降低维度并增强泛化性，我们应用了使用单变量特征选择、递归特征消除和随机森林特征重要性的组合特征选择框架。然后对多种机器学习算法进行训练和优化，将性能最佳的分类器（XGBoost、随机森林和 K 最近邻）集成到加权集成模型中。集成方法优于单个分类器，在独立保留测试集上实现了 74.28% 的准确度、90% 的灵敏度、53.33% 的特异性和 0.75 的 AUC 。特征分析表明，形态描述符（形状因子、凸度、坚固度、圆度）和血管密度参数（包括血管面积密度（VAD）和血管骨架密度（VSD））对模型性能有很大贡献。开发了图形用户界面（PDAI – 帕金森病人工智能）以促进临床采用，实现交互式预处理、特征可视化和自动预测。我们的研究结果提供了一个有前景的非侵入性框架来支持 PD 分类和筛查，值得在更大的多中心队列中进行进一步验证。</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the fastest-growing neurodegenerative disorder worldwide, yet its early diagnosis remains a major challenge due to the absence of reliable biomarkers. Emerging evidence indicates that retinal microvascular alterations, detectable through Optical Coherence Tomography Angiography (OCTA), may serve as promising non-invasive biomarkers for PD. However, the lack of definitive diagnostic tests for early-stage PD underscores an urgent need for objective, non-invasive tools to facilitate timely detection and intervention. In this retrospective study, OCTA images were obtained from 53 PD patients and 39 healthy controls. Both the superficial vascular complex (SVC) and deep vascular complex (DVC) were segmented to extract 22 quantitative features, including foveal avascular zone (FAZ) descriptors and vascular density measures. A patient-based cross-validation strategy was employed to partition the dataset into training, validation, and independent test sets, ensuring that data from the same individual did not appear across multiple subsets. To reduce dimensionality and enhance generalizability, we applied a combined feature selection framework using Univariate Feature Selection, Recursive Feature Elimination, and Random Forest Feature Importance. Multiple machine learning algorithms were then trained and optimized, with the best-performing classifiers (XGBoost, Random Forest, and K-Nearest Neighbors) integrated into a weighted ensemble model. The ensemble approach outperformed individual classifiers, achieving an accuracy of 74.28%, sensitivity of 90%, specificity of 53.33%, and an AUC of 0.75 on the independent hold-out test set. Feature analysis revealed that both morphological descriptors (form factor, convexity, solidity, roundness) and vascular density parameters, including vessel area density (VAD) and vessel skeleton density (VSD) contributed strongly to model performance. A graphical user interface (PDAI – Parkinson’s Disease Artificial Intelligence) was developed to facilitate clinical adoption, enabling interactive preprocessing, feature visualization, and automated prediction. Our findings provide a promising and non-invasive framework to support PD classification and screening, warranting further validation in larger and multi-center cohorts.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辫状河河段堤防管理策略的洪峰衰减有效性评估：以黄河下游为例</w:t>
      </w:r>
    </w:p>
    <w:p>
      <w:r>
        <w:rPr>
          <w:rFonts w:ascii="Times New Roman" w:hAnsi="Times New Roman" w:eastAsia="宋体"/>
          <w:b/>
          <w:color w:val="003264"/>
          <w:sz w:val="24"/>
        </w:rPr>
        <w:t>Evaluating flood peak attenuation effectiveness of levee management strategies in braided river reaches: a case study of the lower Yellow River</w:t>
      </w:r>
    </w:p>
    <w:p>
      <w:r>
        <w:rPr>
          <w:rFonts w:ascii="Times New Roman" w:hAnsi="Times New Roman" w:eastAsia="宋体"/>
          <w:sz w:val="21"/>
        </w:rPr>
        <w:t>作者: Jian Chen, Luyao Zhang, Haizhou Wang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https://doi.org/10.1038/s41598-026-38415-9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以黄河下游辫状河为研究对象，分析了不同重现期（5年一遇、10年一遇、100年一遇）下宽堤间距和窄堤间距两种人工堤坝治理方案对洪峰衰减和空间分布的影响。结果表明，两种方案均显着降低了洪峰流量，且衰减幅度随着洪水重现期的延长而增大。宽堤间距方案在极端洪水条件下表现出优异的减峰性能，在100年一遇洪水期间，最大减峰量为985.6 m3/s，平均减峰量为342.02 m3/s，但伴随着水位上升0.57~1.14 m。窄堤间距方案位居第二，最大减量为669.51 m3/s，平均减量为290.32 m3/s，水位上升0.66~1.45 m。从空间上看，堤坝方案可能会略微增加上游断面（如大柳寺）的洪峰流量，而在下游断面（如宝城）实现显着减少。宽堤距方案更适合应对高洪水风险，特别是在极端洪水情况下，而窄堤距方案更适合适度防洪、平衡洪峰衰减和上下游流量分配。该研究为辫状河河段防洪及优化设计提供科学依据。</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braided river of the lower Yellow River, analyzing the effects of two artificial levee management schemes—wide levee spacing and narrow levee spacing—on flood peak attenuation and spatial distribution under different return periods (5-year, 10-year, and 100-year floods). The results demonstrate that both schemes significantly reduce flood peak discharges, with the attenuation magnitude increasing as the flood return period becomes longer. The wide levee spacing scheme exhibits superior peak reduction performance under extreme flood conditions, achieving a maximum reduction of 985.6 m3/s and an average reduction of 342.02 m3/s during the 100-year flood event, though accompanied by a water level rise of 0.57–1.14 m. The narrow levee spacing scheme ranks second, with a maximum reduction of 669.51 m3/s and an average reduction of 290.32 m3/s, with water levels rising by 0.66–1.45 m. Spatially, the levee schemes may slightly increase peak discharge at upstream sections (e.g., Daliusi) while achieving significant reductions at downstream sections (e.g., Baocheng). The wide levee spacing scheme is more suitable for addressing high flood risks, particularly in extreme flood scenarios, while the narrow levee spacing scheme is better suited for moderate flood control, balancing peak attenuation and upstream-downstream flow distribution. This study provides a scientific basis for flood control and optimization design in braided river reaches.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人工智能与多学科团队建议在结直肠癌肝转移管理中的比较</w:t>
      </w:r>
    </w:p>
    <w:p>
      <w:r>
        <w:rPr>
          <w:rFonts w:ascii="Times New Roman" w:hAnsi="Times New Roman" w:eastAsia="宋体"/>
          <w:b/>
          <w:color w:val="003264"/>
          <w:sz w:val="24"/>
        </w:rPr>
        <w:t>Comparison of artificial intelligence and multidisciplinary team recommendations in the management of colorectal cancer liver metastases</w:t>
      </w:r>
    </w:p>
    <w:p>
      <w:r>
        <w:rPr>
          <w:rFonts w:ascii="Times New Roman" w:hAnsi="Times New Roman" w:eastAsia="宋体"/>
          <w:sz w:val="21"/>
        </w:rPr>
        <w:t>作者: Mustafa Yılmaz, Najmaddın Abbaslı, Simge Tuna, Uğfe Kuyucuoğlu, Cumhur Özcan, Hilmi Bozkurt, Tahsin Çolak</w:t>
        <w:br/>
      </w:r>
      <w:r>
        <w:rPr>
          <w:rFonts w:ascii="Times New Roman" w:hAnsi="Times New Roman" w:eastAsia="宋体"/>
          <w:sz w:val="21"/>
        </w:rPr>
        <w:t xml:space="preserve">时间: 2026-02-04 | </w:t>
      </w:r>
      <w:r>
        <w:t xml:space="preserve">链接: </w:t>
      </w:r>
      <w:hyperlink r:id="rId31">
        <w:r>
          <w:rPr>
            <w:rFonts w:ascii="Times New Roman" w:hAnsi="Times New Roman" w:eastAsia="宋体"/>
            <w:color w:val="0000FF"/>
            <w:sz w:val="21"/>
            <w:u w:val="single"/>
          </w:rPr>
          <w:t>https://doi.org/10.1038/s41598-026-38449-z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多学科团队 (MDT) 是结直肠癌肝转移 (CRCLM) 治疗计划的核心，但需要时间和持续获得专业知识。基于聊天的大型语言模型 (LLM)（例如 ChatGPT）可以根据书面临床摘要生成建议；然而，它们与 CRCLM 中 MDT 决策的一致性尚不明确。我们对 MDT 中讨论的 30 个连续 CRCLM 病例进行了单中心回顾性一致性研究。 ChatGPT 获得了标准化匿名文本概要（没有直接成像访问），并要求在两个先验条件下提供管理建议：（1）仅基线概要，以及（2）明确指定可切除性状态的条件查询。每个案例和条件都使用相同的提示在单独的会话中独立查询三次；产出被映射到预定义的管理类别。最终 LLM 建议与 MDT 决策之间的一致性是使用一致性百分比和 Cohen 的 kappa 进行评估的。在重复运行中，LLM 在所有情况下为两个查询条件分配相同的管理类别（模型内一致性 100%，3/3）。在基线条件下，与 MDT 决策的一致性为 66.7%（20/30；Cohen’s kappa = 0.606，中等一致性）。在有条件可切除性指定条件下，一致性为 93.3%（28/30；Cohen’s kappa = 0.924，非常好的一致性）。基线不一致病例的特点是保守的模型输出，包括全身治疗和/或额外诊断检查的建议；在确定可切除性后，只有两例仍不一致。基于聊天的法学硕士显示出与来自最少病例摘要的一致 MDT 建议的中等一致性，并且在明确指定可切除状态时显示出非常好的一致性。这些发现支持作为监督决策支持辅助手段的可行性，但并未确定临床益处；需要基于预期结果的验证。</w:t>
      </w:r>
    </w:p>
    <w:p>
      <w:pPr>
        <w:spacing w:before="120"/>
      </w:pPr>
      <w:r>
        <w:rPr>
          <w:rFonts w:ascii="Times New Roman" w:hAnsi="Times New Roman" w:eastAsia="宋体"/>
          <w:b/>
          <w:sz w:val="21"/>
        </w:rPr>
        <w:t>English Abstract:</w:t>
      </w:r>
    </w:p>
    <w:p>
      <w:r>
        <w:rPr>
          <w:rFonts w:ascii="Times New Roman" w:hAnsi="Times New Roman" w:eastAsia="宋体"/>
          <w:sz w:val="21"/>
        </w:rPr>
        <w:t>Multidisciplinary teams (MDTs) are central to treatment planning for colorectal cancer liver metastases (CRCLM) but require time and consistent access to expertise. Chat-based large language models (LLMs) such as ChatGPT can generate recommendations from written clinical summaries; however, their concordance with MDT decisions in CRCLM is not well characterized. We conducted a single-center retrospective concordance study of 30 consecutive CRCLM cases discussed at an MDT. ChatGPT was provided a standardized anonymized text synopsis (without direct imaging access) and asked for management recommendations under two a priori conditions: (1) baseline synopsis only, and (2) a conditional query in which resectability status was explicitly specified. Each case and condition was queried three independent times in separate sessions using identical prompts; outputs were mapped to predefined management categories. Agreement between the final LLM recommendation and MDT decisions was assessed using percent agreement and Cohen’s kappa. Across repeated runs, the LLM assigned the same management category in all cases (within-model consistency 100%, 3/3) for both querying conditions. In the baseline condition, agreement with MDT decisions was 66.7% (20/30; Cohen’s kappa = 0.606, moderate agreement). In the conditional resectability-specified condition, agreement was 93.3% (28/30; Cohen’s kappa = 0.924, very good agreement). Baseline discordant cases were characterized by conservative model outputs, including recommendations for systemic therapy and/or additional diagnostic work-up; only two cases remained discordant after resectability was specified. A chat-based LLM showed moderate concordance with unanimous MDT recommendations from minimal case summaries and very good concordance when resectability status was explicitly specified. These findings support feasibility as a supervised decision-support adjunct, but do not establish clinical benefit; prospective outcome-based validation is required.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七叶苷通过调节细胞外基质重塑和分子途径改善糖尿病大鼠的伤口愈合</w:t>
      </w:r>
    </w:p>
    <w:p>
      <w:r>
        <w:rPr>
          <w:rFonts w:ascii="Times New Roman" w:hAnsi="Times New Roman" w:eastAsia="宋体"/>
          <w:b/>
          <w:color w:val="003264"/>
          <w:sz w:val="24"/>
        </w:rPr>
        <w:t>Esculin improves wound healing in diabetic rats by modulating extracellular matrix remodeling and molecular pathways</w:t>
      </w:r>
    </w:p>
    <w:p>
      <w:r>
        <w:rPr>
          <w:rFonts w:ascii="Times New Roman" w:hAnsi="Times New Roman" w:eastAsia="宋体"/>
          <w:sz w:val="21"/>
        </w:rPr>
        <w:t>作者: Mohamadreza Almasifard, Mohammad Hashemnia, Hadi Cheraghi, Adel Mohammadalipour</w:t>
        <w:br/>
      </w:r>
      <w:r>
        <w:rPr>
          <w:rFonts w:ascii="Times New Roman" w:hAnsi="Times New Roman" w:eastAsia="宋体"/>
          <w:sz w:val="21"/>
        </w:rPr>
        <w:t xml:space="preserve">时间: 2026-02-04 | </w:t>
      </w:r>
      <w:r>
        <w:t xml:space="preserve">链接: </w:t>
      </w:r>
      <w:hyperlink r:id="rId32">
        <w:r>
          <w:rPr>
            <w:rFonts w:ascii="Times New Roman" w:hAnsi="Times New Roman" w:eastAsia="宋体"/>
            <w:color w:val="0000FF"/>
            <w:sz w:val="21"/>
            <w:u w:val="single"/>
          </w:rPr>
          <w:t>https://doi.org/10.1038/s41598-026-39098-y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伤口以再生不良、慢性炎症和氧化应激为特征，是糖尿病患者面临的重大挑战。七叶苷是一种天然香豆素，具有抗氧化和抗炎作用，有望促进伤口愈合。本研究调查了外用七叶苷对链脲佐菌素诱导的糖尿病大鼠全层伤口的组织病理学、生化和分子影响。对 60 只 Sprague-Dawley 大鼠进行切除伤口，分为四组：正常对照组、糖尿病对照组、七叶苷软膏 5% 和 10%。在第 7、14 和 21 天收集组织样本进行组织病理学、分子和生化分析。七叶苷治疗显着加速伤口闭合并改善上皮再形成和肉芽组织形成。组织学分析显示，早期阶段淋巴细胞浸润减少，成纤维细胞增殖和新血管形成增加，伤口愈合后期纤维细胞数量增多，胶原蛋白沉积更有组织。从生化角度来看，七叶苷显着提高抗氧化酶活性并减少氧化应激标记物，表明氧化还原平衡的恢复。此外，七叶苷下调促炎细胞因子 IL-1β 并上调 bFGF、VEG) 和 TGF-β1，从而支持成纤维细胞活性、血管生成和细胞外基质重塑。总的来说，这些发现强调了七叶苷在促进糖尿病患者伤口愈合方面的多方面作用，支持其作为治疗慢性伤口的有前途的辅助疗法的潜力。</w:t>
      </w:r>
    </w:p>
    <w:p>
      <w:pPr>
        <w:spacing w:before="120"/>
      </w:pPr>
      <w:r>
        <w:rPr>
          <w:rFonts w:ascii="Times New Roman" w:hAnsi="Times New Roman" w:eastAsia="宋体"/>
          <w:b/>
          <w:sz w:val="21"/>
        </w:rPr>
        <w:t>English Abstract:</w:t>
      </w:r>
    </w:p>
    <w:p>
      <w:r>
        <w:rPr>
          <w:rFonts w:ascii="Times New Roman" w:hAnsi="Times New Roman" w:eastAsia="宋体"/>
          <w:sz w:val="21"/>
        </w:rPr>
        <w:t>Diabetic wounds, marked by poor regeneration, chronic inflammation, and oxidative stress, pose a major challenge in diabetes. Esculin, a natural coumarin with antioxidant and anti-inflammatory effects, shows promise for wound healing. This study investigated the histopathological, biochemical, and molecular effects of topical esculin on full-thickness wounds in streptozotocin-induced diabetic rats. Excisional wounds were created on 60 Sprague-Dawley rats, assigned to four groups: normal control, diabetic control, esculin ointment 5% and 10%. Tissue samples were collected on days 7, 14, and 21 for histopathological, molecular, and biochemical analysis. Esculin treatment significantly accelerated wound closure and improved re-epithelialization and granulation tissue formation. Histological analysis revealed a decrease in lymphocyte infiltration, increased fibroblast proliferation and neovascularization at the earlier stages, and a higher number of fibrocytes and more organized collagen deposition at later stages of wound healing. Biochemically, esculin significantly elevated antioxidant enzyme activities and reduced oxidative stress markers, indicating restoration of redox balance. Moreover, esculin downregulated the pro-inflammatory cytokine IL-1β and upregulated bFGF, VEG), and TGF-β1, thereby supporting fibroblast activity, angiogenesis, and extracellular matrix remodeling. Collectively, these findings highlight the multifaceted role of esculin in promoting wound healing under diabetic conditions, supporting its potential as a promising adjunct therapy for managing chronic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脑血管疾病患者抓握力可调性与上肢/手功能的关系</w:t>
      </w:r>
    </w:p>
    <w:p>
      <w:r>
        <w:rPr>
          <w:rFonts w:ascii="Times New Roman" w:hAnsi="Times New Roman" w:eastAsia="宋体"/>
          <w:b/>
          <w:color w:val="003264"/>
          <w:sz w:val="24"/>
        </w:rPr>
        <w:t>Relationship between adjustability of grasping force and upper limb/hand function in individuals with cerebrovascular disorders</w:t>
      </w:r>
    </w:p>
    <w:p>
      <w:r>
        <w:rPr>
          <w:rFonts w:ascii="Times New Roman" w:hAnsi="Times New Roman" w:eastAsia="宋体"/>
          <w:sz w:val="21"/>
        </w:rPr>
        <w:t>作者: Tatsuya Kaneno, Katsutoshi Kawahara, Tatsuya Yabe, Takashi Tasaka, Tomoyuki Sakurai, Akihiro Sato, Kazunori Akizuki, Yoshifumi Morita</w:t>
        <w:br/>
      </w:r>
      <w:r>
        <w:rPr>
          <w:rFonts w:ascii="Times New Roman" w:hAnsi="Times New Roman" w:eastAsia="宋体"/>
          <w:sz w:val="21"/>
        </w:rPr>
        <w:t xml:space="preserve">时间: 2026-02-04 | </w:t>
      </w:r>
      <w:r>
        <w:t xml:space="preserve">链接: </w:t>
      </w:r>
      <w:hyperlink r:id="rId33">
        <w:r>
          <w:rPr>
            <w:rFonts w:ascii="Times New Roman" w:hAnsi="Times New Roman" w:eastAsia="宋体"/>
            <w:color w:val="0000FF"/>
            <w:sz w:val="21"/>
            <w:u w:val="single"/>
          </w:rPr>
          <w:t>https://doi.org/10.1038/s41598-026-38384-z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生活活动，包括抓、握、捏，对于独立至关重要，但对于患有脑血管疾病的人来说，由于上肢瘫痪往往变得困难。我们研究了抓握力可调节性（AGF）（定义为调节抓握力的能力）与上肢/手功能表现之间的关系。十二名患有轻度脑血管疾病的个体参与了这项初步横断面研究。评估包括使用 iWakka 的 AGF 任务、Fugl-Meyer 评估、评估手功能的简单测试、手臂动作研究测试 (ARAT) 和运动活动日志 (MAL)。 AGF 使用 AGF 分数进行量化，计算为目标抓握力和实际抓握力之间的绝对误差； AGF 分数越低表明 AGF 越好。根据年龄进行调整后的部分斯皮尔曼等级相关显示，受影响较小一侧的 AGF 评分（等长截面）分别与受影响较小一侧和受影响较大一侧的 ARAT 和 MAL（运动质量）呈负相关和正相关。这些发现表明，受影响较小一侧的 AGF 较好，可能会增强该侧的运动表现，但可能与受影响较大一侧的感知运动质量较低有关。这凸显了受影响较小的一侧在中风后功能中的复杂作用，并表明康复策略应考虑身体两侧的 AGF。</w:t>
      </w:r>
    </w:p>
    <w:p>
      <w:pPr>
        <w:spacing w:before="120"/>
      </w:pPr>
      <w:r>
        <w:rPr>
          <w:rFonts w:ascii="Times New Roman" w:hAnsi="Times New Roman" w:eastAsia="宋体"/>
          <w:b/>
          <w:sz w:val="21"/>
        </w:rPr>
        <w:t>English Abstract:</w:t>
      </w:r>
    </w:p>
    <w:p>
      <w:r>
        <w:rPr>
          <w:rFonts w:ascii="Times New Roman" w:hAnsi="Times New Roman" w:eastAsia="宋体"/>
          <w:sz w:val="21"/>
        </w:rPr>
        <w:t>Abstract Activities of daily living, including grasping, holding, and pinching, are essential for independence but often become difficult for individuals with cerebrovascular disease owing to upper limb paralysis. We investigated the relationship between adjustability of grasping force (AGF), defined as the ability to adjust grasping force, and upper limb/hand functional performance. Twelve individuals with mild cerebrovascular disorders participated in this preliminary cross-sectional study. Assessments included the AGF task using iWakka, the Fugl-Meyer Assessment, Simple Test for Evaluating Hand Function, Action Research Arm Test (ARAT), and Motor Activity Log (MAL). AGF was quantified using the AGF score, calculated as the absolute error between target and actual grasping force; lower AGF scores indicate better AGF. Partial Spearman’s rank correlations, adjusted for age, revealed that AGF score (isometric section) on the less-affected side was negatively and positively correlated with ARAT and MAL (Quality of Movement) on the less-affected and more-affected sides, respectively. These findings suggest that better AGF on the less-affected side may enhance motor performance on that side but could be associated with lower perceived movement quality on the more-affected side. This highlights the complex role of the less-affected side in post-stroke function and suggests that rehabilitation strategies should consider AGF on both sides of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晶格集成的 AES 框架，可在资源受限的边缘设备上提供超安全的生物识别保护</w:t>
      </w:r>
    </w:p>
    <w:p>
      <w:r>
        <w:rPr>
          <w:rFonts w:ascii="Times New Roman" w:hAnsi="Times New Roman" w:eastAsia="宋体"/>
          <w:b/>
          <w:color w:val="003264"/>
          <w:sz w:val="24"/>
        </w:rPr>
        <w:t>A lattice-integrated AES framework for ultra-secure biometric protection on resource-constrained edge devices</w:t>
      </w:r>
    </w:p>
    <w:p>
      <w:r>
        <w:rPr>
          <w:rFonts w:ascii="Times New Roman" w:hAnsi="Times New Roman" w:eastAsia="宋体"/>
          <w:sz w:val="21"/>
        </w:rPr>
        <w:t>作者: Aanjankumar Sureshkumar, M. Maragatharajan, Kaushik Jangiti, M. Karuppasamy, Kathiresan Jayabalan, Prakash Tukaram Raut, Nithya Rekha Sivakumar</w:t>
        <w:br/>
      </w:r>
      <w:r>
        <w:rPr>
          <w:rFonts w:ascii="Times New Roman" w:hAnsi="Times New Roman" w:eastAsia="宋体"/>
          <w:sz w:val="21"/>
        </w:rPr>
        <w:t xml:space="preserve">时间: 2026-02-04 | </w:t>
      </w:r>
      <w:r>
        <w:t xml:space="preserve">链接: </w:t>
      </w:r>
      <w:hyperlink r:id="rId34">
        <w:r>
          <w:rPr>
            <w:rFonts w:ascii="Times New Roman" w:hAnsi="Times New Roman" w:eastAsia="宋体"/>
            <w:color w:val="0000FF"/>
            <w:sz w:val="21"/>
            <w:u w:val="single"/>
          </w:rPr>
          <w:t>https://doi.org/10.1038/s41598-026-36054-8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在最近的技术进步中，手机和边缘设备等消费电子产品迅速扩张。尽管如此，与用户数据的机密性和完整性相关的关键安全问题仍然存在。超过 12 亿台消费设备正在使用，其用户数据各不相同。尽管如此，用户生物识别信息（例如指纹、语音和面部映射）的保密性仍然受到损害，导致消费者及其宝贵的储蓄遭受重大损失。为了克服这个问题，该研究引入了指纹模板保护框架，以确保用户生物识别信息在消费电子设备上的安全，防止用户数据被篡改。所提出的方法是轻量级的，可以在资源受限的设备上平稳运行，并能有效地提取特征并标准化用户指纹数据。该模型利用 AES-256 Galois 计数器模式 (GCM) 和面向 PIN 的密钥以及基于点阵的轻量级随机生成器来保护用户信息。与 RC5 (59.6%)、ElGamal (91.1%) 和 RSA (92.35%) 等其他最先进的方法相比，所提出的框架以最小的加密和解密周转时间实现了 98.69% 的假指纹检测准确率。实验结果表明，所提出的框架在安全性和数据可访问性方面均具有优越性。在消费电子产品中集成基于点阵的轻量级随机发生器可提高安全性并实现更可靠的设备应用程序。</w:t>
      </w:r>
    </w:p>
    <w:p>
      <w:pPr>
        <w:spacing w:before="120"/>
      </w:pPr>
      <w:r>
        <w:rPr>
          <w:rFonts w:ascii="Times New Roman" w:hAnsi="Times New Roman" w:eastAsia="宋体"/>
          <w:b/>
          <w:sz w:val="21"/>
        </w:rPr>
        <w:t>English Abstract:</w:t>
      </w:r>
    </w:p>
    <w:p>
      <w:r>
        <w:rPr>
          <w:rFonts w:ascii="Times New Roman" w:hAnsi="Times New Roman" w:eastAsia="宋体"/>
          <w:sz w:val="21"/>
        </w:rPr>
        <w:t>In recent technological advancements, consumer electronics such as mobile phones and edge devices have expanded rapidly. Still, critical security issues related to the confidentiality and integrity of user data is persistent. Over 1.2 billion consumer devices are in use, with varying user data. Still the secrecy of user biometric information, such as fingerprints, voice, and facial mapping is being compromised, leading to significant losses for consumers and their valuable savings. To overcome this, the study introduces a fingerprint-template protection framework to keep user biometric information safe on consumer electronic devices, preventing tampering with user data. The proposed methodology is lightweight and runs smoothly on resource-constrained devices, with an effective feature extraction and normalization of user fingerprint data. The model utilizes AES-256 Galois counter mode (GCM) with PIN oriented keys and a lightweight lattice-based randomness generator to secure user information. The proposed framework achieves a fake fingerprint detection accuracy of 98.69% with minimum turnaround for encryption and decryption, compared with other state-of-the-art methods such as RC5 (59.6%), ElGamal (91.1%), and RSA (92.35%). The experimental results show that the proposed framework is superior in both security and data accessibility. Integration of lightweight lattice-based randomness generators in consumer electronics improves security and enables more reliable on-device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多囊卵巢综合征女性与排卵对照女性的24小时动态血压及相关因素</w:t>
      </w:r>
    </w:p>
    <w:p>
      <w:r>
        <w:rPr>
          <w:rFonts w:ascii="Times New Roman" w:hAnsi="Times New Roman" w:eastAsia="宋体"/>
          <w:b/>
          <w:color w:val="003264"/>
          <w:sz w:val="24"/>
        </w:rPr>
        <w:t>24-hour ambulatory blood pressure and associated factors in women with polycystic ovary syndrome compared with ovulatory controls</w:t>
      </w:r>
    </w:p>
    <w:p>
      <w:r>
        <w:rPr>
          <w:rFonts w:ascii="Times New Roman" w:hAnsi="Times New Roman" w:eastAsia="宋体"/>
          <w:sz w:val="21"/>
        </w:rPr>
        <w:t>作者: Maria de Fátima Azevedo, Ana Kleyce Coreia Rocha, Livia Maria Bezerra de Melo, Luciana Medeiros Bezerra de Melo, Romena Leão Azevedo Catão, Eduardo Caldas Costa</w:t>
        <w:br/>
      </w:r>
      <w:r>
        <w:rPr>
          <w:rFonts w:ascii="Times New Roman" w:hAnsi="Times New Roman" w:eastAsia="宋体"/>
          <w:sz w:val="21"/>
        </w:rPr>
        <w:t xml:space="preserve">时间: 2026-02-04 | </w:t>
      </w:r>
      <w:r>
        <w:t xml:space="preserve">链接: </w:t>
      </w:r>
      <w:hyperlink r:id="rId35">
        <w:r>
          <w:rPr>
            <w:rFonts w:ascii="Times New Roman" w:hAnsi="Times New Roman" w:eastAsia="宋体"/>
            <w:color w:val="0000FF"/>
            <w:sz w:val="21"/>
            <w:u w:val="single"/>
          </w:rPr>
          <w:t>https://doi.org/10.1038/s41598-026-38731-0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比较多囊卵巢综合征 (PCOS) 女性与排卵对照女性之间的 24 小时动态血压 (ABP)，并探讨 PCOS 女性 ABP 的潜在人体测量、激素、代谢和炎症相关性。在这项横断面研究中，50 名患有 PCOS 的女性（按照鹿特丹标准诊断）和 50 名排卵对照者接受了办公室 24 小时 ABP 监测。评估临床、人体测量、激素、代谢和炎症参数。组间比较根据体重指数（BMI）进行调整。 LASSO 回归用于识别与 PCOS 组 ABP 独立相关的变量。与对照组相比，PCOS 女性的 24 小时和白天平均动脉压和心率显着升高，即使在调整 BMI 后也是如此 (p &lt; 0.05)。夜间 ABP 或诊室血压没有观察到差异 (p &gt; 0.05)。 PCOS 参与者表现出更不利的心脏代谢特征，包括较高的 BMI、腰围、胰岛素、糖化血红蛋白、甘油三酯、肌酐和 TNF-α，以及较低的雌二醇和黄体酮水平。在 LASSO 模型中，BMI 成为所有时期 ABP 唯一一致的独立预测因子。其他预测因子，如 HbA1c（夜间平均血压）、肌酐（日间舒张压）和腰围（日间收缩压）均保留在特定模型中，而大多数激素、代谢和炎症标志物与 PCOS 组的 ABP 无关。总之，与排卵对照相比，患有 PCOS 的女性表现出更高的 24 小时和白天 ABP，与 BMI 无关。根据 BMI 评估，肥胖似乎是该人群中与 ABP 相关的关键因素。这些发现强调了 24 小时 ABP 监测和体重管理在 PCOS 女性心血管风险评估和护理中的重要性。</w:t>
      </w:r>
    </w:p>
    <w:p>
      <w:pPr>
        <w:spacing w:before="120"/>
      </w:pPr>
      <w:r>
        <w:rPr>
          <w:rFonts w:ascii="Times New Roman" w:hAnsi="Times New Roman" w:eastAsia="宋体"/>
          <w:b/>
          <w:sz w:val="21"/>
        </w:rPr>
        <w:t>English Abstract:</w:t>
      </w:r>
    </w:p>
    <w:p>
      <w:r>
        <w:rPr>
          <w:rFonts w:ascii="Times New Roman" w:hAnsi="Times New Roman" w:eastAsia="宋体"/>
          <w:sz w:val="21"/>
        </w:rPr>
        <w:t>To compare 24-hour ambulatory blood pressure (ABP) between women with polycystic ovary syndrome (PCOS) and ovulatory controls, and to explore potential anthropometric, hormonal, metabolic, and inflammatory correlates of ABP in women with PCOS. In this cross-sectional study, 50 women with PCOS (diagnosed by Rotterdam criteria) and 50 ovulatory controls underwent office and 24-hour ABP monitoring. Clinical, anthropometric, hormonal, metabolic, and inflammatory parameters were assessed. Between-group comparisons were adjusted for body mass index (BMI). LASSO regression was used to identify variables independently associated with ABP in the PCOS group. Women with PCOS showed significantly higher 24-hour and daytime mean arterial pressure and heart rate compared to controls, even after adjustment for BMI (p &lt; 0.05). No differences were observed in nighttime ABP or office blood pressure (p &gt; 0.05). PCOS participants exhibited a more adverse cardiometabolic profile, including higher BMI, waist circumference, insulin, HbA1c, triglycerides, creatinine, and TNF-alfa, along with lower estradiol and progesterone levels. In LASSO models, BMI emerged as the only consistent independent predictor of ABP across all periods. Additional predictors, such as HbA1c (nighttime mean BP), creatinine (daytime diastolic BP), and waist circumference (daytime systolic BP), were retained in specific models, while most hormonal, metabolic, and inflammatory markers were not associated with ABP in the PCOS group. In summary, women with PCOS exhibit higher 24-hour and daytime ABP compared to ovulatory controls, independently of BMI. Adiposity, as assessed by BMI, appears to be a key factor associated with ABP in this population. These findings highlight the importance of 24-hour ABP monitoring and weight management in the cardiovascular risk assessment and care of women with PCOS.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 COVID-19 大流行对性健康和生殖健康的影响：一项信息流行病学调查</w:t>
      </w:r>
    </w:p>
    <w:p>
      <w:r>
        <w:rPr>
          <w:rFonts w:ascii="Times New Roman" w:hAnsi="Times New Roman" w:eastAsia="宋体"/>
          <w:b/>
          <w:color w:val="003264"/>
          <w:sz w:val="24"/>
        </w:rPr>
        <w:t>Sexual and reproductive health consequences of COVID-19 pandemic in Nigeria: an infodemiological survey</w:t>
      </w:r>
    </w:p>
    <w:p>
      <w:r>
        <w:rPr>
          <w:rFonts w:ascii="Times New Roman" w:hAnsi="Times New Roman" w:eastAsia="宋体"/>
          <w:sz w:val="21"/>
        </w:rPr>
        <w:t>作者: R. E. Akhigbe, M. A. Hamed, D. H. Adeyemi, T. M. Akhigbe</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https://doi.org/10.1038/s41598-026-38746-7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本研究分析了常见性和生殖健康状况（例如性、色情、强奸、避孕、堕胎、性传播感染、性传播感染、勃起功能障碍和 ED）的互联网搜索行为及其与 COVID-19 的关联。这项信息流行病学调查利用 Google Trends 分析了 2018 年 10 月 1 日至 2021 年 8 月 1 日期间尼日利亚选定的性健康和生殖健康状况的互联网搜索行为，分为新冠疫情前和 2020 年 3 月 1 日新冠疫情期间。提取的数据包括查询最多的州、人口最多的州、上升的查询和热门查询的搜索量指数 (SVI)。 Mann-Whitney U 检验用于比较新冠疫情前和新冠疫情期间的平均 SVI，而 Spearman 的排序相关性则用于使用 SPSS 统计包确定性健康和生殖健康指数与 COVID-19 之间的关联。 P 值 &lt; 0.05 被认为是显着的。与新冠疫情之前相比，新冠疫情期间，网上对“如何强奸”、“后遗症”、“什么是性病”、“性病的含义”、“什么是勃起功能障碍”和“勃起功能障碍治疗”等术语的兴趣有所增加。此外，与新冠疫情爆发前相比，大流行期间强奸、避孕、堕胎、性传播感染和 ED 的 SVI 有所减少。此外，色情的 SVI 有所增加，而性的 SVI 在大流行期间没有变化。 COVID 的 SVI 与色情呈正相关，但与强奸、避孕、堕胎、性传播感染和 ED 呈负相关。疫情期间，强奸意图、对紧急避孕药（如事后避孕）、性传播感染事件和性传播感染自我诊断、性传播感染事件以及性传播感染自我诊断和自我管理的需求有所增加。这些发现与色情消费的增加有关，如色情 SVI 的增加所示。 COVID-19 大流行极大地影响了尼日利亚与性和生殖健康相关的互联网搜索行为，这表现在人们对某些健康查询的兴趣增加，例如与性暴力、紧急避孕和勃起功能障碍相关的查询，同时色情内容搜索也有所增加。相比之下，与避孕、堕胎和性传播感染 (STI) 相关的术语的搜索兴趣有所下降。这些模式表明，在大流行期间，性健康话题的在线参与度增加与态度或行为的改变之间存在着复杂的相互作用。研究结果可以通过强调新兴趋势以及在 COVID-19 期间和之后不断变化的性健康和生殖健康问题的背景下对有针对性的健康教育和服务的需求，为公共卫生举措提供信息。</w:t>
      </w:r>
    </w:p>
    <w:p>
      <w:pPr>
        <w:spacing w:before="120"/>
      </w:pPr>
      <w:r>
        <w:rPr>
          <w:rFonts w:ascii="Times New Roman" w:hAnsi="Times New Roman" w:eastAsia="宋体"/>
          <w:b/>
          <w:sz w:val="21"/>
        </w:rPr>
        <w:t>English Abstract:</w:t>
      </w:r>
    </w:p>
    <w:p>
      <w:r>
        <w:rPr>
          <w:rFonts w:ascii="Times New Roman" w:hAnsi="Times New Roman" w:eastAsia="宋体"/>
          <w:sz w:val="21"/>
        </w:rPr>
        <w:t>The present study analyzed the internet search behavior of common sexual and reproductive health conditions (such as sex, porn, rape, contraceptive, abortion, sexually transmitted infections, STI, erectile dysfunction, and ED) and their associations with COVID-19. This infodemiological survey employed Google Trends to analyze the internet search behavior of selected sexual and reproductive health conditions in Nigeria from October 1, 2018, to August 1, 2021, which was divided into the pre-COVID and COVID periods on March 1, 2020. The extracted data included search volume index (SVIs) for the top queried state, most populated state, rising queries, and top queries. Mann-Whitney U test was used to compare the mean SVIs for the pre-COVID and COVID periods, while Spearman’s rank-order correlation was conducted to determine the association between the sexual and reproductive health indices and COVID-19 using the SPSS statistical package. P-values &lt; 0.05 were considered significant. The online interest in terms such as “how to rape”, “postinor”, “what is sti”, “meaning of sti”, “what is erectile dysfunction”, and “erectile dysfunction treatment” increased during the COVID pandemic compared to the pre-COVID period. Also, the SVIs for rape, contraceptive, abortion, STI, and ED reduced during the pandemic compared to the pre-COVID period. In addition, the SVI for porn increased, while that for sex was unaltered during the pandemic. SVI for COVID was positively correlated with porn but negatively correlated with rape, contraceptive, abortion, STI, and ED. The intent of rape, the need for an emergency contraceptive such as postinor, incident STI and self-diagnosis of STI, and incident ED and self-diagnosis and self-management of STI increased during the pandemic. These findings are associated with increased porn consumption as depicted by a rise in porn SVI. The COVID-19 pandemic considerably influenced internet search behavior related to sexual and reproductive health in Nigeria as shown by an increased interest in certain health queries, such as those related to sexual violence, emergency contraception, and erectile dysfunction, alongside a rise in pornographic content searches. In contrast, there was a decrease in search interest for terms related to contraception, abortion, and sexually transmitted infections (STIs). These patterns suggest a complex interplay between increased online engagement with sexual health topics and altered attitudes or behaviors during the pandemic. The findings could inform public health initiatives by highlighting emerging trends and the need for targeted health education and services in the context of evolving sexual and reproductive health concerns during and post-COVID-19.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结肠内吞细胞镜染色质量的新型评分量表的开发和验证</w:t>
      </w:r>
    </w:p>
    <w:p>
      <w:r>
        <w:rPr>
          <w:rFonts w:ascii="Times New Roman" w:hAnsi="Times New Roman" w:eastAsia="宋体"/>
          <w:b/>
          <w:color w:val="003264"/>
          <w:sz w:val="24"/>
        </w:rPr>
        <w:t>Development and validation of a novel scoring scale for colonic endocytoscopy staining quality</w:t>
      </w:r>
    </w:p>
    <w:p>
      <w:r>
        <w:rPr>
          <w:rFonts w:ascii="Times New Roman" w:hAnsi="Times New Roman" w:eastAsia="宋体"/>
          <w:sz w:val="21"/>
        </w:rPr>
        <w:t>作者: Jiawei Fan, He Zhu, Mingqing Liu, Fengming Ni, Dong Yang, Guohua Jin, Ke Tao, Hong Xu</w:t>
        <w:br/>
      </w:r>
      <w:r>
        <w:rPr>
          <w:rFonts w:ascii="Times New Roman" w:hAnsi="Times New Roman" w:eastAsia="宋体"/>
          <w:sz w:val="21"/>
        </w:rPr>
        <w:t xml:space="preserve">时间: 2026-02-04 | </w:t>
      </w:r>
      <w:r>
        <w:t xml:space="preserve">链接: </w:t>
      </w:r>
      <w:hyperlink r:id="rId37">
        <w:r>
          <w:rPr>
            <w:rFonts w:ascii="Times New Roman" w:hAnsi="Times New Roman" w:eastAsia="宋体"/>
            <w:color w:val="0000FF"/>
            <w:sz w:val="21"/>
            <w:u w:val="single"/>
          </w:rPr>
          <w:t>https://doi.org/10.1038/s41598-026-37406-0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摘要背景 虽然内吞镜允许进行体内细胞水平观察，但实现高质量染色仍然是一个技术挑战。目的 开发并验证一种简单、可靠的量表，用于评估和提高内吞细胞镜染色质量。方法 我们制定了四维染色质量评分，并在回顾性图像队列 (n = 2692) 上对其进行了验证。评估了量表的信度、效度和内部一致性，并使用多项回归确定了相关因素。然后，该量表在单独的回顾性图像队列 (n = 2413) 中进行了外部验证，以确认其临床适用性。结果该量表显示出评定者间一致性（ICC = 0.992）和可靠性（Cronbach's alpha = 0.81），单个主因素解释了 62.3% 的方差。金标准得分与 AOD 值之间的 Spearman 相关性为 0.81。染色质量受病变特征和医生经验的影响（P &lt; 0.05）。经过一个月的培训，初级医生与金标准分数的一致性有所提高，Kappa 值从 0.61、0.66 和 0.69 上升到 0.81、0.83 和 0.82。较高的染色质量也与细胞镜成像和组织病理学之间更好的一致性显着相关（P &lt; 0.001）。结论 该内吞细胞镜染色质量评分是指导技术改进和提高诊断准确性的可靠有效的工具。</w:t>
      </w:r>
    </w:p>
    <w:p>
      <w:pPr>
        <w:spacing w:before="120"/>
      </w:pPr>
      <w:r>
        <w:rPr>
          <w:rFonts w:ascii="Times New Roman" w:hAnsi="Times New Roman" w:eastAsia="宋体"/>
          <w:b/>
          <w:sz w:val="21"/>
        </w:rPr>
        <w:t>English Abstract:</w:t>
      </w:r>
    </w:p>
    <w:p>
      <w:r>
        <w:rPr>
          <w:rFonts w:ascii="Times New Roman" w:hAnsi="Times New Roman" w:eastAsia="宋体"/>
          <w:sz w:val="21"/>
        </w:rPr>
        <w:t>Abstract Background While endocytoscopy allows for in vivo cellular-level observation, achieving high-quality staining remains a technical challenge. Aims To develop and validate a simple, reliable scale for assessing and improving endocytoscopic staining quality. Methods We developed a four-dimension staining quality score and validated it on a retrospective image cohort (n = 2692). The scale’s reliability, validity, and internal consistency were assessed, and associated factors were identified using multinomial regression. The scale was then externally validated in a separate retrospective image cohort (n = 2413) to confirm its clinical applicability. Results The scale showed inter-rater agreement (ICC = 0.992) and reliability (Cronbach’s alpha = 0.81), with a single principal factor explaining 62.3% of variance.The Spearman correlation between the gold standard score and AOD value was 0.81. Staining quality was influenced by lesion characteristics and physician experience (P &lt; 0.05). After one month of training, junior physicians showed improved agreement with gold standard scores, with Kappa values rising from 0.61, 0.66, and 0.69 to 0.81, 0.83, and 0.82. Higher staining quality was also significantly associated with better concordance between Endocytoscopy imaging and histopathology (P &lt; 0.001). Conclusion This endocytoscopic staining quality score is a reliable and valid tool to guide technique refinement and improve diagnostic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5XFAD 小鼠中参考基因随年龄和性别的变化凸显了阿尔茨海默氏症模型正常化的挑战</w:t>
      </w:r>
    </w:p>
    <w:p>
      <w:r>
        <w:rPr>
          <w:rFonts w:ascii="Times New Roman" w:hAnsi="Times New Roman" w:eastAsia="宋体"/>
          <w:b/>
          <w:color w:val="003264"/>
          <w:sz w:val="24"/>
        </w:rPr>
        <w:t>Reference gene variability across age and sex in 5XFAD mice highlights normalization challenges in Alzheimer’s models</w:t>
      </w:r>
    </w:p>
    <w:p>
      <w:r>
        <w:rPr>
          <w:rFonts w:ascii="Times New Roman" w:hAnsi="Times New Roman" w:eastAsia="宋体"/>
          <w:sz w:val="21"/>
        </w:rPr>
        <w:t>作者: Eleonora Daini, Kristy Antonioni, Monica Piemontese, Martina Bodria, Michele Zoli, Antonietta Vilella</w:t>
        <w:br/>
      </w:r>
      <w:r>
        <w:rPr>
          <w:rFonts w:ascii="Times New Roman" w:hAnsi="Times New Roman" w:eastAsia="宋体"/>
          <w:sz w:val="21"/>
        </w:rPr>
        <w:t xml:space="preserve">时间: 2026-02-04 | </w:t>
      </w:r>
      <w:r>
        <w:t xml:space="preserve">链接: </w:t>
      </w:r>
      <w:hyperlink r:id="rId38">
        <w:r>
          <w:rPr>
            <w:rFonts w:ascii="Times New Roman" w:hAnsi="Times New Roman" w:eastAsia="宋体"/>
            <w:color w:val="0000FF"/>
            <w:sz w:val="21"/>
            <w:u w:val="single"/>
          </w:rPr>
          <w:t>https://doi.org/10.1038/s41598-026-38346-5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 (AD) 等神经退行性疾病的基因表达谱通常使用实时定量聚合酶链反应 (RT-qPCR) 进行。该技术的准确性在很大程度上依赖于选择合适的参考基因（RG）进行标准化和内部控制。理想情况下，RG 应保持一致的转录水平，不受细胞或病理变化的影响。然而，识别稳定的 RG 具有挑战性，特别是在 AD 等疾病中，基因表达在不同疾病阶段会发生波动。本研究旨在确定雄性和雌性 5XFAD 小鼠（家族性 AD 模型）的两个大脑区域 - 皮质 (CTX) 和海马 (HIPP) 中最稳定的 RG。使用 GeNorm、NormFinder、BestKeeper 和 EndoGene 算法评估了五种常用 RG（即 Gapdh、Ppia、Rer1、Rpl27 和 Rps29）在三个 AD 阶段的稳定性：前驱期（2 个月龄）、早期（4 个月）和晚期（7 个月和 10 个月）。结果揭示了 RG 表达稳定性的区域、性别和时间依赖性差异，反映了 CTX 和 HIPP 对 Aβ 病理学的明显脆弱性。使用两个最稳定的 RG 进行标准化可以提高靶基因表达分析的精度、减少变异性并提高显着性水平。这些发现强调了在特定实验条件下验证 RG 的必要性，以确保 AD 研究中可靠的 RT-qPCR 定量。</w:t>
      </w:r>
    </w:p>
    <w:p>
      <w:pPr>
        <w:spacing w:before="120"/>
      </w:pPr>
      <w:r>
        <w:rPr>
          <w:rFonts w:ascii="Times New Roman" w:hAnsi="Times New Roman" w:eastAsia="宋体"/>
          <w:b/>
          <w:sz w:val="21"/>
        </w:rPr>
        <w:t>English Abstract:</w:t>
      </w:r>
    </w:p>
    <w:p>
      <w:r>
        <w:rPr>
          <w:rFonts w:ascii="Times New Roman" w:hAnsi="Times New Roman" w:eastAsia="宋体"/>
          <w:sz w:val="21"/>
        </w:rPr>
        <w:t>Gene expression profiling in neurodegenerative diseases such as Alzheimer’s Disease (AD) is frequently performed using real-time quantitative polymerase chain reaction (RT-qPCR). The accuracy of this technique relies heavily on selecting suitable reference genes (RGs) for normalization and internal control. Ideally, RGs should maintain consistent transcription levels, unaffected by cellular or pathological changes. However, identifying stable RGs is challenging, particularly in diseases like AD, where gene expression fluctuates across disease stages. This study aimed to determine the most stable RGs in two brain regions - cortex (CTX) and hippocampus (HIPP) - of male and female 5XFAD mice, a model of familial AD. The stability of five commonly used RGs namely Gapdh, Ppia, Rer1, Rpl27 and Rps29, was evaluated using GeNorm, NormFinder, BestKeeper, and EndoGene algorithms across three AD stages: prodromal (2 months of age, mo), early (4 mo), and late (7 and 10 mo). Results revealed region-, sex-, and time-dependent differences in RG expression stability, reflecting the distinct vulnerability of CTX and HIPP to Aβ pathology. Using the two most stable RGs for normalization improved precision, reducing variability and increasing the significance level in target gene expression analyses. These findings emphasize the necessity of validating RGs under specific experimental conditions to ensure reliable RT-qPCR quantification in AD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火山灰介导的锰循环塑造珊瑚对沿海沉积的反应</w:t>
      </w:r>
    </w:p>
    <w:p>
      <w:r>
        <w:rPr>
          <w:rFonts w:ascii="Times New Roman" w:hAnsi="Times New Roman" w:eastAsia="宋体"/>
          <w:b/>
          <w:color w:val="003264"/>
          <w:sz w:val="24"/>
        </w:rPr>
        <w:t>Tephra-mediated manganese cycling shapes coral responses to coastal sedimentation</w:t>
      </w:r>
    </w:p>
    <w:p>
      <w:r>
        <w:rPr>
          <w:rFonts w:ascii="Times New Roman" w:hAnsi="Times New Roman" w:eastAsia="宋体"/>
          <w:sz w:val="21"/>
        </w:rPr>
        <w:t>作者: Frank Förster, Christine Ferrier-Pagès, Allan Fries, Erouscilla Joseph, Tom E. Sheldrake</w:t>
        <w:br/>
      </w:r>
      <w:r>
        <w:rPr>
          <w:rFonts w:ascii="Times New Roman" w:hAnsi="Times New Roman" w:eastAsia="宋体"/>
          <w:sz w:val="21"/>
        </w:rPr>
        <w:t xml:space="preserve">时间: 2026-02-04 | </w:t>
      </w:r>
      <w:r>
        <w:t xml:space="preserve">链接: </w:t>
      </w:r>
      <w:hyperlink r:id="rId39">
        <w:r>
          <w:rPr>
            <w:rFonts w:ascii="Times New Roman" w:hAnsi="Times New Roman" w:eastAsia="宋体"/>
            <w:color w:val="0000FF"/>
            <w:sz w:val="21"/>
            <w:u w:val="single"/>
          </w:rPr>
          <w:t>https://doi.org/10.1038/s41598-026-38388-9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来自热带火山岛的陆地径流通过增加浑浊度和沉积作用影响珊瑚礁。在火山爆发期间，大量碎裂的火山岩（火山灰）沉积下来，长期加剧沉积物径流。然而，火山灰是必需微量金属锰 (Mn) 的重要来源，但被低估了，锰可促进珊瑚的光合作用。在这里，我们表明从原始和重新流动的火山灰中浸出的锰可以提高对沉积应力的恢复能力。通过珊瑚培养实验，暴露于四种火山灰样本的 Stylophora pistillata 小菌落均表现出光合效率（ΦPSII、rETR、Pn 和 Pgross）快速且持续的增加，即使在光照条件较差的情况下也是如此。光合效率与海水锰浓度呈对数相关，在值 &lt; 3 µg Mn L− 1 时大幅增加，而在值 &gt; 10 µg Mn L− 1 时变化可忽略不计。 接触火山灰在沿海锰循环中发挥着至关重要的作用，并可能对环境干扰后应激的珊瑚有益。</w:t>
      </w:r>
    </w:p>
    <w:p>
      <w:pPr>
        <w:spacing w:before="120"/>
      </w:pPr>
      <w:r>
        <w:rPr>
          <w:rFonts w:ascii="Times New Roman" w:hAnsi="Times New Roman" w:eastAsia="宋体"/>
          <w:b/>
          <w:sz w:val="21"/>
        </w:rPr>
        <w:t>English Abstract:</w:t>
      </w:r>
    </w:p>
    <w:p>
      <w:r>
        <w:rPr>
          <w:rFonts w:ascii="Times New Roman" w:hAnsi="Times New Roman" w:eastAsia="宋体"/>
          <w:sz w:val="21"/>
        </w:rPr>
        <w:t>Terrestrial runoff from tropical volcanic islands impacts coral reefs by increasing turbidity and sedimentation. During explosive volcanic eruptions, large amounts of fragmented volcanogenic rock (tephra) are deposited, exacerbating sediment runoff for long periods of time. Nevertheless, tephra is an important, yet underestimated, source of the essential trace metal manganese (Mn), which promotes coral photosynthesis. Here, we show Mn leached from pristine and remobilised tephra increases resilience to sedimentation stress. Using coral culture experiments, microcolonies of Stylophora pistillata exposed to four tephra samples all showed rapid and sustained increases in photosynthetic efficiency (ΦPSII, rETR, Pn and Pgross), even under reduced light conditions. Photosynthetic efficiency is logarithmically correlated to seawater Mn concentration, with large increases at values &lt; 3 µg Mn L− 1, and negligible changes at values &gt; 10 µg Mn L− 1. Tephra exposure has a crucial role in coastal Mn cycling and potentially benefits stressed corals following environmental disturbances.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发达地区传统村落空间格局及影响因素——以浙江省为例</w:t>
      </w:r>
    </w:p>
    <w:p>
      <w:r>
        <w:rPr>
          <w:rFonts w:ascii="Times New Roman" w:hAnsi="Times New Roman" w:eastAsia="宋体"/>
          <w:b/>
          <w:color w:val="003264"/>
          <w:sz w:val="24"/>
        </w:rPr>
        <w:t>Spatial patterns and influencing factors of traditional villages in developed regions: a case study of Zhejiang Province, China</w:t>
      </w:r>
    </w:p>
    <w:p>
      <w:r>
        <w:rPr>
          <w:rFonts w:ascii="Times New Roman" w:hAnsi="Times New Roman" w:eastAsia="宋体"/>
          <w:sz w:val="21"/>
        </w:rPr>
        <w:t>作者: Ding Chuanbiao, He Yuzhe, Wang Jiacheng, Zheng Yiyi, Wang Zhengzheng, Bai Congxia, Yan Dan</w:t>
        <w:br/>
      </w:r>
      <w:r>
        <w:rPr>
          <w:rFonts w:ascii="Times New Roman" w:hAnsi="Times New Roman" w:eastAsia="宋体"/>
          <w:sz w:val="21"/>
        </w:rPr>
        <w:t xml:space="preserve">时间: 2026-02-04 | </w:t>
      </w:r>
      <w:r>
        <w:t xml:space="preserve">链接: </w:t>
      </w:r>
      <w:hyperlink r:id="rId40">
        <w:r>
          <w:rPr>
            <w:rFonts w:ascii="Times New Roman" w:hAnsi="Times New Roman" w:eastAsia="宋体"/>
            <w:color w:val="0000FF"/>
            <w:sz w:val="21"/>
            <w:u w:val="single"/>
          </w:rPr>
          <w:t>https://doi.org/10.1038/s41598-026-38128-z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村落在乡村发展中发挥着重要作用，推动了我国乡村振兴、民族文化复兴。本研究以浙江省701个民族传统村落为研究对象，利用最近邻指数和核密度分析方法分析其空间分布。利用地理探测器定量识别影响空间分布的因素及其相互作用效应。研究结果表明：（1）浙江省传统村落呈现出独特的“两核多点”空间集聚特征，民族分化明显。少数民族村寨主要分布在浙西南山区。 （2）海拔、人均可支配收入、社会固定资产投资、人均GDP是驱动该地区传统村落空间分异的关键因素。 (3)交叉检测揭示了浙江省传统村落的空间分布是在自然、经济和社会因素的共同影响下演变的。这种演变涵盖了以自然环境位置和随后社会经济发展中的保护为特征的时期。该研究量化了自然和经济因素对中国发达省份传统村落分布和保护的影响，确定了居民收入和社会固定资产投资对其保留模式的影响。</w:t>
      </w:r>
    </w:p>
    <w:p>
      <w:pPr>
        <w:spacing w:before="120"/>
      </w:pPr>
      <w:r>
        <w:rPr>
          <w:rFonts w:ascii="Times New Roman" w:hAnsi="Times New Roman" w:eastAsia="宋体"/>
          <w:b/>
          <w:sz w:val="21"/>
        </w:rPr>
        <w:t>English Abstract:</w:t>
      </w:r>
    </w:p>
    <w:p>
      <w:r>
        <w:rPr>
          <w:rFonts w:ascii="Times New Roman" w:hAnsi="Times New Roman" w:eastAsia="宋体"/>
          <w:sz w:val="21"/>
        </w:rPr>
        <w:t>Traditional villages play a vital role in rural development by promoting the revitalization of China’s rural areas and the rejuvenation of national culture. This study examines 701 national traditional villages in Zhejiang Province, analyzing their spatial distribution using the nearest neighbor index, and kernel density analysis. Geographic detectors were employed to quantitatively identify the factors influencing spatial distribution and their interaction effects. Findings indicate: (1) Traditional villages in Zhejiang Province display unique spatial agglomeration characteristics described as “two cores and multiple points,” accompanied by notable ethnic differentiation. Predominantly, minority villages are situated in the mountainous regions of southwestern Zhejiang. (2) Elevation, per capita disposable income, social fixed asset investment, per capita GDP, are key factors driving the spatial differentiation of traditional villages in the region. (3) Cross detection reveals that the spatial distribution of traditional villages in Zhejiang Province has evolved through the combined influence of natural, economic, and social factors. This evolution encompasses periods characterized by natural environmental location and subsequent preservation amid socio-economic development. The study quantifies the impact of natural and economic factors on the distribution and preservation of traditional villages in China’s developed provinces, identifying the influence of residential income and social fixed asset investment on their retention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自动驾驶车辆中具有照明适应的多模式道路感知</w:t>
      </w:r>
    </w:p>
    <w:p>
      <w:r>
        <w:rPr>
          <w:rFonts w:ascii="Times New Roman" w:hAnsi="Times New Roman" w:eastAsia="宋体"/>
          <w:b/>
          <w:color w:val="003264"/>
          <w:sz w:val="24"/>
        </w:rPr>
        <w:t>Multimodal road perception with illumination adaptation in autonomous vehicles</w:t>
      </w:r>
    </w:p>
    <w:p>
      <w:r>
        <w:rPr>
          <w:rFonts w:ascii="Times New Roman" w:hAnsi="Times New Roman" w:eastAsia="宋体"/>
          <w:sz w:val="21"/>
        </w:rPr>
        <w:t>作者: Jinri Wei, Yi Mo, Caiyu Su, Xueping Li</w:t>
        <w:br/>
      </w:r>
      <w:r>
        <w:rPr>
          <w:rFonts w:ascii="Times New Roman" w:hAnsi="Times New Roman" w:eastAsia="宋体"/>
          <w:sz w:val="21"/>
        </w:rPr>
        <w:t xml:space="preserve">时间: 2026-02-04 | </w:t>
      </w:r>
      <w:r>
        <w:t xml:space="preserve">链接: </w:t>
      </w:r>
      <w:hyperlink r:id="rId41">
        <w:r>
          <w:rPr>
            <w:rFonts w:ascii="Times New Roman" w:hAnsi="Times New Roman" w:eastAsia="宋体"/>
            <w:color w:val="0000FF"/>
            <w:sz w:val="21"/>
            <w:u w:val="single"/>
          </w:rPr>
          <w:t>https://doi.org/10.1038/s41598-025-31173-0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自动驾驶技术的发展正在重塑交通方式。然而，雨、雾、夜间等弱光条件下感知能力的显着下降仍然是限制其广泛应用的关键瓶颈。本文提出了 SafeDrive-Fusion，这是一种新型的光照自适应多模态感知框架，引入动态跨模态注意力融合和安全关键区域优先级，以实现自动驾驶中稳健的道路通行性评估。与现有的静态融合方法不同，该框架通过创新的照明自适应加权机制解决了昏暗环境中感知能力显着降低的问题，该机制动态集成视觉和雷达信息，同时优先考虑安全关键的道路区域。实验结果表明，即使在极弱光条件下，SafeDrive-Fusion也能保持87.5%的准确率，性能下降仅为6.1%，远远优于现有方法16.6%-34.8%的下降范围。特别是在安全关键的“危险情况”识别中，该系统的 F1 得分为 0.82，比基线方法高出 0.40。通过其光照自适应模态权重动态调整机制，系统可以根据环境条件自动调整其对不同模态的依赖性。随着照度从正常降低到极低，雷达模态权重从 25% 增加到 62%。同时，SafeDrive-Fusion具有45ms的低计算延迟，满足自动驾驶的实时要求。</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autonomous driving technology is reshaping transportation methods. However, the significant decline in perception capabilities under low-light conditions such as rain, fog, and nighttime remains a key bottleneck restricting its widespread application. This paper proposes SafeDrive-Fusion, a novel illumination-adaptive multimodal perception framework that introduces dynamic cross-modal attention fusion and safety-critical region prioritization for robust road passability assessment in autonomous driving. Unlike existing static fusion approaches, this framework addresses the problem of significantly reduced perception capabilities in dim environments through an innovative illumination-adaptive weighting mechanism that dynamically integrates visual and radar information while prioritizing safety-critical road regions. Experimental results show that SafeDrive-Fusion maintains 87.5% accuracy even under extremely low-light conditions, with a performance degradation of only 6.1%, far superior to existing methods’ degradation range of 16.6%-34.8%. Particularly in safety-critical “hazardous situation” recognition, the system achieves an F1 score of 0.82, which is 0.40 higher than baseline methods. Through its illumination-adaptive modal weight dynamic adjustment mechanism, the system can automatically adjust its dependence on different modalities according to environmental conditions. As illumination decreases from normal to extremely low, the radar modality weight increases from 25% to 62%. Meanwhile, SafeDrive-Fusion features a low computational latency of 45ms, meeting the real-time requirements of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通过智能优化和进化算法为随机性测试人员生成边界测试样本</w:t>
      </w:r>
    </w:p>
    <w:p>
      <w:r>
        <w:rPr>
          <w:rFonts w:ascii="Times New Roman" w:hAnsi="Times New Roman" w:eastAsia="宋体"/>
          <w:b/>
          <w:color w:val="003264"/>
          <w:sz w:val="24"/>
        </w:rPr>
        <w:t>Generating borderline test samples for randomness testers via intelligent optimization and evolutionary algorithms</w:t>
      </w:r>
    </w:p>
    <w:p>
      <w:r>
        <w:rPr>
          <w:rFonts w:ascii="Times New Roman" w:hAnsi="Times New Roman" w:eastAsia="宋体"/>
          <w:sz w:val="21"/>
        </w:rPr>
        <w:t>作者: Peng Gao, Bin Zhang, Ziyuan Wang, Chenglong Li</w:t>
        <w:br/>
      </w:r>
      <w:r>
        <w:rPr>
          <w:rFonts w:ascii="Times New Roman" w:hAnsi="Times New Roman" w:eastAsia="宋体"/>
          <w:sz w:val="21"/>
        </w:rPr>
        <w:t xml:space="preserve">时间: 2026-02-04 | </w:t>
      </w:r>
      <w:r>
        <w:t xml:space="preserve">链接: </w:t>
      </w:r>
      <w:hyperlink r:id="rId42">
        <w:r>
          <w:rPr>
            <w:rFonts w:ascii="Times New Roman" w:hAnsi="Times New Roman" w:eastAsia="宋体"/>
            <w:color w:val="0000FF"/>
            <w:sz w:val="21"/>
            <w:u w:val="single"/>
          </w:rPr>
          <w:t>https://doi.org/10.1038/s41598-026-38020-w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确保信息安全在很大程度上依赖于加密密钥的高质量随机序列。物理熵源尽管用于生成真正的随机序列，但很容易受到环境干扰，因此需要实时随机性测试来维持高熵。然而，现有的为实时随机性测试仪生成测试数据的方法面临着重大挑战，包括生成无法满足特定随机性标准的序列、构造具有轻微非随机性的边界序列以及解决同时违反多个随机性标准的困难。本文介绍了一个旨在解决这些挑战的动态测试数据生成框架。该框架利用进化算法（EA）将边界序列的生成转化为多约束优化问题，其中大型语言模型（LLM）充当动态参数调节器。通过分析人口统计中的进化趋势，并通过博弈论机制与进化动力学相互作用，法学硕士可以自适应地调整比例因子和权重系数，减轻多目标优化中的维数灾难，并实现实时参数调整。实验结果还强调了生成序列的高质量：我们的方法可以生成稍微无法满足目标随机性标准的边缘测试数据，但表现出与标准测试套件下的高熵源非常相似的统计特性。这些边界序列是可检测错误的，并为基于经典统计测试的实时随机性测试仪提供具有挑战性的、真实的测试输入。</w:t>
      </w:r>
    </w:p>
    <w:p>
      <w:pPr>
        <w:spacing w:before="120"/>
      </w:pPr>
      <w:r>
        <w:rPr>
          <w:rFonts w:ascii="Times New Roman" w:hAnsi="Times New Roman" w:eastAsia="宋体"/>
          <w:b/>
          <w:sz w:val="21"/>
        </w:rPr>
        <w:t>English Abstract:</w:t>
      </w:r>
    </w:p>
    <w:p>
      <w:r>
        <w:rPr>
          <w:rFonts w:ascii="Times New Roman" w:hAnsi="Times New Roman" w:eastAsia="宋体"/>
          <w:sz w:val="21"/>
        </w:rPr>
        <w:t>Abstract Ensuring information security heavily relies on high-quality random sequences for encryption keys. Physical entropy sources, despite their use in generating true random sequences, are susceptible to environmental disturbances, necessitating real-time randomness testing to maintain high entropy. However, existing methods for generating test data for real-time randomness testers face significant challenges, including producing sequences that fail to meet specific randomness criteria, constructing borderline sequences with slight non-randomness, and addressing the difficulty of simultaneously violating multiple randomness criteria. This paper introduces a dynamic test data generation framework designed to address these challenges. The framework leverages evolutionary algorithm (EA) to transform the generation of borderline sequences into a multi-constrained optimization problem, where a large language model (LLM) acts as a dynamic parameter adjuster. By analyzing evolutionary trends in population statistics and interacting with evolutionary dynamics through a game-theoretic mechanism, the LLM adaptively adjusts scaling factors and weight coefficients, mitigating the curse of dimensionality in multi-objective optimization and enabling real-time parameter tuning. The experimental results also highlight the high quality of the generated sequences: our approach can generate borderline test data that slightly fail to satisfy the target randomness criteria, yet exhibit statistical properties very similar to those of high-entropy sources under standard test suites. These borderline sequences are fault-detectable and provide challenging, realistic test inputs for classical statistical-test-based real-time randomness testers.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通过多模式脑电图和心电图融合改善认知压力分类：生理反应的性别差异</w:t>
      </w:r>
    </w:p>
    <w:p>
      <w:r>
        <w:rPr>
          <w:rFonts w:ascii="Times New Roman" w:hAnsi="Times New Roman" w:eastAsia="宋体"/>
          <w:b/>
          <w:color w:val="003264"/>
          <w:sz w:val="24"/>
        </w:rPr>
        <w:t>Improving cognitive stress classification via multimodal EEG and ECG fusion: gender differences in physiological response</w:t>
      </w:r>
    </w:p>
    <w:p>
      <w:r>
        <w:rPr>
          <w:rFonts w:ascii="Times New Roman" w:hAnsi="Times New Roman" w:eastAsia="宋体"/>
          <w:sz w:val="21"/>
        </w:rPr>
        <w:t>作者: Abdus Salam, Fakhre Alam, Dilawar Shah, Sami Ur Rahman, Shujaat Ali, Muhammad Tahir</w:t>
        <w:br/>
      </w:r>
      <w:r>
        <w:rPr>
          <w:rFonts w:ascii="Times New Roman" w:hAnsi="Times New Roman" w:eastAsia="宋体"/>
          <w:sz w:val="21"/>
        </w:rPr>
        <w:t xml:space="preserve">时间: 2026-02-04 | </w:t>
      </w:r>
      <w:r>
        <w:t xml:space="preserve">链接: </w:t>
      </w:r>
      <w:hyperlink r:id="rId43">
        <w:r>
          <w:rPr>
            <w:rFonts w:ascii="Times New Roman" w:hAnsi="Times New Roman" w:eastAsia="宋体"/>
            <w:color w:val="0000FF"/>
            <w:sz w:val="21"/>
            <w:u w:val="single"/>
          </w:rPr>
          <w:t>https://doi.org/10.1038/s41598-026-38356-3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集成脑电图（EEG）和心电图（ECG）特征的多模式机器学习系统，以区分认知压力水平并分析性别差异。特别是，我们评估了特征融合如何提高分类准确性，并且还比较了男性和女性受试者认知压力的生理迹象。使用公开的数据集，即不同性别的心理负荷和多级压力分类的心电图和脑电图特征。在 EEG 信号和 ECG 信号中确定了三个基本生理特征（Theta/Alpha 比率 (TAR)、心率 (HR) 和 LF/HF 比率）。这些特征的辨别能力通过统计测试（例如 Shapiro-Wilk 和 Kruskal-Wallis 测试）得到了证实。使用主成分分析（PCA）进行降维。进行特征融合，其中引入脑电图和心电图信号并对齐以形成分类的完整输入。在二元和多类认知压力任务上测试了六种机器学习 (ML) 分类模型，即决策树 (DT)、K 最近邻 (KNN)、线性判别 (LD)、朴素贝叶斯 (NB)、随机森林 (RF) 和支持向量机 (SVM)。就整体性能而言，SVM取得了最好的结果，在认知压力的组合性别分类中达到了94.7%的准确率。对于特定性别分类，LD 得分最高（90.9%）。多模态 SVM 表现出优于单模态 EEG/ECG 模型的优越性，达到 92.6% 的峰值平均准确度。由于基于性别的分析，女性在分类上得分更高，这意味着认知压力期间与性别相关的生理模式存在差异。结果表明，生理特征的多模态融合可以改善认知压力分类。基于性别的分析的建议强调了认知监测系统在个人层面的可能性。这在教育、人体工程学和人机交互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multimodal machine learning system integrating electroencephalogram (EEG) and electrocardiogram (ECG) features to discriminate cognitive stress levels and analyze gender differences. In particular, we assess how well feature fusion enhances the classification accuracy and we also compare the physiological signs of cognitive stress in male and female subjects. A publicly available dataset, namely, ECG and EEG features for mental workload and multilevel stress classification of different sexes, was used. Three essential physiological characteristics (Theta/Alpha Ratio (TAR), Heart Rate (HR), and LF/HF Ratio) were identified in EEG signals as well as in ECG signals. The discriminative power of the features was confirmed by statistical testing, such as Shapiro-Wilk and Kruskal-Wallis tests. Dimensional reduction was performed using Principal Component Analysis (PCA). Feature fusion was performed, where EEG and ECG signals were introduced and aligned to form a complete input for the classification. Six machine learning (ML) classification models, namely Decision Tree (DT), K-Nearest Neighbors (KNN), Linear Discriminant (LD), Naive Bayes (NB), Random Forest (RF), and Support Vector Machine (SVM), were tested on binary and multiclass cognitive stress tasks. In terms of overall performance, the SVM achieved the best results, attaining 94.7% accuracy in the combined-gender classification of cognitive stress. For sex-specific classifications, LD recorded the highest score (90.9%). The multimodal SVM demonstrated superiority over the unimodal EEG/ECG models, reaching a peak average accuracy of 92.6%. Owing to the gender-based analysis, females had a better score in classification, implying a difference in sex-related physiological patterns during cognitive stress. The results show that multimodal fusion of physiological features can improve cognitive stress classification. The suggestion of gender-based analysis highlights the possibility of cognitive monitoring systems being at a personal level. This has potential applications in education, ergonomics, and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岩相-地层压力耦合下深层页岩孔隙微裂缝结构、孔隙度及含气性</w:t>
      </w:r>
    </w:p>
    <w:p>
      <w:r>
        <w:rPr>
          <w:rFonts w:ascii="Times New Roman" w:hAnsi="Times New Roman" w:eastAsia="宋体"/>
          <w:b/>
          <w:color w:val="003264"/>
          <w:sz w:val="24"/>
        </w:rPr>
        <w:t>Pore-micro fracture structure, porosity and gas- bearing property of deep shale under lithofacies-formation pressure coupling</w:t>
      </w:r>
    </w:p>
    <w:p>
      <w:r>
        <w:rPr>
          <w:rFonts w:ascii="Times New Roman" w:hAnsi="Times New Roman" w:eastAsia="宋体"/>
          <w:sz w:val="21"/>
        </w:rPr>
        <w:t>作者: Yunjun Zhang, Hao Zhang, Li Zhang, Jianlin Li, Yaohui Yan</w:t>
        <w:br/>
      </w:r>
      <w:r>
        <w:rPr>
          <w:rFonts w:ascii="Times New Roman" w:hAnsi="Times New Roman" w:eastAsia="宋体"/>
          <w:sz w:val="21"/>
        </w:rPr>
        <w:t xml:space="preserve">时间: 2026-02-04 | </w:t>
      </w:r>
      <w:r>
        <w:t xml:space="preserve">链接: </w:t>
      </w:r>
      <w:hyperlink r:id="rId44">
        <w:r>
          <w:rPr>
            <w:rFonts w:ascii="Times New Roman" w:hAnsi="Times New Roman" w:eastAsia="宋体"/>
            <w:color w:val="0000FF"/>
            <w:sz w:val="21"/>
            <w:u w:val="single"/>
          </w:rPr>
          <w:t>https://doi.org/10.1038/s41598-026-38352-7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层压力-岩相类型是影响页岩储层微观孔隙结构和孔隙度的最关键因素。然而，这两个因素如何共同影响页岩气聚集仍不清楚。综合扫描电镜（SEM）、X射线衍射（XRD）、核磁共振（NMR）、现场解吸和低温氮气吸附（LTNA）等技术，分析压力变化与岩相耦合对深层页岩储层质量和含气性的影响。龙马溪组深埋页岩发育3种岩相：硅质岩相（S）、泥质岩相（CM）和混合岩相（M）。孔径&lt;4 nm的孔是比表面积（SSA）的主要贡献者，4 nm至30 nm之间的孔是孔体积（PV）的主要贡献者。压力变化直接影响有机质孔隙的大小和数量，但对颗粒内孔隙没有影响。粒间孔隙的变异性表明S岩相比M岩相具有更强的抗压实能力。深埋页岩储层孔隙度和微观结构受岩相类型、埋藏深度和压力变化的影响。富有机质S页岩和贫有机质S页岩在超压和保存良好的条件下表现出良好的储层物性，其中富有机质S页岩的抗压实能力最强。在富含有机质页岩的压实过程中，有机孔和无机孔大量损失。 CM岩相的物质基础较差，抗压实能力最弱，压实过程中难以保持原有的孔隙度和孔隙结构。地层压力的降低导致大孔隙对孔体积几乎没有贡献，而中孔的贡献进一步增强。随着地层压力降低，微孔对孔体积的贡献逐渐增大。随着页岩孔隙度的降低，与大孔隙相关的孔隙度首先下降，其次是与中孔相关的孔隙度。随着孔隙度的降低，CM 和 M 岩相中的游离气含量迅速下降。随着孔隙率的丧失，吸附气体和游离气体都急剧减少。</w:t>
      </w:r>
    </w:p>
    <w:p>
      <w:pPr>
        <w:spacing w:before="120"/>
      </w:pPr>
      <w:r>
        <w:rPr>
          <w:rFonts w:ascii="Times New Roman" w:hAnsi="Times New Roman" w:eastAsia="宋体"/>
          <w:b/>
          <w:sz w:val="21"/>
        </w:rPr>
        <w:t>English Abstract:</w:t>
      </w:r>
    </w:p>
    <w:p>
      <w:r>
        <w:rPr>
          <w:rFonts w:ascii="Times New Roman" w:hAnsi="Times New Roman" w:eastAsia="宋体"/>
          <w:sz w:val="21"/>
        </w:rPr>
        <w:t>Formation pressure-lithofacies type are the most critical factors influencing micro pore structure and porosity in shale reservoir. However, how these two factors jointly affect shale gas accumulation remains unclear. Scanning electron microscopy (SEM), X-ray diffraction (XRD), nuclear magnetic resonance (NMR), on-site desorption and low-temperature N2 adsorption (LTNA) are integrated to analyze coupling effects of pressure variation and lithofacies on reservoir quality and gas-bearing characteristics of deep-buried shale. Three lithofacies are identified in Longmaxi deep-buried shale: siliceous lithofacies (S), argillaceous lithofacies (CM) and mixed lithofacies (M). Pores with pore size &lt; 4 nm are the main contributors to the specific surface area (SSA), and pores between 4 nm and 30 nm are the main contributors to the pore volume (PV). Pressure variations directly affect the size and number of organic matter pores but have no impact on intraparticle pores. The variability in interparticle pores indicates that the S lithofacies has a stronger resistance to compaction compared to the M lithofacies. Porosity and micro structure of deep-buried shale reservoir are influenced by lithofacies type, burial depth and pressure variation. Organic-rich S shale and organic-poor S shale demonstrate good reservoir properties under over-pressure and well-preserved conditions, with organic-rich S shale having the strongest resistance to compaction. Organic and inorganic pores are largely lost during compaction of organic-rich M shale. CM lithofacies also has a poor material foundation and the weakest resistance to compaction, making it difficult to preserve original porosity and pore structure during compaction. The decrease in formation pressure results in macropores making almost no contribution to pore volume, while the contribution of mesopores is further enhanced. As the formation pressure decreases, the contribution of micropores to pore volume is gradually increased. As shale porosity decreases, porosity associated with macro pores declines first, followed by that associated with mesopores. Free-gas content in the CM and M lithofacies declines rapidly as porosity decreases. Both adsorbed and free gas decrease sharply as porosity is lost.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Socialbit 作为智能手表算法在临床人群中进行社交互动检测的验证</w:t>
      </w:r>
    </w:p>
    <w:p>
      <w:r>
        <w:rPr>
          <w:rFonts w:ascii="Times New Roman" w:hAnsi="Times New Roman" w:eastAsia="宋体"/>
          <w:b/>
          <w:color w:val="003264"/>
          <w:sz w:val="24"/>
        </w:rPr>
        <w:t>Validation of socialbit as a smartwatch algorithm for social interaction detection in a clinical population</w:t>
      </w:r>
    </w:p>
    <w:p>
      <w:r>
        <w:rPr>
          <w:rFonts w:ascii="Times New Roman" w:hAnsi="Times New Roman" w:eastAsia="宋体"/>
          <w:sz w:val="21"/>
        </w:rPr>
        <w:t>作者: Amar Dhand, Samuel Tate, Cade Mack, Sofia Carozza, David Farynyk, Mehdi Bourahla, Oluwamayomikun Adeboye, Grace Cooke, Olivia Berglund, Riya Dahima, Melinda Luo, Vrushali Dhongade, George S. Usmanov, Kelly White, Amanda M. Bernal, Ross Zafonte, Shrikanth Narayanan, Minwoo Lee, Matthias R. Mehl, Min Shin</w:t>
        <w:br/>
      </w:r>
      <w:r>
        <w:rPr>
          <w:rFonts w:ascii="Times New Roman" w:hAnsi="Times New Roman" w:eastAsia="宋体"/>
          <w:sz w:val="21"/>
        </w:rPr>
        <w:t xml:space="preserve">时间: 2026-02-04 | </w:t>
      </w:r>
      <w:r>
        <w:t xml:space="preserve">链接: </w:t>
      </w:r>
      <w:hyperlink r:id="rId58">
        <w:r>
          <w:rPr>
            <w:rFonts w:ascii="Times New Roman" w:hAnsi="Times New Roman" w:eastAsia="宋体"/>
            <w:color w:val="0000FF"/>
            <w:sz w:val="21"/>
            <w:u w:val="single"/>
          </w:rPr>
          <w:t>https://doi.org/10.1038/s41598-026-37746-x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社交互动有助于大脑健康和神经损伤后的恢复。然而，还没有经过验证的工具可以对有或没有神经缺陷的个体进行实时测量。我们开发了 SocialBit，这是一种轻量级、保护隐私的机器学习算法，可以使用商用智能手表上的环境音频功能来检测社交互动。在一项前瞻性验证研究中，我们对 153 名住院中风患者佩戴该设备长达 8 天的实时直播、每分钟的人类编码地面事实进行了评估，生成了 88,918 分钟的观察结果。这些患者的中风严重程度和认知能力涵盖广泛的临床范围（NIH 中风量表 0-25；蒙特利尔认知评估 8-30），24 名患者患有不同亚型的失语症，包括严重的失语症。 SocialBit 在语言缺陷患者中取得了较高的整体性能（敏感性 0.87、特异性 0.88、曲线下面积 0.94）并保持了准确性（AUC 0.93）。尽管时间采样较低，SocialBit 产生的交互频率分布与每分钟的人类编码非常匹配。跨环境和交互类型的性能都很强大。具有临床相关性的是，SocialBit 表明，中风较严重的患者社交互动较少，这与人类编码的结果类似。 SocialBit 是一种准确的社交互动数字生物标记，在远程监控和临床试验中具有潜在应用。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Social interaction supports brain health and recovery after neurological injury. Yet no validated tool exists for real-time measurement in individuals with and without neurological deficits. We developed SocialBit, a lightweight, privacy-preserving machine learning algorithm that detects social interactions using ambient audio features on a commercial smartwatch. In a prospective validation study, we evaluated SocialBit against livestream minute-by-minute human-coded ground truth in 153 hospitalized stroke patients who wore the device for up to 8 days, generating 88,918 min of observation. In these patients, the stroke severity and cognition spanned broad clinical ranges (NIH Stroke Scale 0–25; Montreal Cognitive Assessment 8–30), and 24 patients had aphasia across diverse subtypes, including severe presentations. SocialBit achieved high overall performance (sensitivity 0.87, specificity 0.88, area under the curve 0.94) and maintained accuracy in patients with language deficits (AUC 0.93). Despite lower temporal sampling, SocialBit produced interaction frequency distributions closely matching minute-by-minute human coding. Performance was robust across environments and interaction types. Of clinical relevance, SocialBit showed that patients with more severe strokes engaged in less social interaction, paralleling human-coded results. SocialBit is an accurate digital biomarker of social interaction with potential applications in remote monitoring and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在健康的巴勒斯坦队列中通过下一代测序进行口腔 HPV 检测和基因分型：试点研究</w:t>
      </w:r>
    </w:p>
    <w:p>
      <w:r>
        <w:rPr>
          <w:rFonts w:ascii="Times New Roman" w:hAnsi="Times New Roman" w:eastAsia="宋体"/>
          <w:b/>
          <w:color w:val="003264"/>
          <w:sz w:val="24"/>
        </w:rPr>
        <w:t>Oral HPV detection and genotyping by next-generation sequencing in a healthy Palestinian cohort: pilot study</w:t>
      </w:r>
    </w:p>
    <w:p>
      <w:r>
        <w:rPr>
          <w:rFonts w:ascii="Times New Roman" w:hAnsi="Times New Roman" w:eastAsia="宋体"/>
          <w:sz w:val="21"/>
        </w:rPr>
        <w:t>作者: Bisan Safi, Mahmoud Khalid, Abedelmajeed Nasereddin</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https://doi.org/10.1038/s41598-026-37318-z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口腔人乳头瘤病毒（HPV）是口咽癌的一个关键因素。然而，其在健康人群中的患病率和基因型分布在很大程度上仍然没有记录，特别是在目前没有国家筛查或疫苗接种计划的巴勒斯坦。这项研究是巴勒斯坦首次使用高度敏感的分子工作流程在健康人群中检测口腔 HPV 并进行基因分型。该检测采用针对 L1 基因的巢式聚合酶链式反应 (PCR) 和下一代测序 (NGS) 策略，L1 基因是编码病毒主要结构蛋白的高度保守区域。对西岸中部地区牙科诊所就诊的 75 名个人的口腔拭子进行了分析，结果显示 HPV 总体阳性率为 6.7%，并确定了 HPV-18、HPV-31 和 HPV-38 基因型。最近，发表了一名患有宫颈癌的巴勒斯坦妇女的 HPV-38 序列，这支持了我们在巴勒斯坦存在 HPV-38 的发现。研究结果为巴勒斯坦提供了初步的方法学数据，并凸显了先进测序技术在加强全球 HPV 监测方面的力量。该试点研究证明了方法学上的可行性，但无法提供可靠的流行病学基线。</w:t>
      </w:r>
    </w:p>
    <w:p>
      <w:pPr>
        <w:spacing w:before="120"/>
      </w:pPr>
      <w:r>
        <w:rPr>
          <w:rFonts w:ascii="Times New Roman" w:hAnsi="Times New Roman" w:eastAsia="宋体"/>
          <w:b/>
          <w:sz w:val="21"/>
        </w:rPr>
        <w:t>English Abstract:</w:t>
      </w:r>
    </w:p>
    <w:p>
      <w:r>
        <w:rPr>
          <w:rFonts w:ascii="Times New Roman" w:hAnsi="Times New Roman" w:eastAsia="宋体"/>
          <w:sz w:val="21"/>
        </w:rPr>
        <w:t>Oral human papillomavirus (HPV) is a key contributor to oropharyngeal cancers. Yet, its prevalence and genotype distribution in healthy populations remain largely undocumented, particularly in Palestine, where no national screening or vaccination programs currently exist. This study is the first in Palestine to detect and genotype oral HPV in a healthy population using a highly sensitive molecular workflow. The assay employs a nested polymerase chain reaction (PCR) and next-generation sequencing (NGS) strategy targeting the L1 gene, a highly conserved region that encodes the virus’s main structural protein. Buccal swabs from 75 individuals attending dental clinics in the central region of the West Bank were analyzed, revealing an overall HPV positivity rate of 6.7% and identifying the genotypes HPV-18, HPV-31, and HPV-38. Recently, an HPV-38 sequence from a Palestinian woman with cervical cancer was published, which supports our finding of HPV-38 presence in Palestine. The results provide preliminary methodological data for Palestine and highlight the power of advanced sequencing technologies in enhancing global HPV surveillance. This pilot study demonstrates methodological feasibility but is not powered to provide a reliable epidemiological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基于层次分析法的中国大学生学业成绩影响心理因素优先排序</w:t>
      </w:r>
    </w:p>
    <w:p>
      <w:r>
        <w:rPr>
          <w:rFonts w:ascii="Times New Roman" w:hAnsi="Times New Roman" w:eastAsia="宋体"/>
          <w:b/>
          <w:color w:val="003264"/>
          <w:sz w:val="24"/>
        </w:rPr>
        <w:t>An analytic hierarchy process–based prioritization of psychological factors influencing academic performance among university students in China</w:t>
      </w:r>
    </w:p>
    <w:p>
      <w:r>
        <w:rPr>
          <w:rFonts w:ascii="Times New Roman" w:hAnsi="Times New Roman" w:eastAsia="宋体"/>
          <w:sz w:val="21"/>
        </w:rPr>
        <w:t>作者: Xiaoqiu Xu, Ran Liu, Erlinda D. Serrano</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https://doi.org/10.1038/s41598-026-38343-8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学业成绩的心理决定因素对于制定循证教育策略至关重要。层次分析法（AHP）是一种成熟的决策分析方法，它的应用提供了一种系统的方法来量化多种心理因素对学生学业成绩的相对影响。采用有目的方便抽样方法，从中国延安大学 200 名大学生（150 名本科生和 50 名研究生）收集数据。参与者通过预备培训课程后的结构化成对比较，评估了六个关键心理变量：动机、焦虑、自我效能、情绪健康、认知风格和自我调节。层次分析法结果表明，动机（0.439）是影响学业成绩的最主要因素，其次是焦虑（0.218）和自我效能（0.148）。情绪健康（0.097）、认知风格（0.056）和自我调节（0.042）表现出相对较低但有意义的贡献。该模型的一致性比（CR = 0.042）证实了参与者判断的高可靠性。研究结果强调了动机和情感维度在塑造学业成功方面的核心作用。增强动机、培养自我效能和减轻有害焦虑的教育干预措施可以提高表现和幸福感，强调将心理学原理纳入教学设计和学生支持系统的重要性。</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psychological determinants of academic performance is essential for developing evidence-based educational strategies. Applying the Analytic Hierarchy Process (AHP), a well-established decision-analytic method, provides a systematic means to quantify the relative influence of multiple psychological factors on students’ academic outcomes. Data were collected from 200 university students (150 undergraduates and 50 postgraduates) at Yan’an University, China, using a purposive–convenience sampling approach. Participants evaluated six key psychological variables: Motivation, Anxiety, Self-Efficacy, Emotional Well-Being, Cognitive Styles, and Self-Regulation—through structured pairwise comparisons following a preparatory orientation session. The AHP results identified Motivation (0.439) as the most dominant factor influencing academic performance, followed by Anxiety (0.218) and Self-Efficacy (0.148). Emotional Well-Being (0.097), Cognitive Styles (0.056), and Self-Regulation (0.042) demonstrated comparatively lower yet meaningful contributions. The model’s Consistency Ratio (CR = 0.042) confirmed high reliability of participant judgments. Findings highlight the central role of motivational and affective dimensions in shaping academic success. Educational interventions that strengthen motivation, foster self-efficacy, and mitigate detrimental anxiety can enhance both performance and well-being, underscoring the importance of integrating psychological principles into instructional design and student support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ZenBand：具有图形用户界面的光子晶体数值求解器</w:t>
      </w:r>
    </w:p>
    <w:p>
      <w:r>
        <w:rPr>
          <w:rFonts w:ascii="Times New Roman" w:hAnsi="Times New Roman" w:eastAsia="宋体"/>
          <w:b/>
          <w:color w:val="003264"/>
          <w:sz w:val="24"/>
        </w:rPr>
        <w:t>ZenBand: a numerical solver of photonic crystals with a graphical user interface</w:t>
      </w:r>
    </w:p>
    <w:p>
      <w:r>
        <w:rPr>
          <w:rFonts w:ascii="Times New Roman" w:hAnsi="Times New Roman" w:eastAsia="宋体"/>
          <w:sz w:val="21"/>
        </w:rPr>
        <w:t>作者: Andrius Zinkevičius, Ignas Lukošiūnas, Darius Gailevičius</w:t>
        <w:br/>
      </w:r>
      <w:r>
        <w:rPr>
          <w:rFonts w:ascii="Times New Roman" w:hAnsi="Times New Roman" w:eastAsia="宋体"/>
          <w:sz w:val="21"/>
        </w:rPr>
        <w:t xml:space="preserve">时间: 2026-02-04 | </w:t>
      </w:r>
      <w:r>
        <w:t xml:space="preserve">链接: </w:t>
      </w:r>
      <w:hyperlink r:id="rId61">
        <w:r>
          <w:rPr>
            <w:rFonts w:ascii="Times New Roman" w:hAnsi="Times New Roman" w:eastAsia="宋体"/>
            <w:color w:val="0000FF"/>
            <w:sz w:val="21"/>
            <w:u w:val="single"/>
          </w:rPr>
          <w:t>https://doi.org/10.1038/s41598-026-37129-2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 Python 和自定义 Tkinter 库开发了一个开源平面波展开法求解器，以解决已知经典示例、自定义几何形状和对称性的光子晶体色散设计导向问题。这种结构能够实现光限制、全向反射、光束准直和负折射。我们更深入地研究对角各向异性光子晶体，其平面波展开算法直接嵌入到应用程序中。用户界面位于开发人员的存储库链接中：https://github.com/ZenTunturi/ZenBand。</w:t>
      </w:r>
    </w:p>
    <w:p>
      <w:pPr>
        <w:spacing w:before="120"/>
      </w:pPr>
      <w:r>
        <w:rPr>
          <w:rFonts w:ascii="Times New Roman" w:hAnsi="Times New Roman" w:eastAsia="宋体"/>
          <w:b/>
          <w:sz w:val="21"/>
        </w:rPr>
        <w:t>English Abstract:</w:t>
      </w:r>
    </w:p>
    <w:p>
      <w:r>
        <w:rPr>
          <w:rFonts w:ascii="Times New Roman" w:hAnsi="Times New Roman" w:eastAsia="宋体"/>
          <w:sz w:val="21"/>
        </w:rPr>
        <w:t>We developed an open-source Plane Wave Expansion Method solver using Python and a custom Tkinter library to solve a design oriented problem of photonic crystal dispersion for known classical examples, custom geometries, and symmetries. Such structures are capable of light confinement, omnidirectional reflection, beam collimation and negative refraction. We dive deeper into the diagonally anisotropic photonic crystals, whose Plane Wave Expansion algorithm is directly embedded in the application. The user interface is present in the developer’s repository link: https://github.com/ZenTunturi/ZenBand.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非洲 COVID-19 大流行期间加强哨点监测网络的挑战</w:t>
      </w:r>
    </w:p>
    <w:p>
      <w:r>
        <w:rPr>
          <w:rFonts w:ascii="Times New Roman" w:hAnsi="Times New Roman" w:eastAsia="宋体"/>
          <w:b/>
          <w:color w:val="003264"/>
          <w:sz w:val="24"/>
        </w:rPr>
        <w:t>Challenges in strengthening sentinel surveillance network during COVID-19 pandemic in Africa</w:t>
      </w:r>
    </w:p>
    <w:p>
      <w:r>
        <w:rPr>
          <w:rFonts w:ascii="Times New Roman" w:hAnsi="Times New Roman" w:eastAsia="宋体"/>
          <w:sz w:val="21"/>
        </w:rPr>
        <w:t>作者: Julien Poublan, Kadio Jean-Jacques Olivier Kadio, Rodion Konu, Ramatoulaye Hamidou Lazoumar, Mathurin Cyrille Tejiokem, Isaac Tiembré, Rila Ratovoson, Sandra Coti, Justus Nsio, Mamadou Aliou Barry, Parfait Hounbegnon, Emilande Guichet, Vincent Richard, Isidore Traoré, Mathias Altmann</w:t>
        <w:br/>
      </w:r>
      <w:r>
        <w:rPr>
          <w:rFonts w:ascii="Times New Roman" w:hAnsi="Times New Roman" w:eastAsia="宋体"/>
          <w:sz w:val="21"/>
        </w:rPr>
        <w:t xml:space="preserve">时间: 2026-02-04 | </w:t>
      </w:r>
      <w:r>
        <w:t xml:space="preserve">链接: </w:t>
      </w:r>
      <w:hyperlink r:id="rId62">
        <w:r>
          <w:rPr>
            <w:rFonts w:ascii="Times New Roman" w:hAnsi="Times New Roman" w:eastAsia="宋体"/>
            <w:color w:val="0000FF"/>
            <w:sz w:val="21"/>
            <w:u w:val="single"/>
          </w:rPr>
          <w:t>https://doi.org/10.1038/s41598-026-36363-y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大流行后变异病毒的出现给非洲的医疗系统带来了压力。 Afroscreen 项目正在加强国家哨点监测系统，并结合测序能力，以在早期阶段识别潜在的高毒力变异体。本文的目的是介绍该项目的结果并讨论相关的挑战。 2022 年 7 月至 2024 年 6 月，监测基于医院或外围的国家监测哨点系统、RT-PCR 诊断能力以及阳性情况下的测序。在 11 个非洲国家（塞内加尔、几内亚、科特迪瓦、多哥、贝宁、尼日尔、喀麦隆、中非共和国 (CAR)、布基纳法索、马达加斯加和刚果民主共和国）进行了监测。刚果），有可能证明 SARS-CoV-2 的传播在监测期间有所下降，只有 Omicron 变种在传播。在大流行期间建立和协调多国哨点监测系统是一个真正的挑战。这凸显了在流行间期和大流行期间加强监测系统的必要性，以及根据新出现的疾病准备和应对计划的可持续性问题。</w:t>
      </w:r>
    </w:p>
    <w:p>
      <w:pPr>
        <w:spacing w:before="120"/>
      </w:pPr>
      <w:r>
        <w:rPr>
          <w:rFonts w:ascii="Times New Roman" w:hAnsi="Times New Roman" w:eastAsia="宋体"/>
          <w:b/>
          <w:sz w:val="21"/>
        </w:rPr>
        <w:t>English Abstract:</w:t>
      </w:r>
    </w:p>
    <w:p>
      <w:r>
        <w:rPr>
          <w:rFonts w:ascii="Times New Roman" w:hAnsi="Times New Roman" w:eastAsia="宋体"/>
          <w:sz w:val="21"/>
        </w:rPr>
        <w:t>The emergence of variants in the wake of the COVID-19 pandemic has put a strain on healthcare systems in Africa. The Afroscreen project is strengthening national sentinel surveillance systems, combined with sequencing capabilities to identify potentially highly virulent variants of interest at an early stage. The aim of this article is to present the results of this project and discuss the related challenges. Surveillance was based on national surveillance sentinel systems, either hospital-based or peripheral, and RT-PCR diagnostic capabilities, coupled with sequencing in the event of positivity, from July 2022 to June 2024. In 11 African countries (Senegal, Guinea, Côte d’Ivoire, Togo, Benin, Niger, Cameroon, the Central African Republic (CAR), Burkina Faso, Madagascar and the Democratic Republic of the Congo), it was possible to demonstrate a decline in the circulation of SARS-CoV-2 over the surveillance period, with only the Omicron variant circulating. Setting up and coordinating a multicountry sentinel surveillance system during a pandemic period is a real challenge. This highlights the need to strengthen surveillance systems during interepidemic and pandemic periods and the question of their sustainability in line with emerging disease preparedness and response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一种具有噪声分析的高效三方远程状态准备方案</w:t>
      </w:r>
    </w:p>
    <w:p>
      <w:r>
        <w:rPr>
          <w:rFonts w:ascii="Times New Roman" w:hAnsi="Times New Roman" w:eastAsia="宋体"/>
          <w:b/>
          <w:color w:val="003264"/>
          <w:sz w:val="24"/>
        </w:rPr>
        <w:t>An efficient tripartite remote state preparation scheme with noise analysis</w:t>
      </w:r>
    </w:p>
    <w:p>
      <w:r>
        <w:rPr>
          <w:rFonts w:ascii="Times New Roman" w:hAnsi="Times New Roman" w:eastAsia="宋体"/>
          <w:sz w:val="21"/>
        </w:rPr>
        <w:t>作者: Mohammad Bolokian, Ali A. Orouji, Monireh Houshmand</w:t>
        <w:br/>
      </w:r>
      <w:r>
        <w:rPr>
          <w:rFonts w:ascii="Times New Roman" w:hAnsi="Times New Roman" w:eastAsia="宋体"/>
          <w:sz w:val="21"/>
        </w:rPr>
        <w:t xml:space="preserve">时间: 2026-02-04 | </w:t>
      </w:r>
      <w:r>
        <w:t xml:space="preserve">链接: </w:t>
      </w:r>
      <w:hyperlink r:id="rId63">
        <w:r>
          <w:rPr>
            <w:rFonts w:ascii="Times New Roman" w:hAnsi="Times New Roman" w:eastAsia="宋体"/>
            <w:color w:val="0000FF"/>
            <w:sz w:val="21"/>
            <w:u w:val="single"/>
          </w:rPr>
          <w:t>https://doi.org/10.1038/s41598-026-35816-8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量子隐形传态依赖于预先存在的纠缠、局部操作和经典通信来传输未知的量子态。量子远程状态准备（QRSP）具有相同的目标，但发送者已经知道要传输的状态。这项研究引入了一种创新的 QRSP 三方方案，允许三个用户同时发送和接收单量子位状态。该方案进一步扩展以适应用户之间任意数量的量子位的状态传输。该协议的功能通过Qiskit库中的电路实现进行了验证，确保了其实际可行性。此外，它的性能是在嘈杂的环境中进行分析的，可以深入了解其稳健性。所提出的协议的效率与最近的方案进行了比较，突显了它们在量子通信方面的进步。与之前的三方 RSP 方案相比，所提出的协议实现了更高的效率（η = 0.50）、模块化可扩展性以及使用标准量子门的实验可实现性。这项研究有助于多用户量子通信、安全量子密码学和量子网络的进步，为可扩展的量子系统铺平了道路。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teleportation relies on pre-existing entanglement, local operations and classical communication to transfer an unknown quantum state. Quantum remote state preparation (QRSP) shares the same objective, but the sender already knows the state to be transmitted. This research introduces an innovative tripartite scheme for QRSP, allowing three users to simultaneously send and receive single-qubit states. The scheme is further extended to accommodate the transmission of states with an arbitrary number of qubits among the users. The protocol’s functionality is validated through circuit implementation in the Qiskit library, ensuring its practical feasibility. Additionally, its performance is analyzed in a noisy environment, providing insights into its robustness. The efficiency of the proposed protocols is compared with recent schemes, highlighting their advancements in quantum communication. Compared to previous tripartite RSP schemes, the proposed protocol achieves higher efficiency (η = 0.50), modular scalability, and experimental realizability using standard quantum gates. This study contributes to advancements in multi-user quantum communication, secure quantum cryptography, and quantum networking, paving the way for scalable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雏鸟性能下降导致滨鸟超常的爪子适应不良</w:t>
      </w:r>
    </w:p>
    <w:p>
      <w:r>
        <w:rPr>
          <w:rFonts w:ascii="Times New Roman" w:hAnsi="Times New Roman" w:eastAsia="宋体"/>
          <w:b/>
          <w:color w:val="003264"/>
          <w:sz w:val="24"/>
        </w:rPr>
        <w:t>Reduced chick performance makes supernormal clutches maladaptive in a shorebird</w:t>
      </w:r>
    </w:p>
    <w:p>
      <w:r>
        <w:rPr>
          <w:rFonts w:ascii="Times New Roman" w:hAnsi="Times New Roman" w:eastAsia="宋体"/>
          <w:sz w:val="21"/>
        </w:rPr>
        <w:t>作者: Oddvar Heggøy, Kees Wanders, Terje Lislevand</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https://doi.org/10.1038/s41598-026-37872-6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活史理论预测了后代数量和质量之间的权衡，并且窝数可以根据环境条件进行调整。然而，在许多鸟类中，窝数非常一致，在这种情况下，限制窝数进化的因素引起了更多争议。一个典型的例子是鸻鹬类（Charadriiformes），在不同物种和环境中，每窝产蛋量通常固定为四个蛋。在这里，我们通过实验扩大了普通环斑鸻 Charadrius hiaticula 的窝数，以检验窝数大小受到亲代孵化能力限制的假设。虽然之前对这一想法的大多数测试都比较了不同窝尺寸之间的孵化成功率，通常结果好坏参半，但我们还研究了潜在的孵化后效应。我们发现，来自扩大窝的雏鸡在生命的前两周内一直较小，并且与对照雏鸡相比，死亡率更高。尽管孵化成功率相对不受影响，但增大的窝质量损失减少，表明胚胎生长较慢，需要更长的孵化期，并且与对照相比，孵化更加异步。这些发现表明，产下额外的鸡蛋会浪费资源，其负面影响超过了潜在的好处。我们的结果强调了以前被忽视的孵化后限制在影响滨鸟窝数进化方面的潜在重要性。</w:t>
      </w:r>
    </w:p>
    <w:p>
      <w:pPr>
        <w:spacing w:before="120"/>
      </w:pPr>
      <w:r>
        <w:rPr>
          <w:rFonts w:ascii="Times New Roman" w:hAnsi="Times New Roman" w:eastAsia="宋体"/>
          <w:b/>
          <w:sz w:val="21"/>
        </w:rPr>
        <w:t>English Abstract:</w:t>
      </w:r>
    </w:p>
    <w:p>
      <w:r>
        <w:rPr>
          <w:rFonts w:ascii="Times New Roman" w:hAnsi="Times New Roman" w:eastAsia="宋体"/>
          <w:sz w:val="21"/>
        </w:rPr>
        <w:t>Abstract Life-history theory predicts a trade-off between the number and quality of offspring, and that clutch sizes may be adjusted in relation to environmental conditions. In many bird species, however, clutch size is remarkably consistent, in which case factors constraining clutch size evolution are more debated. A classic example is found in shorebirds (Charadriiformes), where clutch size is typically fixed at four eggs across species and environments. Here, we experimentally enlarged clutches of Common Ringed Plovers Charadrius hiaticula to test the hypothesis that clutch sizes are constrained by parental incubation capacity. While most previous tests of this idea compared hatching success between clutch sizes, often with mixed results, we also investigated potential post-hatching effects. We found that chicks from enlarged clutches were consistently smaller during the first two weeks of their lives and showed higher mortality rates compared to control chicks. Although hatching success was relatively unaffected, enlarged clutches experienced reduced mass loss indicating slower embryonic growth, required longer incubation periods and hatched more asynchronously than controls. These findings suggest that laying an extra egg would be a waste of resources, with negative effects outweighing potential benefits. Our results highlight the potential importance of previously overlooked post-hatching constraints in shaping clutch size evolution in shorebirds.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六种不同RE3+离子作为改性剂对B-Na玻璃光致发光、电学、磁学和热学性能的影响</w:t>
      </w:r>
    </w:p>
    <w:p>
      <w:r>
        <w:rPr>
          <w:rFonts w:ascii="Times New Roman" w:hAnsi="Times New Roman" w:eastAsia="宋体"/>
          <w:b/>
          <w:color w:val="003264"/>
          <w:sz w:val="24"/>
        </w:rPr>
        <w:t>Influence of six different RE3+ ions as modifier agents on the photoluminescent, electrical, magnetic and thermal properties of B-Na glass</w:t>
      </w:r>
    </w:p>
    <w:p>
      <w:r>
        <w:rPr>
          <w:rFonts w:ascii="Times New Roman" w:hAnsi="Times New Roman" w:eastAsia="宋体"/>
          <w:sz w:val="21"/>
        </w:rPr>
        <w:t>作者: M. M. El-shabaan, Amaal Mohamed, M. I. Youssif, N. A. El-Ghamaz, E. M. Ahmed</w:t>
        <w:br/>
      </w:r>
      <w:r>
        <w:rPr>
          <w:rFonts w:ascii="Times New Roman" w:hAnsi="Times New Roman" w:eastAsia="宋体"/>
          <w:sz w:val="21"/>
        </w:rPr>
        <w:t xml:space="preserve">时间: 2026-02-04 | </w:t>
      </w:r>
      <w:r>
        <w:t xml:space="preserve">链接: </w:t>
      </w:r>
      <w:hyperlink r:id="rId68">
        <w:r>
          <w:rPr>
            <w:rFonts w:ascii="Times New Roman" w:hAnsi="Times New Roman" w:eastAsia="宋体"/>
            <w:color w:val="0000FF"/>
            <w:sz w:val="21"/>
            <w:u w:val="single"/>
          </w:rPr>
          <w:t>https://doi.org/10.1038/s41598-026-35015-5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本研究旨在研究稀土 (RE3⁺) 离子 La3⁺、Nd3⁺、Gd3⁺、Ho3⁺、Er3⁺ 和 Yb3⁺ 对简单 50%B2O₃ - 50%Na2O 玻璃系统的结构、光致发光、电学和热性能的影响。摩尔折射 (Rm) 和非线性磁化率 (χ⁽3⁾) 的增加表明，加入 1 mol% RE2O₃ 系统地增强了光学偏振性。 Er3+ 掺杂玻璃表现出最高的 χ⁽3⁾ ≈ 1.76 × 10⁻12 esu 值。计算的光学碱度、氧化物离子极化率和金属化标准证实了所有组合物的非金属性质。 RE的添加显着增强了光致发光发射，特别是对于Gd3+ (&gt; 2000 a.u.)和Er3+ (~ 700 a.u.)，并伴随着高相关色温值(CCT &gt; 7600 K)。热分析 (TGA/DSC) 显示在高达 800 °C 的温度下具有出色的稳定性，根据 RE 类型，Tg 值从 422 °C（基础玻璃）增加到 450 °C； Nd³⁺掺杂玻璃表现出最高的热稳定性（ΔT ≈ 120 °C），这意味着优异的玻璃形成能力。所有稀土掺杂样品均表现出顺磁性行为，但 La3+ 掺杂样品除外，其仍保持抗磁性。直流电导率随着离子半径的减小而降低，这与相关势垒跳跃（CBH）机制一致，而热导率（0.49-1.78 W m-1 K-1）证实了它们的绝缘和热电势。总体而言，结果表明 RE3⁺ 离子有效地定制了硼酸钠玻璃的多功能特性，凸显了它们在先进光子和能源相关应用中的前景。</w:t>
      </w:r>
    </w:p>
    <w:p>
      <w:pPr>
        <w:spacing w:before="120"/>
      </w:pPr>
      <w:r>
        <w:rPr>
          <w:rFonts w:ascii="Times New Roman" w:hAnsi="Times New Roman" w:eastAsia="宋体"/>
          <w:b/>
          <w:sz w:val="21"/>
        </w:rPr>
        <w:t>English Abstract:</w:t>
      </w:r>
    </w:p>
    <w:p>
      <w:r>
        <w:rPr>
          <w:rFonts w:ascii="Times New Roman" w:hAnsi="Times New Roman" w:eastAsia="宋体"/>
          <w:sz w:val="21"/>
        </w:rPr>
        <w:t>This study deals with investigation of the influence of rare-earth (RE³⁺) ions La³⁺, Nd³⁺, Gd³⁺, Ho³⁺, Er³⁺, and Yb³⁺ on the structural, photoluminescent, electrical, and thermal properties of a simple 50%B₂O₃ − 50%Na₂O glass system. The incorporation of 1 mol% RE₂O₃ systematically enhanced optical polarizability, as indicated by the increase in molar refraction (Rm) and nonlinear susceptibility (χ⁽³⁾). The Er³⁺ doped glass is exhibiting the highest value of χ⁽³⁾ ≈ 1.76 × 10⁻¹² esu. The calculated optical basicity, oxide ion polarizability, and metallization criteria confirmed the nonmetallic nature of all compositions. RE addition markedly intensified the photoluminescence emission, particularly for Gd³⁺ (&gt; 2000 a.u.) and Er³⁺ (~ 700 a.u.), accompanied by high correlated color temperature values (CCT &gt; 7600 K). Thermal analyses (TGA/DSC) revealed excellent stability up to 800 °C, with Tg values increasing from 422 °C (base glass) to 450 °C depending on RE type; the Nd³⁺-doped glass showed the highest thermal stability (ΔT ≈ 120 °C), implying superior glass-forming ability. All RE-doped samples displayed paramagnetic behavior, except La³⁺-doped, which remained diamagnetic. The dc conductivity decreased with decreasing ionic radius, consistent with the correlated barrier hopping (CBH) mechanism, while thermal conductivity (0.49–1.78 W m⁻¹ K⁻¹) confirmed their insulating and thermoelectric potential. Overall, the results demonstrate that RE³⁺ ions effectively tailor multifunctional characteristics of sodium borate glasses, highlighting their promise for advanced photonic and energy-related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一种基于YOLOv8n的轻量级人体异常姿势检测方法</w:t>
      </w:r>
    </w:p>
    <w:p>
      <w:r>
        <w:rPr>
          <w:rFonts w:ascii="Times New Roman" w:hAnsi="Times New Roman" w:eastAsia="宋体"/>
          <w:b/>
          <w:color w:val="003264"/>
          <w:sz w:val="24"/>
        </w:rPr>
        <w:t>A lightweight YOLOv8n-based method for human abnormal posture detection</w:t>
      </w:r>
    </w:p>
    <w:p>
      <w:r>
        <w:rPr>
          <w:rFonts w:ascii="Times New Roman" w:hAnsi="Times New Roman" w:eastAsia="宋体"/>
          <w:sz w:val="21"/>
        </w:rPr>
        <w:t>作者: Guilin Li, Jiarui Zhang, Qiyuan Ji, Meiling Wang</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https://doi.org/10.1038/s41598-026-37903-2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异常姿势检测在智慧医疗、公共安全、养老监控等领域具有重要的应用价值。及时、准确地检测异常姿势，为紧急警报和干预提供可靠支持。然而，复杂场景下的遮挡干扰、姿态变化、数据不平衡、模型参数过多等挑战往往会阻碍检测的准确性和实时性。针对这些问题，本文提出了一种基于YOLOv8n的轻量级人体异常姿势检测算法PSD-YOLOv8n（Pose-Spatial-Dynamic-YOLOv8n）。该方法采用了集成空间和通道注意力的 PoseMSA 模块，结合可分离卷积和残余瓶颈结构，以增强特征提取，同时减少模型参数。它引入了关键点感知 KA-Sample 上采样模块，用于异常姿势区域的高保真空间重建。此外，构建了集成多尺度特征和分布式回归的Detect-PSA检测头，有效增强了模型对全局空间关系建模的能力。在自建的SSHDataset上的实验结果表明，PSD-YOLOv8n在mAP@0.5和mAP@0.5:0.95上分别达到97.8%和75.8%。这些结果不仅超越了基线 YOLOv8n 模型，而且还优于 YOLOv9-T、YOLOv10n 和 YOLOv11n 等高级模型。同时，该模型的参数数量仅为2.07 M，权重大小仅为4.5 MB，充分展现了其轻量化且高精度的优势。可视化实验进一步验证了该方法在复杂环境和多样化姿势下的鲁棒性。 PSD-YOLOv8n 为检测人体异常姿势提供了高效可靠的解决方案。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Detection of abnormal human postures holds significant application value in fields such as smart healthcare, public safety, and elderly care monitoring. Timely and accurate detection of abnormal postures provides reliable support for emergency alerts and intervention. However, challenges such as occlusion interference in complex scenarios, pose variations, data imbalance, and excessive model parameters often hinder detection accuracy and real-time performance. To address these issues, this paper proposes PSD-YOLOv8n (Pose-Spatial-Dynamic-YOLOv8n), a lightweight human abnormal posture detection algorithm based on YOLOv8n. This approach incorporates a PoseMSA module integrating spatial and channel attention, combined with separable convolutions and residual bottleneck structures to enhance feature extraction while reducing model parameters. It introduces a keypoint-aware KA-Sample upsampling module for high-fidelity spatial reconstruction of abnormal posture regions. Furthermore, a Detect-PSA detection head integrating multi-scale features and distributed regression is constructed to effectively strengthen the model’s ability to model global spatial relationships. Experimental results on the self-built SSHDataset demonstrate that PSD-YOLOv8n achieves 97.8% and 75.8% on the mAP@0.5 and mAP@0.5:0.95, respectively. These results not only surpass the baseline YOLOv8n model but also outperform advanced models such as YOLOv9-T, YOLOv10n, and YOLOv11n. Concurrently, the model features a compact parameter count of 2.07 M and a weight size of merely 4.5 MB, fully demonstrating its lightweight yet high-precision advantages. Visualization experiments further validate the method’s robustness in complex environments and diverse postures. PSD-YOLOv8n provides an efficient and reliable solution for detecting abnormal human postures.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蜻蜓幼虫发育过程中温度驱动的觅食行为变化</w:t>
      </w:r>
    </w:p>
    <w:p>
      <w:r>
        <w:rPr>
          <w:rFonts w:ascii="Times New Roman" w:hAnsi="Times New Roman" w:eastAsia="宋体"/>
          <w:b/>
          <w:color w:val="003264"/>
          <w:sz w:val="24"/>
        </w:rPr>
        <w:t>Temperature-driven shifts in foraging behaviour during larval development in a dragonfly</w:t>
      </w:r>
    </w:p>
    <w:p>
      <w:r>
        <w:rPr>
          <w:rFonts w:ascii="Times New Roman" w:hAnsi="Times New Roman" w:eastAsia="宋体"/>
          <w:sz w:val="21"/>
        </w:rPr>
        <w:t>作者: Jolan Hogreve, Frank Johansson, Frank Suhling</w:t>
        <w:br/>
      </w:r>
      <w:r>
        <w:rPr>
          <w:rFonts w:ascii="Times New Roman" w:hAnsi="Times New Roman" w:eastAsia="宋体"/>
          <w:sz w:val="21"/>
        </w:rPr>
        <w:t xml:space="preserve">时间: 2026-02-04 | </w:t>
      </w:r>
      <w:r>
        <w:t xml:space="preserve">链接: </w:t>
      </w:r>
      <w:hyperlink r:id="rId70">
        <w:r>
          <w:rPr>
            <w:rFonts w:ascii="Times New Roman" w:hAnsi="Times New Roman" w:eastAsia="宋体"/>
            <w:color w:val="0000FF"/>
            <w:sz w:val="21"/>
            <w:u w:val="single"/>
          </w:rPr>
          <w:t>https://doi.org/10.1038/s41598-026-37523-w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蜻蜓幼虫的捕食性能受到温度、猎物密度和种间竞争等外部因素以及年龄和体型等生活史特征等多方面相互作用的影响。我们研究了这些因素和性状对Sympetrum striolatum 幼虫捕获猎物行为的相对影响，即攻击次数、捕获次数和捕获成功次数。在五周的时间内，在三种温度水平、两种猎物密度以及有或没有同种竞争者的组合下，对幼虫进行了三次观察。为了了解个体发育对觅食行为的影响，幼虫在孵化后被饲养，并在每次试验前测量它们的大小。较高的温度（尤其是幼虫和小幼虫）和猎物密度显着增加了猎物捕获行为。生活史特征强烈影响攻击、捕获和捕获成功，这些影响比外部因素猎物密度或竞争更强。这些结果强调了个体发育对觅食性能的关键作用。未来的研究和觅食行为的预测模型应结合生活史，以更好地了解觅食动态。我们的研究强调了将发育生物学整合到理解环境变化下行为的重要性，而不是仅仅关注外部变量。</w:t>
      </w:r>
    </w:p>
    <w:p>
      <w:pPr>
        <w:spacing w:before="120"/>
      </w:pPr>
      <w:r>
        <w:rPr>
          <w:rFonts w:ascii="Times New Roman" w:hAnsi="Times New Roman" w:eastAsia="宋体"/>
          <w:b/>
          <w:sz w:val="21"/>
        </w:rPr>
        <w:t>English Abstract:</w:t>
      </w:r>
    </w:p>
    <w:p>
      <w:r>
        <w:rPr>
          <w:rFonts w:ascii="Times New Roman" w:hAnsi="Times New Roman" w:eastAsia="宋体"/>
          <w:sz w:val="21"/>
        </w:rPr>
        <w:t>Abstract Predatory performance of dragonfly larvae is influenced by a multifaceted interplay of external factors such as temperature, prey density and interspecific competition, and life history traits like age and size. We investigated the relative impact of these factors and traits on the prey-capture behaviour of Sympetrum striolatum larvae i.e., the number of strikes, captures and capture success. The larvae were observed three times over a five-week period under a combination of three temperature levels, two prey densities, and with or without a conspecific competitor. To access the ontogenetic effects on foraging behaviour the larvae were reared from hatching and their size measured before each trial. Higher temperature, particularly for young and small larvae, and prey density significantly increased prey-capture behaviour. The life history traits strongly affected strikes, captures, and capture success and these effects were stronger than the external factor prey density or competition. These results underscore the crucial role of ontogeny on foraging performance. Future studies and predictive models of foraging behaviour should incorporate life history to better understand foraging dynamics. Our study highlights the importance of integrating developmental biology into understanding behaviour under environmental change, rather than focusing solely on external variables.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在超音速流中使用多级氢气喷射和空气辅助混合来优化基于支柱的燃油喷射</w:t>
      </w:r>
    </w:p>
    <w:p>
      <w:r>
        <w:rPr>
          <w:rFonts w:ascii="Times New Roman" w:hAnsi="Times New Roman" w:eastAsia="宋体"/>
          <w:b/>
          <w:color w:val="003264"/>
          <w:sz w:val="24"/>
        </w:rPr>
        <w:t>Optimization strut-based fuel injection using multi-step hydrogen jets and air-assisted mixing in supersonic flow</w:t>
      </w:r>
    </w:p>
    <w:p>
      <w:r>
        <w:rPr>
          <w:rFonts w:ascii="Times New Roman" w:hAnsi="Times New Roman" w:eastAsia="宋体"/>
          <w:sz w:val="21"/>
        </w:rPr>
        <w:t>作者: Zeineb Ben Houria, Khalil Hajlaoui, Saman Ahmad Aminian, Veyan A. Musa, Abdellatif M. Sadeq, Mohamed Shaban, Walid Aich, Karim Kriaa</w:t>
        <w:br/>
      </w:r>
      <w:r>
        <w:rPr>
          <w:rFonts w:ascii="Times New Roman" w:hAnsi="Times New Roman" w:eastAsia="宋体"/>
          <w:sz w:val="21"/>
        </w:rPr>
        <w:t xml:space="preserve">时间: 2026-02-04 | </w:t>
      </w:r>
      <w:r>
        <w:t xml:space="preserve">链接: </w:t>
      </w:r>
      <w:hyperlink r:id="rId148">
        <w:r>
          <w:rPr>
            <w:rFonts w:ascii="Times New Roman" w:hAnsi="Times New Roman" w:eastAsia="宋体"/>
            <w:color w:val="0000FF"/>
            <w:sz w:val="21"/>
            <w:u w:val="single"/>
          </w:rPr>
          <w:t>https://doi.org/10.1038/s41598-026-35841-7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极短的停留时间和强大的压缩效应，高效的燃料-空气混合仍然是超音速燃烧室的主要挑战之一。本研究对配备支柱喷射器的超燃冲压发动机燃烧室中的氢气喷射和混合进行了三维数值研究，重点关注喷射器几何形状和辅助空气喷射的影响。在相同的喷射表面积和自由流条件（马赫 = 2，Ps = 1 atm）下，使用 ANSYS Fluent 以及稳态框架中的 SST 湍流模型和理想气体假设，对三种配置（单个环形喷射器（案例 N.1）、多级环形喷射器（案例 N.2）和齐平同心环形槽喷射器（案例 N.3））进行了检查。结果表明，喷射器配置强烈控制支柱尾流中的流场、涡流形成和氢扩散。单环形喷射器表现出较强的射流穿透力，但横向混合较弱，而分级配置产生了多个相互作用的剪切层和持续的涡流结构，增强了湍流扩散和夹带。齐平同心设计实现了更广泛的近壁燃料分布，总压力损失最小，但芯混合强度较低。内部空气射流的引入增强了局部剪切相互作用，增加了循环强度，并显着提高了整体混合效率——尤其是分级喷射器，实现了混合性能和气动稳定性之间的最佳平衡。研究结果凸显了多步分级喷射策略的优势，证明了其在优化超音速燃烧器中氢-空气混合同时保持可接受的压力损失的潜力。这种方法为未来超燃冲压发动机推进系统中高效支柱喷油器的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Efficient fuel–air mixing remains one of the primary challenges in supersonic combustion chambers due to extremely short residence times and strong compressibility effects. This study presents a three-dimensional numerical investigation of hydrogen injection and mixing in a scramjet combustor equipped with a strut-based injector, focusing on the influence of injector geometry and auxiliary air injection. Three configurations—a single annular injector (Case N.1), a multi-step staged annular injector (Case N.2), and a flush concentric annular-slot injector (Case N.3)—were examined under identical injection surface areas and freestream conditions (Mach = 2, Ps = 1 atm) using ANSYS Fluent with the SST turbulence model and ideal-gas assumptions in a steady-state framework. The results reveal that injector configuration strongly governs the flow field, vortex formation, and hydrogen dispersion in the wake of the strut. The single annular injector exhibited strong jet penetration but weak lateral mixing, while the staged configuration produced multiple interacting shear layers and sustained vortical structures that enhanced turbulent diffusion and entrainment. The flush concentric design achieved broader near-wall fuel distribution with minimal total pressure losses but lower core mixing intensity. The introduction of an internal air jet intensified local shear interactions, increased circulation strength, and significantly improved overall mixing efficiency—most notably for the staged injector, which achieved the best balance between mixing performance and aerodynamic stability. The findings highlight the advantages of the multi-step staged injection strategy, demonstrating its potential to optimize hydrogen–air mixing in supersonic combustors while maintaining acceptable pressure losses. This approach provides valuable insights for the design of high-efficiency strut-based injectors in future scramjet propulsion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两对具有不同放化疗耐药表型的 HPV-59 宫颈癌细胞系</w:t>
      </w:r>
    </w:p>
    <w:p>
      <w:r>
        <w:rPr>
          <w:rFonts w:ascii="Times New Roman" w:hAnsi="Times New Roman" w:eastAsia="宋体"/>
          <w:b/>
          <w:color w:val="003264"/>
          <w:sz w:val="24"/>
        </w:rPr>
        <w:t>Two paired HPV-59 cervical cancer cell lines with distinct chemoradioresistant phenotypes</w:t>
      </w:r>
    </w:p>
    <w:p>
      <w:r>
        <w:rPr>
          <w:rFonts w:ascii="Times New Roman" w:hAnsi="Times New Roman" w:eastAsia="宋体"/>
          <w:sz w:val="21"/>
        </w:rPr>
        <w:t>作者: Irina Tatarnikova, Vadim Talyshev, Aleksandra Sen’kova, Oleg Markov, Darya Mikhailova, Oksana Pashkovskaya, Sergey Krasilnikov, Elena Samoilova, Tatyana Gainer, Evgeniy Brener, Marina Zenkova, Evgeniya Logashenko</w:t>
        <w:br/>
      </w:r>
      <w:r>
        <w:rPr>
          <w:rFonts w:ascii="Times New Roman" w:hAnsi="Times New Roman" w:eastAsia="宋体"/>
          <w:sz w:val="21"/>
        </w:rPr>
        <w:t xml:space="preserve">时间: 2026-02-04 | </w:t>
      </w:r>
      <w:r>
        <w:t xml:space="preserve">链接: </w:t>
      </w:r>
      <w:hyperlink r:id="rId149">
        <w:r>
          <w:rPr>
            <w:rFonts w:ascii="Times New Roman" w:hAnsi="Times New Roman" w:eastAsia="宋体"/>
            <w:color w:val="0000FF"/>
            <w:sz w:val="21"/>
            <w:u w:val="single"/>
          </w:rPr>
          <w:t>https://doi.org/10.1038/s41598-026-36260-4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宫颈癌 (CC) 是全球女性第四大常见癌症，也是癌症相关死亡的主要原因。虽然像HeLa这样的永生化细胞系被广泛使用，但它们常常由于长期培养而失去原始肿瘤的特征。原代细胞培养物提供了更具代表性的模型，因为它们保留了天然肿瘤微环境的关键特征。在这里，我们建立并表征了两种新型人类 CC 细胞系 AdMer35 和 AdMer43，它们独特地源自同一患者 IIIB 期鳞状细胞癌放化疗前 (AdMer35) 和放化疗后 (AdMer43) 的配对肿瘤活检。两个细胞系都表现出稳定的上皮形态（鹅卵石图案）、粘附，细胞角蛋白染色呈阳性，并且具有 HPV-59 DNA 基因组。它们表现出不同的核型：80% 的 AdMer35 细胞接近四倍体（众数 95），而 98% 的 AdMer43 细胞接近三倍体（众数 77）。功能分析揭示了显着差异：AdMer43 增殖速度更快（100 小时时细胞指数约为 3.8，而细胞指数约为 2.1），但 AdMer35 迁移速度更快。至关重要的是，与 AdMer35 相比，AdMer43 对放疗（5 Gy 照射后细胞凋亡最小化和 G2/M 期停滞）和化疗（卡铂的 IC50：87.8 µM vs. 54.3 µM；紫杉醇：7.3 nM vs. 3.0 nM）的耐药性有所增加。两种细胞系在裸鼠中均具有致瘤性，形成组织学上不同的肿瘤。因此，我们提出了一种宫颈癌获得性放化疗耐药的新型配对体外模型。 AdMer35/AdMer43 细胞系对为治疗耐药性和临床前药物筛选的机制研究提供了独特的工具。</w:t>
      </w:r>
    </w:p>
    <w:p>
      <w:pPr>
        <w:spacing w:before="120"/>
      </w:pPr>
      <w:r>
        <w:rPr>
          <w:rFonts w:ascii="Times New Roman" w:hAnsi="Times New Roman" w:eastAsia="宋体"/>
          <w:b/>
          <w:sz w:val="21"/>
        </w:rPr>
        <w:t>English Abstract:</w:t>
      </w:r>
    </w:p>
    <w:p>
      <w:r>
        <w:rPr>
          <w:rFonts w:ascii="Times New Roman" w:hAnsi="Times New Roman" w:eastAsia="宋体"/>
          <w:sz w:val="21"/>
        </w:rPr>
        <w:t>Cervical cancer (CC) is the fourth most common cancer among women worldwide and a leading cause of cancer-related death. While immortalized cell lines like HeLa are widely used, they often lose characteristic features of the original tumor due to long-term cultivation. Primary cell cultures offer a more representative model, as they retain key features of the native tumor microenvironment. Here, we establish and characterize two novel human CC cell lines, AdMer35 and AdMer43, uniquely derived from paired tumor biopsies of the same patient before (AdMer35) and after (AdMer43) chemoradiotherapy for stage IIIB squamous cell carcinoma. Both lines exhibited stable epithelial morphology (cobblestone pattern), adhesion, were positive by cytokeratin staining, and have HPV-59 DNA genomes. They displayed distinct karyotypes: 80% of AdMer35 cells were near-tetraploid (modal number 95), while 98% of AdMer43 cells were near-triploid (modal number 77). Functional assays revealed significant differences: AdMer43 proliferated faster (Cell Index ~ 3.8 vs. ~2.1 at 100 h), but AdMer35 migrated more rapidly. Crucially, AdMer43 demonstrated increased resistance in comparison with AdMer35 to both radiotherapy (minimal apoptosis and G2/M arrest post-5 Gy irradiation) and chemotherapy (IC₅₀ for carboplatin: 87.8 µM vs. 54.3 µM; for paclitaxel: 7.3 nM vs. 3.0 nM). Both lines were tumorigenic in nude mice, forming histologically distinct tumors. Thus, we present a novel paired in vitro model of acquired chemoradioresistance in cervical cancer. The AdMer35/AdMer43 cell line pair provides a unique tool for mechanistic studies of therapy resistance and preclinical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一种多功能氧化石墨烯-ZnO纳米杂化物，可快速高效地吸附孔雀石绿并具有强广谱抗菌活性</w:t>
      </w:r>
    </w:p>
    <w:p>
      <w:r>
        <w:rPr>
          <w:rFonts w:ascii="Times New Roman" w:hAnsi="Times New Roman" w:eastAsia="宋体"/>
          <w:b/>
          <w:color w:val="003264"/>
          <w:sz w:val="24"/>
        </w:rPr>
        <w:t>A multifunctional graphene oxide–ZnO nanohybrid for rapid and highly efficient malachite green adsorption and strong broad-spectrum antimicrobial activity</w:t>
      </w:r>
    </w:p>
    <w:p>
      <w:r>
        <w:rPr>
          <w:rFonts w:ascii="Times New Roman" w:hAnsi="Times New Roman" w:eastAsia="宋体"/>
          <w:sz w:val="21"/>
        </w:rPr>
        <w:t>作者: Shayan Ebrahimi, Paria Zanganeh, Sadegh Nouripour-Sisakht, Hamedreza Javadian, Amir Babaie, Raziyeh Khaleghi, Arash Asfaram</w:t>
        <w:br/>
      </w:r>
      <w:r>
        <w:rPr>
          <w:rFonts w:ascii="Times New Roman" w:hAnsi="Times New Roman" w:eastAsia="宋体"/>
          <w:sz w:val="21"/>
        </w:rPr>
        <w:t xml:space="preserve">时间: 2026-02-04 | </w:t>
      </w:r>
      <w:r>
        <w:t xml:space="preserve">链接: </w:t>
      </w:r>
      <w:hyperlink r:id="rId150">
        <w:r>
          <w:rPr>
            <w:rFonts w:ascii="Times New Roman" w:hAnsi="Times New Roman" w:eastAsia="宋体"/>
            <w:color w:val="0000FF"/>
            <w:sz w:val="21"/>
            <w:u w:val="single"/>
          </w:rPr>
          <w:t>https://doi.org/10.1038/s41598-026-36097-x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开发了一种多功能氧化石墨烯-氧化锌（GO-ZnO）纳米杂化物来解决废水处理中的两个重大挑战：孔雀石绿（MG）的去除和病原微生物的灭活。在优化条件下（25 mg L−1 MG，pH = 9.0，18 mg 吸附剂，25 °C，12 分钟），该材料实现了 96.54% 的 MG 去除率。吸附过程由 Langmuir 等温线（Qmax = 131.91 mg g−1）很好地描述，并遵循伪二级动力学，表明该机制涉及通过静电吸引、π-π相互作用和氢键的化学吸附。该过程是自发的、吸热的，并由熵变驱动。值得注意的是，纳米混合材料在四个再生周期后保持了超过 87% 的吸附效率，每个周期仅使用 1 mL 甲醇。它还在真实水样（包括自来水、河水和工业废水）中表现出强大的性能，尽管这些基质很复杂，但仍保持超过 88% 的 MG 去除效率。除了吸附能力外，纳米杂化物还表现出强大的广谱抗菌活性，对鲍曼不动杆菌临床分离株的最低抑菌浓度 (MIC) 低至 0.313 mg mL−1，对大肠杆菌 (ATCC) 的最低抑菌浓度 (MIC) 低至 0.625 mg mL−1，对金黄色葡萄球菌和耐氟康唑白色念珠菌的最低抑菌浓度 (MIC) 1.25 mg mL−1。这种双重功能源于协同机制：ZnO 介导的 ROS 生成和 GO 诱导的物理膜破坏。总体而言，超快动力学、高可重复使用性、环境适应能力和综合解毒消毒能力凸显了 GO-ZnO 纳米杂化物作为先进水净化的一种有前途且可持续的解决方案，满足了危险污染物管理中对多功能材料的迫切需求。</w:t>
      </w:r>
    </w:p>
    <w:p>
      <w:pPr>
        <w:spacing w:before="120"/>
      </w:pPr>
      <w:r>
        <w:rPr>
          <w:rFonts w:ascii="Times New Roman" w:hAnsi="Times New Roman" w:eastAsia="宋体"/>
          <w:b/>
          <w:sz w:val="21"/>
        </w:rPr>
        <w:t>English Abstract:</w:t>
      </w:r>
    </w:p>
    <w:p>
      <w:r>
        <w:rPr>
          <w:rFonts w:ascii="Times New Roman" w:hAnsi="Times New Roman" w:eastAsia="宋体"/>
          <w:sz w:val="21"/>
        </w:rPr>
        <w:t>A multifunctional graphene oxide–zinc oxide (GO–ZnO) nanohybrid was developed to tackle two significant challenges in wastewater treatment: the removal of malachite green (MG) and the inactivation of pathogenic microorganisms. Under optimized conditions (25 mg L−1 MG, pH = 9.0, 18 mg adsorbent, 25 °C, 12 min), this material achieved a remarkable 96.54% removal of MG. The adsorption process was well-described by the Langmuir isotherm (Qmax = 131.91 mg g−1) and followed pseudo-second-order kinetics, indicating that the mechanism involved chemisorption through electrostatic attraction, π–π interactions, and hydrogen bonding. The process was spontaneous, endothermic, and driven by entropy changes. Notably, the nanohybrid maintained an adsorption efficiency of over 87% after four regeneration cycles, using only 1 mL of methanol per cycle. It also demonstrated robust performance in real water samples, including tap water, river water, and industrial wastewater, retaining an MG removal efficiency of over 88% despite the complexity of these matrices. In addition to its adsorption capabilities, the nanohybrid exhibited potent broad-spectrum antimicrobial activity, with minimum inhibitory concentrations (MICs) as low as 0.313 mg mL⁻¹ against a clinical isolate of Acinetobacter baumannii, 0.625 mg mL−1 against Escherichia coli (ATCC), and 1.25 mg mL−1 against Staphylococcus aureus and fluconazole-resistant Candida albicans. This dual functionality stems from synergistic mechanisms: ROS generation mediated by ZnO and physical membrane disruption induced by GO. Overall, the ultrafast kinetics, high reusability, environmental resilience, and integrated detoxification-disinfection capabilities highlight the GO–ZnO nanohybrid as a promising and sustainable solution for advanced water purification, meeting the urgent demand for multifunctional materials in hazardous contaminant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 II 型糖尿病的类淋巴系统损伤</w:t>
      </w:r>
    </w:p>
    <w:p>
      <w:r>
        <w:rPr>
          <w:rFonts w:ascii="Times New Roman" w:hAnsi="Times New Roman" w:eastAsia="宋体"/>
          <w:b/>
          <w:color w:val="003264"/>
          <w:sz w:val="24"/>
        </w:rPr>
        <w:t>Glymphatic system impairment in type II diabetes mellitus adults</w:t>
      </w:r>
    </w:p>
    <w:p>
      <w:r>
        <w:rPr>
          <w:rFonts w:ascii="Times New Roman" w:hAnsi="Times New Roman" w:eastAsia="宋体"/>
          <w:sz w:val="21"/>
        </w:rPr>
        <w:t>作者: Bhaswati Roy, Veronica Lubera, Kamal R. Singh, Anshita Singh, Dineth R. Karunamuni, Diana E. Kosoyan, Megan Carrier, Sarah E. Choi, Matthew J. Freeby, Rajesh Kumar</w:t>
        <w:br/>
      </w:r>
      <w:r>
        <w:rPr>
          <w:rFonts w:ascii="Times New Roman" w:hAnsi="Times New Roman" w:eastAsia="宋体"/>
          <w:sz w:val="21"/>
        </w:rPr>
        <w:t xml:space="preserve">时间: 2026-02-04 | </w:t>
      </w:r>
      <w:r>
        <w:t xml:space="preserve">链接: </w:t>
      </w:r>
      <w:hyperlink r:id="rId151">
        <w:r>
          <w:rPr>
            <w:rFonts w:ascii="Times New Roman" w:hAnsi="Times New Roman" w:eastAsia="宋体"/>
            <w:color w:val="0000FF"/>
            <w:sz w:val="21"/>
            <w:u w:val="single"/>
          </w:rPr>
          <w:t>https://doi.org/10.1038/s41598-026-36573-4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(T2DM) 与多种全身并发症相关，包括认知能力下降和神经退行性疾病风险增加。类淋巴系统是一种大脑废物清除途径，可能会因 T2DM 中常见的睡眠障碍而受损，但尚未在这种情况下进行检查。因此，目的是使用沿血管周围空间（DTI-ALPS）指数的弥散张量成像来评估 T2DM 受试者的类淋巴系统。共有 78 名 T2DM 成人和 106 名健康对照者接受了脑部 MRI 检查。使用匹兹堡睡眠质量指数 (PSQI) 和 Epworth 嗜睡量表 (ESS) 评估睡眠问题，并使用蒙特利尔认知评估 (MoCA) 评估认知问题。通过协方差分析（协变量、年龄、性别和 BMI）评估 DTI-ALPS、睡眠指标和 MoCA 评分的组间差异。除了年龄、性别和 BMI 之外，还包括其他协变量（MoCA、ESS 和睡眠呼吸暂停状态）来检查组间 DTI-ALPS 差异。进行相关性分析以评估 T2DM 成人睡眠指标（PSQI 和 ESS）、病程、HbA1c 水平和 DTI-ALPS 指数之间的关联。 T2DM 患者表现出较高的 PSQI (p = 0.03) 和 ESS (p = 0.004)，反映出睡眠质量较差且白天嗜睡增加。 T2DM 成人的 MoCA 评分显着较低 (p = 0.001)，视觉空间技能、注意力和语言出现障碍。此外，与对照组相比，T2DM 患者的 DTI-ALPS 值显着降低（p = 0.017），但在 T2DM 成人中，DTI-ALPS 指数与其他指标之间没有发现显着关联。 T2DM 成人表现出类淋巴功能受损以及睡眠质量差和白天嗜睡的症状。研究结果表明，可能由代谢、血管和睡眠相关障碍引起的类淋巴功能障碍可能会加剧 2 型糖尿病成人的认知缺陷。</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mellitus (T2DM) is associated with multiple systemic complications, including cognitive decline and increased risk of neurodegenerative diseases. The glymphatic system, a brain waste-clearance pathway that can be impaired by sleep disturbances common in T2DM, has not yet been examined in the condition. Therefore, the aim was to evaluate glymphatic system in T2DM subjects using diffusion tensor imaging along the perivascular space (DTI-ALPS) index. A total of 78 T2DM adults and 106 healthy controls underwent brain MRI. Sleep issues were assessed using the Pittsburgh Sleep Quality Index (PSQI) and Epworth Sleepiness Scale (ESS), and cognition with the Montreal Cognitive Assessment (MoCA). Group differences in DTI-ALPS, sleep metrics, and MoCA scores were assessed with analysis of covariance (covariates, age, sex, and BMI). Other covariates (MoCA, ESS, and sleep apnea status) were also included to examine DTI-ALPS differences between groups, in addition to age, sex and BMI. Correlations analyses were performed to assess associations between sleep measures (PSQI and ESS), disease duration, HbA1c levels, and DTI-ALPS indices in T2DM adults. T2DM patients exhibited higher PSQI ( p = 0.03) and ESS ( p = 0.004), reflecting poorer sleep quality and increased daytime sleepiness. MoCA scores were significantly lower in T2DM adults ( p = 0.001), with impairments emerged in visuospatial skills, attention, and language. Also, significantly reduced DTI-ALPS values appeared in T2DM over controls ( p = 0.017), but no significant associations were found between DTI-ALPS index and other measures in T2DM adults. T2DM adults show impaired glymphatic function along with poor sleep quality and daytime sleepiness. The findings indicate that glymphatic dysfunction, potentially-driven by metabolic, vascular, and sleep-related disturbances may exacerbate cognitive deficits in T2DM adults.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胶质母细胞瘤的 3D 异型模型揭示了小胶质细胞对细胞组织和独特分泌组产生的影响</w:t>
      </w:r>
    </w:p>
    <w:p>
      <w:r>
        <w:rPr>
          <w:rFonts w:ascii="Times New Roman" w:hAnsi="Times New Roman" w:eastAsia="宋体"/>
          <w:b/>
          <w:color w:val="003264"/>
          <w:sz w:val="24"/>
        </w:rPr>
        <w:t>3D heterotypic models of glioblastoma reveal the impact of microglia on cellular organization and the production of a distinct secretome</w:t>
      </w:r>
    </w:p>
    <w:p>
      <w:r>
        <w:rPr>
          <w:rFonts w:ascii="Times New Roman" w:hAnsi="Times New Roman" w:eastAsia="宋体"/>
          <w:sz w:val="21"/>
        </w:rPr>
        <w:t>作者: Clara García-Sáez, Josune Alonso-Marañón, Mikel García-Puga, Ane Rubio-Zulaika, Irati de Goñi-Garcia, Lorea Blázquez, Sandra Camarero-Espinosa</w:t>
        <w:br/>
      </w:r>
      <w:r>
        <w:rPr>
          <w:rFonts w:ascii="Times New Roman" w:hAnsi="Times New Roman" w:eastAsia="宋体"/>
          <w:sz w:val="21"/>
        </w:rPr>
        <w:t xml:space="preserve">时间: 2026-02-04 | </w:t>
      </w:r>
      <w:r>
        <w:t xml:space="preserve">链接: </w:t>
      </w:r>
      <w:hyperlink r:id="rId152">
        <w:r>
          <w:rPr>
            <w:rFonts w:ascii="Times New Roman" w:hAnsi="Times New Roman" w:eastAsia="宋体"/>
            <w:color w:val="0000FF"/>
            <w:sz w:val="21"/>
            <w:u w:val="single"/>
          </w:rPr>
          <w:t>https://doi.org/10.1038/s41598-026-37395-0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胶质母细胞瘤（GBM）是一种致命的脑肿瘤，预后极差。由于缺乏反映肿瘤微环境复杂性的适当临床前模型，尤其是小胶质细胞的关键作用，新疗法的开发受到阻碍。在这项研究中，我们使用人源化 3D 球体研究了小胶质细胞对 GBM 模型的影响。同型和异型球体是由 GBM 衍生细胞系 (DKMG) 或患者衍生神经胶质瘤干细胞 (GB22-13) 以及小胶质细胞系 (HMC3) 创建的。与同型球体相比，异型胶质瘤-HMC3 球体表现出增殖增加和对化疗药物替莫唑胺更强的耐药性。异型球体也变得更大，在7天内形成多核结构，并且具有更大的侵袭潜力。此外，异型球体中出现了独特的核壳结构，神经胶质瘤细胞集中在核心，周围的小胶质细胞层形成保护壳，似乎阻碍了药物渗透到肿瘤核心。此外，异型细胞能够诱导外周血单核细胞 (THP-1) 向 M2 表型迁移和极化，从而增加免疫逃避。这些发现强调了小胶质细胞在 GBM 发育和进展中的关键作用，证明了它们对减少药物扩散和增加肿瘤生长的贡献。</w:t>
      </w:r>
    </w:p>
    <w:p>
      <w:pPr>
        <w:spacing w:before="120"/>
      </w:pPr>
      <w:r>
        <w:rPr>
          <w:rFonts w:ascii="Times New Roman" w:hAnsi="Times New Roman" w:eastAsia="宋体"/>
          <w:b/>
          <w:sz w:val="21"/>
        </w:rPr>
        <w:t>English Abstract:</w:t>
      </w:r>
    </w:p>
    <w:p>
      <w:r>
        <w:rPr>
          <w:rFonts w:ascii="Times New Roman" w:hAnsi="Times New Roman" w:eastAsia="宋体"/>
          <w:sz w:val="21"/>
        </w:rPr>
        <w:t>Abstract Glioblastoma (GBM) is a deadly brain tumor with a very poor prognosis. Development of new therapeutics is hindered by the lack of appropriate preclinical models that reflect the complexity of the tumor microenvironment, especially the crucial role of microglia. In this study, we investigated the impact of microglia on GBM models using humanized 3D spheroids. Homotypic and heterotypic spheroids were created out of a GBM-derived cell line (DKMG) or patient-derived glioma stem cells (GB22-13), along with a microglia cell line (HMC3). Heterotypic glioma-HMC3 spheroids exhibited increased proliferation and greater drug resistance to chemotherapy drug Temozolomide compared with homotypic spheroids. Heterotypic spheroids also grew larger, developed multinucleated structures within 7 days, and had a greater invasive potential. Additionally, a distinct core-shell structure emerged in the heterotypic spheroids, with glioma cells concentrated in the core and a surrounding layer of microglia forming a protective shell that appeared to hinder drug penetration to the tumor core. Further, heterotypic cells were able to induce migration and polarization of peripheral blood monocytes (THP-1) towards M2 phenotypes, increasing immune evasion. These findings highlight the critical role of microglia in GBM development and progression, demonstrating their contribution to both reduced drug diffusion and increased tumor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含有纳米 SiO2 填料的生物基可持续混合复合材料的机械和摩擦学性能的实验研究和优化</w:t>
      </w:r>
    </w:p>
    <w:p>
      <w:r>
        <w:rPr>
          <w:rFonts w:ascii="Times New Roman" w:hAnsi="Times New Roman" w:eastAsia="宋体"/>
          <w:b/>
          <w:color w:val="003264"/>
          <w:sz w:val="24"/>
        </w:rPr>
        <w:t>Experimental investigation and optimization of mechanical and tribological performances of bio-based sustainable hybrid composites incorporating Nano-SiO₂ fillers</w:t>
      </w:r>
    </w:p>
    <w:p>
      <w:r>
        <w:rPr>
          <w:rFonts w:ascii="Times New Roman" w:hAnsi="Times New Roman" w:eastAsia="宋体"/>
          <w:sz w:val="21"/>
        </w:rPr>
        <w:t>作者: G. Velmurugan, Jasgurpreet Singh Chohan, Ramya Maranan, Prabhu Paramasivam, N. Manikandan, P. Thejasree, S. Lakshmi Narayana, Bamidele Charles Olaiya, Mukesh Kumar</w:t>
        <w:br/>
      </w:r>
      <w:r>
        <w:rPr>
          <w:rFonts w:ascii="Times New Roman" w:hAnsi="Times New Roman" w:eastAsia="宋体"/>
          <w:sz w:val="21"/>
        </w:rPr>
        <w:t xml:space="preserve">时间: 2026-02-04 | </w:t>
      </w:r>
      <w:r>
        <w:t xml:space="preserve">链接: </w:t>
      </w:r>
      <w:hyperlink r:id="rId165">
        <w:r>
          <w:rPr>
            <w:rFonts w:ascii="Times New Roman" w:hAnsi="Times New Roman" w:eastAsia="宋体"/>
            <w:color w:val="0000FF"/>
            <w:sz w:val="21"/>
            <w:u w:val="single"/>
          </w:rPr>
          <w:t>https://doi.org/10.1038/s41598-026-38263-7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本研究的重点是用环氧树脂增强并用碱 (NaOH) 和纳米 SiO2 处理的可持续 Curauá/Areca 混合纤维复合材料的开发和性能评估。这项工作旨在通过表面改性和纳米粒子掺入来提高天然纤维复合材料的机械和摩擦效率，满足对合成复合材料的环保替代品的需求。使用响应面方法 (RSM) 优化机械和摩擦加工参数，优化 Curauá: 槟榔纤维比例、NaOH 处理持续时间、纳米 SiO2 含量和施加载荷（磨损）。随着 Curauá 分数的增加，拉伸和弯曲强度得到改善，而富含槟榔的层压板表现出更大的冲击韧性。 NaOH 处理增加了纤维与基体的粘合力，并导致强度更高、纤维拉出更少并降低了基体孔隙率。在中等负载量（约 3-4 wt%）下，纳米 SiO2 的性能显着提高，但在较高负载量时由于团聚而下降。在 67% Curauá、24 小时 NaOH 处理、约 3.75 wt% SiO2 和 10 N 负载下，摩擦学性能最佳，磨损率和摩擦系数降低归因于 Curauá 含量的提高、NaOH 处理和最佳纳米 SiO2 分散。 SEM 分析证实了这一结果，表明经过处理的富含 Curauá 的复合材料中纤维与基体的结合增强，纤维拔出减少，磨损表面更光滑。在优化条件下，RSM预测与实验结果一致：拉伸强度为61.2 MPa，弯曲强度为76.3 MPa，冲击强度为20.2 kJ/m²，最小磨损率为0.0011 mm3/Nm，摩擦系数为0.27。这项研究的新颖之处在于将碱处理和纳米二氧化硅增强结合到 Curauá/Areca 混合复合材料中，以实现卓越的强度和耐磨性，展示了高性能生物复合材料的可持续发展途径。</w:t>
      </w:r>
    </w:p>
    <w:p>
      <w:pPr>
        <w:spacing w:before="120"/>
      </w:pPr>
      <w:r>
        <w:rPr>
          <w:rFonts w:ascii="Times New Roman" w:hAnsi="Times New Roman" w:eastAsia="宋体"/>
          <w:b/>
          <w:sz w:val="21"/>
        </w:rPr>
        <w:t>English Abstract:</w:t>
      </w:r>
    </w:p>
    <w:p>
      <w:r>
        <w:rPr>
          <w:rFonts w:ascii="Times New Roman" w:hAnsi="Times New Roman" w:eastAsia="宋体"/>
          <w:sz w:val="21"/>
        </w:rPr>
        <w:t>The focus of this study is on the development and performance evaluation of sustainable Curauá/Areca hybrid fibre composites reinforced with epoxy and treated with alkali (NaOH) and nano-SiO₂. This work aims to enhance the mechanical and tribological efficiency of natural fibre composites through surface modification and nanoparticle incorporation, addressing the need for eco-friendly alternatives to synthetic composites. Optimization of the Curauá:Areca fibre ratio, NaOH treatment duration, nano-SiO₂ content, and applied load (for wear) was carried out using the Response Surface Methodology (RSM) for the mechanical and tribological processing parameters. Tensile and flexural strengths improved with higher Curauá fraction, while Areca-rich laminates displayed greater impact toughness. NaOH treatment increased fibre–matrix adhesion and was responsible for higher strength, less fibre pull-out, and reduced matrix porosity. Performance improved notably with nano-SiO₂ at intermediate loadings (~ 3–4 wt%), but decreased at higher loadings due to agglomeration. Tribological properties were best at 67% Curauá, 24 h NaOH treatment, ~ 3.75 wt% SiO₂, and 10 N load, with reduced wear rate and coefficient of friction attributed to the improved Curauá content, NaOH treatment, and optimum nano-SiO₂ dispersion. SEM analysis confirmed the results, illustrating enhanced fibre–matrix bonding, reduced fibre pull-out, and smoother wear surfaces in the treated, Curauá-rich composites. Under optimized conditions, RSM predictions were consistent with the experimental findings: tensile strength of 61.2 MPa, flexural strength of 76.3 MPa, impact strength of 20.2 kJ/m², minimum wear rate of 0.0011 mm3/Nm, and a coefficient of friction of 0.27. The novelty of this study lies in integrating alkali treatment and nano-SiO₂ reinforcement in Curauá/Areca hybrid composites to achieve superior strength and wear resistance, demonstrating a sustainable route for high-performing bio-composites.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基于生成多尺度信息粒的多视角3D点云配准方法</w:t>
      </w:r>
    </w:p>
    <w:p>
      <w:r>
        <w:rPr>
          <w:rFonts w:ascii="Times New Roman" w:hAnsi="Times New Roman" w:eastAsia="宋体"/>
          <w:b/>
          <w:color w:val="003264"/>
          <w:sz w:val="24"/>
        </w:rPr>
        <w:t>Multi-view 3D point cloud registration method based on generated multi-scale information granules</w:t>
      </w:r>
    </w:p>
    <w:p>
      <w:r>
        <w:rPr>
          <w:rFonts w:ascii="Times New Roman" w:hAnsi="Times New Roman" w:eastAsia="宋体"/>
          <w:sz w:val="21"/>
        </w:rPr>
        <w:t>作者: Chen Yang, Jixiang Nie, Hui Chen, Weina Wang, Wanquan Liu</w:t>
        <w:br/>
      </w:r>
      <w:r>
        <w:rPr>
          <w:rFonts w:ascii="Times New Roman" w:hAnsi="Times New Roman" w:eastAsia="宋体"/>
          <w:sz w:val="21"/>
        </w:rPr>
        <w:t xml:space="preserve">时间: 2026-02-01 | </w:t>
      </w:r>
      <w:r>
        <w:t xml:space="preserve">链接: </w:t>
      </w:r>
      <w:hyperlink r:id="rId166">
        <w:r>
          <w:rPr>
            <w:rFonts w:ascii="Times New Roman" w:hAnsi="Times New Roman" w:eastAsia="宋体"/>
            <w:color w:val="0000FF"/>
            <w:sz w:val="21"/>
            <w:u w:val="single"/>
          </w:rPr>
          <w:t>https://doi.org/10.1016/j.displa.2026.103372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虚拟现实游戏中不同观看模式对视觉功能参数和主观症状的影响：横断面研究</w:t>
      </w:r>
    </w:p>
    <w:p>
      <w:r>
        <w:rPr>
          <w:rFonts w:ascii="Times New Roman" w:hAnsi="Times New Roman" w:eastAsia="宋体"/>
          <w:b/>
          <w:color w:val="003264"/>
          <w:sz w:val="24"/>
        </w:rPr>
        <w:t>Effects of different viewing modes in virtual reality games on visual function parameters and subjective symptoms: A cross-sectional study</w:t>
      </w:r>
    </w:p>
    <w:p>
      <w:r>
        <w:rPr>
          <w:rFonts w:ascii="Times New Roman" w:hAnsi="Times New Roman" w:eastAsia="宋体"/>
          <w:sz w:val="21"/>
        </w:rPr>
        <w:t>作者: Meng Liu, Lei Fan, Jiechun Lin, Zhenhao Song, Qi Li, Yingxiang Han, Dajiang Wang, Xiaofei Wang</w:t>
        <w:br/>
      </w:r>
      <w:r>
        <w:rPr>
          <w:rFonts w:ascii="Times New Roman" w:hAnsi="Times New Roman" w:eastAsia="宋体"/>
          <w:sz w:val="21"/>
        </w:rPr>
        <w:t xml:space="preserve">时间: 2026-02-01 | </w:t>
      </w:r>
      <w:r>
        <w:t xml:space="preserve">链接: </w:t>
      </w:r>
      <w:hyperlink r:id="rId167">
        <w:r>
          <w:rPr>
            <w:rFonts w:ascii="Times New Roman" w:hAnsi="Times New Roman" w:eastAsia="宋体"/>
            <w:color w:val="0000FF"/>
            <w:sz w:val="21"/>
            <w:u w:val="single"/>
          </w:rPr>
          <w:t>https://doi.org/10.1016/j.displa.2026.103371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超声图像中动脉的定位知识驱动分割</w:t>
      </w:r>
    </w:p>
    <w:p>
      <w:r>
        <w:rPr>
          <w:rFonts w:ascii="Times New Roman" w:hAnsi="Times New Roman" w:eastAsia="宋体"/>
          <w:b/>
          <w:color w:val="003264"/>
          <w:sz w:val="24"/>
        </w:rPr>
        <w:t>Localization knowledge-driven segmentation of arteries in ultrasound images</w:t>
      </w:r>
    </w:p>
    <w:p>
      <w:r>
        <w:rPr>
          <w:rFonts w:ascii="Times New Roman" w:hAnsi="Times New Roman" w:eastAsia="宋体"/>
          <w:sz w:val="21"/>
        </w:rPr>
        <w:t>作者: Mengxue Yan, Zirui Wang, Zhenfeng Li, Peng Wang, Pang Wu, Xianxiang Chen, Lidong Du, Li Li, Hongbo Chang, Zhen Fang</w:t>
        <w:br/>
      </w:r>
      <w:r>
        <w:rPr>
          <w:rFonts w:ascii="Times New Roman" w:hAnsi="Times New Roman" w:eastAsia="宋体"/>
          <w:sz w:val="21"/>
        </w:rPr>
        <w:t xml:space="preserve">时间: 2026-02-01 | </w:t>
      </w:r>
      <w:r>
        <w:t xml:space="preserve">链接: </w:t>
      </w:r>
      <w:hyperlink r:id="rId168">
        <w:r>
          <w:rPr>
            <w:rFonts w:ascii="Times New Roman" w:hAnsi="Times New Roman" w:eastAsia="宋体"/>
            <w:color w:val="0000FF"/>
            <w:sz w:val="21"/>
            <w:u w:val="single"/>
          </w:rPr>
          <w:t>https://doi.org/10.1016/j.displa.2026.103381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基于残差和多注意力增强生成对抗网络的鲁棒图像隐写术</w:t>
      </w:r>
    </w:p>
    <w:p>
      <w:r>
        <w:rPr>
          <w:rFonts w:ascii="Times New Roman" w:hAnsi="Times New Roman" w:eastAsia="宋体"/>
          <w:b/>
          <w:color w:val="003264"/>
          <w:sz w:val="24"/>
        </w:rPr>
        <w:t>Robust image steganography based on residual and multi-attention enhanced generative adversarial networks</w:t>
      </w:r>
    </w:p>
    <w:p>
      <w:r>
        <w:rPr>
          <w:rFonts w:ascii="Times New Roman" w:hAnsi="Times New Roman" w:eastAsia="宋体"/>
          <w:sz w:val="21"/>
        </w:rPr>
        <w:t>作者: Yuling Luo, Zhaohui Chen, Baoshan Lu, Yiting Huang, Qiang Fu, Sheng Qin, Junxiu Liu</w:t>
        <w:br/>
      </w:r>
      <w:r>
        <w:rPr>
          <w:rFonts w:ascii="Times New Roman" w:hAnsi="Times New Roman" w:eastAsia="宋体"/>
          <w:sz w:val="21"/>
        </w:rPr>
        <w:t xml:space="preserve">时间: 2026-02-01 | </w:t>
      </w:r>
      <w:r>
        <w:t xml:space="preserve">链接: </w:t>
      </w:r>
      <w:hyperlink r:id="rId169">
        <w:r>
          <w:rPr>
            <w:rFonts w:ascii="Times New Roman" w:hAnsi="Times New Roman" w:eastAsia="宋体"/>
            <w:color w:val="0000FF"/>
            <w:sz w:val="21"/>
            <w:u w:val="single"/>
          </w:rPr>
          <w:t>https://doi.org/10.1016/j.displa.2026.103384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显示类型对于变化检测重要吗？在低语义可用性和高语义可用性下比较沉浸式和非沉浸式显示</w:t>
      </w:r>
    </w:p>
    <w:p>
      <w:r>
        <w:rPr>
          <w:rFonts w:ascii="Times New Roman" w:hAnsi="Times New Roman" w:eastAsia="宋体"/>
          <w:b/>
          <w:color w:val="003264"/>
          <w:sz w:val="24"/>
        </w:rPr>
        <w:t>Does display type matter for change detection? comparing immersive and non-immersive displays under low and high semantic availability</w:t>
      </w:r>
    </w:p>
    <w:p>
      <w:r>
        <w:rPr>
          <w:rFonts w:ascii="Times New Roman" w:hAnsi="Times New Roman" w:eastAsia="宋体"/>
          <w:sz w:val="21"/>
        </w:rPr>
        <w:t>作者: Changrui Zhu, Ernst Kruijff, Harvey Stedman, Vijay M. Pawar, Simon Julier</w:t>
        <w:br/>
      </w:r>
      <w:r>
        <w:rPr>
          <w:rFonts w:ascii="Times New Roman" w:hAnsi="Times New Roman" w:eastAsia="宋体"/>
          <w:sz w:val="21"/>
        </w:rPr>
        <w:t xml:space="preserve">时间: 2026-02-01 | </w:t>
      </w:r>
      <w:r>
        <w:t xml:space="preserve">链接: </w:t>
      </w:r>
      <w:hyperlink r:id="rId170">
        <w:r>
          <w:rPr>
            <w:rFonts w:ascii="Times New Roman" w:hAnsi="Times New Roman" w:eastAsia="宋体"/>
            <w:color w:val="0000FF"/>
            <w:sz w:val="21"/>
            <w:u w:val="single"/>
          </w:rPr>
          <w:t>https://doi.org/10.1016/j.displa.2026.103379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DFB-LD 与微环谐振器耦合生成可调谐带宽混沌信号</w:t>
      </w:r>
    </w:p>
    <w:p>
      <w:r>
        <w:rPr>
          <w:rFonts w:ascii="Times New Roman" w:hAnsi="Times New Roman" w:eastAsia="宋体"/>
          <w:b/>
          <w:color w:val="003264"/>
          <w:sz w:val="24"/>
        </w:rPr>
        <w:t>Generation of tunable bandwidth chaotic signals using a DFB-LD coupled with a microring resonator</w:t>
      </w:r>
    </w:p>
    <w:p>
      <w:r>
        <w:rPr>
          <w:rFonts w:ascii="Times New Roman" w:hAnsi="Times New Roman" w:eastAsia="宋体"/>
          <w:sz w:val="21"/>
        </w:rPr>
        <w:t>作者: Renhao Deng, Qiupin Wang, Ziyi Kang, Pu Ou, Yingke Xie, Dan Lu, Junqi Liu, Zhengmao Wu, Guangqiong Xia</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腔磁力力学中的磁振子压缩增强分数磁振子频率梳</w:t>
      </w:r>
    </w:p>
    <w:p>
      <w:r>
        <w:rPr>
          <w:rFonts w:ascii="Times New Roman" w:hAnsi="Times New Roman" w:eastAsia="宋体"/>
          <w:b/>
          <w:color w:val="003264"/>
          <w:sz w:val="24"/>
        </w:rPr>
        <w:t>Magnon-squeezing-enhanced fractional magnonic frequency combs in cavity magnomechanics</w:t>
      </w:r>
    </w:p>
    <w:p>
      <w:r>
        <w:rPr>
          <w:rFonts w:ascii="Times New Roman" w:hAnsi="Times New Roman" w:eastAsia="宋体"/>
          <w:sz w:val="21"/>
        </w:rPr>
        <w:t>作者: Lina Zhou, Hongyun Chen, Shuyao Lei, Caihua Nie, Pengshun Luo</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https://doi.org/10.1016/j.optcom.2026.132995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一种新颖的3D信息安全跨层混沌加密和可逆隐藏方案</w:t>
      </w:r>
    </w:p>
    <w:p>
      <w:r>
        <w:rPr>
          <w:rFonts w:ascii="Times New Roman" w:hAnsi="Times New Roman" w:eastAsia="宋体"/>
          <w:b/>
          <w:color w:val="003264"/>
          <w:sz w:val="24"/>
        </w:rPr>
        <w:t>A Novel Cross-Layer Chaotic Encryption and Reversible Hiding Scheme for 3D Information Security</w:t>
      </w:r>
    </w:p>
    <w:p>
      <w:r>
        <w:rPr>
          <w:rFonts w:ascii="Times New Roman" w:hAnsi="Times New Roman" w:eastAsia="宋体"/>
          <w:sz w:val="21"/>
        </w:rPr>
        <w:t>作者: Wei Zhang, Danying Song, Xiting Wang, Nana Yu, Xiaolei Wang, Sixing Xi</w:t>
        <w:br/>
      </w:r>
      <w:r>
        <w:rPr>
          <w:rFonts w:ascii="Times New Roman" w:hAnsi="Times New Roman" w:eastAsia="宋体"/>
          <w:sz w:val="21"/>
        </w:rPr>
        <w:t xml:space="preserve">时间: 2026-02-01 | </w:t>
      </w:r>
      <w:r>
        <w:t xml:space="preserve">链接: </w:t>
      </w:r>
      <w:hyperlink r:id="rId171">
        <w:r>
          <w:rPr>
            <w:rFonts w:ascii="Times New Roman" w:hAnsi="Times New Roman" w:eastAsia="宋体"/>
            <w:color w:val="0000FF"/>
            <w:sz w:val="21"/>
            <w:u w:val="single"/>
          </w:rPr>
          <w:t>https://doi.org/10.1016/j.optcom.2026.132967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在基于超透镜的光镊中冷却纳米粒子</w:t>
      </w:r>
    </w:p>
    <w:p>
      <w:r>
        <w:rPr>
          <w:rFonts w:ascii="Times New Roman" w:hAnsi="Times New Roman" w:eastAsia="宋体"/>
          <w:b/>
          <w:color w:val="003264"/>
          <w:sz w:val="24"/>
        </w:rPr>
        <w:t>Cooling a nanoparticle in metalens-based optical tweezers</w:t>
      </w:r>
    </w:p>
    <w:p>
      <w:r>
        <w:rPr>
          <w:rFonts w:ascii="Times New Roman" w:hAnsi="Times New Roman" w:eastAsia="宋体"/>
          <w:sz w:val="21"/>
        </w:rPr>
        <w:t>作者: Zhen Liu, Hualong Yin, Jinheng Li, Guoyao Li, Cuihong Li, Zhang-qi Yin</w:t>
        <w:br/>
      </w:r>
      <w:r>
        <w:rPr>
          <w:rFonts w:ascii="Times New Roman" w:hAnsi="Times New Roman" w:eastAsia="宋体"/>
          <w:sz w:val="21"/>
        </w:rPr>
        <w:t xml:space="preserve">时间: 2026-01-21 | </w:t>
      </w:r>
      <w:r>
        <w:t xml:space="preserve">链接: </w:t>
      </w:r>
      <w:hyperlink r:id="rId47">
        <w:r>
          <w:rPr>
            <w:rFonts w:ascii="Times New Roman" w:hAnsi="Times New Roman" w:eastAsia="宋体"/>
            <w:color w:val="0000FF"/>
            <w:sz w:val="21"/>
            <w:u w:val="single"/>
          </w:rPr>
          <w:t>https://doi.org/10.1364/oe.582674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高真空中纳米粒子的光学悬浮和冷却为超灵敏计量和传感提供了一个特殊的平台。然而，传统的光镊依赖于笨重的物镜，限制了其小型化和应用。在这里，我们设计并制造了数值孔径为 0.83、在真空中工作于 1064 nm、直径为 600 μm 的超透镜。超透镜可作为激光捕获物镜的紧凑替代品。使用基于超透镜的镊子，我们在 1.4 × 10 -6 mbar 的最小压力下捕获纳米粒子，并通过参数反馈将其质心运动冷却至约 100 mK。纳米颗粒已被稳定捕获 30 多天。我们的工作展示了使用基于超透镜的光镊在超高真空中稳定捕获和冷却纳米颗粒，为高精度小型化光机械传感带来了新的机会。</w:t>
      </w:r>
    </w:p>
    <w:p>
      <w:pPr>
        <w:spacing w:before="120"/>
      </w:pPr>
      <w:r>
        <w:rPr>
          <w:rFonts w:ascii="Times New Roman" w:hAnsi="Times New Roman" w:eastAsia="宋体"/>
          <w:b/>
          <w:sz w:val="21"/>
        </w:rPr>
        <w:t>English Abstract:</w:t>
      </w:r>
    </w:p>
    <w:p>
      <w:r>
        <w:rPr>
          <w:rFonts w:ascii="Times New Roman" w:hAnsi="Times New Roman" w:eastAsia="宋体"/>
          <w:sz w:val="21"/>
        </w:rPr>
        <w:t>Optical levitation and cooling of nanoparticles in high vacuum offer an exceptional platform for ultrasensitive metrology and sensing. However, conventional optical tweezers rely on bulky objective lenses, limiting their miniaturization and application. Here, we design and fabricate a metalens with a numerical aperture of 0.83, operating at 1064 nm in vacuum, and a diameter of 600 μ m. The metalens serves as a compact alternative to objective lenses for laser trapping. With the metalens-based tweezers, we trap a nanoparticle at a minimal pressure of 1.4 × 10 −6 mbar and cool its center-of-mass motion via parametric feedback to around 100 mK. The nanoparticle has been stably trapped for over 30 days. Our work demonstrates stable trapping and cooling of a nanoparticle in ultra-high vacuum using a metalens-based optical tweezers, enabling new opportunities in high-precision miniaturized optomechanical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用于检测非生物表面上的单种和双种细菌生物膜的多光谱荧光成像和紫外线 C 消毒</w:t>
      </w:r>
    </w:p>
    <w:p>
      <w:r>
        <w:rPr>
          <w:rFonts w:ascii="Times New Roman" w:hAnsi="Times New Roman" w:eastAsia="宋体"/>
          <w:b/>
          <w:color w:val="003264"/>
          <w:sz w:val="24"/>
        </w:rPr>
        <w:t>Multispectral fluorescence imaging to detect and ultraviolet C to disinfect single and dual-species bacterial biofilm on abiotic surfaces</w:t>
      </w:r>
    </w:p>
    <w:p>
      <w:r>
        <w:rPr>
          <w:rFonts w:ascii="Times New Roman" w:hAnsi="Times New Roman" w:eastAsia="宋体"/>
          <w:sz w:val="21"/>
        </w:rPr>
        <w:t>作者: Benjamin Hu, Mahsa Aliee, Seyedali Hosseinirad, Ashley Boomer, Insuck Baek, Moon S. Kim, Fartash Vasefi, Jitendra Patel, Hossein Kashani Zadeh</w:t>
        <w:br/>
      </w:r>
      <w:r>
        <w:rPr>
          <w:rFonts w:ascii="Times New Roman" w:hAnsi="Times New Roman" w:eastAsia="宋体"/>
          <w:sz w:val="21"/>
        </w:rPr>
        <w:t xml:space="preserve">时间: 2026-01-23 | </w:t>
      </w:r>
      <w:r>
        <w:t xml:space="preserve">链接: </w:t>
      </w:r>
      <w:hyperlink r:id="rId48">
        <w:r>
          <w:rPr>
            <w:rFonts w:ascii="Times New Roman" w:hAnsi="Times New Roman" w:eastAsia="宋体"/>
            <w:color w:val="0000FF"/>
            <w:sz w:val="21"/>
            <w:u w:val="single"/>
          </w:rPr>
          <w:t>https://doi.org/10.1364/oe.581002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由于生物膜持久存在于医疗设备或工业管道等各种表面，因此大约 65% 的微生物感染与生物膜有关。因此，它们的检测和灭活对公共卫生非常重要。许多检测方法，例如拭子，需要通过摩擦采样，这可能昂贵、耗时，并且需要训练有素的人员。这项研究建议使用先前开发的手持式多光谱荧光成像系统来原位实时检测和消毒生物膜。我们利用了污染和消毒检查 (CSI) 和消毒 (CSI-D+)，两者均配有各种摄像头和紫外线 LED 来对污染物进行成像和消毒。使用工业生物反应器在聚氯乙烯（PVC）和不锈钢（SS）试片上生长生物膜，包括单核细胞增生李斯特菌/铜绿假单胞菌或产志贺毒素大肠杆菌（STEC）/铜绿假单胞菌的双物种生物膜，以及单核细胞增生李斯特菌和STEC的单物种生物膜。使用 275、365 或 405 nm 照明与相机组合，视觉检测生物膜的形成。通过比较无菌肉汤和不同类型的生物膜的彩色数据图像分析，SS 上的准确度为 91%，PVC 试片上的准确度为 89%。 UVC 光显着减少了表面试样上单物种和双物种生物膜中的这些病原体。</w:t>
      </w:r>
    </w:p>
    <w:p>
      <w:pPr>
        <w:spacing w:before="120"/>
      </w:pPr>
      <w:r>
        <w:rPr>
          <w:rFonts w:ascii="Times New Roman" w:hAnsi="Times New Roman" w:eastAsia="宋体"/>
          <w:b/>
          <w:sz w:val="21"/>
        </w:rPr>
        <w:t>English Abstract:</w:t>
      </w:r>
    </w:p>
    <w:p>
      <w:r>
        <w:rPr>
          <w:rFonts w:ascii="Times New Roman" w:hAnsi="Times New Roman" w:eastAsia="宋体"/>
          <w:sz w:val="21"/>
        </w:rPr>
        <w:t>Biofilms, because of their persistence on various surfaces such as medical devices or industrial piping, are associated with approximately 65% of all microbial infections. Thus, their detection and inactivation are of great importance to public health. Many detection methods, such as swabbing, require sampling by rubbing, which can be expensive, time-consuming, and require highly trained personnel. This study proposes the use of previously developed, handheld multispectral fluorescence imaging systems to detect and disinfect biofilm in situ and in real-time. We utilized the contamination and sanitization inspection (CSI) and disinfection (CSI-D+), both of which feature various cameras and UV-emitting LEDs to image and disinfect contamination. Biofilms were grown on polyvinyl chloride (PVC) and stainless steel (SS) coupons using an industrial bioreactor, including dual-species biofilms of Listeria monocytogenes/Pseudomonas aeruginosa or Shiga toxin-producing Escherichia coli (STEC)/ Pseudomonas aeruginosa , as well as single-species biofilms of Listeria monocytogenes and STEC. Using 275, 365, or 405 nm illumination with combinations of cameras detected biofilm formation visually. Color data image analysis comparing sterile broth and different types of biofilm yielded accuracies of 91% on SS and 89% on PVC coupons. The UVC light significantly reduced these pathogens in single- and dual-species biofilms from surface coupons.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基于频域滤波的 Shack–Hartmann 超分辨率波前重建神经网络</w:t>
      </w:r>
    </w:p>
    <w:p>
      <w:r>
        <w:rPr>
          <w:rFonts w:ascii="Times New Roman" w:hAnsi="Times New Roman" w:eastAsia="宋体"/>
          <w:b/>
          <w:color w:val="003264"/>
          <w:sz w:val="24"/>
        </w:rPr>
        <w:t>Frequency-domain filtering-based neural network for Shack–Hartmann super-resolution wavefront reconstruction</w:t>
      </w:r>
    </w:p>
    <w:p>
      <w:r>
        <w:rPr>
          <w:rFonts w:ascii="Times New Roman" w:hAnsi="Times New Roman" w:eastAsia="宋体"/>
          <w:sz w:val="21"/>
        </w:rPr>
        <w:t>作者: Xu Hou, Fujia Du, Xiushan Pan, Chong Pei, Heng Zuo</w:t>
        <w:br/>
      </w:r>
      <w:r>
        <w:rPr>
          <w:rFonts w:ascii="Times New Roman" w:hAnsi="Times New Roman" w:eastAsia="宋体"/>
          <w:sz w:val="21"/>
        </w:rPr>
        <w:t xml:space="preserve">时间: 2026-01-22 | </w:t>
      </w:r>
      <w:r>
        <w:t xml:space="preserve">链接: </w:t>
      </w:r>
      <w:hyperlink r:id="rId49">
        <w:r>
          <w:rPr>
            <w:rFonts w:ascii="Times New Roman" w:hAnsi="Times New Roman" w:eastAsia="宋体"/>
            <w:color w:val="0000FF"/>
            <w:sz w:val="21"/>
            <w:u w:val="single"/>
          </w:rPr>
          <w:t>https://doi.org/10.1364/oe.578992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下一代望远镜的孔径不断增大，需要更高分辨率的波前传感。 Shack-Hartmann 波前传感器 (SHWFS) 是自适应光学的关键组件，其传感分辨率从根本上受到其子孔径密度的限制。为了克服这一限制，我们引入了一种基于频域滤波器的神经网络（FF-Net），用于超分辨率波前重建（SRWR）。受到 SHWFS 物理成像原理和卷积定理的启发，FF-Net 利用可学习的 Gabor 滤波器来提取不同频段的像差特征。与标准卷积核相比，这种方法能够更有效地从混叠的子孔径点中解耦特征，从而实现高精度重建。数值模拟表明 FF-Net 实现了最先进的 SRWR 性能。值得注意的是，在欠采样 SHWFS 的情况下，我们的方法优于采用四倍子孔径密度的传统方法的低阶重建精度，同时检索高阶模式。此外，其GPU加速推理时间低于1毫秒，满足大多数天文自适应光学系统的实时要求。 FF-Net 证明，基于物理的网络设计是在自适应光学领域开发更准确、稳健和可解释的深度学习解决方案的强大策略。</w:t>
      </w:r>
    </w:p>
    <w:p>
      <w:pPr>
        <w:spacing w:before="120"/>
      </w:pPr>
      <w:r>
        <w:rPr>
          <w:rFonts w:ascii="Times New Roman" w:hAnsi="Times New Roman" w:eastAsia="宋体"/>
          <w:b/>
          <w:sz w:val="21"/>
        </w:rPr>
        <w:t>English Abstract:</w:t>
      </w:r>
    </w:p>
    <w:p>
      <w:r>
        <w:rPr>
          <w:rFonts w:ascii="Times New Roman" w:hAnsi="Times New Roman" w:eastAsia="宋体"/>
          <w:sz w:val="21"/>
        </w:rPr>
        <w:t>The increasing aperture of next-generation telescopes demands higher-resolution wavefront sensing. The sensing resolution of the Shack-Hartmann wavefront sensor (SHWFS), a key component in adaptive optics, is fundamentally limited by its sub-aperture density. To overcome this limitation, we introduce a frequency-domain filter-based neural network (FF-Net) for super-resolution wavefront reconstruction (SRWR). Inspired by the physical imaging principles of the SHWFS and the convolution theorem, FF-Net utilizes learnable Gabor filters to extract aberration features across various frequency bands. This approach enables more effective feature decoupling from aliased sub-aperture spots compared to standard convolutional kernels, leading to high-precision reconstruction. Numerical simulations demonstrate that FF-Net achieves state-of-the-art SRWR performance. Notably, with an under-sampled SHWFS, our method outperforms the low-order reconstruction accuracy of the conventional method employing four times the sub-aperture density, while simultaneously retrieving higher-order modes. Furthermore, its GPU-accelerated inference time of under 1 ms meets the real-time requirements of most astronomical adaptive optics systems. FF-Net demonstrates that physics-informed network design is a powerful strategy for developing more accurate, robust, and interpretable deep learning solutions in adaptive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通过光子库扩展检测带宽以实现超快光学传感</w:t>
      </w:r>
    </w:p>
    <w:p>
      <w:r>
        <w:rPr>
          <w:rFonts w:ascii="Times New Roman" w:hAnsi="Times New Roman" w:eastAsia="宋体"/>
          <w:b/>
          <w:color w:val="003264"/>
          <w:sz w:val="24"/>
        </w:rPr>
        <w:t>Expanding detection bandwidth via a photonic reservoir for ultrafast optical sensing</w:t>
      </w:r>
    </w:p>
    <w:p>
      <w:r>
        <w:rPr>
          <w:rFonts w:ascii="Times New Roman" w:hAnsi="Times New Roman" w:eastAsia="宋体"/>
          <w:sz w:val="21"/>
        </w:rPr>
        <w:t>作者: Yuito Ito, Tomoaki Niiyama, Tetsuya Asai, Gouhei Tanaka, Atsushi Uchida, Satoshi Sunada</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https://doi.org/10.1364/oe.581652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超快光学和射频 (RF) 信号的检测对于从高速通信到高级传感等各种应用至关重要。然而，传统探测器从根本上受到其固有带宽的限制，限制了宽带信号的精确测量。在这里，我们证明神经形态光子处理方法可以克服这一限制，从而能够检测超出探测器带宽的宽带信号。关键思想在于光子存储网络内输入波形的时空编码，它重建了单个探测器无法访问的高频分量。我们通过实验证明了使用片上硅光子库可以检测高速光学相位信号，有效带宽扩展了八倍以上。这种方法为高速光学和射频信号处理提供了一个可扩展的集成平台，为超快光子学和下一代通信系统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The detection of ultrafast optical and radio-frequency (RF) signals is crucial for applications ranging from high-speed communications to advanced sensing. However, conventional detectors are fundamentally constrained by their intrinsic bandwidth, limiting accurate measurement of broadband signals. Here, we show that a neuromorphic photonic processing approach can overcome this limitation, enabling detection of broadband signals beyond the detector bandwidth. The key idea lies in the spatiotemporal encoding of input waveforms within a photonic reservoir network, which reconstructs high-frequency components otherwise inaccessible to individual detectors. We experimentally demonstrate the detection of high-speed optical phase signals with more than an eightfold effective bandwidth expansion using an on-chip silicon photonic reservoir. This approach provides a scalable and integrated platform for high-speed optical and RF signal processing, opening new opportunities in ultrafast photonics and next-generation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使用边缘检测自旋微分衍射网络进行全光学物体分类</w:t>
      </w:r>
    </w:p>
    <w:p>
      <w:r>
        <w:rPr>
          <w:rFonts w:ascii="Times New Roman" w:hAnsi="Times New Roman" w:eastAsia="宋体"/>
          <w:b/>
          <w:color w:val="003264"/>
          <w:sz w:val="24"/>
        </w:rPr>
        <w:t>All-optical object classification using an edge-detecting spin-differential diffractive network</w:t>
      </w:r>
    </w:p>
    <w:p>
      <w:r>
        <w:rPr>
          <w:rFonts w:ascii="Times New Roman" w:hAnsi="Times New Roman" w:eastAsia="宋体"/>
          <w:sz w:val="21"/>
        </w:rPr>
        <w:t>作者: Yetao Shu, Laixi Sun, Yuhai Li, Tong Fu, Yubin Zhang, Rong Wu, Wenhua Gu, Li Li, Fang Wang, Xiaodong Yuan, Junwei Zhang</w:t>
        <w:br/>
      </w:r>
      <w:r>
        <w:rPr>
          <w:rFonts w:ascii="Times New Roman" w:hAnsi="Times New Roman" w:eastAsia="宋体"/>
          <w:sz w:val="21"/>
        </w:rPr>
        <w:t xml:space="preserve">时间: 2026-01-26 | </w:t>
      </w:r>
      <w:r>
        <w:t xml:space="preserve">链接: </w:t>
      </w:r>
      <w:hyperlink r:id="rId51">
        <w:r>
          <w:rPr>
            <w:rFonts w:ascii="Times New Roman" w:hAnsi="Times New Roman" w:eastAsia="宋体"/>
            <w:color w:val="0000FF"/>
            <w:sz w:val="21"/>
            <w:u w:val="single"/>
          </w:rPr>
          <w:t>https://doi.org/10.1364/oe.579508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全光计算提供超高速、低功耗和并行处理能力，这对于克服摩尔定律的限制至关重要。然而，传统的单波长衍射深度神经网络（D 2 NN）在实现高精度光学边缘特征提取和分类任务之间的协同优化方面面临着重大挑战。在这里，提出了一种用于单波长全光学物体分类的边缘检测自旋微分衍射神经网络（ESD-DNN）。该网络架构通过 Pancharatnam-Berry 相位梯度超表面实现，以实现快速边缘特征提取，而分类推理则通过利用基于左手/右手圆偏振 (LCP/RCP) 组件的自旋微分机制来完成。通过衍射层的端到端优化，ESD-DNN 实现了边缘特征提取和分类的协同优化，显着提高了精度，同时降低了计算成本。数值验证表明，单层 ESD-DNN 的分类准确率达到 97.5% (MNIST) 和 87.5% (Fashion-MNIST)，分别超过传统单波长 D 2 NN 10.2% 和 5.2%。同时，与四层 D 2 NN 相比，它的计算效率提高了 5 倍，同时时间复杂度降低了 80%。值得注意的是，在中等湍流强度或热透镜效应等极端条件下，该网络仍保持 &gt;90% 的分类精度 (MNIST)，展示了其卓越的环境鲁棒性。这些发现为人工智能、卫星遥感、智能工业检测和空间光通信等领域的应用铺平了道路。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All-optical computing offers ultra-high speed, low-power consumption, and parallel processing capabilities, crucial for overcoming Moore's Law limitations. However, conventional single-wavelength diffractive deep neural networks (D 2 NN) face significant challenges in achieving synergistic optimization between high-precision optical edge-feature extraction and classification tasks. Here, an edge-detecting spin-differential diffractive neural network (ESD-DNN) is proposed for single-wavelength all-optical object classification. The network architecture is implemented through a Pancharatnam-Berry phase gradient metasurface to achieve rapid edge-feature extraction, while classification inference is accomplished by utilizing a spin-differential mechanism based on left-/right-handed circularly polarized (LCP/RCP) components. Through end-to-end optimization of the diffractive layers, the ESD-DNN achieves co-optimization of edge-feature extraction and classification, significantly improving accuracy while reducing computational costs. Numerical validations reveal that the single-layer ESD-DNN attains 97.5% (MNIST) and 87.5% (Fashion-MNIST) classification accuracy, surpassing traditional single-wavelength D 2 NN by 10.2% and 5.2%, respectively. Meanwhile, it achieves 5-fold higher computational efficiency while reducing time complexity by 80% compared to a four-layer D 2 NN. Remarkably, under extreme conditions such as moderate turbulence intensity or thermal lensing effects, the network maintains &gt;90% classification accuracy (MNIST), demonstrating its exceptional environmental robustness. These findings pave the way for applications in artificial intelligence, satellite remote sensing, intelligent industrial inspection, and space optical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06:29 ---</w:t>
      </w:r>
    </w:p>
    <w:p>
      <w:pPr>
        <w:pStyle w:val="Heading2"/>
      </w:pPr>
      <w:r/>
      <w:r>
        <w:rPr>
          <w:rFonts w:ascii="Times New Roman" w:hAnsi="Times New Roman" w:eastAsia="宋体"/>
          <w:b/>
          <w:color w:val="000000"/>
          <w:sz w:val="24"/>
        </w:rPr>
        <w:t>反射共焦显微镜引导的空间选择性多光子光热作用可精确闭合小鼠眼缘血管</w:t>
      </w:r>
    </w:p>
    <w:p>
      <w:r>
        <w:rPr>
          <w:rFonts w:ascii="Times New Roman" w:hAnsi="Times New Roman" w:eastAsia="宋体"/>
          <w:b/>
          <w:color w:val="003264"/>
          <w:sz w:val="24"/>
        </w:rPr>
        <w:t>Spatially selective multiphoton photothermolysis guided by reflectance confocal microscopy for precise vessel closure in the mouse eye limbus</w:t>
      </w:r>
    </w:p>
    <w:p>
      <w:r>
        <w:rPr>
          <w:rFonts w:ascii="Times New Roman" w:hAnsi="Times New Roman" w:eastAsia="宋体"/>
          <w:sz w:val="21"/>
        </w:rPr>
        <w:t>作者: Liwei Jiang, Zhenguo Wu, Jianhua Zhao, Jing Cui, Harvey Lui, Sonia N. Yeung, Joanne A. Matsubara, Haishan Zeng</w:t>
        <w:br/>
      </w:r>
      <w:r>
        <w:rPr>
          <w:rFonts w:ascii="Times New Roman" w:hAnsi="Times New Roman" w:eastAsia="宋体"/>
          <w:sz w:val="21"/>
        </w:rPr>
        <w:t xml:space="preserve">时间: 2026-01-14 | </w:t>
      </w:r>
      <w:r>
        <w:t xml:space="preserve">链接: </w:t>
      </w:r>
      <w:hyperlink r:id="rId52">
        <w:r>
          <w:rPr>
            <w:rFonts w:ascii="Times New Roman" w:hAnsi="Times New Roman" w:eastAsia="宋体"/>
            <w:color w:val="0000FF"/>
            <w:sz w:val="21"/>
            <w:u w:val="single"/>
          </w:rPr>
          <w:t>https://doi.org/10.1364/boe.585526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角膜新生血管（CNV）的特点是角膜异常血管生长，通常会损害视力。传统的 CNV 激光疗法缺乏精确性，并且存在附带损害的风险。我们开发了一种多光子光热解 (MPP) 方法，使用基于飞秒 (fs) 激光的双光子吸收，并由实时反射共焦显微镜引导。实施了两种 MPP 激光治疗配置：用于成像（785 nm CW）和治疗（830 nm fs）的双激光器，以及用于这两种功能的单 fs 激光器。我们证明，在小鼠眼角膜中，MPP 实现了选择性血管闭合，而没有附带组织损伤。结果还表明治疗效果是由两个光子吸收而不是一个光子吸收介导的，这凸显了 MPP 作为精确且安全的 CNV 治疗的潜力。</w:t>
      </w:r>
    </w:p>
    <w:p>
      <w:pPr>
        <w:spacing w:before="120"/>
      </w:pPr>
      <w:r>
        <w:rPr>
          <w:rFonts w:ascii="Times New Roman" w:hAnsi="Times New Roman" w:eastAsia="宋体"/>
          <w:b/>
          <w:sz w:val="21"/>
        </w:rPr>
        <w:t>English Abstract:</w:t>
      </w:r>
    </w:p>
    <w:p>
      <w:r>
        <w:rPr>
          <w:rFonts w:ascii="Times New Roman" w:hAnsi="Times New Roman" w:eastAsia="宋体"/>
          <w:sz w:val="21"/>
        </w:rPr>
        <w:t>Corneal neovascularization (CNV) is characterized by abnormal vessel growth into the cornea, often impairing vision. Conventional laser therapies for CNV lack precision and risk collateral damage. We developed a multiphoton photothermolysis (MPP) approach using femtosecond (fs) laser-based two-photon absorption guided by real-time reflectance confocal microscopy. Two MPP laser treatment configurations were implemented: dual lasers for imaging (785 nm CW) and treatment (830 nm fs), and a single fs laser for both functions. We demonstrated that in the mouse eye limbus, MPP achieved selective vessel closure without collateral tissue damage. Results also indicate therapeutic effects are mediated by two- rather than one-photon absorption, highlighting MPP’s potential as a precise and safe CNV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太赫兹频率的拓扑光子器件和电路</w:t>
      </w:r>
    </w:p>
    <w:p>
      <w:r>
        <w:rPr>
          <w:rFonts w:ascii="Times New Roman" w:hAnsi="Times New Roman" w:eastAsia="宋体"/>
          <w:b/>
          <w:color w:val="003264"/>
          <w:sz w:val="24"/>
        </w:rPr>
        <w:t>Topological Photonic Devices and Circuits at Terahertz Frequencies</w:t>
      </w:r>
    </w:p>
    <w:p>
      <w:r>
        <w:rPr>
          <w:rFonts w:ascii="Times New Roman" w:hAnsi="Times New Roman" w:eastAsia="宋体"/>
          <w:sz w:val="21"/>
        </w:rPr>
        <w:t>作者: Samane Kalhor, Srabani Kar, Ranjan Singh, Kaveh Delfanazari</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https://doi.org/10.1002/lpor.202503162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拓扑光子学已成为太赫兹 (THz) 科学和技术的变革范式，通过本质上对无序、缺陷和制造缺陷具有鲁棒性的模式提供对电磁波前所未有的控制。 3D 拓扑绝缘体 (TI) 以自旋极化狄拉克表面态为特征，为实现可调谐、低损耗太赫兹组件提供了强大的材料平台，其功能超越了传统光子系统。基于 TI 的设备在下一代成像、传感和大容量无线通信的核心光谱范围内运行，有望增强性能、稳定性和能效。本文介绍了由 TI 和拓扑设计原理实现的太赫兹光子器件和电路的最新进展。我们首先概述 3D TI 的基本电子和光学特性，并评估它们与太赫兹调制器、开关、探测器和发射器的集成。然后，我们讨论从传统的基于 TI 的光子学到完全拓扑光子平台的进展，强调支持单向、反向散射免疫光传输的结构的出现。最后，我们研究了先进的拓扑相，包括量子自旋霍尔、量子谷霍尔和高阶拓扑，如何解锁缺陷免疫传播、无反射接口和可重构太赫兹电路。总之，这些发展将拓扑光子材料和架构定位为可扩展、弹性和高性能太赫兹和量子光子系统的基础技术。</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photonics has emerged as a transformative paradigm for terahertz (THz) science and technology, offering unprecedented control over electromagnetic waves through modes that are inherently robust against disorder, defects, and fabrication imperfections. 3D topological insulators (TIs), characterized by spin‑polarized Dirac surface states, provide a powerful materials platform for realizing tunable, low‑loss THz components with functionalities that surpass those of conventional photonic systems. Operating across a spectral range central to next‑generation imaging, sensing, and high‑capacity wireless communications, TI‑based devices promise enhanced performance, stability, and energy efficiency. This paper covers recent advances in THz photonic devices and circuits enabled by TIs and topological design principles. We first outline the fundamental electronic and optical properties of 3D TIs and evaluate their integration into THz modulators, switches, detectors, and emitters. We then discuss the progression from traditional TI‑based photonics to fully topological photonic platforms, highlighting the emergence of structures that support unidirectional, backscattering‑immune light transport. Finally, we examine how advanced topological phases, including quantum spin Hall, quantum valley Hall, and higher‑order topologies, unlock defect‑immune propagation, reflectionless interfaces, and reconfigurable THz circuitry. Together, these developments position topological photonic materials and architectures as a foundational technology for scalable, resilient, and high‑performance THz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具有高效自旋允许发射的穆勒型双自由基 X 射线闪烁</w:t>
      </w:r>
    </w:p>
    <w:p>
      <w:r>
        <w:rPr>
          <w:rFonts w:ascii="Times New Roman" w:hAnsi="Times New Roman" w:eastAsia="宋体"/>
          <w:b/>
          <w:color w:val="003264"/>
          <w:sz w:val="24"/>
        </w:rPr>
        <w:t>A Müller‐Type Diradicaloid With Efficient Spin‐Allowed Emission for X‐Ray Scintillation</w:t>
      </w:r>
    </w:p>
    <w:p>
      <w:r>
        <w:rPr>
          <w:rFonts w:ascii="Times New Roman" w:hAnsi="Times New Roman" w:eastAsia="宋体"/>
          <w:sz w:val="21"/>
        </w:rPr>
        <w:t>作者: Zihao Zhu, Yixiao Yin, Alim Abdurahman, Qiming Peng, Wei Huang, Zhongfu An</w:t>
        <w:br/>
      </w:r>
      <w:r>
        <w:rPr>
          <w:rFonts w:ascii="Times New Roman" w:hAnsi="Times New Roman" w:eastAsia="宋体"/>
          <w:sz w:val="21"/>
        </w:rPr>
        <w:t xml:space="preserve">时间: 2026-02-04 | </w:t>
      </w:r>
      <w:r>
        <w:t xml:space="preserve">链接: </w:t>
      </w:r>
      <w:hyperlink r:id="rId54">
        <w:r>
          <w:rPr>
            <w:rFonts w:ascii="Times New Roman" w:hAnsi="Times New Roman" w:eastAsia="宋体"/>
            <w:color w:val="0000FF"/>
            <w:sz w:val="21"/>
            <w:u w:val="single"/>
          </w:rPr>
          <w:t>https://doi.org/10.1002/lpor.202503022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限的激子利用效率（主要是由于自旋禁阻三线态跃迁）仍然是有机光电子学的一个基本挑战。与传统的闭壳发光体不同，开壳双自由基通过实现单重态和三重激发态的自旋允许发射，本质上克服了这一限制。然而，由于竞争性非辐射衰变途径和结构不稳定性，在双自由基中实现高发光效率仍然具有挑战性。在此，我们报告了一种超稳定且高发光的穆勒型双自由基，TPT-CzPh，其光致发光量子产率（PLQY）达到创纪录的16.9%，比典型的穆勒碳氢化合物TTM-PhTTM提高了一个数量级。综合光谱和理论分析将增强的发射归因于合理设计的供体-受体框架，该框架能够实现有效的自旋允许跃迁，并通过最小化的结构重组抑制非辐射衰变。值得注意的是，TPT-CzPh 还表现出明显的 X 射线诱导闪烁，代表第一个用作无金属有机闪烁体的发光双自由基。这一双重成就不仅加深了对双自由基激发态动力学的理解，而且将开壳光物理学与辐射检测联系起来，为下一代高效光电材料铺平了道路。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Limited exciton utilization efficiency—primarily due to spin‐forbidden triplet transitions—remains a fundamental challenge in organic optoelectronics. Unlike conventional closed‐shell luminophores, open‐shell diradicaloids inherently overcome this limitation by enabling spin‐allowed emission from both singlet and triplet excited states. However, achieving high luminescence efficiency in diradicaloids remains challenging due to competing nonradiative decay pathways and structural instability. Herein, we report a super‐stable and highly luminescent Müller‐type diradicaloid, TPT‐CzPh, which achieves a record photoluminescence quantum yield (PLQY) of 16.9%—an order‐of‐magnitude improvement over the prototypical Müller hydrocarbon TTM‐PhTTM. Comprehensive spectroscopic and theoretical analyses attribute the enhanced emission to a rationally engineered donor–acceptor framework that enables efficient spin‐allowed transitions and suppresses nonradiative decay via minimized structural reorganization. Remarkably, TPT‐CzPh also exhibits pronounced X‐ray‐induced scintillation, representing the first luminescent diradicaloid functioning as a metal‐free organic scintillator. This dual achievement not only deepens understanding of excited‐state dynamics in diradicaloids but also bridges open‐shell photophysics with radiation detection, paving the way for next‐generation high‐efficiency optoelectronic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Anapoles 的特异点和强耦合增强了全电介质异二聚体超表面中的 Purcell 效应</w:t>
      </w:r>
    </w:p>
    <w:p>
      <w:r>
        <w:rPr>
          <w:rFonts w:ascii="Times New Roman" w:hAnsi="Times New Roman" w:eastAsia="宋体"/>
          <w:b/>
          <w:color w:val="003264"/>
          <w:sz w:val="24"/>
        </w:rPr>
        <w:t>Exceptional Point and Strong Coupling of Anapoles Enhance Purcell Effect in All‐Dielectric Heterodimer Metasurface</w:t>
      </w:r>
    </w:p>
    <w:p>
      <w:r>
        <w:rPr>
          <w:rFonts w:ascii="Times New Roman" w:hAnsi="Times New Roman" w:eastAsia="宋体"/>
          <w:sz w:val="21"/>
        </w:rPr>
        <w:t>作者: Monica Pradhan, Shubhanshi Sharma, Ranjan Singh, Shailendra K. Varshney</w:t>
        <w:br/>
      </w:r>
      <w:r>
        <w:rPr>
          <w:rFonts w:ascii="Times New Roman" w:hAnsi="Times New Roman" w:eastAsia="宋体"/>
          <w:sz w:val="21"/>
        </w:rPr>
        <w:t xml:space="preserve">时间: 2026-02-04 | </w:t>
      </w:r>
      <w:r>
        <w:t xml:space="preserve">链接: </w:t>
      </w:r>
      <w:hyperlink r:id="rId55">
        <w:r>
          <w:rPr>
            <w:rFonts w:ascii="Times New Roman" w:hAnsi="Times New Roman" w:eastAsia="宋体"/>
            <w:color w:val="0000FF"/>
            <w:sz w:val="21"/>
            <w:u w:val="single"/>
          </w:rPr>
          <w:t>https://doi.org/10.1002/lpor.202502853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介质米氏谐振器是非厄米系统的一个例子，其中纳米尺度的光物质相互作用支持散射态的连续体。众所周知，此类系统表现出辐射和吸收损耗，分别与频率和衰减率相关。为了利用这种非厄米系统的重要特性，这项工作提出了解硅异质二聚体超表面中的阿纳极介导的共振耦合。阿纳极-阿纳极相互作用在某些扰动下通过异常点转变呈现出强耦合现象。这种耦合导致拉比分裂为 48.438 meV (11.7 THz)。采用两级原子系统的概念对所提出的系统中的原子跃迁和共振模式进行比较分析，这展示了一个清晰的类比，抓住了强耦合的本质。该系统提供了对控制混合光学模式的相互作用动力学的更深入的了解，这是一个有前途的平台，可实现实质性的珀塞尔增强并减少阿纳极共振周围的寿命。因此，所提出的二聚体结构为开发对于下一代光子量子网络至关重要的光子发射器界面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Dielectric Mie resonators are an example of non‐Hermitian systems where the light‐matter interaction at the nanoscale supports the continuum of scattering states. It is well established that such systems exhibit radiative and absorptive losses, relating to the frequency and decay rate, respectively. To utilize the significant properties of such non‐Hermitian systems, this work proposes to understand the anapole‐mediated resonance coupling in a silicon hetero‐dimer metasurface. The anapole–anapole interaction presents a strong coupling phenomenon under certain perturbations through an exceptional point transition. This coupling results in a Rabi splitting of 48.438 meV (11.7 THz). The concept of a two‐level atomic system is employed to establish a comparative analysis between the atomic transitions and the resonant modes in the proposed system, which demonstrates a clear analogy that captures the essence of strong coupling. This system provides deeper insight into the interaction dynamics governing the hybridized optical modes, which is a promising platform for achieving substantial Purcell enhancement and yielding the reduction in lifetime around the anapole resonance. Consequently, the proposed dimer structure paves the way toward developing photon–emitter interfaces that are essential for next‐generation photonic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6">
        <w:r>
          <w:rPr>
            <w:rFonts w:ascii="Times New Roman" w:hAnsi="Times New Roman" w:eastAsia="宋体"/>
            <w:color w:val="0000FF"/>
            <w:sz w:val="21"/>
            <w:u w:val="single"/>
          </w:rPr>
          <w:t>https://doi.org/10.1021/phv013i003_2036987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https://doi.org/10.1021/phv013i003_2036986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08:28 ---</w:t>
      </w:r>
    </w:p>
    <w:p>
      <w:pPr>
        <w:pStyle w:val="Heading2"/>
      </w:pPr>
      <w:r/>
      <w:r>
        <w:rPr>
          <w:rFonts w:ascii="Times New Roman" w:hAnsi="Times New Roman" w:eastAsia="宋体"/>
          <w:b/>
          <w:color w:val="000000"/>
          <w:sz w:val="24"/>
        </w:rPr>
        <w:t>纳米级排列连续体中的非局域束缚态</w:t>
      </w:r>
    </w:p>
    <w:p>
      <w:r>
        <w:rPr>
          <w:rFonts w:ascii="Times New Roman" w:hAnsi="Times New Roman" w:eastAsia="宋体"/>
          <w:b/>
          <w:color w:val="003264"/>
          <w:sz w:val="24"/>
        </w:rPr>
        <w:t>Non-local bound states in the continuum for nanoscale alignment</w:t>
      </w:r>
    </w:p>
    <w:p>
      <w:r>
        <w:rPr>
          <w:rFonts w:ascii="Times New Roman" w:hAnsi="Times New Roman" w:eastAsia="宋体"/>
          <w:sz w:val="21"/>
        </w:rPr>
        <w:t>作者: Jing Cheng Zhang, Din Ping Tsai, Stella W. Pang</w:t>
        <w:br/>
      </w:r>
      <w:r>
        <w:rPr>
          <w:rFonts w:ascii="Times New Roman" w:hAnsi="Times New Roman" w:eastAsia="宋体"/>
          <w:sz w:val="21"/>
        </w:rPr>
        <w:t xml:space="preserve">时间: 2026-02-04 | </w:t>
      </w:r>
      <w:r>
        <w:t xml:space="preserve">链接: </w:t>
      </w:r>
      <w:hyperlink r:id="rId64">
        <w:r>
          <w:rPr>
            <w:rFonts w:ascii="Times New Roman" w:hAnsi="Times New Roman" w:eastAsia="宋体"/>
            <w:color w:val="0000FF"/>
            <w:sz w:val="21"/>
            <w:u w:val="single"/>
          </w:rPr>
          <w:t>https://doi.org/10.1038/s41566-026-01847-w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研究人员研究了由面外不对称性引起的从连续体束缚态 (BIC) 到准 BIC 的转变，并说明了 BIC 共振的品质因数如何成为实现精确芯片图案精度的宝贵工具。</w:t>
      </w:r>
    </w:p>
    <w:p>
      <w:pPr>
        <w:spacing w:before="120"/>
      </w:pPr>
      <w:r>
        <w:rPr>
          <w:rFonts w:ascii="Times New Roman" w:hAnsi="Times New Roman" w:eastAsia="宋体"/>
          <w:b/>
          <w:sz w:val="21"/>
        </w:rPr>
        <w:t>English Abstract:</w:t>
      </w:r>
    </w:p>
    <w:p>
      <w:r>
        <w:rPr>
          <w:rFonts w:ascii="Times New Roman" w:hAnsi="Times New Roman" w:eastAsia="宋体"/>
          <w:sz w:val="21"/>
        </w:rPr>
        <w:t>Researchers study the transition from bound states in the continuum (BICs) to quasi-BIC caused by out-of-plane asymmetry and illustrate how quality factors of BIC resonances are valuable tools for precise chip patterning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11:28 ---</w:t>
      </w:r>
    </w:p>
    <w:p>
      <w:pPr>
        <w:pStyle w:val="Heading2"/>
      </w:pPr>
      <w:r/>
      <w:r>
        <w:rPr>
          <w:rFonts w:ascii="Times New Roman" w:hAnsi="Times New Roman" w:eastAsia="宋体"/>
          <w:b/>
          <w:color w:val="000000"/>
          <w:sz w:val="24"/>
        </w:rPr>
        <w:t>条纹投影轮廓测量中的高效非线性校正方法</w:t>
      </w:r>
    </w:p>
    <w:p>
      <w:r>
        <w:rPr>
          <w:rFonts w:ascii="Times New Roman" w:hAnsi="Times New Roman" w:eastAsia="宋体"/>
          <w:b/>
          <w:color w:val="003264"/>
          <w:sz w:val="24"/>
        </w:rPr>
        <w:t>Efficient nonlinear correction method in fringe projection profilometry</w:t>
      </w:r>
    </w:p>
    <w:p>
      <w:r>
        <w:rPr>
          <w:rFonts w:ascii="Times New Roman" w:hAnsi="Times New Roman" w:eastAsia="宋体"/>
          <w:sz w:val="21"/>
        </w:rPr>
        <w:t>作者: Huixin Sun, Jianhua Wang, Qinkui Ma, Tong Shao</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https://doi.org/10.1364/ao.583961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在条纹投影轮廓测量（FPP）中，投影仪的非线性响应是影响三维（3D）测量精度的关键因素之一。双N步相移法(DNPSM)是校正非线性引起的相位误差的有效方法。然而，DNPSM 所需的条纹序列数量增加了一倍，导致 3D 测量效率较低。为了提高测量效率，本文提出了两种有效的非线性引起的相位误差校正（NIPEC）方法。首先，我们通过在高频条纹中仅添加少量附加条纹图案来优化DNPSM，将条纹图案总数从18个减少到12个。其次，我们引入基于希尔伯特变换的三步相移算法（PSA）方法，该方法不需要额外的投影条纹图案，而是通过希尔伯特变换构造相移条纹图案。实验结果表明，该方法有效抑制了周期性纹波相位误差，与传统DNPSM相比，测量效率提高了34%。</w:t>
      </w:r>
    </w:p>
    <w:p>
      <w:pPr>
        <w:spacing w:before="120"/>
      </w:pPr>
      <w:r>
        <w:rPr>
          <w:rFonts w:ascii="Times New Roman" w:hAnsi="Times New Roman" w:eastAsia="宋体"/>
          <w:b/>
          <w:sz w:val="21"/>
        </w:rPr>
        <w:t>English Abstract:</w:t>
      </w:r>
    </w:p>
    <w:p>
      <w:r>
        <w:rPr>
          <w:rFonts w:ascii="Times New Roman" w:hAnsi="Times New Roman" w:eastAsia="宋体"/>
          <w:sz w:val="21"/>
        </w:rPr>
        <w:t>In fringe projection profilometry (FPP), the nonlinear response of the projector is one of the key factors affecting the accuracy of three-dimensional (3D) measurement. The double N -step phase-shifting method (DNPSM) is an effective method for correcting nonlinear-induced phase errors. However, the DNPSM doubles the number of required fringe sequences, resulting in low 3D measurement efficiency. To enhance measurement efficiency, this paper proposes two efficient nonlinear-induced phase error correction (NIPEC) methods. First, we optimize the DNPSM by adding only a small number of additional fringe patterns in the high-frequency fringes, reducing the total number of fringe patterns from 18 to 12. Second, we introduce a Hilbert transform-based three-step phase-shifting algorithm (PSA) method, which does not require additional projected fringe patterns but instead constructs the phase-shifted fringe patterns through the Hilbert transform. Experimental results demonstrate that the proposed methods effectively suppress periodic ripple phase errors and improve measurement efficiency by 34% compared to the traditional DNPSM.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9 字形掺铒光纤激光器中的多孤子束缚态</w:t>
      </w:r>
    </w:p>
    <w:p>
      <w:r>
        <w:rPr>
          <w:rFonts w:ascii="Times New Roman" w:hAnsi="Times New Roman" w:eastAsia="宋体"/>
          <w:b/>
          <w:color w:val="003264"/>
          <w:sz w:val="24"/>
        </w:rPr>
        <w:t>Multi-soliton bound states in a figure-9 Er-doped fiber laser</w:t>
      </w:r>
    </w:p>
    <w:p>
      <w:r>
        <w:rPr>
          <w:rFonts w:ascii="Times New Roman" w:hAnsi="Times New Roman" w:eastAsia="宋体"/>
          <w:sz w:val="21"/>
        </w:rPr>
        <w:t>作者: Huiling Wu, Qiaochu Yang, Zhuoao Wen, Yuanzhu Zhou, Yuqi Sun, Yuezhang Hou, Zhenghao Li, Xinjian Pan, Tianshu Wang</w:t>
        <w:br/>
      </w:r>
      <w:r>
        <w:rPr>
          <w:rFonts w:ascii="Times New Roman" w:hAnsi="Times New Roman" w:eastAsia="宋体"/>
          <w:sz w:val="21"/>
        </w:rPr>
        <w:t xml:space="preserve">时间: 2026-02-02 | </w:t>
      </w:r>
      <w:r>
        <w:t xml:space="preserve">链接: </w:t>
      </w:r>
      <w:hyperlink r:id="rId72">
        <w:r>
          <w:rPr>
            <w:rFonts w:ascii="Times New Roman" w:hAnsi="Times New Roman" w:eastAsia="宋体"/>
            <w:color w:val="0000FF"/>
            <w:sz w:val="21"/>
            <w:u w:val="single"/>
          </w:rPr>
          <w:t>https://doi.org/10.1364/ao.583890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本文提出了一种自启动、全保偏 (PM) 9 字型掺铒光纤激光器，采用集成 PM 组合器。通过调节泵浦功率和腔内偏振态，可以有效地控制激光器的工作状态和脉冲特性，从而能够产生具有可调间隔和阶数的束缚孤子态。成功生成了多种束缚态配置，包括双孤子态、三孤子态、四孤子态和六孤子态。分析了这些不同束缚孤子态的形成机制和特征，为深入了解多个孤子之间的相互作用动力学提供了更深入的见解，并为进一步探索束缚态系统中的非线性动力学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self-starting, all-polarization-maintaining (PM) figure-9 Er-doped fiber laser that employs an integrated PM combiner. By adjusting the pump power and intracavity polarization state, the operating regime and pulse characteristics of the laser can be effectively controlled, enabling the generation of bound soliton states with tunable separations and orders. Multiple bound-state configurations, including double-, triple-, quadruple-, and sextuple-soliton states, were successfully generated. The formation mechanisms and characteristics of these different bound soliton states were analyzed, providing deeper insight into the interaction dynamics between multiple solitons and offering valuable guidance for further exploration of nonlinear dynamics in bound-state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850 nm 多模双包层渐变折射率二氧化硅光子晶体光纤的模式滤波和传输性能</w:t>
      </w:r>
    </w:p>
    <w:p>
      <w:r>
        <w:rPr>
          <w:rFonts w:ascii="Times New Roman" w:hAnsi="Times New Roman" w:eastAsia="宋体"/>
          <w:b/>
          <w:color w:val="003264"/>
          <w:sz w:val="24"/>
        </w:rPr>
        <w:t>Mode filtering and transmission performance in multimode doubly clad graded-index silica photonic crystal fibers at 850 nm</w:t>
      </w:r>
    </w:p>
    <w:p>
      <w:r>
        <w:rPr>
          <w:rFonts w:ascii="Times New Roman" w:hAnsi="Times New Roman" w:eastAsia="宋体"/>
          <w:sz w:val="21"/>
        </w:rPr>
        <w:t>作者: Ana Simović, Branko Drljača, Konstantinos Aidinis, Xiong Deng, Svetislav Savović</w:t>
        <w:br/>
      </w:r>
      <w:r>
        <w:rPr>
          <w:rFonts w:ascii="Times New Roman" w:hAnsi="Times New Roman" w:eastAsia="宋体"/>
          <w:sz w:val="21"/>
        </w:rPr>
        <w:t xml:space="preserve">时间: 2026-01-30 | </w:t>
      </w:r>
      <w:r>
        <w:t xml:space="preserve">链接: </w:t>
      </w:r>
      <w:hyperlink r:id="rId154">
        <w:r>
          <w:rPr>
            <w:rFonts w:ascii="Times New Roman" w:hAnsi="Times New Roman" w:eastAsia="宋体"/>
            <w:color w:val="0000FF"/>
            <w:sz w:val="21"/>
            <w:u w:val="single"/>
          </w:rPr>
          <w:t>https://doi.org/10.1364/ao.585420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多模渐变折射率 (GI) 石英光纤广泛用于中短程数据传输，但面临带宽限制。实现更高的带宽需要创新的光纤设计，最大限度地减少模式色散并抑制高阶模式。在这里，我们使用功率流方程对其传输特性进行建模，从理论上分析了多模双包层（W 型）GI 二氧化硅光子晶体光纤（SPCF）。我们证明，对于较薄的内包层（δ = 0.24），平衡模式分布（EMD）和稳态分布（SSD）分别在光纤长度 L c = 36 m 和 z s = 95 m 时实现，而对于较厚的内包层（δ = 0.48），这些长度为 L c = 40 m 和 z s = 105 m。增加 δ 可减少漏模损耗并增加导模数量，从而延长达到 EMD 和 SSD 所需的长度。 EMD 实现得越早，带宽改善的速度就越快。具有 GI 纤芯分布的标准 OM4 和 OM5 多模石英光纤在 850 nm 处的带宽为 4.7GHz·km。这项工作中研究的 W 型 GI SPCF 在 850 nm 处实现了更高的带宽长度积 9.8GHz·km。这些发现表明，此类 SPCF 可以显着增强数据中心和电信的带宽性能，同时通过气孔几何形状调整提供更大的设计灵活性，而无需复杂的掺杂工艺。</w:t>
      </w:r>
    </w:p>
    <w:p>
      <w:pPr>
        <w:spacing w:before="120"/>
      </w:pPr>
      <w:r>
        <w:rPr>
          <w:rFonts w:ascii="Times New Roman" w:hAnsi="Times New Roman" w:eastAsia="宋体"/>
          <w:b/>
          <w:sz w:val="21"/>
        </w:rPr>
        <w:t>English Abstract:</w:t>
      </w:r>
    </w:p>
    <w:p>
      <w:r>
        <w:rPr>
          <w:rFonts w:ascii="Times New Roman" w:hAnsi="Times New Roman" w:eastAsia="宋体"/>
          <w:sz w:val="21"/>
        </w:rPr>
        <w:t>Multimode graded-index (GI) silica optical fibers are widely used for short- to medium-range data transmission but face bandwidth limitations. Achieving higher bandwidths requires innovative fiber designs that minimize modal dispersion and suppress higher-order modes. Here, we theoretically analyze a multimode doubly clad (W-type) GI silica photonic crystal fiber (SPCF) using the power flow equation to model its transmission characteristics. We demonstrated that for thinner inner cladding ( δ =0.24), the equilibrium mode distribution (EMD) and steady-state distribution (SSD) are achieved at fiber lengths of L c =36m and z s =95m, respectively, while for thicker inner cladding ( δ =0.48), these lengths are L c =40m and z s =105m. Increasing δ reduces leaky mode losses and increases the number of guided modes, thereby extending the lengths required to reach EMD and SSD. The sooner the EMD is achieved, the faster the bandwidth improvement occurs. The standard OM4 and OM5 multimode silica optical fibers with GI core distribution have a bandwidth of 4.7GHz⋅km at 850 nm. The W-type GI SPCF investigated in this work achieves a much higher bandwidth-length product of 9.8GHz⋅km at 850 nm. These findings suggest that such SPCFs can significantly enhance bandwidth performance in data centers and telecommunications, while offering greater design flexibility through air-hole geometry adjustments without complex doping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高效钙钛矿太阳能电池：采用嵌入式核壳等离子体纳米粒子的双吸收体设计</w:t>
      </w:r>
    </w:p>
    <w:p>
      <w:r>
        <w:rPr>
          <w:rFonts w:ascii="Times New Roman" w:hAnsi="Times New Roman" w:eastAsia="宋体"/>
          <w:b/>
          <w:color w:val="003264"/>
          <w:sz w:val="24"/>
        </w:rPr>
        <w:t>High-efficiency perovskite solar cells: dual-absorber design featuring embedded core–shell plasmonic nanoparticles</w:t>
      </w:r>
    </w:p>
    <w:p>
      <w:r>
        <w:rPr>
          <w:rFonts w:ascii="Times New Roman" w:hAnsi="Times New Roman" w:eastAsia="宋体"/>
          <w:sz w:val="21"/>
        </w:rPr>
        <w:t>作者: Amir Hossein Mohammadian Fard, Samiye Matloub</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https://doi.org/10.1364/ao.586383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这项工作展示了一种高效钙钛矿太阳能电池 (PSC) 架构，通过一种新颖的、据我们所知的双增强策略实现了 29.2% 的功率转换效率 (PCE)。我们将堆叠双吸收剂设计 Cs 0.2 FA 0.8 Pb(I 0.7 Br 0.3 ) 3 /MASnI 3 与球形核壳银纳米颗粒 (NP) 的双层等离子体集成相结合。所得的 29.2% PCE (J sc =36.3mAcm -2 ) 与单独的双吸收器堆栈的 25.9% PCE 和传统单结基线的 22.0% PCE 相比有了显着改进。这种方法超越了传统的单结等离子体激元，并得到精确的三维有限元 (3D-FEM) 光电建模的支持。结果表明，薄膜太阳能电池有一条实用且可扩展的途径，可以超越传统的单吸收器设计，同时减少材料消耗。</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high-efficiency perovskite solar cell (PSC) architecture achieving a 29.2% power conversion efficiency (PCE) through a novel, to our knowledge, dual-enhancement strategy. We combined a stacked dual-absorber design, Cs 0.2 FA 0.8 Pb(I 0.7 Br 0.3 ) 3 /MASnI 3 , with dual-layer plasmonic integration of spherical core–shell Ag nanoparticles (NPs). The resulting 29.2% PCE ( J sc =36.3mAcm −2 ) represents a significant improvement over the 25.9% PCE of the dual-absorber stack alone and the 22.0% PCE of a conventional single-junction baseline. This approach, which extends beyond conventional single-junction plasmonics, is supported by accurate three-dimensional finite-element (3D-FEM) optical–electrical modeling. The results indicate a practical and scalable pathway for thin-film PSCs to outperform conventional single-absorber designs while reducing material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基于干涉和不等模分解的光学图像密码体制的密码分析</w:t>
      </w:r>
    </w:p>
    <w:p>
      <w:r>
        <w:rPr>
          <w:rFonts w:ascii="Times New Roman" w:hAnsi="Times New Roman" w:eastAsia="宋体"/>
          <w:b/>
          <w:color w:val="003264"/>
          <w:sz w:val="24"/>
        </w:rPr>
        <w:t>Cryptoanalysis on the optical image cryptosystem based on interference and unequal modulus decomposition</w:t>
      </w:r>
    </w:p>
    <w:p>
      <w:r>
        <w:rPr>
          <w:rFonts w:ascii="Times New Roman" w:hAnsi="Times New Roman" w:eastAsia="宋体"/>
          <w:sz w:val="21"/>
        </w:rPr>
        <w:t>作者: J. Liu, H. Xu, Y. Xiong</w:t>
        <w:br/>
      </w:r>
      <w:r>
        <w:rPr>
          <w:rFonts w:ascii="Times New Roman" w:hAnsi="Times New Roman" w:eastAsia="宋体"/>
          <w:sz w:val="21"/>
        </w:rPr>
        <w:t xml:space="preserve">时间: 2026-01-30 | </w:t>
      </w:r>
      <w:r>
        <w:t xml:space="preserve">链接: </w:t>
      </w:r>
      <w:hyperlink r:id="rId156">
        <w:r>
          <w:rPr>
            <w:rFonts w:ascii="Times New Roman" w:hAnsi="Times New Roman" w:eastAsia="宋体"/>
            <w:color w:val="0000FF"/>
            <w:sz w:val="21"/>
            <w:u w:val="single"/>
          </w:rPr>
          <w:t>https://doi.org/10.1364/ao.586419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供了集成干扰和不等模分解（EMD）的光学图像密码系统的安全性分析。与传统的基于干扰的密码系统利用从加密过程中导出的单相位掩码（POM）作为私钥相比，增强型密码系统使用两个随机相位掩码（RPM）和从相位保留（PR）结构导出的两个POM作为私钥。该修改通过扩展密钥空间解决了传统基于干扰的密码系统中固有的轮廓问题，从而增强了安全强度。然而，确定RPM R 2 (u，v)和POM P 2(x，y)表现出低密钥敏感性，从而限制了它们对安全性增强的影响。此外，由于与明文无关，用作私钥的 RPM 可以使用设计的已知明文攻击（KPA）来恢复。一旦 RPM 恢复，未知密钥的数量就会减少到两个。这样就可以通过后续的纯密文攻击 (COA) 从密文中恢复明文信息，而无需事先了解 POM。根据这些发现，据我们所知，提出了一种新颖的混合攻击策略，集成四个级联 KPA 和一个 COA，以有效破坏先进的干扰和基于 EMD 的密码系统。为了验证所提出的混合攻击的可行性和有效性，进行了数值模拟。</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security analysis of an optical image cryptosystem that integrates interference and unequal modulus decomposition (EMD). In contrast to the conventional interference-based cryptosystem, which utilizes a single phase-only mask (POM) derived from the encryption process as the private key, the enhanced cryptosystem employs two random phase masks (RPMs) and two POMs derived from the phase-reserved (PR) structure as private keys. This modification addresses the silhouette problem inherent in the conventional interference-based cryptosystem by expanding the key space, thereby enhancing security strength. However, it is determined that the RPM R 2 ( u , v ) and the POM P 2 ( x , y ) exhibited low key sensitivity, thereby limiting their impact on the security enhancement. Additionally, due to the independence from the plaintext, the RPMs employed as private keys can be recovered using a designed known-plaintext attack (KPA). Once the RPMs are recovered, the number of unknown keys is reduced to two. This enables the recovery of plaintext information from its ciphertexts via a subsequent ciphertext-only attack (COA) without any prior knowledge of the POMs. In light of these findings, a novel hybrid attack strategy, to our knowledge, is proposed, integrating four cascaded KPAs and a COA, to effectively compromise the advanced interference and EMD-based cryptosystem. To validate the feasibility and effectiveness of the proposed hybrid attack, numerical simulations have been conducted.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双埃尔米特-高斯光束手性粒子的散射特性</w:t>
      </w:r>
    </w:p>
    <w:p>
      <w:r>
        <w:rPr>
          <w:rFonts w:ascii="Times New Roman" w:hAnsi="Times New Roman" w:eastAsia="宋体"/>
          <w:b/>
          <w:color w:val="003264"/>
          <w:sz w:val="24"/>
        </w:rPr>
        <w:t>Scattering characteristics of chiral particles by dual Hermite–Gaussian beams</w:t>
      </w:r>
    </w:p>
    <w:p>
      <w:r>
        <w:rPr>
          <w:rFonts w:ascii="Times New Roman" w:hAnsi="Times New Roman" w:eastAsia="宋体"/>
          <w:sz w:val="21"/>
        </w:rPr>
        <w:t>作者: Xin-Wei Wang, Jing Bai, Wen-Hao Ma, Cheng-Xian Ge, Tan Qu, Zhen-Sen Wu</w:t>
        <w:br/>
      </w:r>
      <w:r>
        <w:rPr>
          <w:rFonts w:ascii="Times New Roman" w:hAnsi="Times New Roman" w:eastAsia="宋体"/>
          <w:sz w:val="21"/>
        </w:rPr>
        <w:t xml:space="preserve">时间: 2026-01-28 | </w:t>
      </w:r>
      <w:r>
        <w:t xml:space="preserve">链接: </w:t>
      </w:r>
      <w:hyperlink r:id="rId157">
        <w:r>
          <w:rPr>
            <w:rFonts w:ascii="Times New Roman" w:hAnsi="Times New Roman" w:eastAsia="宋体"/>
            <w:color w:val="0000FF"/>
            <w:sz w:val="21"/>
            <w:u w:val="single"/>
          </w:rPr>
          <w:t>https://doi.org/10.1364/ao.585711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本研究研究了双埃尔米特高斯光束 (HGB) 以任意入射角照射的手性介电球的散射特性。利用广义洛伦兹-米氏理论（GLMT），我们通过坐标加法定理推导了双 HGB 的光束形状因子。通过应用相关边界条件，我们获得了手性粒子对双 HGB 散射的解析解。为了验证所提出方法的准确性，我们建立了两个简化模型：单 HGB 和双高斯光束。将这些模型的散射结果与参考数据进行比较，证实了算法的可靠性。基于这些经过验证的结果，我们对受双 HGB 影响的手性粒子内的远场雷达截面 (RCS) 和内部电场分布进行了全面分析。我们彻底研究了各种参数对数值结果的影响，包括光束顺序、入射角、偏振角、腰半径、粒径和手性参数。这项研究的结果为双光束照明下手性粒子的散射行为提供了有价值的见解，并对多光束操纵技术和生物粒子识别方法的发展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scattering properties of chiral dielectric spheres illuminated by dual Hermite––Gaussian beams (HGBs) at arbitrary incident angles. Utilizing generalized Lorenz–Mie theory (GLMT), we derive the beam shape factor for dual HGBs through the coordinate addition theorem. By applying relevant boundary conditions, we obtain an analytical solution for the scattering of dual HGBs by chiral particles. To validate the proposed method’s accuracy, we establish two simplified models: a single HGB and dual Gaussian beams. The scattering results from these models are compared with reference data, confirming the algorithm’s reliability. Building on these validated results, we conduct a comprehensive analysis of the far-field radar cross-section (RCS) and the internal electric field distribution within chiral particles affected by dual HGBs. We thoroughly examine the impact of various parameters on the numerical outcomes, including beam order, incident angle, polarization angle, waist radius, particle sizes, and chirality parameters. The findings of this research offer valuable insights into the scattering behavior of chiral particles under dual-beam illumination and have significant implications for the development of multi-beam manipulation technologies and bio-particle identification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具有通道选择性相位梯度恢复的基于多色偏振的剪切干涉测量</w:t>
      </w:r>
    </w:p>
    <w:p>
      <w:r>
        <w:rPr>
          <w:rFonts w:ascii="Times New Roman" w:hAnsi="Times New Roman" w:eastAsia="宋体"/>
          <w:b/>
          <w:color w:val="003264"/>
          <w:sz w:val="24"/>
        </w:rPr>
        <w:t>Polychromatic polarization-based shearing interferometry with channel-selective phase-gradient recovery</w:t>
      </w:r>
    </w:p>
    <w:p>
      <w:r>
        <w:rPr>
          <w:rFonts w:ascii="Times New Roman" w:hAnsi="Times New Roman" w:eastAsia="宋体"/>
          <w:sz w:val="21"/>
        </w:rPr>
        <w:t>作者: Noel-Ivan Toto-Arellano, Ana Karen Reyes, Jose Escamilla Angeles</w:t>
        <w:br/>
      </w:r>
      <w:r>
        <w:rPr>
          <w:rFonts w:ascii="Times New Roman" w:hAnsi="Times New Roman" w:eastAsia="宋体"/>
          <w:sz w:val="21"/>
        </w:rPr>
        <w:t xml:space="preserve">时间: 2026-01-30 | </w:t>
      </w:r>
      <w:r>
        <w:t xml:space="preserve">链接: </w:t>
      </w:r>
      <w:hyperlink r:id="rId158">
        <w:r>
          <w:rPr>
            <w:rFonts w:ascii="Times New Roman" w:hAnsi="Times New Roman" w:eastAsia="宋体"/>
            <w:color w:val="0000FF"/>
            <w:sz w:val="21"/>
            <w:u w:val="single"/>
          </w:rPr>
          <w:t>https://doi.org/10.1364/ao.586119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提出了一种在宽带照明下运行的偏振编码干涉系统，用于在单次曝光中检索静态和时变透明样品的光学相位导数。该装置采用偏振循环路径干涉仪 (PCPI) 与复制级相结合，能够生成具有标称 π /2 相位步长的四个相移干涉图。尽管使用白光源，但在 RGB 分离后，每个颜色通道的相位重建都是独立执行的，从而无需轴向扫描即可进行通道特定的单色处理。绿色和红色通道对于相位恢复表现出足够的条纹可见度，而蓝色通道由于光谱衰减和相机响应度而表现出有限的灵敏度。因此，该方法有效地充当双波长通道选择性干涉仪，而不是完整的多波长干涉系统。基于 100 次测量的稳定性和可重复性评估证实了所提出方法的稳健性。从静态像差样本和动态光学事件获得的实验结果证明了在宽带照明下无需机械扫描的实时相位导数传感的可行性。</w:t>
      </w:r>
    </w:p>
    <w:p>
      <w:pPr>
        <w:spacing w:before="120"/>
      </w:pPr>
      <w:r>
        <w:rPr>
          <w:rFonts w:ascii="Times New Roman" w:hAnsi="Times New Roman" w:eastAsia="宋体"/>
          <w:b/>
          <w:sz w:val="21"/>
        </w:rPr>
        <w:t>English Abstract:</w:t>
      </w:r>
    </w:p>
    <w:p>
      <w:r>
        <w:rPr>
          <w:rFonts w:ascii="Times New Roman" w:hAnsi="Times New Roman" w:eastAsia="宋体"/>
          <w:sz w:val="21"/>
        </w:rPr>
        <w:t>A polarization-encoded interferometric system operating under broadband illumination is presented to retrieve the optical phase derivative of static and time-varying transparent samples in a single exposure. The setup employs a polarized cyclic-path interferometer (PCPI) combined with a replication stage, enabling the generation of four phase-shifted interferograms with nominal π /2 phase steps. Although a white-light source is used, the phase reconstruction is performed independently for each color channel after RGB separation, allowing channel-specific monochromatic processing without axial scanning. The green and red channels exhibit sufficient fringe visibility for phase retrieval, whereas the blue channel shows limited sensitivity due to spectral attenuation and camera responsivity. Therefore, the method functions effectively as a two-wavelength channel-selective interferometer rather than a full multiwavelength interferometric system. A stability and repeatability assessment based on 100 measurements confirmed the robustness of the proposed approach. Experimental results obtained from static aberrated samples and dynamic optical events demonstrate the feasibility of real-time phase-derivative sensing under broadband illumination without mechanical scanning.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用于动态询问光纤法布里-珀罗传感器的高稳定性正交点解调技术</w:t>
      </w:r>
    </w:p>
    <w:p>
      <w:r>
        <w:rPr>
          <w:rFonts w:ascii="Times New Roman" w:hAnsi="Times New Roman" w:eastAsia="宋体"/>
          <w:b/>
          <w:color w:val="003264"/>
          <w:sz w:val="24"/>
        </w:rPr>
        <w:t>High-stability quadrature-point demodulation technique for dynamic interrogation of fiber Fabry–Perot sensors</w:t>
      </w:r>
    </w:p>
    <w:p>
      <w:r>
        <w:rPr>
          <w:rFonts w:ascii="Times New Roman" w:hAnsi="Times New Roman" w:eastAsia="宋体"/>
          <w:sz w:val="21"/>
        </w:rPr>
        <w:t>作者: Wei Ye, Qianyu Ren, Huarui Wang, Guowen An, Haiyang Wang, Jia Liu, Pinggang Jia</w:t>
        <w:br/>
      </w:r>
      <w:r>
        <w:rPr>
          <w:rFonts w:ascii="Times New Roman" w:hAnsi="Times New Roman" w:eastAsia="宋体"/>
          <w:sz w:val="21"/>
        </w:rPr>
        <w:t xml:space="preserve">时间: 2026-01-30 | </w:t>
      </w:r>
      <w:r>
        <w:t xml:space="preserve">链接: </w:t>
      </w:r>
      <w:hyperlink r:id="rId159">
        <w:r>
          <w:rPr>
            <w:rFonts w:ascii="Times New Roman" w:hAnsi="Times New Roman" w:eastAsia="宋体"/>
            <w:color w:val="0000FF"/>
            <w:sz w:val="21"/>
            <w:u w:val="single"/>
          </w:rPr>
          <w:t>https://doi.org/10.1364/ao.585838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法布里-珀罗干涉（FPI）传感器的传统强度解调方法由于光源波动、光纤扰动、光纤衰减和温度引起的正交点漂移而存在高误差和有限可靠性。为了解决这些问题，提出了一种高稳定性正交点解调技术，利用宽窄带比处理来抑制光学系统噪声的影响，并采用有源正交点控制技术来消除传感器温度引起的零点漂移。实验结果表明，FPI传感器具有出色的温度稳定性：在25-300°C范围内，解调非线性误差不超过1.5%。即使在光纤弯曲导致光纤衰减（半径不小于10毫米）的情况下，解调误差也能保持在1%以下。该技术成功克服了传统强度解调的固有缺陷，保留了其结构简单、复用容量高、解调速度快等固有优势，同时为苛刻的工程应用提供了卓越的环境适应性和测量稳定性。</w:t>
      </w:r>
    </w:p>
    <w:p>
      <w:pPr>
        <w:spacing w:before="120"/>
      </w:pPr>
      <w:r>
        <w:rPr>
          <w:rFonts w:ascii="Times New Roman" w:hAnsi="Times New Roman" w:eastAsia="宋体"/>
          <w:b/>
          <w:sz w:val="21"/>
        </w:rPr>
        <w:t>English Abstract:</w:t>
      </w:r>
    </w:p>
    <w:p>
      <w:r>
        <w:rPr>
          <w:rFonts w:ascii="Times New Roman" w:hAnsi="Times New Roman" w:eastAsia="宋体"/>
          <w:sz w:val="21"/>
        </w:rPr>
        <w:t>The traditional intensity demodulation method for fiber Fabry–Perot interferometric (FPI) sensors suffers from high error and limited reliability due to light source fluctuation, fiber perturbation, fiber attenuation, and temperature-induced quadrature-point drift. To address these issues, a high-stability quadrature-point demodulation technique is proposed that utilizes wide-and-narrow band ratio processing to suppress the influence of optical system noise and employs an active quadrature-point control technique to eliminate the sensor’s temperature-induced zero-point drift. The experimental results demonstrated excellent temperature stability: the demodulation non-linearity error for the FPI sensors did not exceed 1.5% within 25–300°C. The demodulation error was maintained below 1%, even under conditions of optical fiber attenuation introduced by fiber bending, where the radius was no less than 10 mm. This technique successfully overcomes the intrinsic drawbacks of traditional intensity demodulation, retaining its inherent advantages such as a simple architecture, high multiplexing capacity, and high-speed demodulation, while simultaneously achieving superior environmental adaptability and measurement stability for demanding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通过吸光差光谱检测黄疸的多波长光学传感器</w:t>
      </w:r>
    </w:p>
    <w:p>
      <w:r>
        <w:rPr>
          <w:rFonts w:ascii="Times New Roman" w:hAnsi="Times New Roman" w:eastAsia="宋体"/>
          <w:b/>
          <w:color w:val="003264"/>
          <w:sz w:val="24"/>
        </w:rPr>
        <w:t>Multi-wavelength optical sensor for jaundice detection via absorbance difference spectroscopy</w:t>
      </w:r>
    </w:p>
    <w:p>
      <w:r>
        <w:rPr>
          <w:rFonts w:ascii="Times New Roman" w:hAnsi="Times New Roman" w:eastAsia="宋体"/>
          <w:sz w:val="21"/>
        </w:rPr>
        <w:t>作者: Doaa Bahbry, Sara AlSafran, Marwah Alotaibi, Wala’a Almuraikhi, Wael Yafooz, Mohammed Al-Hariri, Gameel Saleh</w:t>
        <w:br/>
      </w:r>
      <w:r>
        <w:rPr>
          <w:rFonts w:ascii="Times New Roman" w:hAnsi="Times New Roman" w:eastAsia="宋体"/>
          <w:sz w:val="21"/>
        </w:rPr>
        <w:t xml:space="preserve">时间: 2026-01-27 | </w:t>
      </w:r>
      <w:r>
        <w:t xml:space="preserve">链接: </w:t>
      </w:r>
      <w:hyperlink r:id="rId160">
        <w:r>
          <w:rPr>
            <w:rFonts w:ascii="Times New Roman" w:hAnsi="Times New Roman" w:eastAsia="宋体"/>
            <w:color w:val="0000FF"/>
            <w:sz w:val="21"/>
            <w:u w:val="single"/>
          </w:rPr>
          <w:t>https://doi.org/10.1364/ao.575790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我们展示了一种使用 470 nm（胆红素敏感）和 560 nm（血红蛋白等吸光）LED 进行新生儿黄疸检测的低成本光学传感器。该系统应用吸光度差光谱来分离模拟皮肤模型中的胆红素信号，与分光光度法相比，实现了 387mV/mg⋅dL −1 的灵敏度和 13.5% 的误差。光学表征证实新生儿真皮中的穿透深度为 470 nm（约 0.65 毫米）。机器学习分类器预测风险严重程度的准确度为 99.5%。比较分析表明，与基于反射率的设备相比，具有卓越的性价比。这项工作通过优化的波长选择和传输模式检测实现了高胆红素血症监测。</w:t>
      </w:r>
    </w:p>
    <w:p>
      <w:pPr>
        <w:spacing w:before="120"/>
      </w:pPr>
      <w:r>
        <w:rPr>
          <w:rFonts w:ascii="Times New Roman" w:hAnsi="Times New Roman" w:eastAsia="宋体"/>
          <w:b/>
          <w:sz w:val="21"/>
        </w:rPr>
        <w:t>English Abstract:</w:t>
      </w:r>
    </w:p>
    <w:p>
      <w:r>
        <w:rPr>
          <w:rFonts w:ascii="Times New Roman" w:hAnsi="Times New Roman" w:eastAsia="宋体"/>
          <w:sz w:val="21"/>
        </w:rPr>
        <w:t>We demonstrate a low-cost optical sensor for neonatal jaundice detection using 470 nm (bilirubin-sensitive) and 560 nm (hemoglobin isosbestic) LEDs. The system applies absorbance difference spectroscopy to isolate bilirubin signals in skin-mimicking phantoms, achieving 387mV/mg⋅dL −1 sensitivity and 13.5% error versus spectrophotometry. Optical characterization confirms 470 nm penetration depth (≈0.65mm) in neonatal dermis. A machine learning classifier predicts risk severity with 99.5% accuracy. Comparative analysis shows a superior cost-performance trade-off versus reflectance-based devices. This work enables accessible hyperbilirubinemia monitoring through optimized wavelength selection and transmission-mode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利用优化的光子晶体纳米腔的高性能全光学压力传感器</w:t>
      </w:r>
    </w:p>
    <w:p>
      <w:r>
        <w:rPr>
          <w:rFonts w:ascii="Times New Roman" w:hAnsi="Times New Roman" w:eastAsia="宋体"/>
          <w:b/>
          <w:color w:val="003264"/>
          <w:sz w:val="24"/>
        </w:rPr>
        <w:t>High-performance all-optical pressure sensor utilizing optimized photonic crystal nanocavity</w:t>
      </w:r>
    </w:p>
    <w:p>
      <w:r>
        <w:rPr>
          <w:rFonts w:ascii="Times New Roman" w:hAnsi="Times New Roman" w:eastAsia="宋体"/>
          <w:sz w:val="21"/>
        </w:rPr>
        <w:t>作者: Shivesh Kumar, Mrinal Sen, Tanmoy Datta</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https://doi.org/10.1364/ao.575879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本文介绍了一种基于二维光子晶体纳米腔的光学压力传感器的设计和开发，其工作波长范围为1950.2–2091.4 nm。传感机制基于谐振波长的偏移与外部施加压力引起的腔的折射率变化之间的线性关系。使用 COMSOL Multiphysics 对折射率变化进行建模，并通过调整腔内和周围气孔的尺寸和数量来彻底优化腔设计，以实现高质量因数和增强的灵敏度。分别使用平面波展开和有限差分时域技术评估和分析光子能带结构和传感参数。结果表明，随着压力的增加，谐振波长发生红移，实现了 1.0443×10 6 的极高品质因数和 20.17 nm/GPa 的压力灵敏度。此外，该传感器表现出506.184 nm/RIU的最大折射率灵敏度、2.4155×10 5 RIU -1 的高品质因数和4.14×10 -7 RIU的低检测限，共同表明了优异的传感性能。此外，该传感器在较宽的温度范围（0°C–540°C）下表现出稳定运行，并且进行了详细的研究以评估制造引起的粗糙度对整体性能的影响。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development of an optical pressure sensor based on a two-dimensional photonic crystal nanocavity, operating within the wavelength range of 1950.2–2091.4 nm. The sensing mechanism is based on the linear relationship between the shift in resonance wavelength and the refractive index variation of the cavity induced by the external applied pressure. The refractive index variation is modeled using COMSOL Multiphysics, and the cavity design is thoroughly optimized by adjusting the size and number of air holes in and around the cavity to achieve a high-quality factor and enhanced sensitivity. The photonic band structure and sensing parameters are evaluated and analyzed using plane wave expansion and finite-difference time-domain techniques, respectively. The results indicate a red shift in the resonant wavelength with increasing pressure, achieving an extraordinary high-quality factor of 1.0443×10 6 , and a pressure sensitivity of 20.17 nm/GPa. Furthermore, the sensor exhibits a maximum refractive index sensitivity of 506.184 nm/RIU, a high figure of merit of 2.4155×10 5 RIU −1 , and a low detection limit of 4.14×10 −7 RIU, collectively indicating excellent sensing performance. In addition, the sensor demonstrates stable operation in a wide temperature range (0°C–540°C), and a detailed investigation is conducted to evaluate the impact of fabrication-induced roughness on overall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像差对基于 SLM 的远场全息术的影响</w:t>
      </w:r>
    </w:p>
    <w:p>
      <w:r>
        <w:rPr>
          <w:rFonts w:ascii="Times New Roman" w:hAnsi="Times New Roman" w:eastAsia="宋体"/>
          <w:b/>
          <w:color w:val="003264"/>
          <w:sz w:val="24"/>
        </w:rPr>
        <w:t>Impact of aberrations in SLM-based far-field holography</w:t>
      </w:r>
    </w:p>
    <w:p>
      <w:r>
        <w:rPr>
          <w:rFonts w:ascii="Times New Roman" w:hAnsi="Times New Roman" w:eastAsia="宋体"/>
          <w:sz w:val="21"/>
        </w:rPr>
        <w:t>作者: Stephan Reichelt</w:t>
        <w:br/>
      </w:r>
      <w:r>
        <w:rPr>
          <w:rFonts w:ascii="Times New Roman" w:hAnsi="Times New Roman" w:eastAsia="宋体"/>
          <w:sz w:val="21"/>
        </w:rPr>
        <w:t xml:space="preserve">时间: 2026-02-04T08:47:57Z | </w:t>
      </w:r>
      <w:r>
        <w:t xml:space="preserve">链接: </w:t>
      </w:r>
      <w:hyperlink r:id="rId73">
        <w:r>
          <w:rPr>
            <w:rFonts w:ascii="Times New Roman" w:hAnsi="Times New Roman" w:eastAsia="宋体"/>
            <w:color w:val="0000FF"/>
            <w:sz w:val="21"/>
            <w:u w:val="single"/>
          </w:rPr>
          <w:t>https://arxiv.org/abs/2602.04330v1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我们使用环路相机校准来校准远场全息图设置中的纯相位空间光调制器 (SLM)。记录的强度分布与计算结果高度一致，表明对最突出的像差进行了精确的校准和充分的建模。在这项工作中，我们讨论了建模像差，并检查了通过在校准中包含或排除建模像差而获得的图像质量和衍射效率的改善或损失。我们进一步展示像差对散斑减少全息图的影响并评估散斑对比度。</w:t>
      </w:r>
    </w:p>
    <w:p>
      <w:pPr>
        <w:spacing w:before="120"/>
      </w:pPr>
      <w:r>
        <w:rPr>
          <w:rFonts w:ascii="Times New Roman" w:hAnsi="Times New Roman" w:eastAsia="宋体"/>
          <w:b/>
          <w:sz w:val="21"/>
        </w:rPr>
        <w:t>English Abstract:</w:t>
      </w:r>
    </w:p>
    <w:p>
      <w:r>
        <w:rPr>
          <w:rFonts w:ascii="Times New Roman" w:hAnsi="Times New Roman" w:eastAsia="宋体"/>
          <w:sz w:val="21"/>
        </w:rPr>
        <w:t>We use camera-in-the-loop calibration to calibrate a phase-only spatial light modulator (SLM) in a far-field hologram setup. The recorded intensity distributions achieve a high degree of consistency with the calculated results, indicating a precise calibration and sufficient modeling of the most prominent aberrations. In this work, we discuss the modeled aberrations and examine the improvement or loss in image quality and diffraction efficiency that is obtained by including or excluding the modeled aberrations in the calibration. We further show the influence of aberrations on speckle-reduced holograms and evaluate the speckle contrast.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HoloHema：数字全息血液分析仪</w:t>
      </w:r>
    </w:p>
    <w:p>
      <w:r>
        <w:rPr>
          <w:rFonts w:ascii="Times New Roman" w:hAnsi="Times New Roman" w:eastAsia="宋体"/>
          <w:b/>
          <w:color w:val="003264"/>
          <w:sz w:val="24"/>
        </w:rPr>
        <w:t>HoloHema: Digital Holographic Hematology Analyzer</w:t>
      </w:r>
    </w:p>
    <w:p>
      <w:r>
        <w:rPr>
          <w:rFonts w:ascii="Times New Roman" w:hAnsi="Times New Roman" w:eastAsia="宋体"/>
          <w:sz w:val="21"/>
        </w:rPr>
        <w:t>作者: Andreas Erik Gejl Madsen</w:t>
        <w:br/>
      </w:r>
      <w:r>
        <w:rPr>
          <w:rFonts w:ascii="Times New Roman" w:hAnsi="Times New Roman" w:eastAsia="宋体"/>
          <w:sz w:val="21"/>
        </w:rPr>
        <w:t xml:space="preserve">时间: 2026-02-04T14:46:30Z | </w:t>
      </w:r>
      <w:r>
        <w:t xml:space="preserve">链接: </w:t>
      </w:r>
      <w:hyperlink r:id="rId74">
        <w:r>
          <w:rPr>
            <w:rFonts w:ascii="Times New Roman" w:hAnsi="Times New Roman" w:eastAsia="宋体"/>
            <w:color w:val="0000FF"/>
            <w:sz w:val="21"/>
            <w:u w:val="single"/>
          </w:rPr>
          <w:t>https://arxiv.org/abs/2602.04618v1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这位工业博士。该项目由 Radiometer Medical ApS 和南丹麦大学 SDU 光子工程中心合作开展，探索了使用数字全息显微镜 (DHM) 在急症护理环境中的护理点 (PoC) 设备中对白细胞计数 (dWBC) 进行分类。开发了两种 DHM 原型；最初的基于透镜的系统作为算法开发和方法实验验证的基础，在三部分差分上实现了 89.6% 的分类精度，以及随后的无透镜系统，用于简化设计和增加视场 (FoV)。两种原型都采用卷积神经网络（CNN）进行细胞分类。经过进一步优化，无透镜系统在三部分和五部分差分上分别实现了 92.65% 和 89.44% 的分类精度。利用无透镜系统，还证明了单核细胞分布宽度（MDW）（败血症的生物标志物）的推导。此外，还研究了像素超分辨率和多波长 DHM 方法，以增强获得的细胞信息。最后，实现了用于全息重建的原理验证物理信息神经网络（PINN），展示了机器学习（ML）重建技术的潜力。总之，这项工作代表了 PoC 设备中 dWBC DHM 的初步探索，为未来的研究奠定了基础。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This industrial Ph.D. project, carried out in collaboration between Radiometer Medical ApS and SDU Centre for Photonics Engineering at the University of Southern Denmark, explored the use of digital holographic microscopy (DHM) for the purposes of differential white blood cell counts (dWBCs) in point-of-care (PoC) devices for acute care settings. Two DHM prototypes were developed; an initial lens-based system serving as the foundation for algorithm development, and experimental validation of the approach, achieving 89.6% classification accuracy on a 3-part differential, and a subsequent lensless system for simplified design and increased field-of-view (FoV). Both prototypes employed convolutional neural networks (CNNs) for cell classification. With further optimizations, the lensless system achieved classification accuracies of 92.65% and 89.44% on the 3-part and 5-part differential, respectively. With the lensless system, the derivation of the monocyte distribution width (MDW), a biomarker for sepsis, was also demonstrated. Additionally, pixel super-resolution and multi-wavelength DHM approaches were investigated to enhance the obtained cell information. Finally, a proof-of-principle physics-informed neural network (PINN) for holographic reconstruction was implemented, demonstrating the potential for machine learning (ML) reconstruction techniques. In summary, this work represents an initial exploration of DHM for dWBC in PoC devices, laying the groundwork for future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75">
        <w:r>
          <w:rPr>
            <w:rFonts w:ascii="Times New Roman" w:hAnsi="Times New Roman" w:eastAsia="宋体"/>
            <w:color w:val="0000FF"/>
            <w:sz w:val="21"/>
            <w:u w:val="single"/>
          </w:rPr>
          <w:t>https://arxiv.org/abs/2602.03281v2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系外行星气候红外望远镜（EXCITE）：一项气球载任务，测量凌日热木星的光谱相位曲线</w:t>
      </w:r>
    </w:p>
    <w:p>
      <w:r>
        <w:rPr>
          <w:rFonts w:ascii="Times New Roman" w:hAnsi="Times New Roman" w:eastAsia="宋体"/>
          <w:b/>
          <w:color w:val="003264"/>
          <w:sz w:val="24"/>
        </w:rPr>
        <w:t>The EXoplanet Climate Infrared TElescope (EXCITE): A balloon-borne mission to measure spectroscopic phase curves of transiting hot Jupiters</w:t>
      </w:r>
    </w:p>
    <w:p>
      <w:r>
        <w:rPr>
          <w:rFonts w:ascii="Times New Roman" w:hAnsi="Times New Roman" w:eastAsia="宋体"/>
          <w:sz w:val="21"/>
        </w:rPr>
        <w:t>作者: Ingo Waldmann</w:t>
        <w:br/>
      </w:r>
      <w:r>
        <w:rPr>
          <w:rFonts w:ascii="Times New Roman" w:hAnsi="Times New Roman" w:eastAsia="宋体"/>
          <w:sz w:val="21"/>
        </w:rPr>
        <w:t xml:space="preserve">时间: 2026-02-04T18:31:08Z | </w:t>
      </w:r>
      <w:r>
        <w:t xml:space="preserve">链接: </w:t>
      </w:r>
      <w:hyperlink r:id="rId76">
        <w:r>
          <w:rPr>
            <w:rFonts w:ascii="Times New Roman" w:hAnsi="Times New Roman" w:eastAsia="宋体"/>
            <w:color w:val="0000FF"/>
            <w:sz w:val="21"/>
            <w:u w:val="single"/>
          </w:rPr>
          <w:t>https://arxiv.org/abs/2602.04840v1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系外行星气候红外望远镜（EXCITE）是一项气球载任务，致力于测量热木星型系外行星的光谱相位曲线。相位曲线测量可用于表征系外行星与经度相关的大气成分和能量循环模式。 EXCITE 配备 0.5 m 主镜和中等分辨率衍射极限光谱仪，光谱覆盖范围为 0.8--3.5 um。 EXCITE 设计用于从长时气球 (LDB) 上飞行。 EXCITE 将通过目标光谱能量分布 (SED) 的峰值以及氢和含碳分子的光谱特征进行观察。在本文中，我们介绍了 EXCITE 的科学目标，详细介绍了竣工仪器，并讨论了其在 2024 年从新墨西哥州萨姆纳堡起飞的工程飞行中的性能。</w:t>
      </w:r>
    </w:p>
    <w:p>
      <w:pPr>
        <w:spacing w:before="120"/>
      </w:pPr>
      <w:r>
        <w:rPr>
          <w:rFonts w:ascii="Times New Roman" w:hAnsi="Times New Roman" w:eastAsia="宋体"/>
          <w:b/>
          <w:sz w:val="21"/>
        </w:rPr>
        <w:t>English Abstract:</w:t>
      </w:r>
    </w:p>
    <w:p>
      <w:r>
        <w:rPr>
          <w:rFonts w:ascii="Times New Roman" w:hAnsi="Times New Roman" w:eastAsia="宋体"/>
          <w:sz w:val="21"/>
        </w:rPr>
        <w:t>The EXoplanet Climate Infrared TElescope (EXCITE) is a balloon-borne mission dedicated to measuring spectroscopic phase curves of hot Jupiter-type exoplanets. Phase curve measurements can be used to characterize an exoplanet's longitude-dependent atmospheric composition and energy circulation patterns. EXCITE carries a 0.5 m primary mirror and moderate resolution diffraction-limited spectrograph with spectral coverage from 0.8--3.5 um. EXCITE is designed to fly from a long-duration balloon (LDB). EXCITE will observe through the peak of a target's spectral energy distribution (SED) and through spectral signatures of hydrogen and carbon-containing molecules. In this paper, we present the science goals of EXCITE, detail the as-built instrument, and discuss its performance during a 2024 engineering flight from Fort Sumner, New Mexico.</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ConvRML：使用随机多焦点小透镜的高质量无透镜成像</w:t>
      </w:r>
    </w:p>
    <w:p>
      <w:r>
        <w:rPr>
          <w:rFonts w:ascii="Times New Roman" w:hAnsi="Times New Roman" w:eastAsia="宋体"/>
          <w:b/>
          <w:color w:val="003264"/>
          <w:sz w:val="24"/>
        </w:rPr>
        <w:t>ConvRML: High-Quality Lensless Imaging with Random Multi-Focal Lenslets</w:t>
      </w:r>
    </w:p>
    <w:p>
      <w:r>
        <w:rPr>
          <w:rFonts w:ascii="Times New Roman" w:hAnsi="Times New Roman" w:eastAsia="宋体"/>
          <w:sz w:val="21"/>
        </w:rPr>
        <w:t>作者: Laura Waller</w:t>
        <w:br/>
      </w:r>
      <w:r>
        <w:rPr>
          <w:rFonts w:ascii="Times New Roman" w:hAnsi="Times New Roman" w:eastAsia="宋体"/>
          <w:sz w:val="21"/>
        </w:rPr>
        <w:t xml:space="preserve">时间: 2026-02-04T18:25:13Z | </w:t>
      </w:r>
      <w:r>
        <w:t xml:space="preserve">链接: </w:t>
      </w:r>
      <w:hyperlink r:id="rId77">
        <w:r>
          <w:rPr>
            <w:rFonts w:ascii="Times New Roman" w:hAnsi="Times New Roman" w:eastAsia="宋体"/>
            <w:color w:val="0000FF"/>
            <w:sz w:val="21"/>
            <w:u w:val="single"/>
          </w:rPr>
          <w:t>https://arxiv.org/abs/2602.04834v1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掩模的无透镜成像仪使用简单的光学和计算重建来设计具有压缩成像能力的紧凑型相机。然而，这些成像仪的重建质量普遍较差。在这里，我们描述了硬件和软件方面的几项进步，这些进步可提高无镜头成像质量。首先，我们使用精密制造的随机多焦点小透镜 (RML) 相位掩模来通过减少复用来产生改进的测量。接下来，我们实现了基于 ConvNeXt 的重建架构，与最先进的基于注意力的架构相比，它的峰值信噪比提高了 6.68 dB。最后，我们建立了一个并行成像装置，可以同时使用 RML、扩散器和透镜系统对场景进行成像，并通过该装置收集每个系统 100,000 个测量值的数据集，用于重建模型训练和评估。使用这个标准化系统，我们使用调制传递函数和互信息来量化 RML 与扩散器相比改进的测量质量。我们的 ConvRML 系统受益于这项工作中提出的光学和计算发展，我们的贡献建立了资源来支持高质量、紧凑型和压缩无透镜成像器的持续开发。</w:t>
      </w:r>
    </w:p>
    <w:p>
      <w:pPr>
        <w:spacing w:before="120"/>
      </w:pPr>
      <w:r>
        <w:rPr>
          <w:rFonts w:ascii="Times New Roman" w:hAnsi="Times New Roman" w:eastAsia="宋体"/>
          <w:b/>
          <w:sz w:val="21"/>
        </w:rPr>
        <w:t>English Abstract:</w:t>
      </w:r>
    </w:p>
    <w:p>
      <w:r>
        <w:rPr>
          <w:rFonts w:ascii="Times New Roman" w:hAnsi="Times New Roman" w:eastAsia="宋体"/>
          <w:sz w:val="21"/>
        </w:rPr>
        <w:t>Mask-based lensless imagers use simple optics and computational reconstruction to design compact form factor cameras with compressive imaging ability. However, these imagers generally suffer from poor reconstruction quality. Here, we describe several advances in both hardware and software that result in improved lensless imaging quality. First, we use a precision-manufactured random multi-focal lenslet (RML) phase mask to produce improved measurements with reduced multiplexing. Next, we implement a ConvNeXt-based reconstruction architecture, which provides up to 6.68 dB improvement in peak signal-to-noise ratio over state-of-the-art attention-based architectures. Finally, we establish a parallel imaging setup that simultaneously images a scene with RML, diffuser and lens systems, with which we collect datasets with 100,000 measurements for each system, to be used for reconstruction model training and evaluation. Using this standardized system, we quantify the improved measurement quality of the RML compared to a diffuser using the modulation transfer function and mutual information. Our ConvRML system benefits from both the optical and the computational developments presented in this work, and our contributions establish resources to support continued development of high-quality, compact, and compressive lensless imagers.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先进的超定向天线</w:t>
      </w:r>
    </w:p>
    <w:p>
      <w:r>
        <w:rPr>
          <w:rFonts w:ascii="Times New Roman" w:hAnsi="Times New Roman" w:eastAsia="宋体"/>
          <w:b/>
          <w:color w:val="003264"/>
          <w:sz w:val="24"/>
        </w:rPr>
        <w:t>Advanced Superdirective Antennas</w:t>
      </w:r>
    </w:p>
    <w:p>
      <w:r>
        <w:rPr>
          <w:rFonts w:ascii="Times New Roman" w:hAnsi="Times New Roman" w:eastAsia="宋体"/>
          <w:sz w:val="21"/>
        </w:rPr>
        <w:t>作者: Alex Krasnok</w:t>
        <w:br/>
      </w:r>
      <w:r>
        <w:rPr>
          <w:rFonts w:ascii="Times New Roman" w:hAnsi="Times New Roman" w:eastAsia="宋体"/>
          <w:sz w:val="21"/>
        </w:rPr>
        <w:t xml:space="preserve">时间: 2026-02-04T01:30:08Z | </w:t>
      </w:r>
      <w:r>
        <w:t xml:space="preserve">链接: </w:t>
      </w:r>
      <w:hyperlink r:id="rId78">
        <w:r>
          <w:rPr>
            <w:rFonts w:ascii="Times New Roman" w:hAnsi="Times New Roman" w:eastAsia="宋体"/>
            <w:color w:val="0000FF"/>
            <w:sz w:val="21"/>
            <w:u w:val="single"/>
          </w:rPr>
          <w:t>https://arxiv.org/abs/2602.04121v1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定向（超级增益）天线旨在从电学尺寸与波长相比较小的辐射器产生窄主波束。它们不是扩大物理孔径，而是依靠强耦合电流、近场能量存储和受控模态干扰，从而使紧凑的结构辐射出增强的方向性。本次审查强调与链路相关的评估和报告：参考规定的阻抗平面实现的增益、明确规定的带宽定义（阻抗和性能）以及对制造扩展和平台/环境负载的稳健性。调查了两种实际的实施路线。第一种使用谐振、紧密耦合阵列，包括完全驱动阵列和基于寄生或反应负载元件的单链设计。第二种使用单体辐射器，通过一个或几个馈源强制实现多极或谐振/特征模式的目标混合，包括对称破缺介电谐振器和混合电磁设计。在射频、微波和光学领域，随着超方向性的推动，同样的惩罚会再次出现：辐射电阻降低、阻抗快速变化、可用带宽窄以及对小扰动的高度敏感。除了几何合成和多谐振堆叠之外，该评论还强调了可以在特定系统环境中改变这些权衡的新兴杠杆：低损耗材料和低温操作，以提高效率和频率稳定性，以及时变加载和匹配（Floquet/参数方法），可以放松线性时不变带宽约束，但代价是增加控制复杂性和频谱转换。</w:t>
      </w:r>
    </w:p>
    <w:p>
      <w:pPr>
        <w:spacing w:before="120"/>
      </w:pPr>
      <w:r>
        <w:rPr>
          <w:rFonts w:ascii="Times New Roman" w:hAnsi="Times New Roman" w:eastAsia="宋体"/>
          <w:b/>
          <w:sz w:val="21"/>
        </w:rPr>
        <w:t>English Abstract:</w:t>
      </w:r>
    </w:p>
    <w:p>
      <w:r>
        <w:rPr>
          <w:rFonts w:ascii="Times New Roman" w:hAnsi="Times New Roman" w:eastAsia="宋体"/>
          <w:sz w:val="21"/>
        </w:rPr>
        <w:t>Superdirective (supergain) antennas aim to produce a narrow main beam from radiators that are electrically small compared with the wavelength. Instead of enlarging the physical aperture, they rely on strongly coupled currents, near-field energy storage, and controlled modal interference so that a compact structure radiates with enhanced directivity. This review emphasizes link-relevant evaluation and reporting: realized gain referenced to a stated impedance plane, clearly stated bandwidth definitions (impedance and performance), and robustness to fabrication spread and platform/environmental loading. Two practical implementation routes are surveyed. The first uses resonant, tightly coupled arrays, including fully driven arrays and single-chain designs based on parasitic or reactively loaded elements. The second uses single-body radiators that enforce a targeted mixture of multipoles or resonant/characteristic modes with one or a few feeds, including symmetry-broken dielectric resonators and mixed electric--magnetic designs. Across RF, microwave, and optical regimes, the same penalties recur as superdirectivity is pushed: reduced radiation resistance, rapid impedance variation, narrow usable bandwidth, and strong sensitivity to small perturbations. Beyond geometric synthesis and multi-resonant stacking, the review highlights emerging levers that can shift these trade-offs in specific system contexts: low-loss materials and cryogenic operation to improve efficiency and frequency stability, and time-varying loading and matching (Floquet/parametric approaches) that can relax linear time-invariant bandwidth constraints, at the cost of added control complexity and spectral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自然界有损一维波的通用波导质能关系</w:t>
      </w:r>
    </w:p>
    <w:p>
      <w:r>
        <w:rPr>
          <w:rFonts w:ascii="Times New Roman" w:hAnsi="Times New Roman" w:eastAsia="宋体"/>
          <w:b/>
          <w:color w:val="003264"/>
          <w:sz w:val="24"/>
        </w:rPr>
        <w:t>A universal waveguide mass--energy relation for lossy one-dimensional waves in nature</w:t>
      </w:r>
    </w:p>
    <w:p>
      <w:r>
        <w:rPr>
          <w:rFonts w:ascii="Times New Roman" w:hAnsi="Times New Roman" w:eastAsia="宋体"/>
          <w:sz w:val="21"/>
        </w:rPr>
        <w:t>作者: Bishuang Chen</w:t>
        <w:br/>
      </w:r>
      <w:r>
        <w:rPr>
          <w:rFonts w:ascii="Times New Roman" w:hAnsi="Times New Roman" w:eastAsia="宋体"/>
          <w:sz w:val="21"/>
        </w:rPr>
        <w:t xml:space="preserve">时间: 2026-02-04T03:12:53Z | </w:t>
      </w:r>
      <w:r>
        <w:t xml:space="preserve">链接: </w:t>
      </w:r>
      <w:hyperlink r:id="rId79">
        <w:r>
          <w:rPr>
            <w:rFonts w:ascii="Times New Roman" w:hAnsi="Times New Roman" w:eastAsia="宋体"/>
            <w:color w:val="0000FF"/>
            <w:sz w:val="21"/>
            <w:u w:val="single"/>
          </w:rPr>
          <w:t>https://arxiv.org/abs/2602.04171v1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的有损波导无处不在：部分反射的分布式衰减会在电磁、声学、光子、量子传输和电化学界面上产生反馈、共振、延迟和衰减。然而，标准阻抗/散射工具和弱损耗谐振器近似无法提供在固有不对称性和现实边界下保持预测性的低维不变量，也无法将总吸收与传递到负载的有用功率清晰地分开。在这里，我们为线性、单模、一维系统开发了一个统一的质能框架，其中类能量和功率流变量 $(\mathcal{U},\mathcal{S})$ 满足通用不变量 $\mathcal{U}^2-\mathcal{S}^2=|Г_g|^2$，有效驻波“质量”$|Г_g|$ 在不对称下变得与状态相关。 Cai--Smith 图给出了稳定性、反馈接近度和操作状态的有界状态空间图，并明确了损失情况下最大吸收和有用传递之间的差异。我们导出了控制吸收和发射的四个定律，通过使用独立于基的 SVD 准则（协调二次与四次接近零缩放）在特殊点处通过相干完美吸收来验证多端口光学的不变量，并通过从双模正交拟合中提取 $|Γ_g|$ 将电化学极化映射到相同的几何结构上，以揭示跨 pH 范围的通用存储到传输转换。该框架为耗散边界控制系统提供了可转移的设计语言。</w:t>
      </w:r>
    </w:p>
    <w:p>
      <w:pPr>
        <w:spacing w:before="120"/>
      </w:pPr>
      <w:r>
        <w:rPr>
          <w:rFonts w:ascii="Times New Roman" w:hAnsi="Times New Roman" w:eastAsia="宋体"/>
          <w:b/>
          <w:sz w:val="21"/>
        </w:rPr>
        <w:t>English Abstract:</w:t>
      </w:r>
    </w:p>
    <w:p>
      <w:r>
        <w:rPr>
          <w:rFonts w:ascii="Times New Roman" w:hAnsi="Times New Roman" w:eastAsia="宋体"/>
          <w:sz w:val="21"/>
        </w:rPr>
        <w:t>Finite, lossy waveguides are ubiquitous: distributed attenuation with partial reflections produces feedback, resonance, delays and decay across electromagnetic, acoustic, photonic, quantum-transport and electrochemical interfaces. Yet standard impedance/scattering tools and weak-loss resonator approximations do not provide low-dimensional invariants that remain predictive under intrinsic asymmetry and realistic boundaries, nor do they cleanly separate total absorption from useful power delivered to a load. Here we develop a unified mass--energy framework for linear, single-mode, one-dimensional systems, in which energy-like and power-flow variables $(\mathcal{U},\mathcal{S})$ satisfy the universal invariant $\mathcal{U}^2-\mathcal{S}^2=|Γ_g|^2$, with the effective standing-wave ``mass'' $|Γ_g|$ becoming state-dependent under asymmetry. The Cai--Smith chart gives a bounded state-space map of stability, feedback proximity and operating states, and makes explicit the divergence between maximum absorption and useful delivery under loss. We derive four laws governing absorption and emission, validate the invariant in multiport optics via coherent perfect absorption at exceptional points using a basis-independent SVD criterion (reconciling quadratic vs quartic near-zero scaling), and map electrochemical polarization onto the same geometry by extracting $|Γ_g|$ from two-mode orthogonal fits to reveal a universal storage-to-transfer transition across pH. This framework provides a transferable design language for dissipative, boundary-controlled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零空间几何相位对光的大规模相干均分</w:t>
      </w:r>
    </w:p>
    <w:p>
      <w:r>
        <w:rPr>
          <w:rFonts w:ascii="Times New Roman" w:hAnsi="Times New Roman" w:eastAsia="宋体"/>
          <w:b/>
          <w:color w:val="003264"/>
          <w:sz w:val="24"/>
        </w:rPr>
        <w:t>Massive coherent equipartition of light by the geometric phase of null space</w:t>
      </w:r>
    </w:p>
    <w:p>
      <w:r>
        <w:rPr>
          <w:rFonts w:ascii="Times New Roman" w:hAnsi="Times New Roman" w:eastAsia="宋体"/>
          <w:sz w:val="21"/>
        </w:rPr>
        <w:t>作者: Guancong Ma</w:t>
        <w:br/>
      </w:r>
      <w:r>
        <w:rPr>
          <w:rFonts w:ascii="Times New Roman" w:hAnsi="Times New Roman" w:eastAsia="宋体"/>
          <w:sz w:val="21"/>
        </w:rPr>
        <w:t xml:space="preserve">时间: 2026-02-04T06:44:58Z | </w:t>
      </w:r>
      <w:r>
        <w:t xml:space="preserve">链接: </w:t>
      </w:r>
      <w:hyperlink r:id="rId80">
        <w:r>
          <w:rPr>
            <w:rFonts w:ascii="Times New Roman" w:hAnsi="Times New Roman" w:eastAsia="宋体"/>
            <w:color w:val="0000FF"/>
            <w:sz w:val="21"/>
            <w:u w:val="single"/>
          </w:rPr>
          <w:t>https://arxiv.org/abs/2602.04259v1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源是光子科学与技术的基础。然而，如何从单个片上光源生成和分配相干光并跨多个通道保持高相位稳定性仍然是一个重大挑战。集成激光器通常独立运行，传统的分光器（例如多模干涉仪）不能保证高级应用所需的相位相干性。在这里，我们报告了一种纯粹的几何方案，通过利用零特征值简并态跨越的零空间的几何相位，在光子芯片上实现相干光的大规模均分。零空间的演化映射到由特殊正交群 SO(N) 描述的实空间旋转，从而通过设计系统参数来实现对光分布的精确且可扩展的控制。我们通过实验在基于玻璃的光子芯片上制造的波导阵列上实现了多达一比九的光均分。该框架可以升级为一对 N 光分布。这项工作为集成相干光源建立了一个多功能且可扩展的平台，为量子光子学和光计算等集成光子应用铺平了道路。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 source is a foundational to photonic science and technology. However, a significant challenge remains in generating and distributing coherent light from a single on-chip source with high phase stability across multiple channels. Integrated lasers typically operate independently, and conventional splitters (e.g., multi-mode interferometers) do not guarantee the phase coherence required for advanced applications. Here, we report a purely geometric scheme for achieving massive equipartition of coherent light on a photonic chip by leveraging the geometric phases of a null space spanned by degenerate states with zero eigenvalue. The evolution of the null space maps to real-space rotation described by the special orthogonal group SO(N), thus enabling precise and scalable control over light distribution by engineering the system parameters. We experimentally realize up to one-to-nine equipartition of light on a waveguide array fabricated on a glass-based photonic chip. The framework can be upscaled for one-to-N light distribution. This work establishes a versatile and scalable platform for integrated coherent light sources, paving the way for integrated photonic applications such as quantum photonics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硅中磷掺杂剂谷轨道分裂态的相干电子拉曼激发</w:t>
      </w:r>
    </w:p>
    <w:p>
      <w:r>
        <w:rPr>
          <w:rFonts w:ascii="Times New Roman" w:hAnsi="Times New Roman" w:eastAsia="宋体"/>
          <w:b/>
          <w:color w:val="003264"/>
          <w:sz w:val="24"/>
        </w:rPr>
        <w:t>Coherent electronic Raman excitation of valley-orbit split states of phosphorus dopants in silicon</w:t>
      </w:r>
    </w:p>
    <w:p>
      <w:r>
        <w:rPr>
          <w:rFonts w:ascii="Times New Roman" w:hAnsi="Times New Roman" w:eastAsia="宋体"/>
          <w:sz w:val="21"/>
        </w:rPr>
        <w:t>作者: Martin Kozák</w:t>
        <w:br/>
      </w:r>
      <w:r>
        <w:rPr>
          <w:rFonts w:ascii="Times New Roman" w:hAnsi="Times New Roman" w:eastAsia="宋体"/>
          <w:sz w:val="21"/>
        </w:rPr>
        <w:t xml:space="preserve">时间: 2026-02-04T08:37:15Z | </w:t>
      </w:r>
      <w:r>
        <w:t xml:space="preserve">链接: </w:t>
      </w:r>
      <w:hyperlink r:id="rId81">
        <w:r>
          <w:rPr>
            <w:rFonts w:ascii="Times New Roman" w:hAnsi="Times New Roman" w:eastAsia="宋体"/>
            <w:color w:val="0000FF"/>
            <w:sz w:val="21"/>
            <w:u w:val="single"/>
          </w:rPr>
          <w:t>https://arxiv.org/abs/2602.04319v1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在这项研究中，我们证明了晶体硅中磷供体的 $1s\left(A_1\right)$ 和 $1s\left(E\right)$ 分裂态之间电子拉曼跃迁的相干光学激发。使用简并泵浦探测技术和中红外飞秒脉冲，通过探测脉冲的瞬态偏振各向异性，在时域中表征所生成的波包的动力学。此外，我们研究了谐振激发载流子的作用，结果表明电子波包的幅度和相干时间取决于预激发载流子密度。此外，我们证明在某些条件下，拉曼型激励会变为位移脉冲激励，这使我们能够解决 $1s\left(A_1\right)$ 和 $1s\left(T_1\right)$ 之间的拉曼禁止跃迁。</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coherent optical excitation of the electronic Raman transition between the $1s\left(A_1\right)$ and $1s\left(E\right)$ split states of phosphorus donor in crystalline silicon. The dynamics of the generated wavepacket is characterized in the time domain using a degenerate pump-probe technique with mid-infrared femtosecond pulses via transient polarization anisotropy of the probe pulse. In addition, we study the role of resonantly excited carriers, and we show that the amplitude and coherence time of the electronic wavepacket depend on the pre-excited carrier density. Further, we demonstrate that under certain conditions, the Raman-type excitation changes to displacive impulsive excitation, which allows us to address the Raman-forbidden transition between $1s\left(A_1\right)$ and $1s\left(T_1\right)$.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有限谐波约束光学超晶格的局域化机制</w:t>
      </w:r>
    </w:p>
    <w:p>
      <w:r>
        <w:rPr>
          <w:rFonts w:ascii="Times New Roman" w:hAnsi="Times New Roman" w:eastAsia="宋体"/>
          <w:b/>
          <w:color w:val="003264"/>
          <w:sz w:val="24"/>
        </w:rPr>
        <w:t>Mechanisms of localization in a finite harmonically confined optical superlattice</w:t>
      </w:r>
    </w:p>
    <w:p>
      <w:r>
        <w:rPr>
          <w:rFonts w:ascii="Times New Roman" w:hAnsi="Times New Roman" w:eastAsia="宋体"/>
          <w:sz w:val="21"/>
        </w:rPr>
        <w:t>作者: P. Schmelcher</w:t>
        <w:br/>
      </w:r>
      <w:r>
        <w:rPr>
          <w:rFonts w:ascii="Times New Roman" w:hAnsi="Times New Roman" w:eastAsia="宋体"/>
          <w:sz w:val="21"/>
        </w:rPr>
        <w:t xml:space="preserve">时间: 2026-02-04T10:24:42Z | </w:t>
      </w:r>
      <w:r>
        <w:t xml:space="preserve">链接: </w:t>
      </w:r>
      <w:hyperlink r:id="rId82">
        <w:r>
          <w:rPr>
            <w:rFonts w:ascii="Times New Roman" w:hAnsi="Times New Roman" w:eastAsia="宋体"/>
            <w:color w:val="0000FF"/>
            <w:sz w:val="21"/>
            <w:u w:val="single"/>
          </w:rPr>
          <w:t>https://arxiv.org/abs/2602.04395v1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我们研究了有限光学超晶格中谐波限制的影响，并揭示了可能导致局域态出现的不同机制。具有奇数或偶数个晶胞的光学超晶格可以表现出平凡或非平凡的基础拓扑，其特征在于相应的 Zak 相。我们专注于中谐波捕获频率范围内的独特定位机制。具体来说，该政权中的四个最低本征态在拓扑非平凡配置中形成了有效的四能级系统。较大的俘获频率值驱动系统进入谐波陷阱主导的状态，其特征是低能带所有状态的经典配对和局域化，就像在通常的光学晶格中一样。对于较低的捕获频率范围，讨论了拓扑边缘态的命运。我们的结果基于精确的对角化和将连续系统映射到离散系统的紧束缚近似。我们讨论了与光学超晶格实验实现相关的几个方面，并提供了动力学的简要说明，强调了观察和区分不同定位机制的直接方法。</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impact of harmonic confinement in a finite optical superlattice and reveal the different mechanisms that can lead to the emergence of localized states. The optical superlattice, with odd or even number of unit cells, can exhibit either a trivial or a non-trivial underlying topology, characterized by the corresponding Zak phase. We focus on a distinct localization mechanism in the intermediate harmonic trapping frequency regime. Specifically, the four lowest-lying eigenstates in this regime form an effective four-level system in the topologically non-trivial configuration. Larger trapping frequency values drive the system into a harmonic trap dominated regime, featuring classical pairing and localization of all states of the lower band, as in a usual optical lattice. For the lower trapping frequency regime, the fate of topological edge states is discussed. Our results are based on exact diagonalization and on a tight-binding approximation that maps the continuous to a discrete system. We address several aspects relevant to the experimental implementation of optical superlattices and provide a brief illustration of the dynamics, highlighting direct ways to observe and distinguish between the different localization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通过现实世界的自由空间链接光学斯格明子的拓扑鲁棒性</w:t>
      </w:r>
    </w:p>
    <w:p>
      <w:r>
        <w:rPr>
          <w:rFonts w:ascii="Times New Roman" w:hAnsi="Times New Roman" w:eastAsia="宋体"/>
          <w:b/>
          <w:color w:val="003264"/>
          <w:sz w:val="24"/>
        </w:rPr>
        <w:t>Topological robustness of optical skyrmions through a real-world free-space link</w:t>
      </w:r>
    </w:p>
    <w:p>
      <w:r>
        <w:rPr>
          <w:rFonts w:ascii="Times New Roman" w:hAnsi="Times New Roman" w:eastAsia="宋体"/>
          <w:sz w:val="21"/>
        </w:rPr>
        <w:t>作者: Andrew Forbes</w:t>
        <w:br/>
      </w:r>
      <w:r>
        <w:rPr>
          <w:rFonts w:ascii="Times New Roman" w:hAnsi="Times New Roman" w:eastAsia="宋体"/>
          <w:sz w:val="21"/>
        </w:rPr>
        <w:t xml:space="preserve">时间: 2026-02-04T11:16:45Z | </w:t>
      </w:r>
      <w:r>
        <w:t xml:space="preserve">链接: </w:t>
      </w:r>
      <w:hyperlink r:id="rId83">
        <w:r>
          <w:rPr>
            <w:rFonts w:ascii="Times New Roman" w:hAnsi="Times New Roman" w:eastAsia="宋体"/>
            <w:color w:val="0000FF"/>
            <w:sz w:val="21"/>
            <w:u w:val="single"/>
          </w:rPr>
          <w:t>https://arxiv.org/abs/2602.04446v1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为现代光网络日益增长的数据需求提供了一种有前途的解决方案，开辟了新的自由度，可用于更大的通道容量和每光子更多的比特数。然而，其实现受到现实世界扭曲的阻碍，例如自由空间中的大气湍流，其严重且快速演变的相位扰动会改变光束的幅度、相位和矢量偏振结构。在这里，我们证明了斯格明子形式的光学拓扑对于现实世界大气湍流的影响具有很强的弹性。我们通过 270 米自由空间光学链路创建并传输这些类似粒子的光拓扑，揭示了它们在各种条件和湍流强度下的鲁棒性。虽然我们观察到状态的基本自由度存在严重扭曲，但我们表明拓扑数在所有情况下都得到保留。我们通过探测状态的退相干来解释介质的快速变化，其中通道产生统计平均结果，表明虽然偏振度因此衰减，但拓扑保持完整。使用拓扑结构，我们表明在大多数情况下信息可以通过通道以几乎完美的保真度 (&gt;98%) 传输，在最严酷的测试条件下仅下降到 86%。我们的工作首次证明了光学拓扑在现实环境中作为可靠且强大的信息载体的潜力，并指出了其他复杂通道的潜力，为经典通信和量子通信提供了有吸引力的功能。</w:t>
      </w:r>
    </w:p>
    <w:p>
      <w:pPr>
        <w:spacing w:before="120"/>
      </w:pPr>
      <w:r>
        <w:rPr>
          <w:rFonts w:ascii="Times New Roman" w:hAnsi="Times New Roman" w:eastAsia="宋体"/>
          <w:b/>
          <w:sz w:val="21"/>
        </w:rPr>
        <w:t>English Abstract:</w:t>
      </w:r>
    </w:p>
    <w:p>
      <w:r>
        <w:rPr>
          <w:rFonts w:ascii="Times New Roman" w:hAnsi="Times New Roman" w:eastAsia="宋体"/>
          <w:sz w:val="21"/>
        </w:rPr>
        <w:t>Structured light offers a promising solution for the increasing data demands of modern optical networks, opening up new degrees of freedom that can be leveraged for greater channel capacity and more bits per photon. However, its implementation is hindered by real-world distortions, for example, atmospheric turbulence in free-space, with severe and rapidly evolving phase perturbations that alter the amplitude, phase and vectorial polarization structure of the beam. Here, we demonstrate that optical topologies in the form of skyrmions are highly resilient to the effects of real-world atmospheric turbulence. We create and transmit these particle-like topologies of light through a 270~m free-space optical link, revealing their robustness across a wide variety of conditions and turbulence strengths. While we observe severe distortion in the states' underlying degrees of freedom, we show that the topological numbers are preserved in all cases. We account for fast changes to the medium, where the channel produces statistically averaged outcomes, by probing the state's decoherence, showing that while the degree of polarisation consequently decays, the topology remains intact. Using topology, we show information can be transmitted through the channel with almost perfect fidelity (&gt;98%) in most cases, only decreasing to 86% in the most severe conditions tested. Our work is the first to demonstrate the potential for optical topologies as reliable and robust information carriers in a real-world environment and points to the potential for other complex channels too, offering attractive features for classical and quantum communication alike.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被动非相干超快中红外上转换成像及其校准</w:t>
      </w:r>
    </w:p>
    <w:p>
      <w:r>
        <w:rPr>
          <w:rFonts w:ascii="Times New Roman" w:hAnsi="Times New Roman" w:eastAsia="宋体"/>
          <w:b/>
          <w:color w:val="003264"/>
          <w:sz w:val="24"/>
        </w:rPr>
        <w:t>Passive Incoherent Ultrafast Mid-Infrared Upconversion Imaging and Its Calibration</w:t>
      </w:r>
    </w:p>
    <w:p>
      <w:r>
        <w:rPr>
          <w:rFonts w:ascii="Times New Roman" w:hAnsi="Times New Roman" w:eastAsia="宋体"/>
          <w:sz w:val="21"/>
        </w:rPr>
        <w:t>作者: Bao-Sen Shi</w:t>
        <w:br/>
      </w:r>
      <w:r>
        <w:rPr>
          <w:rFonts w:ascii="Times New Roman" w:hAnsi="Times New Roman" w:eastAsia="宋体"/>
          <w:sz w:val="21"/>
        </w:rPr>
        <w:t xml:space="preserve">时间: 2026-02-04T12:09:38Z | </w:t>
      </w:r>
      <w:r>
        <w:t xml:space="preserve">链接: </w:t>
      </w:r>
      <w:hyperlink r:id="rId84">
        <w:r>
          <w:rPr>
            <w:rFonts w:ascii="Times New Roman" w:hAnsi="Times New Roman" w:eastAsia="宋体"/>
            <w:color w:val="0000FF"/>
            <w:sz w:val="21"/>
            <w:u w:val="single"/>
          </w:rPr>
          <w:t>https://arxiv.org/abs/2602.04483v1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超快中红外 (MIR) 成像是监测科学诊断和工业安全中瞬态热和等离子体现象的关键功能。然而，传统的低温 MIR 相机面临帧速率、噪声和像素格式之间的基本权衡。在此，我们报告了一种无源、非相干 MIR 成像平台，该平台利用线性调频周期性极化铌酸锂 (CPLN) 中的和频上转换将宽带 3--5um 场景转换为近红外，从而实现在硅基增强 CCD (iCCD) 上的超快采集。在快速动力学模式下，我们通过微秒级的门控制实现了 100kHz 的物理帧速率，并且直接捕获了空气击穿电弧的完整演化过程，解决了其快速点火、膨胀和衰变动力学问题。除了演示超快无源成像之外，我们还引入了基于艾伦偏差分析的漂移感知校准工作流程，以在现实的慢漂移和乘性噪声下定量选择栅极宽度和平均策略。这种组合功能——超快被动中红外成像加上具有操作意义的校准——为危险快速瞬变的实时热监视和预警系统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Ultrafast mid-infrared (MIR) imaging is a key enabling capability for monitoring transient thermal and plasma phenomena in scientific diagnostics and industrial safety. However, conventional cryogenic MIR cameras face a fundamental trade-off between frame rate, noise, and pixel format. Here we report a passive, incoherent MIR imaging platform that leverages sum-frequency upconversion in chirped periodically poled lithium niobate (CPLN) to translate broadband 3--5um scenes to the near-infrared, enabling ultrafast acquisition on a silicon-based intensified CCD (iCCD). In fast-kinetics mode we achieve a physical frame rate of 100kHz with microsecond-scale gate control, and we directly capture the full evolution of an air-breakdown electric arc, resolving its rapid ignition, expansion, and decay dynamics. Beyond demonstrating ultrafast passive imaging, we introduce a drift-aware calibration workflow based on Allan deviation analysis to quantitatively select the gate width and averaging strategy under realistic slow-drift and multiplicative noise. This combined capability -- ultrafast passive MIR imaging plus operationally meaningful calibration -- provides a practical route toward real-time thermal surveillance and early-warning systems for hazardous fast transients.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PhoQuPy：用于量子光学实验自动化的 Python 框架</w:t>
      </w:r>
    </w:p>
    <w:p>
      <w:r>
        <w:rPr>
          <w:rFonts w:ascii="Times New Roman" w:hAnsi="Times New Roman" w:eastAsia="宋体"/>
          <w:b/>
          <w:color w:val="003264"/>
          <w:sz w:val="24"/>
        </w:rPr>
        <w:t>PhoQuPy: A Python framework for Automation of Quantum Optics experiments</w:t>
      </w:r>
    </w:p>
    <w:p>
      <w:r>
        <w:rPr>
          <w:rFonts w:ascii="Times New Roman" w:hAnsi="Times New Roman" w:eastAsia="宋体"/>
          <w:sz w:val="21"/>
        </w:rPr>
        <w:t>作者: Anshuman Kumar</w:t>
        <w:br/>
      </w:r>
      <w:r>
        <w:rPr>
          <w:rFonts w:ascii="Times New Roman" w:hAnsi="Times New Roman" w:eastAsia="宋体"/>
          <w:sz w:val="21"/>
        </w:rPr>
        <w:t xml:space="preserve">时间: 2026-02-04T12:52:32Z | </w:t>
      </w:r>
      <w:r>
        <w:t xml:space="preserve">链接: </w:t>
      </w:r>
      <w:hyperlink r:id="rId85">
        <w:r>
          <w:rPr>
            <w:rFonts w:ascii="Times New Roman" w:hAnsi="Times New Roman" w:eastAsia="宋体"/>
            <w:color w:val="0000FF"/>
            <w:sz w:val="21"/>
            <w:u w:val="single"/>
          </w:rPr>
          <w:t>https://arxiv.org/abs/2602.04505v1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我们展示了共焦光致发光 (PL) 扫描系统的自动化，用于识别和表征量子材料中的单光子发射器 (SPE)。该装置用激光激发样品，并以光栅扫描模式获取每个空间坐标处的光谱。双采集方法用于通过比较同一空间坐标处的后续测量来消除宇宙射线伪影。一旦确定，发射器将通过 HBT 设置进一步表征，从而测量寿命以及二阶自相关 g(2) 测量，以确认单光子发射。该系统集成了基于 Python 的硬件控制，用于电动平台、光谱仪采集和后处理，并迁移到振镜扫描方法，将其与低温恒温器一起使用进行低温测量。我们的结果展示了空间分辨的 PL 图和温度相关光谱，突出了该装置有效基准 SPE 性能的能力。我们进一步继续执行其他实验的自动化，例如使用未检测到的光进行量子成像的非线性干涉测量装置，以及使用公共路径双折射干涉仪来获取样品的高光谱图像的傅里叶变换成像光谱。</w:t>
      </w:r>
    </w:p>
    <w:p>
      <w:pPr>
        <w:spacing w:before="120"/>
      </w:pPr>
      <w:r>
        <w:rPr>
          <w:rFonts w:ascii="Times New Roman" w:hAnsi="Times New Roman" w:eastAsia="宋体"/>
          <w:b/>
          <w:sz w:val="21"/>
        </w:rPr>
        <w:t>English Abstract:</w:t>
      </w:r>
    </w:p>
    <w:p>
      <w:r>
        <w:rPr>
          <w:rFonts w:ascii="Times New Roman" w:hAnsi="Times New Roman" w:eastAsia="宋体"/>
          <w:sz w:val="21"/>
        </w:rPr>
        <w:t>We present the automation of a confocal photoluminescence (PL) scanning system for the identification and characterization of single-photon emitters (SPEs) in quantum materials. The setup excites the sample with a laser and acquires a spectrum at each spatial coordinate in a raster scan pattern. A double-acquisition method is used to remove cosmic ray artifacts by comparing subsequent measurements at the same spatial coordinate. Once identified, the emitter is further characterized via a HBT setup, thereby measuring lifetime as well as second-order autocorrelation g(2) measurements to confirm singlephoton emission. The system integrates Python-based hardware control for motorized stages, spectrometer acquisition, and post-processing, with a migration to a galvo-mirror scanning approach for using it along with a cryostat for low temperature measurements. Our results demonstrate spatially resolved PL maps and temperature-dependent spectra, highlighting the capability of the setup to efficiently benchmark SPE performance. We further went on to perform automation of other experiments such as a Non-Linear Interferometry setup for Quantum Imaging with Undetected Light and a Fourier Transform Imaging Spectroscopy using a common path birefringence Interferometer to obtain hyperspectral images of our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结晶 AlGaAs 镜面涂层中的光双折射效应</w:t>
      </w:r>
    </w:p>
    <w:p>
      <w:r>
        <w:rPr>
          <w:rFonts w:ascii="Times New Roman" w:hAnsi="Times New Roman" w:eastAsia="宋体"/>
          <w:b/>
          <w:color w:val="003264"/>
          <w:sz w:val="24"/>
        </w:rPr>
        <w:t>Photo-birefringent effects in crystalline AlGaAs mirror coatings</w:t>
      </w:r>
    </w:p>
    <w:p>
      <w:r>
        <w:rPr>
          <w:rFonts w:ascii="Times New Roman" w:hAnsi="Times New Roman" w:eastAsia="宋体"/>
          <w:sz w:val="21"/>
        </w:rPr>
        <w:t>作者: Uwe Sterr</w:t>
        <w:br/>
      </w:r>
      <w:r>
        <w:rPr>
          <w:rFonts w:ascii="Times New Roman" w:hAnsi="Times New Roman" w:eastAsia="宋体"/>
          <w:sz w:val="21"/>
        </w:rPr>
        <w:t xml:space="preserve">时间: 2026-02-04T16:32:17Z | </w:t>
      </w:r>
      <w:r>
        <w:t xml:space="preserve">链接: </w:t>
      </w:r>
      <w:hyperlink r:id="rId86">
        <w:r>
          <w:rPr>
            <w:rFonts w:ascii="Times New Roman" w:hAnsi="Times New Roman" w:eastAsia="宋体"/>
            <w:color w:val="0000FF"/>
            <w:sz w:val="21"/>
            <w:u w:val="single"/>
          </w:rPr>
          <w:t>https://arxiv.org/abs/2602.04724v1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与传统介电涂层相比，高反射晶体 $GaAs/Al_{0.92}Ga_{0.08}As$ 涂层的布朗噪声有所降低。然而，一些超稳定激光系统观察到额外的噪声源，这些噪声源阻碍了频率稳定性预期改进的实现。这些额外的噪声源与涂层的双折射及其通过腔内光的修改有关。双折射的起源尚不清楚，并且其通过照明的改变仍然无法解释。在这里，我们对腔内光和使用室温下光学腔在不同波长下的均匀照明对双折射的稳态和瞬态修改进行了广泛的研究。我们发现了一个统一的描述，表明光子能量低于 GaAs 带隙的主要双光子过程，或更高能量的单光子过程。添加外部照明可以通过在更有利的低腔内功率下平衡反射镜的光热光响应和光双折射效应来减少激光功率波动引起的噪声。</w:t>
      </w:r>
    </w:p>
    <w:p>
      <w:pPr>
        <w:spacing w:before="120"/>
      </w:pPr>
      <w:r>
        <w:rPr>
          <w:rFonts w:ascii="Times New Roman" w:hAnsi="Times New Roman" w:eastAsia="宋体"/>
          <w:b/>
          <w:sz w:val="21"/>
        </w:rPr>
        <w:t>English Abstract:</w:t>
      </w:r>
    </w:p>
    <w:p>
      <w:r>
        <w:rPr>
          <w:rFonts w:ascii="Times New Roman" w:hAnsi="Times New Roman" w:eastAsia="宋体"/>
          <w:sz w:val="21"/>
        </w:rPr>
        <w:t>High-reflective crystalline $GaAs/Al_{0.92}Ga_{0.08}As$ coatings show reduced Brownian noise compared to conventional dielectric coatings. However, several ultra stable laser systems observed additional noise sources that hinder the realization of the expected improvements in frequency stability. These additional noise sources are related to the birefringence of the coatings and its modification by intracavity light. The origin of the birefringence is not yet well understood and its modification via illumination remains unexplained. Here we present an extensive study on the steady-state and transient modification of the birefringence by intracavity light and by uniform illumination at various wavelengths using an optical cavity at room temperature. We find a unified description that suggests a primary two-photon process for photon energies below the bandgap of GaAs, or a single-photon process at higher energies. Adding external illumination allows to reduce noise induced by laser power fluctuations by balancing the photo-thermal-optic response of the mirrors and the photo-birefringent effect at a more favorable low intracavity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AtlasPatch：计算病理学中整个载玻片图像预处理的高效且可扩展的工具</w:t>
      </w:r>
    </w:p>
    <w:p>
      <w:r>
        <w:rPr>
          <w:rFonts w:ascii="Times New Roman" w:hAnsi="Times New Roman" w:eastAsia="宋体"/>
          <w:b/>
          <w:color w:val="003264"/>
          <w:sz w:val="24"/>
        </w:rPr>
        <w:t>AtlasPatch: An Efficient and Scalable Tool for Whole Slide Image Preprocessing in Computational Pathology</w:t>
      </w:r>
    </w:p>
    <w:p>
      <w:r>
        <w:rPr>
          <w:rFonts w:ascii="Times New Roman" w:hAnsi="Times New Roman" w:eastAsia="宋体"/>
          <w:sz w:val="21"/>
        </w:rPr>
        <w:t>作者: Mahdi S. Hosseini</w:t>
        <w:br/>
      </w:r>
      <w:r>
        <w:rPr>
          <w:rFonts w:ascii="Times New Roman" w:hAnsi="Times New Roman" w:eastAsia="宋体"/>
          <w:sz w:val="21"/>
        </w:rPr>
        <w:t xml:space="preserve">时间: 2026-02-03T20:32:07Z | </w:t>
      </w:r>
      <w:r>
        <w:t xml:space="preserve">链接: </w:t>
      </w:r>
      <w:hyperlink r:id="rId87">
        <w:r>
          <w:rPr>
            <w:rFonts w:ascii="Times New Roman" w:hAnsi="Times New Roman" w:eastAsia="宋体"/>
            <w:color w:val="0000FF"/>
            <w:sz w:val="21"/>
            <w:u w:val="single"/>
          </w:rPr>
          <w:t>https://arxiv.org/abs/2602.03998v1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全玻片图像 (WSI) 预处理通常包括组织检测和斑块提取，是人工智能驱动的计算病理学工作流程的基础。这仍然是一个主要的计算瓶颈，因为现有工具要么依赖于不准确的启发式阈值进行组织检测，要么采用基于人工智能的方法，这些方法是在补丁级别运行的有限多样性数据上进行训练的，从而导致大量的计算复杂性。我们推出了 AtlasPatch，这是一种高效且可扩展的载玻片预处理框架，用于以最小的计算开销进行精确的组织检测和高通量斑块提取。 AtlasPatch 的组织检测模块使用 Segment-Anything 模型的高效微调，在约 30,000 个 WSI 缩略图的异构半手动注释数据集上进行训练。该工具将组织掩模从缩略图推断为全分辨率幻灯片，以用户指定的放大倍数提取补丁坐标，并可选择将补丁直接流式传输到通用图像编码器中以嵌入或存储补丁图像，所有这些都在 CPU 和 GPU 上高效并行。我们评估 AtlasPatch 的分割精度、计算复杂性和下游多实例学习，匹配最先进的性能，同时以一小部分计算成本运行。 AtlasPatch 是开源的，可从 https://github.com/AtlasAnalyticsLab/AtlasPatch 获取。</w:t>
      </w:r>
    </w:p>
    <w:p>
      <w:pPr>
        <w:spacing w:before="120"/>
      </w:pPr>
      <w:r>
        <w:rPr>
          <w:rFonts w:ascii="Times New Roman" w:hAnsi="Times New Roman" w:eastAsia="宋体"/>
          <w:b/>
          <w:sz w:val="21"/>
        </w:rPr>
        <w:t>English Abstract:</w:t>
      </w:r>
    </w:p>
    <w:p>
      <w:r>
        <w:rPr>
          <w:rFonts w:ascii="Times New Roman" w:hAnsi="Times New Roman" w:eastAsia="宋体"/>
          <w:sz w:val="21"/>
        </w:rPr>
        <w:t>Whole-slide image (WSI) preprocessing, typically comprising tissue detection followed by patch extraction, is foundational to AI-driven computational pathology workflows. This remains a major computational bottleneck as existing tools either rely on inaccurate heuristic thresholding for tissue detection, or adopt AI-based approaches trained on limited-diversity data that operate at the patch level, incurring substantial computational complexity. We present AtlasPatch, an efficient and scalable slide preprocessing framework for accurate tissue detection and high-throughput patch extraction with minimal computational overhead. AtlasPatch's tissue detection module is trained on a heterogeneous and semi-manually annotated dataset of ~30,000 WSI thumbnails, using efficient fine-tuning of the Segment-Anything model. The tool extrapolates tissue masks from thumbnails to full-resolution slides to extract patch coordinates at user-specified magnifications, with options to stream patches directly into common image encoders for embedding or store patch images, all efficiently parallelized across CPUs and GPUs. We assess AtlasPatch across segmentation precision, computational complexity, and downstream multiple-instance learning, matching state-of-the-art performance while operating at a fraction of their computational cost. AtlasPatch is open-source and available at https://github.com/AtlasAnalyticsLab/AtlasPatch.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MS-SCANet：基于多尺度 Transformer 的架构，具有双重关注功能，用于无参考图像质量评估</w:t>
      </w:r>
    </w:p>
    <w:p>
      <w:r>
        <w:rPr>
          <w:rFonts w:ascii="Times New Roman" w:hAnsi="Times New Roman" w:eastAsia="宋体"/>
          <w:b/>
          <w:color w:val="003264"/>
          <w:sz w:val="24"/>
        </w:rPr>
        <w:t>MS-SCANet: A Multiscale Transformer-Based Architecture with Dual Attention for No-Reference Image Quality Assessment</w:t>
      </w:r>
    </w:p>
    <w:p>
      <w:r>
        <w:rPr>
          <w:rFonts w:ascii="Times New Roman" w:hAnsi="Times New Roman" w:eastAsia="宋体"/>
          <w:sz w:val="21"/>
        </w:rPr>
        <w:t>作者: Mylene C. Q. Farias</w:t>
        <w:br/>
      </w:r>
      <w:r>
        <w:rPr>
          <w:rFonts w:ascii="Times New Roman" w:hAnsi="Times New Roman" w:eastAsia="宋体"/>
          <w:sz w:val="21"/>
        </w:rPr>
        <w:t xml:space="preserve">时间: 2026-02-03T21:43:15Z | </w:t>
      </w:r>
      <w:r>
        <w:t xml:space="preserve">链接: </w:t>
      </w:r>
      <w:hyperlink r:id="rId88">
        <w:r>
          <w:rPr>
            <w:rFonts w:ascii="Times New Roman" w:hAnsi="Times New Roman" w:eastAsia="宋体"/>
            <w:color w:val="0000FF"/>
            <w:sz w:val="21"/>
            <w:u w:val="single"/>
          </w:rPr>
          <w:t>https://arxiv.org/abs/2602.04032v1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我们提出了多尺度空间通道注意网络（MS-SCANet），这是一种基于变压器的架构，专为无参考图像质量评估（IQA）而设计。 MS-SCANet采用双分支结构，可以在多个尺度上处理图像，有效捕获精细和粗糙的细节，这是对传统单尺度方法的改进。通过集成定制的空间和通道注意机制，我们的模型强调基本特征，同时最大限度地减少计算复杂性。 MS-SCANet 的一个关键组成部分是其跨分支注意力机制，它增强了不同尺度特征的集成，解决了以前方法的局限性。我们还引入了两个新的一致性损失函数，跨分支一致性损失和自适应池一致性损失，它们在特征缩放期间保持空间完整性，优于传统的线性和双线性技术。对 KonIQ-10k、LIVE、LIVE Challenge 和 CSIQ 等数据集的广泛评估表明，MS-SCANet 始终超越最先进的方法，提供了一个与主观人类评分具有更强相关性的强大框架。</w:t>
      </w:r>
    </w:p>
    <w:p>
      <w:pPr>
        <w:spacing w:before="120"/>
      </w:pPr>
      <w:r>
        <w:rPr>
          <w:rFonts w:ascii="Times New Roman" w:hAnsi="Times New Roman" w:eastAsia="宋体"/>
          <w:b/>
          <w:sz w:val="21"/>
        </w:rPr>
        <w:t>English Abstract:</w:t>
      </w:r>
    </w:p>
    <w:p>
      <w:r>
        <w:rPr>
          <w:rFonts w:ascii="Times New Roman" w:hAnsi="Times New Roman" w:eastAsia="宋体"/>
          <w:sz w:val="21"/>
        </w:rPr>
        <w:t>We present the Multi-Scale Spatial Channel Attention Network (MS-SCANet), a transformer-based architecture designed for no-reference image quality assessment (IQA). MS-SCANet features a dual-branch structure that processes images at multiple scales, effectively capturing both fine and coarse details, an improvement over traditional single-scale methods. By integrating tailored spatial and channel attention mechanisms, our model emphasizes essential features while minimizing computational complexity. A key component of MS-SCANet is its cross-branch attention mechanism, which enhances the integration of features across different scales, addressing limitations in previous approaches. We also introduce two new consistency loss functions, Cross-Branch Consistency Loss and Adaptive Pooling Consistency Loss, which maintain spatial integrity during feature scaling, outperforming conventional linear and bilinear techniques. Extensive evaluations on datasets like KonIQ-10k, LIVE, LIVE Challenge, and CSIQ show that MS-SCANet consistently surpasses state-of-the-art methods, offering a robust framework with stronger correlations with subjective human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利用层间一致随机性改进 3D 医学成像的 2D 扩散模型</w:t>
      </w:r>
    </w:p>
    <w:p>
      <w:r>
        <w:rPr>
          <w:rFonts w:ascii="Times New Roman" w:hAnsi="Times New Roman" w:eastAsia="宋体"/>
          <w:b/>
          <w:color w:val="003264"/>
          <w:sz w:val="24"/>
        </w:rPr>
        <w:t>Improving 2D Diffusion Models for 3D Medical Imaging with Inter-Slice Consistent Stochasticity</w:t>
      </w:r>
    </w:p>
    <w:p>
      <w:r>
        <w:rPr>
          <w:rFonts w:ascii="Times New Roman" w:hAnsi="Times New Roman" w:eastAsia="宋体"/>
          <w:sz w:val="21"/>
        </w:rPr>
        <w:t>作者: Yuyao Zhang</w:t>
        <w:br/>
      </w:r>
      <w:r>
        <w:rPr>
          <w:rFonts w:ascii="Times New Roman" w:hAnsi="Times New Roman" w:eastAsia="宋体"/>
          <w:sz w:val="21"/>
        </w:rPr>
        <w:t xml:space="preserve">时间: 2026-02-04T02:54:08Z | </w:t>
      </w:r>
      <w:r>
        <w:t xml:space="preserve">链接: </w:t>
      </w:r>
      <w:hyperlink r:id="rId89">
        <w:r>
          <w:rPr>
            <w:rFonts w:ascii="Times New Roman" w:hAnsi="Times New Roman" w:eastAsia="宋体"/>
            <w:color w:val="0000FF"/>
            <w:sz w:val="21"/>
            <w:u w:val="single"/>
          </w:rPr>
          <w:t>https://arxiv.org/abs/2602.04162v1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医学成像的需求量很大，对于临床诊断和科学研究至关重要。目前，扩散模型（DM）因其学习丰富、高质量先验数据的能力而成为医学成像重建的有效工具。然而，在医学成像中使用 DM 学习 3D 数据分布具有挑战性，这不仅是因为数据收集困难，还因为模型训练期间的巨大计算负担。常见的折衷方案是根据 2D 数据先验训练 DM，并重建堆叠的 2D 切片以解决 3D 医学逆问题。然而，扩散采样的内在随机性会导致重建 3D 体积的严重层间不连续性。现有方法通常沿 z 轴强制连续正则化，这会引入敏感的超参数，并可能导致过度平滑的结果。在这项工作中，我们重新审视了扩散采样中随机性的起源，并引入了层间一致随机性（ISCS），这是一种简单而有效的策略，可以在扩散采样过程中鼓励层间一致性。我们的关键思想是在扩散采样过程中控制随机噪声分量的一致性，从而在不添加任何新的损失项或优化步骤的情况下对齐它们的采样轨迹。重要的是，所提出的 ISCS 是即插即用的，可以放入任何基于 2D 训练扩散的 3D 重建管道中，而无需额外的计算成本。对多个医学成像问题的实验表明，我们的方法可以有效提高基于2D扩散模型的医学3D成像问题的性能。我们的研究结果表明，控制层间随机性是实现具有 2D 扩散先验的高保真 3D 医学成像的原则性且具有实际吸引力的途径。代码位于：https://github.com/duchenhe/ISCS</w:t>
      </w:r>
    </w:p>
    <w:p>
      <w:pPr>
        <w:spacing w:before="120"/>
      </w:pPr>
      <w:r>
        <w:rPr>
          <w:rFonts w:ascii="Times New Roman" w:hAnsi="Times New Roman" w:eastAsia="宋体"/>
          <w:b/>
          <w:sz w:val="21"/>
        </w:rPr>
        <w:t>English Abstract:</w:t>
      </w:r>
    </w:p>
    <w:p>
      <w:r>
        <w:rPr>
          <w:rFonts w:ascii="Times New Roman" w:hAnsi="Times New Roman" w:eastAsia="宋体"/>
          <w:sz w:val="21"/>
        </w:rPr>
        <w:t>3D medical imaging is in high demand and essential for clinical diagnosis and scientific research. Currently, diffusion models (DMs) have become an effective tool for medical imaging reconstruction thanks to their ability to learn rich, high-quality data priors. However, learning the 3D data distribution with DMs in medical imaging is challenging, not only due to the difficulties in data collection but also because of the significant computational burden during model training. A common compromise is to train the DMs on 2D data priors and reconstruct stacked 2D slices to address 3D medical inverse problems. However, the intrinsic randomness of diffusion sampling causes severe inter-slice discontinuities of reconstructed 3D volumes. Existing methods often enforce continuity regularizations along the z-axis, which introduces sensitive hyper-parameters and may lead to over-smoothing results. In this work, we revisit the origin of stochasticity in diffusion sampling and introduce Inter-Slice Consistent Stochasticity (ISCS), a simple yet effective strategy that encourages interslice consistency during diffusion sampling. Our key idea is to control the consistency of stochastic noise components during diffusion sampling, thereby aligning their sampling trajectories without adding any new loss terms or optimization steps. Importantly, the proposed ISCS is plug-and-play and can be dropped into any 2D trained diffusion based 3D reconstruction pipeline without additional computational cost. Experiments on several medical imaging problems show that our method can effectively improve the performance of medical 3D imaging problems based on 2D diffusion models. Our findings suggest that controlling inter-slice stochasticity is a principled and practically attractive route toward high-fidelity 3D medical imaging with 2D diffusion priors. The code is available at: https://github.com/duchenhe/ISCS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SAR-RAG：通过语义搜索、检索和 MLLM 生成进行 ATR 视觉问答</w:t>
      </w:r>
    </w:p>
    <w:p>
      <w:r>
        <w:rPr>
          <w:rFonts w:ascii="Times New Roman" w:hAnsi="Times New Roman" w:eastAsia="宋体"/>
          <w:b/>
          <w:color w:val="003264"/>
          <w:sz w:val="24"/>
        </w:rPr>
        <w:t>SAR-RAG: ATR Visual Question Answering by Semantic Search, Retrieval, and MLLM Generation</w:t>
      </w:r>
    </w:p>
    <w:p>
      <w:r>
        <w:rPr>
          <w:rFonts w:ascii="Times New Roman" w:hAnsi="Times New Roman" w:eastAsia="宋体"/>
          <w:sz w:val="21"/>
        </w:rPr>
        <w:t>作者: Andreas Spanias</w:t>
        <w:br/>
      </w:r>
      <w:r>
        <w:rPr>
          <w:rFonts w:ascii="Times New Roman" w:hAnsi="Times New Roman" w:eastAsia="宋体"/>
          <w:sz w:val="21"/>
        </w:rPr>
        <w:t xml:space="preserve">时间: 2026-02-04T16:23:16Z | </w:t>
      </w:r>
      <w:r>
        <w:t xml:space="preserve">链接: </w:t>
      </w:r>
      <w:hyperlink r:id="rId90">
        <w:r>
          <w:rPr>
            <w:rFonts w:ascii="Times New Roman" w:hAnsi="Times New Roman" w:eastAsia="宋体"/>
            <w:color w:val="0000FF"/>
            <w:sz w:val="21"/>
            <w:u w:val="single"/>
          </w:rPr>
          <w:t>https://arxiv.org/abs/2602.04712v1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我们提出了一种视觉上下文图像检索增强生成（ImageRAG）辅助人工智能代理，用于合成孔径雷达（SAR）的自动目标识别（ATR）。 SAR 是一种用于国防和安全应用的遥感方法，用于检测和监控军用车辆的位置，这些车辆在图像中可能无法区分。研究人员广泛研究了 SAR ATR，以提高车辆类型、特性和测量值的区分和识别。可以将测试示例与已知的车辆目标类型进行比较，以改进识别任务。新方法增强了神经网络、变压器注意力和多模态大语言模型的能力。可以开发代理人工智能方法来利用一组定义的工具，例如搜索类似示例的库。我们提出的方法 SAR 检索增强生成 (SAR-RAG) 将多模态大语言模型 (MLLM) 与语义嵌入向量数据库相结合，以支持对具有已知质量的图像样本的上下文搜索。通过恢复具有已知真实目标类型的过去图像示例，我们的 SAR-RAG 系统可以比较相似的车辆类别，从而提高 ATR 预测精度。我们通过搜索和检索指标、分类准确度以及车辆尺寸的数值回归来评估这一点。当 SAR-RAG 作为附加 ATR 内存库添加到 MLLM 基线方法中时，这些指标都显示出改进。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visual-context image retrieval-augmented generation (ImageRAG) assisted AI agent for automatic target recognition (ATR) of synthetic aperture radar (SAR). SAR is a remote sensing method used in defense and security applications to detect and monitor the positions of military vehicles, which may appear indistinguishable in images. Researchers have extensively studied SAR ATR to improve the differentiation and identification of vehicle types, characteristics, and measurements. Test examples can be compared with known vehicle target types to improve recognition tasks. New methods enhance the capabilities of neural networks, transformer attention, and multimodal large language models. An agentic AI method may be developed to utilize a defined set of tools, such as searching through a library of similar examples. Our proposed method, SAR Retrieval-Augmented Generation (SAR-RAG), combines a multimodal large language model (MLLM) with a vector database of semantic embeddings to support contextual search for image exemplars with known qualities. By recovering past image examples with known true target types, our SAR-RAG system can compare similar vehicle categories, achieving improved ATR prediction accuracy. We evaluate this through search and retrieval metrics, categorical classification accuracy, and numeric regression of vehicle dimensions. These metrics all show improvements when SAR-RAG is added to an MLLM baseline method as an attached ATR memory bank.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PromptSplit：揭示生成模型中的提示级分歧</w:t>
      </w:r>
    </w:p>
    <w:p>
      <w:r>
        <w:rPr>
          <w:rFonts w:ascii="Times New Roman" w:hAnsi="Times New Roman" w:eastAsia="宋体"/>
          <w:b/>
          <w:color w:val="003264"/>
          <w:sz w:val="24"/>
        </w:rPr>
        <w:t>PromptSplit: Revealing Prompt-Level Disagreement in Generative Models</w:t>
      </w:r>
    </w:p>
    <w:p>
      <w:r>
        <w:rPr>
          <w:rFonts w:ascii="Times New Roman" w:hAnsi="Times New Roman" w:eastAsia="宋体"/>
          <w:sz w:val="21"/>
        </w:rPr>
        <w:t>作者: Farzan Farnia</w:t>
        <w:br/>
      </w:r>
      <w:r>
        <w:rPr>
          <w:rFonts w:ascii="Times New Roman" w:hAnsi="Times New Roman" w:eastAsia="宋体"/>
          <w:sz w:val="21"/>
        </w:rPr>
        <w:t xml:space="preserve">时间: 2026-02-03T20:53:10Z | </w:t>
      </w:r>
      <w:r>
        <w:t xml:space="preserve">链接: </w:t>
      </w:r>
      <w:hyperlink r:id="rId91">
        <w:r>
          <w:rPr>
            <w:rFonts w:ascii="Times New Roman" w:hAnsi="Times New Roman" w:eastAsia="宋体"/>
            <w:color w:val="0000FF"/>
            <w:sz w:val="21"/>
            <w:u w:val="single"/>
          </w:rPr>
          <w:t>https://arxiv.org/abs/2602.04009v1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引导的生成人工智能模型已迅速扩展到视觉和语言领域，从文本输入产生现实且多样化的输出。此类模型的种类越来越多，并使用不同的数据和架构进行训练，需要有原则的方法来识别哪些类型的提示会导致不同的模型行为。在这项工作中，我们提出了 PromptSplit，一个基于内核的框架，用于检测和分析生成模型之间与提示相关的分歧。对于每个比较的模型对，PromptSplit 通过形成提示和图像（或文本）特征的张量积嵌入来构造联合提示-输出表示，然后计算相应的核协方差矩阵。我们利用这些矩阵之间的加权差异的特征空间来识别提示之间行为差异的主要方向。为了确保可扩展性，我们采用随机投影近似，将投影维度 $r$ 的计算复杂度降低至 $O(nr^2 + r^3)$。我们进一步提供了理论分析，表明这种近似产生了一个特征结构估计，其与全维结果的预期偏差受到 $O(1/r^2)$ 的限制。跨文本到图像、文本到文本和图像字幕设置的实验表明，PromptSplit 可以准确检测真实行为差异并隔离负责的提示，从而提供可解释的工具来检测生成模型不一致的地方。</w:t>
      </w:r>
    </w:p>
    <w:p>
      <w:pPr>
        <w:spacing w:before="120"/>
      </w:pPr>
      <w:r>
        <w:rPr>
          <w:rFonts w:ascii="Times New Roman" w:hAnsi="Times New Roman" w:eastAsia="宋体"/>
          <w:b/>
          <w:sz w:val="21"/>
        </w:rPr>
        <w:t>English Abstract:</w:t>
      </w:r>
    </w:p>
    <w:p>
      <w:r>
        <w:rPr>
          <w:rFonts w:ascii="Times New Roman" w:hAnsi="Times New Roman" w:eastAsia="宋体"/>
          <w:sz w:val="21"/>
        </w:rPr>
        <w:t>Prompt-guided generative AI models have rapidly expanded across vision and language domains, producing realistic and diverse outputs from textual inputs. The growing variety of such models, trained with different data and architectures, calls for principled methods to identify which types of prompts lead to distinct model behaviors. In this work, we propose PromptSplit, a kernel-based framework for detecting and analyzing prompt-dependent disagreement between generative models. For each compared model pair, PromptSplit constructs a joint prompt--output representation by forming tensor-product embeddings of the prompt and image (or text) features, and then computes the corresponding kernel covariance matrix. We utilize the eigenspace of the weighted difference between these matrices to identify the main directions of behavioral difference across prompts. To ensure scalability, we employ a random-projection approximation that reduces computational complexity to $O(nr^2 + r^3)$ for projection dimension $r$. We further provide a theoretical analysis showing that this approximation yields an eigenstructure estimate whose expected deviation from the full-dimensional result is bounded by $O(1/r^2)$. Experiments across text-to-image, text-to-text, and image-captioning settings demonstrate that PromptSplit accurately detects ground-truth behavioral differences and isolates the prompts responsible, offering an interpretable tool for detecting where generative models disagree.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TiCLS：紧耦合语言文本识别器</w:t>
      </w:r>
    </w:p>
    <w:p>
      <w:r>
        <w:rPr>
          <w:rFonts w:ascii="Times New Roman" w:hAnsi="Times New Roman" w:eastAsia="宋体"/>
          <w:b/>
          <w:color w:val="003264"/>
          <w:sz w:val="24"/>
        </w:rPr>
        <w:t>TiCLS : Tightly Coupled Language Text Spotter</w:t>
      </w:r>
    </w:p>
    <w:p>
      <w:r>
        <w:rPr>
          <w:rFonts w:ascii="Times New Roman" w:hAnsi="Times New Roman" w:eastAsia="宋体"/>
          <w:sz w:val="21"/>
        </w:rPr>
        <w:t>作者: Jerod Weinman</w:t>
        <w:br/>
      </w:r>
      <w:r>
        <w:rPr>
          <w:rFonts w:ascii="Times New Roman" w:hAnsi="Times New Roman" w:eastAsia="宋体"/>
          <w:sz w:val="21"/>
        </w:rPr>
        <w:t xml:space="preserve">时间: 2026-02-03T21:38:05Z | </w:t>
      </w:r>
      <w:r>
        <w:t xml:space="preserve">链接: </w:t>
      </w:r>
      <w:hyperlink r:id="rId92">
        <w:r>
          <w:rPr>
            <w:rFonts w:ascii="Times New Roman" w:hAnsi="Times New Roman" w:eastAsia="宋体"/>
            <w:color w:val="0000FF"/>
            <w:sz w:val="21"/>
            <w:u w:val="single"/>
          </w:rPr>
          <w:t>https://arxiv.org/abs/2602.04030v1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文本识别旨在检测和识别现实世界图像中的文本，其中实例通常很短、支离破碎或视觉上模糊。现有的方法主要依赖于视觉线索并隐式捕获本地字符依赖性，但它们忽视了外部语言知识的好处。先前集成语言模型的尝试要么在没有外部知识的情况下适应语言建模目标，要么应用与场景文本的字级粒度不一致的预训练模型。我们提出了 TiCLS，一种端到端文本识别器，它明确地结合了来自字符级预训练语言模型的外部语言知识。 TiCLS 引入了一种融合视觉和语言特征的语言解码器，但可以通过预训练的语言模型进行初始化，从而能够稳健地识别模糊或碎片文本。 ICDAR 2015 和 Total-Text 上的实验表明 TiCLS 实现了最先进的性能，验证了 PLM 引导的语言集成在场景文本识别中的有效性。</w:t>
      </w:r>
    </w:p>
    <w:p>
      <w:pPr>
        <w:spacing w:before="120"/>
      </w:pPr>
      <w:r>
        <w:rPr>
          <w:rFonts w:ascii="Times New Roman" w:hAnsi="Times New Roman" w:eastAsia="宋体"/>
          <w:b/>
          <w:sz w:val="21"/>
        </w:rPr>
        <w:t>English Abstract:</w:t>
      </w:r>
    </w:p>
    <w:p>
      <w:r>
        <w:rPr>
          <w:rFonts w:ascii="Times New Roman" w:hAnsi="Times New Roman" w:eastAsia="宋体"/>
          <w:sz w:val="21"/>
        </w:rPr>
        <w:t>Scene text spotting aims to detect and recognize text in real-world images, where instances are often short, fragmented, or visually ambiguous. Existing methods primarily rely on visual cues and implicitly capture local character dependencies, but they overlook the benefits of external linguistic knowledge. Prior attempts to integrate language models either adapt language modeling objectives without external knowledge or apply pretrained models that are misaligned with the word-level granularity of scene text. We propose TiCLS, an end-to-end text spotter that explicitly incorporates external linguistic knowledge from a character-level pretrained language model. TiCLS introduces a linguistic decoder that fuses visual and linguistic features, yet can be initialized by a pretrained language model, enabling robust recognition of ambiguous or fragmented text. Experiments on ICDAR 2015 and Total-Text demonstrate that TiCLS achieves state-of-the-art performance, validating the effectiveness of PLM-guided linguistic integration for scene text spotting.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AnyStyle：3D 高斯泼溅的单通道多模态风格化</w:t>
      </w:r>
    </w:p>
    <w:p>
      <w:r>
        <w:rPr>
          <w:rFonts w:ascii="Times New Roman" w:hAnsi="Times New Roman" w:eastAsia="宋体"/>
          <w:b/>
          <w:color w:val="003264"/>
          <w:sz w:val="24"/>
        </w:rPr>
        <w:t>AnyStyle: Single-Pass Multimodal Stylization for 3D Gaussian Splatting</w:t>
      </w:r>
    </w:p>
    <w:p>
      <w:r>
        <w:rPr>
          <w:rFonts w:ascii="Times New Roman" w:hAnsi="Times New Roman" w:eastAsia="宋体"/>
          <w:sz w:val="21"/>
        </w:rPr>
        <w:t>作者: Marek Kowalski</w:t>
        <w:br/>
      </w:r>
      <w:r>
        <w:rPr>
          <w:rFonts w:ascii="Times New Roman" w:hAnsi="Times New Roman" w:eastAsia="宋体"/>
          <w:sz w:val="21"/>
        </w:rPr>
        <w:t xml:space="preserve">时间: 2026-02-03T22:19:58Z | </w:t>
      </w:r>
      <w:r>
        <w:t xml:space="preserve">链接: </w:t>
      </w:r>
      <w:hyperlink r:id="rId93">
        <w:r>
          <w:rPr>
            <w:rFonts w:ascii="Times New Roman" w:hAnsi="Times New Roman" w:eastAsia="宋体"/>
            <w:color w:val="0000FF"/>
            <w:sz w:val="21"/>
            <w:u w:val="single"/>
          </w:rPr>
          <w:t>https://arxiv.org/abs/2602.04043v1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对快速且可扩展的 3D 资产创建的需求不断增长，引发了人们对前馈 3D 重建方法的兴趣，其中 3D 高斯分布 (3DGS) 成为一种有效的场景表示。虽然最近的方法已经证明了从未摆姿势的图像集合中进行无姿势重建，但将风格化或外观控制集成到此类管道中仍然尚未得到充分探索。现有的尝试很大程度上依赖于基于图像的调节，这限制了可控性和灵活性。在这项工作中，我们引入了 AnyStyle，这是一种前馈 3D 重建和风格化框架，可通过多模态调节实现无姿势、零镜头风格化。我们的方法支持文本和视觉风格输入，允许用户使用自然语言描述或参考图像来控制场景外观。我们提出了一种模块化风格化架构，该架构仅需要最少的架构修改，并且可以集成到现有的前馈 3D 重建主干中。实验表明，与之前的前馈风格化方法相比，AnyStyle 提高了风格可控性，同时保留了高质量的几何重建。一项用户研究进一步证实，与现有的最先进方法相比，AnyStyle 实现了卓越的风格化质量。存储库：https://github.com/joaxkal/AnyStyle。</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rapid and scalable 3D asset creation has driven interest in feed-forward 3D reconstruction methods, with 3D Gaussian Splatting (3DGS) emerging as an effective scene representation. While recent approaches have demonstrated pose-free reconstruction from unposed image collections, integrating stylization or appearance control into such pipelines remains underexplored. Existing attempts largely rely on image-based conditioning, which limits both controllability and flexibility. In this work, we introduce AnyStyle, a feed-forward 3D reconstruction and stylization framework that enables pose-free, zero-shot stylization through multimodal conditioning. Our method supports both textual and visual style inputs, allowing users to control the scene appearance using natural language descriptions or reference images. We propose a modular stylization architecture that requires only minimal architectural modifications and can be integrated into existing feed-forward 3D reconstruction backbones. Experiments demonstrate that AnyStyle improves style controllability over prior feed-forward stylization methods while preserving high-quality geometric reconstruction. A user study further confirms that AnyStyle achieves superior stylization quality compared to an existing state-of-the-art approach. Repository: https://github.com/joaxkal/AnyStyle.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用于多染色组织学全玻片对配准质量评估的快速、无监督框架</w:t>
      </w:r>
    </w:p>
    <w:p>
      <w:r>
        <w:rPr>
          <w:rFonts w:ascii="Times New Roman" w:hAnsi="Times New Roman" w:eastAsia="宋体"/>
          <w:b/>
          <w:color w:val="003264"/>
          <w:sz w:val="24"/>
        </w:rPr>
        <w:t>Fast, Unsupervised Framework for Registration Quality Assessment of Multi-stain Histological Whole Slide Pairs</w:t>
      </w:r>
    </w:p>
    <w:p>
      <w:r>
        <w:rPr>
          <w:rFonts w:ascii="Times New Roman" w:hAnsi="Times New Roman" w:eastAsia="宋体"/>
          <w:sz w:val="21"/>
        </w:rPr>
        <w:t>作者: Erik Ames Burlingame</w:t>
        <w:br/>
      </w:r>
      <w:r>
        <w:rPr>
          <w:rFonts w:ascii="Times New Roman" w:hAnsi="Times New Roman" w:eastAsia="宋体"/>
          <w:sz w:val="21"/>
        </w:rPr>
        <w:t xml:space="preserve">时间: 2026-02-03T22:30:00Z | </w:t>
      </w:r>
      <w:r>
        <w:t xml:space="preserve">链接: </w:t>
      </w:r>
      <w:hyperlink r:id="rId94">
        <w:r>
          <w:rPr>
            <w:rFonts w:ascii="Times New Roman" w:hAnsi="Times New Roman" w:eastAsia="宋体"/>
            <w:color w:val="0000FF"/>
            <w:sz w:val="21"/>
            <w:u w:val="single"/>
          </w:rPr>
          <w:t>https://arxiv.org/abs/2602.04046v1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组织病理学全切片图像 (WSI)（例如苏木精和伊红 (H&amp;E) 和免疫组织化学 (IHC)）的高保真配准对于综合分子分析至关重要，但在没有真实 (GT) 注释的情况下很难进行评估。现有的 WSI 级别评估（使用带注释的地标或基于强度的相似性度量）通常非常耗时、不可靠且计算量大，限制了大规模适用性。本研究提出了一种快速、无监督的框架，联合采用基于下采样组织掩模和变形的指标来对注册的 H&amp;E 和 IHC WSI 对进行注册质量评估 (RQA)。基于掩模的指标测量全局结构对应性，而基于变形的指标评估局部平滑度、连续性和变换真实性。多个 IHC 标记物和多专家评估的验证表明，自动化指标和人工评估之间存在很强的相关性。在没有 GT 的情况下，该框架提供可靠、实时的 RQA，具有高保真度和最少的计算资源，使其适合数字病理学中的大规模质量控制。</w:t>
      </w:r>
    </w:p>
    <w:p>
      <w:pPr>
        <w:spacing w:before="120"/>
      </w:pPr>
      <w:r>
        <w:rPr>
          <w:rFonts w:ascii="Times New Roman" w:hAnsi="Times New Roman" w:eastAsia="宋体"/>
          <w:b/>
          <w:sz w:val="21"/>
        </w:rPr>
        <w:t>English Abstract:</w:t>
      </w:r>
    </w:p>
    <w:p>
      <w:r>
        <w:rPr>
          <w:rFonts w:ascii="Times New Roman" w:hAnsi="Times New Roman" w:eastAsia="宋体"/>
          <w:sz w:val="21"/>
        </w:rPr>
        <w:t>High-fidelity registration of histopathological whole slide images (WSIs), such as hematoxylin &amp; eosin (H&amp;E) and immunohistochemistry (IHC), is vital for integrated molecular analysis but challenging to evaluate without ground-truth (GT) annotations. Existing WSI-level assessments -- using annotated landmarks or intensity-based similarity metrics -- are often time-consuming, unreliable, and computationally intensive, limiting large-scale applicability. This study proposes a fast, unsupervised framework that jointly employs down-sampled tissue masks- and deformations-based metrics for registration quality assessment (RQA) of registered H&amp;E and IHC WSI pairs. The masks-based metrics measure global structural correspondence, while the deformations-based metrics evaluate local smoothness, continuity, and transformation realism. Validation across multiple IHC markers and multi-expert assessments demonstrate a strong correlation between automated metrics and human evaluations. In the absence of GT, this framework offers reliable, real-time RQA with high fidelity and minimal computational resources, making it suitable for large-scale quality control in digital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AFM 中的伪影去除和图像恢复：结构化掩模引导的定向修复方法</w:t>
      </w:r>
    </w:p>
    <w:p>
      <w:r>
        <w:rPr>
          <w:rFonts w:ascii="Times New Roman" w:hAnsi="Times New Roman" w:eastAsia="宋体"/>
          <w:b/>
          <w:color w:val="003264"/>
          <w:sz w:val="24"/>
        </w:rPr>
        <w:t>Artifact Removal and Image Restoration in AFM:A Structured Mask-Guided Directional Inpainting Approach</w:t>
      </w:r>
    </w:p>
    <w:p>
      <w:r>
        <w:rPr>
          <w:rFonts w:ascii="Times New Roman" w:hAnsi="Times New Roman" w:eastAsia="宋体"/>
          <w:sz w:val="21"/>
        </w:rPr>
        <w:t>作者: Aditya Balu</w:t>
        <w:br/>
      </w:r>
      <w:r>
        <w:rPr>
          <w:rFonts w:ascii="Times New Roman" w:hAnsi="Times New Roman" w:eastAsia="宋体"/>
          <w:sz w:val="21"/>
        </w:rPr>
        <w:t xml:space="preserve">时间: 2026-02-03T22:37:22Z | </w:t>
      </w:r>
      <w:r>
        <w:t xml:space="preserve">链接: </w:t>
      </w:r>
      <w:hyperlink r:id="rId95">
        <w:r>
          <w:rPr>
            <w:rFonts w:ascii="Times New Roman" w:hAnsi="Times New Roman" w:eastAsia="宋体"/>
            <w:color w:val="0000FF"/>
            <w:sz w:val="21"/>
            <w:u w:val="single"/>
          </w:rPr>
          <w:t>https://arxiv.org/abs/2602.04051v1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原子力显微镜 (AFM) 可实现纳米级的高分辨率表面成像，但输出常常因环境噪声、扫描缺陷和尖端与样品相互作用引入的伪影而降低。为了应对这一挑战，提出了一种用于 AFM 图像分析中的伪影检测和恢复的轻量级全自动框架。该流程从一个分类模型开始，该模型确定 AFM 图像是否包含伪影。如有必要，可以应用根据 AFM 数据定制设计和训练的轻量级语义分割网络来生成精确的伪影掩模。这些掩模根据其结构方向自适应扩展，然后使用基于方向邻居的插值策略进行修复，以保持 3D 表面连续性。然后应用局部高斯平滑操作进行无缝恢复。该系统集成到用户友好的GUI中，支持实时参数调整和批量处理。实验结果表明，可以有效去除伪影，同时保留纳米级结构细节，为高保真 AFM 数据解释提供强大的几何感知解决方案。</w:t>
      </w:r>
    </w:p>
    <w:p>
      <w:pPr>
        <w:spacing w:before="120"/>
      </w:pPr>
      <w:r>
        <w:rPr>
          <w:rFonts w:ascii="Times New Roman" w:hAnsi="Times New Roman" w:eastAsia="宋体"/>
          <w:b/>
          <w:sz w:val="21"/>
        </w:rPr>
        <w:t>English Abstract:</w:t>
      </w:r>
    </w:p>
    <w:p>
      <w:r>
        <w:rPr>
          <w:rFonts w:ascii="Times New Roman" w:hAnsi="Times New Roman" w:eastAsia="宋体"/>
          <w:sz w:val="21"/>
        </w:rPr>
        <w:t>Atomic Force Microscopy (AFM) enables high-resolution surface imaging at the nanoscale, yet the output is often degraded by artifacts introduced by environmental noise, scanning imperfections, and tip-sample interactions. To address this challenge, a lightweight and fully automated framework for artifact detection and restoration in AFM image analysis is presented. The pipeline begins with a classification model that determines whether an AFM image contains artifacts. If necessary, a lightweight semantic segmentation network, custom-designed and trained on AFM data, is applied to generate precise artifact masks. These masks are adaptively expanded based on their structural orientation and then inpainted using a directional neighbor-based interpolation strategy to preserve 3D surface continuity. A localized Gaussian smoothing operation is then applied for seamless restoration. The system is integrated into a user-friendly GUI that supports real-time parameter adjustments and batch processing. Experimental results demonstrate the effective artifact removal while preserving nanoscale structural details, providing a robust, geometry-aware solution for high-fidelity AFM data interpretation.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透视杂乱：通过迭代对象移除重建结构化 3D 场景</w:t>
      </w:r>
    </w:p>
    <w:p>
      <w:r>
        <w:rPr>
          <w:rFonts w:ascii="Times New Roman" w:hAnsi="Times New Roman" w:eastAsia="宋体"/>
          <w:b/>
          <w:color w:val="003264"/>
          <w:sz w:val="24"/>
        </w:rPr>
        <w:t>Seeing Through Clutter: Structured 3D Scene Reconstruction via Iterative Object Removal</w:t>
      </w:r>
    </w:p>
    <w:p>
      <w:r>
        <w:rPr>
          <w:rFonts w:ascii="Times New Roman" w:hAnsi="Times New Roman" w:eastAsia="宋体"/>
          <w:sz w:val="21"/>
        </w:rPr>
        <w:t>作者: Matheus Gadelha</w:t>
        <w:br/>
      </w:r>
      <w:r>
        <w:rPr>
          <w:rFonts w:ascii="Times New Roman" w:hAnsi="Times New Roman" w:eastAsia="宋体"/>
          <w:sz w:val="21"/>
        </w:rPr>
        <w:t xml:space="preserve">时间: 2026-02-03T22:37:43Z | </w:t>
      </w:r>
      <w:r>
        <w:t xml:space="preserve">链接: </w:t>
      </w:r>
      <w:hyperlink r:id="rId96">
        <w:r>
          <w:rPr>
            <w:rFonts w:ascii="Times New Roman" w:hAnsi="Times New Roman" w:eastAsia="宋体"/>
            <w:color w:val="0000FF"/>
            <w:sz w:val="21"/>
            <w:u w:val="single"/>
          </w:rPr>
          <w:t>https://arxiv.org/abs/2602.04053v1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SeeingThroughClutter，一种通过单独分割和建模对象来从单个图像重建结构化 3D 表示的方法。先前的方法依赖于语义分割和深度估计等中间任务，这些任务在复杂场景中通常表现不佳，特别是在存在遮挡和杂乱的情况下。我们通过引入迭代对象移除和重建管道来解决这个问题，该管道将复杂的场景分解为一系列更简单的子任务。使用 VLM 作为协调器，通过检测、分割、对象删除和 3D 拟合一次删除一个前景对象。我们表明，即使在高度遮挡的场景中，删除对象也可以对后续对象进行更清晰的分割。我们的方法不需要特定于任务的培训，并且直接受益于基础模型的不断进步。我们在 3D-Front 和 ADE20K 数据集上展示了最先进的稳健性。项目页面：https://rioak.github.io/seeingthroughclutter/</w:t>
      </w:r>
    </w:p>
    <w:p>
      <w:pPr>
        <w:spacing w:before="120"/>
      </w:pPr>
      <w:r>
        <w:rPr>
          <w:rFonts w:ascii="Times New Roman" w:hAnsi="Times New Roman" w:eastAsia="宋体"/>
          <w:b/>
          <w:sz w:val="21"/>
        </w:rPr>
        <w:t>English Abstract:</w:t>
      </w:r>
    </w:p>
    <w:p>
      <w:r>
        <w:rPr>
          <w:rFonts w:ascii="Times New Roman" w:hAnsi="Times New Roman" w:eastAsia="宋体"/>
          <w:sz w:val="21"/>
        </w:rPr>
        <w:t>We present SeeingThroughClutter, a method for reconstructing structured 3D representations from single images by segmenting and modeling objects individually. Prior approaches rely on intermediate tasks such as semantic segmentation and depth estimation, which often underperform in complex scenes, particularly in the presence of occlusion and clutter. We address this by introducing an iterative object removal and reconstruction pipeline that decomposes complex scenes into a sequence of simpler subtasks. Using VLMs as orchestrators, foreground objects are removed one at a time via detection, segmentation, object removal, and 3D fitting. We show that removing objects allows for cleaner segmentations of subsequent objects, even in highly occluded scenes. Our method requires no task-specific training and benefits directly from ongoing advances in foundation models. We demonstrate stateof-the-art robustness on 3D-Front and ADE20K datasets. Project Page: https://rioak.github.io/seeingthroughclutter/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iSight：迈向专家人工智能联合评估以改进免疫组织化学染色解释</w:t>
      </w:r>
    </w:p>
    <w:p>
      <w:r>
        <w:rPr>
          <w:rFonts w:ascii="Times New Roman" w:hAnsi="Times New Roman" w:eastAsia="宋体"/>
          <w:b/>
          <w:color w:val="003264"/>
          <w:sz w:val="24"/>
        </w:rPr>
        <w:t>iSight: Towards expert-AI co-assessment for improved immunohistochemistry staining interpretation</w:t>
      </w:r>
    </w:p>
    <w:p>
      <w:r>
        <w:rPr>
          <w:rFonts w:ascii="Times New Roman" w:hAnsi="Times New Roman" w:eastAsia="宋体"/>
          <w:sz w:val="21"/>
        </w:rPr>
        <w:t>作者: Zhi Huang</w:t>
        <w:br/>
      </w:r>
      <w:r>
        <w:rPr>
          <w:rFonts w:ascii="Times New Roman" w:hAnsi="Times New Roman" w:eastAsia="宋体"/>
          <w:sz w:val="21"/>
        </w:rPr>
        <w:t xml:space="preserve">时间: 2026-02-03T22:49:08Z | </w:t>
      </w:r>
      <w:r>
        <w:t xml:space="preserve">链接: </w:t>
      </w:r>
      <w:hyperlink r:id="rId97">
        <w:r>
          <w:rPr>
            <w:rFonts w:ascii="Times New Roman" w:hAnsi="Times New Roman" w:eastAsia="宋体"/>
            <w:color w:val="0000FF"/>
            <w:sz w:val="21"/>
            <w:u w:val="single"/>
          </w:rPr>
          <w:t>https://arxiv.org/abs/2602.04063v1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免疫组织化学 (IHC) 提供组织切片中蛋白质表达的信息，通常用于支持病理诊断和疾病分类。虽然 H\&amp;E 染色载玻片的 AI 模型显示出良好的前景，但由于特定领域的变化，它们在 IHC 中的适用性受到限制。在这里，我们介绍 HPA10M，该数据集包含来自人类蛋白质图谱的 10,495,672 个 IHC 图像以及全面的元数据，涵盖 45 种正常组织类型和 20 种主要癌症类型。基于 HPA10M，我们训练了 iSight，这是一个用于自动化 IHC 染色评估的多任务学习框架。 iSight 通过标记级注意力机制将全玻片图像的视觉特征与组织元数据结合起来，同时预测染色强度、位置、数量、组织类型和恶性肿瘤状态。在保留的数据上，iSight 的位置准确度为 85.5%，强度准确度为 76.6%，数量准确度为 75.7%，比微调基础模型（PLIP、CONCH）高出 2.5--10.2%。此外，iSight 还展示了经过良好校准的预测，预期校准误差为 0.0150-0.0408。此外，在一项由 8 名病理学家评估两个数据集的 200 张图像的用户研究中，iSight 的表现优于病理学家对保留的 HPA 数据集的初始评估（位置为 79\% vs 68\%，强度为 70\% vs 57\%，数量为 68\% vs 52\%）。在保留的 HPA（Cohen 的 $κ$ 从 0.63 增加到 0.70）和斯坦福 TMAD 数据集（从 0.74 增加到 0.76）中的 AI 协助后，病理学家间的一致性也有所改善，这表明专家与 AI 共同评估可以改善 IHC 解释。这项工作为人工智能系统奠定了基础，可以提高 IHC 诊断的准确性，并强调将 iSight 集成到临床工作流程中以增强 IHC 评估的一致性和可靠性的潜力。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Immunohistochemistry (IHC) provides information on protein expression in tissue sections and is commonly used to support pathology diagnosis and disease triage. While AI models for H\&amp;E-stained slides show promise, their applicability to IHC is limited due to domain-specific variations. Here we introduce HPA10M, a dataset that contains 10,495,672 IHC images from the Human Protein Atlas with comprehensive metadata included, and encompasses 45 normal tissue types and 20 major cancer types. Based on HPA10M, we trained iSight, a multi-task learning framework for automated IHC staining assessment. iSight combines visual features from whole-slide images with tissue metadata through a token-level attention mechanism, simultaneously predicting staining intensity, location, quantity, tissue type, and malignancy status. On held-out data, iSight achieved 85.5\% accuracy for location, 76.6\% for intensity, and 75.7\% for quantity, outperforming fine-tuned foundation models (PLIP, CONCH) by 2.5--10.2\%. In addition, iSight demonstrates well-calibrated predictions with expected calibration errors of 0.0150-0.0408. Furthermore, in a user study with eight pathologists evaluating 200 images from two datasets, iSight outperformed initial pathologist assessments on the held-out HPA dataset (79\% vs 68\% for location, 70\% vs 57\% for intensity, 68\% vs 52\% for quantity). Inter-pathologist agreement also improved after AI assistance in both held-out HPA (Cohen's $κ$ increased from 0.63 to 0.70) and Stanford TMAD datasets (from 0.74 to 0.76), suggesting expert--AI co-assessment can improve IHC interpretation. This work establishes a foundation for AI systems that can improve IHC diagnostic accuracy and highlights the potential for integrating iSight into clinical workflows to enhance the consistency and reliability of IHC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DMS2F-HAD：基于双分支 Mamba 的空间光谱融合网络，用于高光谱异常检测</w:t>
      </w:r>
    </w:p>
    <w:p>
      <w:r>
        <w:rPr>
          <w:rFonts w:ascii="Times New Roman" w:hAnsi="Times New Roman" w:eastAsia="宋体"/>
          <w:b/>
          <w:color w:val="003264"/>
          <w:sz w:val="24"/>
        </w:rPr>
        <w:t>DMS2F-HAD: A Dual-branch Mamba-based Spatial-Spectral Fusion Network for Hyperspectral Anomaly Detection</w:t>
      </w:r>
    </w:p>
    <w:p>
      <w:r>
        <w:rPr>
          <w:rFonts w:ascii="Times New Roman" w:hAnsi="Times New Roman" w:eastAsia="宋体"/>
          <w:sz w:val="21"/>
        </w:rPr>
        <w:t>作者: Sunil Aryal</w:t>
        <w:br/>
      </w:r>
      <w:r>
        <w:rPr>
          <w:rFonts w:ascii="Times New Roman" w:hAnsi="Times New Roman" w:eastAsia="宋体"/>
          <w:sz w:val="21"/>
        </w:rPr>
        <w:t xml:space="preserve">时间: 2026-02-04T00:37:29Z | </w:t>
      </w:r>
      <w:r>
        <w:t xml:space="preserve">链接: </w:t>
      </w:r>
      <w:hyperlink r:id="rId98">
        <w:r>
          <w:rPr>
            <w:rFonts w:ascii="Times New Roman" w:hAnsi="Times New Roman" w:eastAsia="宋体"/>
            <w:color w:val="0000FF"/>
            <w:sz w:val="21"/>
            <w:u w:val="single"/>
          </w:rPr>
          <w:t>https://arxiv.org/abs/2602.04102v1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异常检测（HAD）旨在识别高维高光谱图像（HSI）中罕见和不规则的目标，这些图像通常是噪声和未标记的数据。现有的深度学习方法要么无法捕获长程谱依赖性（例如，卷积神经网络），要么遭受高计算成本（例如，Transformers）。为了应对这些挑战，我们提出了 DMS2F-HAD，一种基于 Mamba 的新型双分支模型。我们的架构利用 Mamba 的线性时间建模来有效学习专门分支中的独特空间和光谱特征，然后通过动态门控融合机制进行集成，以增强异常定位。在 14 个基准 HSI 数据集上，我们提出的 DMS2F-HAD 不仅实现了 98.78% 的最先进的平均 AUC，而且还表现出卓越的效率，推理速度比同类深度学习方法快 4.6 倍。结果凸显了 DMS2FHAD 强大的通用性和可扩展性，使其成为实际 HAD 应用的有力候选者。</w:t>
      </w:r>
    </w:p>
    <w:p>
      <w:pPr>
        <w:spacing w:before="120"/>
      </w:pPr>
      <w:r>
        <w:rPr>
          <w:rFonts w:ascii="Times New Roman" w:hAnsi="Times New Roman" w:eastAsia="宋体"/>
          <w:b/>
          <w:sz w:val="21"/>
        </w:rPr>
        <w:t>English Abstract:</w:t>
      </w:r>
    </w:p>
    <w:p>
      <w:r>
        <w:rPr>
          <w:rFonts w:ascii="Times New Roman" w:hAnsi="Times New Roman" w:eastAsia="宋体"/>
          <w:sz w:val="21"/>
        </w:rPr>
        <w:t>Hyperspectral anomaly detection (HAD) aims to identify rare and irregular targets in high-dimensional hyperspectral images (HSIs), which are often noisy and unlabelled data. Existing deep learning methods either fail to capture long-range spectral dependencies (e.g., convolutional neural networks) or suffer from high computational cost (e.g., Transformers). To address these challenges, we propose DMS2F-HAD, a novel dual-branch Mamba-based model. Our architecture utilizes Mamba's linear-time modeling to efficiently learn distinct spatial and spectral features in specialized branches, which are then integrated by a dynamic gated fusion mechanism to enhance anomaly localization. Across fourteen benchmark HSI datasets, our proposed DMS2F-HAD not only achieves a state-of-the-art average AUC of 98.78%, but also demonstrates superior efficiency with an inference speed 4.6 times faster than comparable deep learning methods. The results highlight DMS2FHAD's strong generalization and scalability, positioning it as a strong candidate for practical HAD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JSynFlow：使用大型语言模型构建的日语综合流程图视觉问答数据集</w:t>
      </w:r>
    </w:p>
    <w:p>
      <w:r>
        <w:rPr>
          <w:rFonts w:ascii="Times New Roman" w:hAnsi="Times New Roman" w:eastAsia="宋体"/>
          <w:b/>
          <w:color w:val="003264"/>
          <w:sz w:val="24"/>
        </w:rPr>
        <w:t>JSynFlow: Japanese Synthesised Flowchart Visual Question Answering Dataset built with Large Language Models</w:t>
      </w:r>
    </w:p>
    <w:p>
      <w:r>
        <w:rPr>
          <w:rFonts w:ascii="Times New Roman" w:hAnsi="Times New Roman" w:eastAsia="宋体"/>
          <w:sz w:val="21"/>
        </w:rPr>
        <w:t>作者: Hiroshi Sasaki</w:t>
        <w:br/>
      </w:r>
      <w:r>
        <w:rPr>
          <w:rFonts w:ascii="Times New Roman" w:hAnsi="Times New Roman" w:eastAsia="宋体"/>
          <w:sz w:val="21"/>
        </w:rPr>
        <w:t xml:space="preserve">时间: 2026-02-04T02:24:32Z | </w:t>
      </w:r>
      <w:r>
        <w:t xml:space="preserve">链接: </w:t>
      </w:r>
      <w:hyperlink r:id="rId99">
        <w:r>
          <w:rPr>
            <w:rFonts w:ascii="Times New Roman" w:hAnsi="Times New Roman" w:eastAsia="宋体"/>
            <w:color w:val="0000FF"/>
            <w:sz w:val="21"/>
            <w:u w:val="single"/>
          </w:rPr>
          <w:t>https://arxiv.org/abs/2602.04142v1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视觉和语言模型 (VLM) 有望通过问答 (QA) 界面分析复杂的文档，例如包含流程图的文档。人们对识别和解释这些流程图的能力有着很高的需求，因为它们提供了纯文本解释中无法提供的有价值的见解。然而，开发具有精确流程图理解的 VLM 需要大规模的流程图图像和相应文本数据集，其创建非常耗时。为了应对这一挑战，我们引入了 JSynFlow，这是一个使用大型语言模型 (LLM) 生成的日语流程图的合成视觉 QA 数据集。我们的数据集包括各种业务职业的任务描述、从领域特定语言（DSL）代码呈现的相应流程图图像以及相关的问答对。本文详细介绍了数据集的合成过程，并证明使用 JSynFlow 进行微调可显着提高基于流程图的 QA 任务的 VLM 性能。我们的数据集可在 https://huggingface.co/datasets/jri-advtechlab/jsynflow 上公开获取。</w:t>
      </w:r>
    </w:p>
    <w:p>
      <w:pPr>
        <w:spacing w:before="120"/>
      </w:pPr>
      <w:r>
        <w:rPr>
          <w:rFonts w:ascii="Times New Roman" w:hAnsi="Times New Roman" w:eastAsia="宋体"/>
          <w:b/>
          <w:sz w:val="21"/>
        </w:rPr>
        <w:t>English Abstract:</w:t>
      </w:r>
    </w:p>
    <w:p>
      <w:r>
        <w:rPr>
          <w:rFonts w:ascii="Times New Roman" w:hAnsi="Times New Roman" w:eastAsia="宋体"/>
          <w:sz w:val="21"/>
        </w:rPr>
        <w:t>Vision and language models (VLMs) are expected to analyse complex documents, such as those containing flowcharts, through a question-answering (QA) interface. The ability to recognise and interpret these flowcharts is in high demand, as they provide valuable insights unavailable in text-only explanations. However, developing VLMs with precise flowchart understanding requires large-scale datasets of flowchart images and corresponding text, the creation of which is highly time-consuming. To address this challenge, we introduce JSynFlow, a synthesised visual QA dataset for Japanese flowcharts, generated using large language models (LLMs). Our dataset comprises task descriptions for various business occupations, the corresponding flowchart images rendered from domain-specific language (DSL) code, and related QA pairs. This paper details the dataset's synthesis procedure and demonstrates that fine-tuning with JSynFlow significantly improves VLM performance on flowchart-based QA tasks. Our dataset is publicly available at https://huggingface.co/datasets/jri-advtechlab/jsynflow.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上下文决定材料分割的最佳架构</w:t>
      </w:r>
    </w:p>
    <w:p>
      <w:r>
        <w:rPr>
          <w:rFonts w:ascii="Times New Roman" w:hAnsi="Times New Roman" w:eastAsia="宋体"/>
          <w:b/>
          <w:color w:val="003264"/>
          <w:sz w:val="24"/>
        </w:rPr>
        <w:t>Context Determines Optimal Architecture in Materials Segmentation</w:t>
      </w:r>
    </w:p>
    <w:p>
      <w:r>
        <w:rPr>
          <w:rFonts w:ascii="Times New Roman" w:hAnsi="Times New Roman" w:eastAsia="宋体"/>
          <w:sz w:val="21"/>
        </w:rPr>
        <w:t>作者: Yinghui Wu</w:t>
        <w:br/>
      </w:r>
      <w:r>
        <w:rPr>
          <w:rFonts w:ascii="Times New Roman" w:hAnsi="Times New Roman" w:eastAsia="宋体"/>
          <w:sz w:val="21"/>
        </w:rPr>
        <w:t xml:space="preserve">时间: 2026-02-04T02:44:52Z | </w:t>
      </w:r>
      <w:r>
        <w:t xml:space="preserve">链接: </w:t>
      </w:r>
      <w:hyperlink r:id="rId100">
        <w:r>
          <w:rPr>
            <w:rFonts w:ascii="Times New Roman" w:hAnsi="Times New Roman" w:eastAsia="宋体"/>
            <w:color w:val="0000FF"/>
            <w:sz w:val="21"/>
            <w:u w:val="single"/>
          </w:rPr>
          <w:t>https://arxiv.org/abs/2602.04154v1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分段架构通常以单一成像模式为基准，从而掩盖了与部署相关的性能变化：最适合一种模式的架构可能在另一种模式上表现不佳。我们提出了一个用于材料图像分割的跨模式评估框架，涵盖 SEM、AFM、XCT 和光学显微镜。我们对七个数据集的六种编码器-解码器组合的评估表明，最佳架构会因环境而系统地变化：UNet 擅长高对比度 2D 成像，而 DeepLabv3+ 则更适合最困难的情况。该框架还通过分布外检测和反事实解释提供部署反馈，揭示哪些微观结构特征驱动预测。架构指导、可靠性信号和可解释性工具共同解决了材料表征方面的实际差距，即研究人员缺乏为其特定成像设置选择架构或评估模型何时可以在新样本上可信的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architectures are typically benchmarked on single imaging modalities, obscuring deployment-relevant performance variations: an architecture optimal for one modality may underperform on another. We present a cross-modal evaluation framework for materials image segmentation spanning SEM, AFM, XCT, and optical microscopy. Our evaluation of six encoder-decoder combinations across seven datasets reveals that optimal architectures vary systematically by context: UNet excels for high-contrast 2D imaging while DeepLabv3+ is preferred for the hardest cases. The framework also provides deployment feedback via out-of-distribution detection and counterfactual explanations that reveal which microstructural features drive predictions. Together, the architecture guidance, reliability signals, and interpretability tools address a practical gap in materials characterization, where researchers lack tools to select architectures for their specific imaging setup or assess when models can be trusted on new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部分环扫描：重新审视视觉状态空间模型中的扫描顺序</w:t>
      </w:r>
    </w:p>
    <w:p>
      <w:r>
        <w:rPr>
          <w:rFonts w:ascii="Times New Roman" w:hAnsi="Times New Roman" w:eastAsia="宋体"/>
          <w:b/>
          <w:color w:val="003264"/>
          <w:sz w:val="24"/>
        </w:rPr>
        <w:t>Partial Ring Scan: Revisiting Scan Order in Vision State Space Models</w:t>
      </w:r>
    </w:p>
    <w:p>
      <w:r>
        <w:rPr>
          <w:rFonts w:ascii="Times New Roman" w:hAnsi="Times New Roman" w:eastAsia="宋体"/>
          <w:sz w:val="21"/>
        </w:rPr>
        <w:t>作者: Yu-Chee Tseng</w:t>
        <w:br/>
      </w:r>
      <w:r>
        <w:rPr>
          <w:rFonts w:ascii="Times New Roman" w:hAnsi="Times New Roman" w:eastAsia="宋体"/>
          <w:sz w:val="21"/>
        </w:rPr>
        <w:t xml:space="preserve">时间: 2026-02-04T03:07:41Z | </w:t>
      </w:r>
      <w:r>
        <w:t xml:space="preserve">链接: </w:t>
      </w:r>
      <w:hyperlink r:id="rId101">
        <w:r>
          <w:rPr>
            <w:rFonts w:ascii="Times New Roman" w:hAnsi="Times New Roman" w:eastAsia="宋体"/>
            <w:color w:val="0000FF"/>
            <w:sz w:val="21"/>
            <w:u w:val="single"/>
          </w:rPr>
          <w:t>https://arxiv.org/abs/2602.04170v1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已成为视觉任务注意力的有效替代方案，提供具有竞争精度的线性时间序列处理。然而，视觉 SSM 需要按照预定义的扫描顺序将 2D 图像序列化为 1D 令牌序列，这是一个经常被忽视的因素。我们表明，扫描顺序通过改变空间邻接性、破坏对象连续性以及在旋转等几何变换下放大退化来严重影响性能。我们提出了部分环扫描 Mamba (PRISMamba)，这是一种旋转稳健的遍历，它将图像划分为同心环，在每个环内执行与顺序无关的聚合，并通过一组短径向 SSM 跨环传播上下文。通过部分通道过滤进一步提高了效率，部分通道过滤仅通过循环环路径路由信息最丰富的通道，同时将其余通道保留在轻量级剩余分支上。在 ImageNet-1K 上，PRISMamba 在 A100 上以 3.9G FLOP 和 3,054 img/s 的速度实现了 84.5% 的 Top-1，在精度和吞吐量方面均优于 VMamba，同时需要更少的 FLOP。它在旋转下也能保持性能，而固定路径扫描则下降 1~2%。这些结果凸显了扫描顺序设计以及通道滤波对于视觉 SSM 的准确性、效率和旋转鲁棒性而言是一个尚未充分探索的关键因素。代码将在接受后发布。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emerged as efficient alternatives to attention for vision tasks, offering lineartime sequence processing with competitive accuracy. Vision SSMs, however, require serializing 2D images into 1D token sequences along a predefined scan order, a factor often overlooked. We show that scan order critically affects performance by altering spatial adjacency, fracturing object continuity, and amplifying degradation under geometric transformations such as rotation. We present Partial RIng Scan Mamba (PRISMamba), a rotation-robust traversal that partitions an image into concentric rings, performs order-agnostic aggregation within each ring, and propagates context across rings through a set of short radial SSMs. Efficiency is further improved via partial channel filtering, which routes only the most informative channels through the recurrent ring pathway while keeping the rest on a lightweight residual branch. On ImageNet-1K, PRISMamba achieves 84.5% Top-1 with 3.9G FLOPs and 3,054 img/s on A100, outperforming VMamba in both accuracy and throughput while requiring fewer FLOPs. It also maintains performance under rotation, whereas fixed-path scans drop by 1~2%. These results highlight scan-order design, together with channel filtering, as a crucial, underexplored factor for accuracy, efficiency, and rotation robustness in Vision SSMs.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HoloEv-Net：通过全息空间嵌入和全局光谱门控进行高效的基于事件的动作识别</w:t>
      </w:r>
    </w:p>
    <w:p>
      <w:r>
        <w:rPr>
          <w:rFonts w:ascii="Times New Roman" w:hAnsi="Times New Roman" w:eastAsia="宋体"/>
          <w:b/>
          <w:color w:val="003264"/>
          <w:sz w:val="24"/>
        </w:rPr>
        <w:t>HoloEv-Net: Efficient Event-based Action Recognition via Holographic Spatial Embedding and Global Spectral Gating</w:t>
      </w:r>
    </w:p>
    <w:p>
      <w:r>
        <w:rPr>
          <w:rFonts w:ascii="Times New Roman" w:hAnsi="Times New Roman" w:eastAsia="宋体"/>
          <w:sz w:val="21"/>
        </w:rPr>
        <w:t>作者: Weidong Hao</w:t>
        <w:br/>
      </w:r>
      <w:r>
        <w:rPr>
          <w:rFonts w:ascii="Times New Roman" w:hAnsi="Times New Roman" w:eastAsia="宋体"/>
          <w:sz w:val="21"/>
        </w:rPr>
        <w:t xml:space="preserve">时间: 2026-02-04T03:42:42Z | </w:t>
      </w:r>
      <w:r>
        <w:t xml:space="preserve">链接: </w:t>
      </w:r>
      <w:hyperlink r:id="rId102">
        <w:r>
          <w:rPr>
            <w:rFonts w:ascii="Times New Roman" w:hAnsi="Times New Roman" w:eastAsia="宋体"/>
            <w:color w:val="0000FF"/>
            <w:sz w:val="21"/>
            <w:u w:val="single"/>
          </w:rPr>
          <w:t>https://arxiv.org/abs/2602.04182v1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动作识别（EAR）由于事件相机的高时间分辨率和高动态范围而引起了极大的关注。然而，现有方法通常遭受（i）密集体素表示的计算冗余，（ii）多分支架构中固有的结构冗余，以及（iii）在捕获全局运动模式时光谱信息的利用不足。为了应对这些挑战，我们提出了一个名为 HoloEv-Net 的高效 EAR 框架。首先，为了同时解决表示和结构冗余问题，我们引入了紧凑全息时空表示（CHSR）。与计算成本高昂的体素网格不同，CHSR 隐式地将水平空间线索嵌入到时间高度 (T-H) 视图中，从而有效地在 2D 表示中保留 3D 时空上下文。其次，为了利用被忽视的光谱线索，我们设计了全局光谱门控（GSG）模块。通过利用快速傅立叶变换 (FFT) 在频域中进行全局令牌混合，GSG 以可忽略的参数开销增强了表示能力。大量的实验证明了我们框架的可扩展性和有效性。具体来说，HoloEv-Net-Base 在 THU-EACT-50-CHL、HARDVS 和 DailyDVS-200 上实现了最先进的性能，分别比现有方法高出 10.29%、1.71% 和 6.25%。此外，我们的轻量级变体 HoloEv-Net-Small 提供了极具竞争力的精度，同时提供极高的效率，与重型基线相比，参数减少了 5.4 倍，FLOP 减少了 300 倍，延迟减少了 2.4 倍，展示了其边缘部署的潜力。</w:t>
      </w:r>
    </w:p>
    <w:p>
      <w:pPr>
        <w:spacing w:before="120"/>
      </w:pPr>
      <w:r>
        <w:rPr>
          <w:rFonts w:ascii="Times New Roman" w:hAnsi="Times New Roman" w:eastAsia="宋体"/>
          <w:b/>
          <w:sz w:val="21"/>
        </w:rPr>
        <w:t>English Abstract:</w:t>
      </w:r>
    </w:p>
    <w:p>
      <w:r>
        <w:rPr>
          <w:rFonts w:ascii="Times New Roman" w:hAnsi="Times New Roman" w:eastAsia="宋体"/>
          <w:sz w:val="21"/>
        </w:rPr>
        <w:t>Event-based Action Recognition (EAR) has attracted significant attention due to the high temporal resolution and high dynamic range of event cameras. However, existing methods typically suffer from (i) the computational redundancy of dense voxel representations, (ii) structural redundancy inherent in multi-branch architectures, and (iii) the under-utilization of spectral information in capturing global motion patterns. To address these challenges, we propose an efficient EAR framework named HoloEv-Net. First, to simultaneously tackle representation and structural redundancies, we introduce a Compact Holographic Spatiotemporal Representation (CHSR). Departing from computationally expensive voxel grids, CHSR implicitly embeds horizontal spatial cues into the Time-Height (T-H) view, effectively preserving 3D spatiotemporal contexts within a 2D representation. Second, to exploit the neglected spectral cues, we design a Global Spectral Gating (GSG) module. By leveraging the Fast Fourier Transform (FFT) for global token mixing in the frequency domain, GSG enhances the representation capability with negligible parameter overhead. Extensive experiments demonstrate the scalability and effectiveness of our framework. Specifically, HoloEv-Net-Base achieves state-of-the-art performance on THU-EACT-50-CHL, HARDVS and DailyDVS-200, outperforming existing methods by 10.29%, 1.71% and 6.25%, respectively. Furthermore, our lightweight variant, HoloEv-Net-Small, delivers highly competitive accuracy while offering extreme efficiency, reducing parameters by 5.4 times, FLOPs by 300times, and latency by 2.4times compared to heavy baselines, demonstrating its potential for edge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使用视觉-语言-动作模型进行自动驾驶中场景响应式人在环运动规划的自然语言指令</w:t>
      </w:r>
    </w:p>
    <w:p>
      <w:r>
        <w:rPr>
          <w:rFonts w:ascii="Times New Roman" w:hAnsi="Times New Roman" w:eastAsia="宋体"/>
          <w:b/>
          <w:color w:val="003264"/>
          <w:sz w:val="24"/>
        </w:rPr>
        <w:t>Natural Language Instructions for Scene-Responsive Human-in-the-Loop Motion Planning in Autonomous Driving using Vision-Language-Action Models</w:t>
      </w:r>
    </w:p>
    <w:p>
      <w:r>
        <w:rPr>
          <w:rFonts w:ascii="Times New Roman" w:hAnsi="Times New Roman" w:eastAsia="宋体"/>
          <w:sz w:val="21"/>
        </w:rPr>
        <w:t>作者: Ross Greer</w:t>
        <w:br/>
      </w:r>
      <w:r>
        <w:rPr>
          <w:rFonts w:ascii="Times New Roman" w:hAnsi="Times New Roman" w:eastAsia="宋体"/>
          <w:sz w:val="21"/>
        </w:rPr>
        <w:t xml:space="preserve">时间: 2026-02-04T03:44:56Z | </w:t>
      </w:r>
      <w:r>
        <w:t xml:space="preserve">链接: </w:t>
      </w:r>
      <w:hyperlink r:id="rId103">
        <w:r>
          <w:rPr>
            <w:rFonts w:ascii="Times New Roman" w:hAnsi="Times New Roman" w:eastAsia="宋体"/>
            <w:color w:val="0000FF"/>
            <w:sz w:val="21"/>
            <w:u w:val="single"/>
          </w:rPr>
          <w:t>https://arxiv.org/abs/2602.04184v1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基于指令的驾驶，即乘客语言指导轨迹规划，要求车辆在运动前理解意图。然而，大多数先前的指令遵循规划器依赖于模拟或固定命令词汇，限制了现实世界的概括。 doScenes 是第一个将自由格式指令（具有参考性）与 nuScenes 地面实况运动链接起来的现实世界数据集，可实现指令条件规划。在这项工作中，我们将 OpenEMMA（一种基于开源 MLLM 的端到端驾驶框架，摄取前置摄像头视图和自我状态并输出 10 步速度曲率轨迹）应用于此设置，在 doScenes 上呈现可重复的指令条件基线，并研究人类指令提示对预测驾驶行为的影响。我们将 doScenes 指令作为乘客式提示集成到 OpenEMMA 的视觉语言界面中，从而在轨迹生成之前实现语言调节。使用 ADE 对 849 个带注释的场景进行评估，我们观察到指令调节通过防止极端基线故障显着提高了鲁棒性，使平均 ADE 降低了 98.7%。当此类异常值被移除后，指令仍然会影响轨迹对齐，措辞恰当的提示可将 ADE 提高高达 5.1%。我们使用此分析来讨论什么才是 OpenEMMA 框架的“好”指令。我们发布评估提示和脚本，为指令感知规划建立可重复的基线。 GitHub：https://github.com/Mi3-Lab/doScenes-VLM-Planning</w:t>
      </w:r>
    </w:p>
    <w:p>
      <w:pPr>
        <w:spacing w:before="120"/>
      </w:pPr>
      <w:r>
        <w:rPr>
          <w:rFonts w:ascii="Times New Roman" w:hAnsi="Times New Roman" w:eastAsia="宋体"/>
          <w:b/>
          <w:sz w:val="21"/>
        </w:rPr>
        <w:t>English Abstract:</w:t>
      </w:r>
    </w:p>
    <w:p>
      <w:r>
        <w:rPr>
          <w:rFonts w:ascii="Times New Roman" w:hAnsi="Times New Roman" w:eastAsia="宋体"/>
          <w:sz w:val="21"/>
        </w:rPr>
        <w:t>Instruction-grounded driving, where passenger language guides trajectory planning, requires vehicles to understand intent before motion. However, most prior instruction-following planners rely on simulation or fixed command vocabularies, limiting real-world generalization. doScenes, the first real-world dataset linking free-form instructions (with referentiality) to nuScenes ground-truth motion, enables instruction-conditioned planning. In this work, we adapt OpenEMMA, an open-source MLLM-based end-to-end driving framework that ingests front-camera views and ego-state and outputs 10-step speed-curvature trajectories, to this setting, presenting a reproducible instruction-conditioned baseline on doScenes and investigate the effects of human instruction prompts on predicted driving behavior. We integrate doScenes directives as passenger-style prompts within OpenEMMA's vision-language interface, enabling linguistic conditioning before trajectory generation. Evaluated on 849 annotated scenes using ADE, we observe that instruction conditioning substantially improves robustness by preventing extreme baseline failures, yielding a 98.7% reduction in mean ADE. When such outliers are removed, instructions still influence trajectory alignment, with well-phrased prompts improving ADE by up to 5.1%. We use this analysis to discuss what makes a "good" instruction for the OpenEMMA framework. We release the evaluation prompts and scripts to establish a reproducible baseline for instruction-aware planning. GitHub: https://github.com/Mi3-Lab/doScenes-VLM-Planning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通过潜在流匹配进行连续退化建模以实现现实世界的超分辨率</w:t>
      </w:r>
    </w:p>
    <w:p>
      <w:r>
        <w:rPr>
          <w:rFonts w:ascii="Times New Roman" w:hAnsi="Times New Roman" w:eastAsia="宋体"/>
          <w:b/>
          <w:color w:val="003264"/>
          <w:sz w:val="24"/>
        </w:rPr>
        <w:t>Continuous Degradation Modeling via Latent Flow Matching for Real-World Super-Resolution</w:t>
      </w:r>
    </w:p>
    <w:p>
      <w:r>
        <w:rPr>
          <w:rFonts w:ascii="Times New Roman" w:hAnsi="Times New Roman" w:eastAsia="宋体"/>
          <w:sz w:val="21"/>
        </w:rPr>
        <w:t>作者: Tae Hyun Kim</w:t>
        <w:br/>
      </w:r>
      <w:r>
        <w:rPr>
          <w:rFonts w:ascii="Times New Roman" w:hAnsi="Times New Roman" w:eastAsia="宋体"/>
          <w:sz w:val="21"/>
        </w:rPr>
        <w:t xml:space="preserve">时间: 2026-02-04T04:16:38Z | </w:t>
      </w:r>
      <w:r>
        <w:t xml:space="preserve">链接: </w:t>
      </w:r>
      <w:hyperlink r:id="rId104">
        <w:r>
          <w:rPr>
            <w:rFonts w:ascii="Times New Roman" w:hAnsi="Times New Roman" w:eastAsia="宋体"/>
            <w:color w:val="0000FF"/>
            <w:sz w:val="21"/>
            <w:u w:val="single"/>
          </w:rPr>
          <w:t>https://arxiv.org/abs/2602.04193v1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虽然基于深度学习的超分辨率 (SR) 方法在双三次下采样等合成退化场景中显示出令人印象深刻的结果，但它们经常难以在具有复杂、非线性退化（如噪声、模糊和压缩伪影）的现实世界图像上表现良好。最近解决这个问题的努力涉及真实的低分辨率（LR）和高分辨率（HR）图像对的艰苦编译，通常仅限于几个特定的​​缩小因素。为了应对这些挑战，我们的工作引入了一种新颖的框架，能够通过利用流匹配的潜在退化空间从单个 HR 图像合成真实的 LR 图像。我们的方法生成具有看不见的退化水平的真实伪影的 LR 图像，这有助于创建大规模的、真实世界的 SR 训练数据集。全面的定量和定性评估验证了我们的合成 LR 图像准确地复制了现实世界的退化情况。此外，使用我们的数据集训练的传统和任意规模的 SR 模型始终能产生更好的 HR 结果。</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learning-based super-resolution (SR) methods have shown impressive outcomes with synthetic degradation scenarios such as bicubic downsampling, they frequently struggle to perform well on real-world images that feature complex, nonlinear degradations like noise, blur, and compression artifacts. Recent efforts to address this issue have involved the painstaking compilation of real low-resolution (LR) and high-resolution (HR) image pairs, usually limited to several specific downscaling factors. To address these challenges, our work introduces a novel framework capable of synthesizing authentic LR images from a single HR image by leveraging the latent degradation space with flow matching. Our approach generates LR images with realistic artifacts at unseen degradation levels, which facilitates the creation of large-scale, real-world SR training datasets. Comprehensive quantitative and qualitative assessments verify that our synthetic LR images accurately replicate real-world degradations. Furthermore, both traditional and arbitrary-scale SR models trained using our datasets consistently yield much better HR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直观模糊逻辑驱动的 UNet 架构：在脑图像分割中的应用</w:t>
      </w:r>
    </w:p>
    <w:p>
      <w:r>
        <w:rPr>
          <w:rFonts w:ascii="Times New Roman" w:hAnsi="Times New Roman" w:eastAsia="宋体"/>
          <w:b/>
          <w:color w:val="003264"/>
          <w:sz w:val="24"/>
        </w:rPr>
        <w:t>An Intuitionistic Fuzzy Logic Driven UNet architecture: Application to Brain Image segmentation</w:t>
      </w:r>
    </w:p>
    <w:p>
      <w:r>
        <w:rPr>
          <w:rFonts w:ascii="Times New Roman" w:hAnsi="Times New Roman" w:eastAsia="宋体"/>
          <w:sz w:val="21"/>
        </w:rPr>
        <w:t>作者: Akshansh Gupta</w:t>
        <w:br/>
      </w:r>
      <w:r>
        <w:rPr>
          <w:rFonts w:ascii="Times New Roman" w:hAnsi="Times New Roman" w:eastAsia="宋体"/>
          <w:sz w:val="21"/>
        </w:rPr>
        <w:t xml:space="preserve">时间: 2026-02-04T05:27:35Z | </w:t>
      </w:r>
      <w:r>
        <w:t xml:space="preserve">链接: </w:t>
      </w:r>
      <w:hyperlink r:id="rId105">
        <w:r>
          <w:rPr>
            <w:rFonts w:ascii="Times New Roman" w:hAnsi="Times New Roman" w:eastAsia="宋体"/>
            <w:color w:val="0000FF"/>
            <w:sz w:val="21"/>
            <w:u w:val="single"/>
          </w:rPr>
          <w:t>https://arxiv.org/abs/2602.04227v1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脑图像的精确分割对于图像分析、神经系统疾病的诊断和医学图像计算至关重要。在深度学习方法中，卷积神经网络（CNN），尤其是UNet，广泛应用于医学图像分割。然而，由于脑图像中的部分体积效应，很难处理不确定性。为了克服这一限制，我们提出了一种增强的框架，名为 UNet with intuitionistic fuzzylogic (IF-UNet)，它将直觉模糊逻辑合并到 UNet 中。该模型根据隶属度、非隶属度和犹豫度处理输入数据，使其能够更好地解决由部分体积效应和边界不确定性引起的组织模糊性。所提出的架构在互联网大脑分割存储库（IBSR）数据集上进行评估，并使用准确度、Dice 系数和并集交集（IoU）计算其性能。实验结果证实 IF-UNet 通过处理大脑图像的不确定性提高了分割质量。</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MRI brain images is essential for image analysis, diagnosis of neuro-logical disorders and medical image computing. In the deep learning approach, the convolutional neural networks (CNNs), especially UNet, are widely applied in medical image segmentation. However, it is difficult to deal with uncertainty due to the partial volume effect in brain images. To overcome this limitation, we propose an enhanced framework, named UNet with intuitionistic fuzzy logic (IF-UNet), which incorporates intuitionistic fuzzy logic into UNet. The model processes input data in terms of membership, nonmembership, and hesitation degrees, allowing it to better address tissue ambiguity resulting from partial volume effects and boundary uncertainties. The proposed architecture is evaluated on the Internet Brain Segmentation Repository (IBSR) dataset, and its performance is computed using accuracy, Dice coefficient, and intersection over union (IoU). Experimental results confirm that IF-UNet improves segmentation quality with handling uncertainty in brain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一种改进的非光滑函数Boost DC算法及其在图像恢复中的应用</w:t>
      </w:r>
    </w:p>
    <w:p>
      <w:r>
        <w:rPr>
          <w:rFonts w:ascii="Times New Roman" w:hAnsi="Times New Roman" w:eastAsia="宋体"/>
          <w:b/>
          <w:color w:val="003264"/>
          <w:sz w:val="24"/>
        </w:rPr>
        <w:t>An Improved Boosted DC Algorithm for Nonsmooth Functions with Applications in Image Recovery</w:t>
      </w:r>
    </w:p>
    <w:p>
      <w:r>
        <w:rPr>
          <w:rFonts w:ascii="Times New Roman" w:hAnsi="Times New Roman" w:eastAsia="宋体"/>
          <w:sz w:val="21"/>
        </w:rPr>
        <w:t>作者: TieYong Zeng</w:t>
        <w:br/>
      </w:r>
      <w:r>
        <w:rPr>
          <w:rFonts w:ascii="Times New Roman" w:hAnsi="Times New Roman" w:eastAsia="宋体"/>
          <w:sz w:val="21"/>
        </w:rPr>
        <w:t xml:space="preserve">时间: 2026-02-04T05:54:28Z | </w:t>
      </w:r>
      <w:r>
        <w:t xml:space="preserve">链接: </w:t>
      </w:r>
      <w:hyperlink r:id="rId106">
        <w:r>
          <w:rPr>
            <w:rFonts w:ascii="Times New Roman" w:hAnsi="Times New Roman" w:eastAsia="宋体"/>
            <w:color w:val="0000FF"/>
            <w:sz w:val="21"/>
            <w:u w:val="single"/>
          </w:rPr>
          <w:t>https://arxiv.org/abs/2602.04237v1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我们提出了一种新方法，对涉及凸函数差值的非光滑和非凸问题执行增强凸函数差值算法（BDCA）。最近提出的 BDCA 使用从经典 DC 算法（DCA）计算的点开始的外推步骤，通过下降方向的线搜索过程来进一步减少目标函数并加速 DCA 的收敛。然而，当DC分解中的第一个函数是非光滑的时，BDCA计算的方向可以是上升的，并且不能进行单调线搜索。在这项工作中，我们针对某些类型的非光滑 DC 程序提出了一种单调改进的凸函数增强差分算法 (IBDCA)，即那些可以表示为可能非光滑函数与光滑函数之差的程序。我们证明，IBDCA 生成的序列的任何聚类点都是所考虑问题的关键点，并且相应的目标值是单调递减且收敛的。我们还提出了 Kurdyka-Lojasiewicz 性质下的全局收敛性和收敛率。 IBDCA 在图像恢复中的应用表明了我们提出的方法的有效性。相应的数值实验表明，我们的 IBDCA 在计算时间和迭代次数方面均优于 DCA 和其他最先进的 DC 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new approach to perform the boosted difference of convex functions algorithm (BDCA) on non-smooth and non-convex problems involving the difference of convex (DC) functions. The recently proposed BDCA uses an extrapolation step from the point computed by the classical DC algorithm (DCA) via a line search procedure in a descent direction to get an additional decrease of the objective function and accelerate the convergence of DCA. However, when the first function in DC decomposition is non-smooth, the direction computed by BDCA can be ascent and a monotone line search cannot be performed. In this work, we proposed a monotone improved boosted difference of convex functions algorithm (IBDCA) for certain types of non-smooth DC programs, namely those that can be formulated as the difference of a possibly non-smooth function and a smooth one. We show that any cluster point of the sequence generated by IBDCA is a critical point of the problem under consideration and that the corresponding objective value is monotonically decreasing and convergent. We also present the global convergence and the convergent rate under the Kurdyka-Lojasiewicz property. The applications of IBDCA in image recovery show the effectiveness of our proposed method. The corresponding numerical experiments demonstrate that our IBDCA outperforms DCA and other state-of-the-art DC methods in both computational time and number of iterations.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SPOT-Occ：用于基于相机的 3D 占用预测的稀疏原型引导变压器</w:t>
      </w:r>
    </w:p>
    <w:p>
      <w:r>
        <w:rPr>
          <w:rFonts w:ascii="Times New Roman" w:hAnsi="Times New Roman" w:eastAsia="宋体"/>
          <w:b/>
          <w:color w:val="003264"/>
          <w:sz w:val="24"/>
        </w:rPr>
        <w:t>SPOT-Occ: Sparse Prototype-guided Transformer for Camera-based 3D Occupancy Prediction</w:t>
      </w:r>
    </w:p>
    <w:p>
      <w:r>
        <w:rPr>
          <w:rFonts w:ascii="Times New Roman" w:hAnsi="Times New Roman" w:eastAsia="宋体"/>
          <w:sz w:val="21"/>
        </w:rPr>
        <w:t>作者: Ying-Cong Chen</w:t>
        <w:br/>
      </w:r>
      <w:r>
        <w:rPr>
          <w:rFonts w:ascii="Times New Roman" w:hAnsi="Times New Roman" w:eastAsia="宋体"/>
          <w:sz w:val="21"/>
        </w:rPr>
        <w:t xml:space="preserve">时间: 2026-02-04T05:59:24Z | </w:t>
      </w:r>
      <w:r>
        <w:t xml:space="preserve">链接: </w:t>
      </w:r>
      <w:hyperlink r:id="rId107">
        <w:r>
          <w:rPr>
            <w:rFonts w:ascii="Times New Roman" w:hAnsi="Times New Roman" w:eastAsia="宋体"/>
            <w:color w:val="0000FF"/>
            <w:sz w:val="21"/>
            <w:u w:val="single"/>
          </w:rPr>
          <w:t>https://arxiv.org/abs/2602.04240v1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通过摄像头实现高度准确和实时的 3D 占用预测是自动驾驶车辆安全和实际部署的关键要求。虽然这种向稀疏 3D 表示的转变解决了编码瓶颈，但它给解码器带来了新的挑战：如何有效地聚合来自稀疏、非均匀分布的体素特征集的信息，而不诉诸计算上令人望而却步的密集注意力。在本文中，我们提出了一种新颖的基于原型的稀疏变换器解码器，它用引导特征选择和集中聚合的高效两阶段过程取代了这种昂贵的交互。我们的核心思想是让解码器的注意力以原型为导向。我们通过稀疏原型选择机制来实现这一点，其中每个查询自适应地识别一组最显着的体素特征（称为原型），以进行集中特征聚合。为了确保这种动态选择稳定有效，我们引入了互补的去噪范例。这种方法利用真实掩码来提供明确的指导，保证跨解码器层的一致的查询原型关联。我们的模型被称为 SPOT-Occ，其速度显着优于以前的方法，同时还提高了准确性。源代码发布于 https://github.com/chensuzeyu/SpotOcc。</w:t>
      </w:r>
    </w:p>
    <w:p>
      <w:pPr>
        <w:spacing w:before="120"/>
      </w:pPr>
      <w:r>
        <w:rPr>
          <w:rFonts w:ascii="Times New Roman" w:hAnsi="Times New Roman" w:eastAsia="宋体"/>
          <w:b/>
          <w:sz w:val="21"/>
        </w:rPr>
        <w:t>English Abstract:</w:t>
      </w:r>
    </w:p>
    <w:p>
      <w:r>
        <w:rPr>
          <w:rFonts w:ascii="Times New Roman" w:hAnsi="Times New Roman" w:eastAsia="宋体"/>
          <w:sz w:val="21"/>
        </w:rPr>
        <w:t>Achieving highly accurate and real-time 3D occupancy prediction from cameras is a critical requirement for the safe and practical deployment of autonomous vehicles. While this shift to sparse 3D representations solves the encoding bottleneck, it creates a new challenge for the decoder: how to efficiently aggregate information from a sparse, non-uniformly distributed set of voxel features without resorting to computationally prohibitive dense attention. In this paper, we propose a novel Prototype-based Sparse Transformer Decoder that replaces this costly interaction with an efficient, two-stage process of guided feature selection and focused aggregation. Our core idea is to make the decoder's attention prototype-guided. We achieve this through a sparse prototype selection mechanism, where each query adaptively identifies a compact set of the most salient voxel features, termed prototypes, for focused feature aggregation. To ensure this dynamic selection is stable and effective, we introduce a complementary denoising paradigm. This approach leverages ground-truth masks to provide explicit guidance, guaranteeing a consistent query-prototype association across decoder layers. Our model, dubbed SPOT-Occ, outperforms previous methods with a significant margin in speed while also improving accuracy. Source code is released at https://github.com/chensuzeyu/SpotOcc.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SkeletonGaussian：通过高斯骨架化生成可编辑的 4D</w:t>
      </w:r>
    </w:p>
    <w:p>
      <w:r>
        <w:rPr>
          <w:rFonts w:ascii="Times New Roman" w:hAnsi="Times New Roman" w:eastAsia="宋体"/>
          <w:b/>
          <w:color w:val="003264"/>
          <w:sz w:val="24"/>
        </w:rPr>
        <w:t>SkeletonGaussian: Editable 4D Generation through Gaussian Skeletonization</w:t>
      </w:r>
    </w:p>
    <w:p>
      <w:r>
        <w:rPr>
          <w:rFonts w:ascii="Times New Roman" w:hAnsi="Times New Roman" w:eastAsia="宋体"/>
          <w:sz w:val="21"/>
        </w:rPr>
        <w:t>作者: Tianzhu Zhang</w:t>
        <w:br/>
      </w:r>
      <w:r>
        <w:rPr>
          <w:rFonts w:ascii="Times New Roman" w:hAnsi="Times New Roman" w:eastAsia="宋体"/>
          <w:sz w:val="21"/>
        </w:rPr>
        <w:t xml:space="preserve">时间: 2026-02-04T07:00:44Z | </w:t>
      </w:r>
      <w:r>
        <w:t xml:space="preserve">链接: </w:t>
      </w:r>
      <w:hyperlink r:id="rId108">
        <w:r>
          <w:rPr>
            <w:rFonts w:ascii="Times New Roman" w:hAnsi="Times New Roman" w:eastAsia="宋体"/>
            <w:color w:val="0000FF"/>
            <w:sz w:val="21"/>
            <w:u w:val="single"/>
          </w:rPr>
          <w:t>https://arxiv.org/abs/2602.04271v1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生成在从输入文本、图像或视频合成动态 3D 对象方面取得了显着进展。然而，现有方法通常将运动表示为隐式变形场，这限制了直接控制和可编辑性。为了解决这个问题，我们提出了 SkeletonGaussian，这是一种从单目视频输入生成可编辑动态 3D 高斯的新颖框架。我们的方法引入了分层铰接表示，将运动分解为由骨架显式驱动的稀疏刚性运动和细粒度非刚性运动。具体来说，我们提取稳健的骨架并通过线性混合蒙皮驱动刚性运动，然后对非刚性变形进行基于六角平面的细化，从而增强可解释性和可编辑性。实验结果表明，SkeletonGaussian 在生成质量上超越了现有方法，同时实现了直观的运动编辑，为可编辑 4D 生成建立了新的范例。项目页面：https://wusar.github.io/projects/sculpturegaussian/</w:t>
      </w:r>
    </w:p>
    <w:p>
      <w:pPr>
        <w:spacing w:before="120"/>
      </w:pPr>
      <w:r>
        <w:rPr>
          <w:rFonts w:ascii="Times New Roman" w:hAnsi="Times New Roman" w:eastAsia="宋体"/>
          <w:b/>
          <w:sz w:val="21"/>
        </w:rPr>
        <w:t>English Abstract:</w:t>
      </w:r>
    </w:p>
    <w:p>
      <w:r>
        <w:rPr>
          <w:rFonts w:ascii="Times New Roman" w:hAnsi="Times New Roman" w:eastAsia="宋体"/>
          <w:sz w:val="21"/>
        </w:rPr>
        <w:t>4D generation has made remarkable progress in synthesizing dynamic 3D objects from input text, images, or videos. However, existing methods often represent motion as an implicit deformation field, which limits direct control and editability. To address this issue, we propose SkeletonGaussian, a novel framework for generating editable dynamic 3D Gaussians from monocular video input. Our approach introduces a hierarchical articulated representation that decomposes motion into sparse rigid motion explicitly driven by a skeleton and fine-grained non-rigid motion. Concretely, we extract a robust skeleton and drive rigid motion via linear blend skinning, followed by a hexplane-based refinement for non-rigid deformations, enhancing interpretability and editability. Experimental results demonstrate that SkeletonGaussian surpasses existing methods in generation quality while enabling intuitive motion editing, establishing a new paradigm for editable 4D generation. Project page: https://wusar.github.io/projects/skeletongaussian/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超越静态裁剪：层自适应视觉定位和解码增强</w:t>
      </w:r>
    </w:p>
    <w:p>
      <w:r>
        <w:rPr>
          <w:rFonts w:ascii="Times New Roman" w:hAnsi="Times New Roman" w:eastAsia="宋体"/>
          <w:b/>
          <w:color w:val="003264"/>
          <w:sz w:val="24"/>
        </w:rPr>
        <w:t>Beyond Static Cropping: Layer-Adaptive Visual Localization and Decoding Enhancement</w:t>
      </w:r>
    </w:p>
    <w:p>
      <w:r>
        <w:rPr>
          <w:rFonts w:ascii="Times New Roman" w:hAnsi="Times New Roman" w:eastAsia="宋体"/>
          <w:sz w:val="21"/>
        </w:rPr>
        <w:t>作者: Lin Gui</w:t>
        <w:br/>
      </w:r>
      <w:r>
        <w:rPr>
          <w:rFonts w:ascii="Times New Roman" w:hAnsi="Times New Roman" w:eastAsia="宋体"/>
          <w:sz w:val="21"/>
        </w:rPr>
        <w:t xml:space="preserve">时间: 2026-02-04T08:13:01Z | </w:t>
      </w:r>
      <w:r>
        <w:t xml:space="preserve">链接: </w:t>
      </w:r>
      <w:hyperlink r:id="rId109">
        <w:r>
          <w:rPr>
            <w:rFonts w:ascii="Times New Roman" w:hAnsi="Times New Roman" w:eastAsia="宋体"/>
            <w:color w:val="0000FF"/>
            <w:sz w:val="21"/>
            <w:u w:val="single"/>
          </w:rPr>
          <w:t>https://arxiv.org/abs/2602.04304v1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LVLM）通过将视觉块与文本嵌入空间对齐而迅速发展，但固定的视觉标记预算迫使图像大小调整为统一的预训练分辨率，通常会擦除细粒度的细节，并因过度依赖语言先验而导致幻觉。最近的注意力引导增强（例如，裁剪或以区域为中心的注意力分配）缓解了这一点，但它通常取决于在简单识别基准上凭经验选择的静态“魔法层”，因此可能无法转移到复杂的推理任务。与这种静态假设相反，我们提出了视觉基础的动态视角。通过分层敏感性分析，我们证明视觉基础是一个动态过程：简单的物体识别任务依赖于中间层，而复杂的视觉搜索和推理任务则需要在更深的层重新激活视觉信息。基于这一观察，我们引入了查询视觉激活（VAQ），这是一种通过测量对输入查询的注意力敏感度来识别其注意力图与特定于查询的视觉基础最相关的层的指标。在 VAQ 的基础上，我们进一步提出 LASER（层自适应注意力引导选择性视觉和解码增强推理），这是一种无需训练的推理过程，可以自适应地选择适合任务的层进行视觉定位和问题回答。跨不同 VQA 基准的实验表明，LASER 显着提高了不同复杂程度任务的 VQA 准确性。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advanced rapidly by aligning visual patches with the text embedding space, but a fixed visual-token budget forces images to be resized to a uniform pretraining resolution, often erasing fine-grained details and causing hallucinations via over-reliance on language priors. Recent attention-guided enhancement (e.g., cropping or region-focused attention allocation) alleviates this, yet it commonly hinges on a static "magic layer" empirically chosen on simple recognition benchmarks and thus may not transfer to complex reasoning tasks. In contrast to this static assumption, we propose a dynamic perspective on visual grounding. Through a layer-wise sensitivity analysis, we demonstrate that visual grounding is a dynamic process: while simple object recognition tasks rely on middle layers, complex visual search and reasoning tasks require visual information to be reactivated at deeper layers. Based on this observation, we introduce Visual Activation by Query (VAQ), a metric that identifies the layer whose attention map is most relevant to query-specific visual grounding by measuring attention sensitivity to the input query. Building on VAQ, we further propose LASER (Layer-adaptive Attention-guided Selective visual and decoding Enhancement for Reasoning), a training-free inference procedure that adaptively selects task-appropriate layers for visual localization and question answering. Experiments across diverse VQA benchmarks show that LASER significantly improves VQA accuracy across tasks with varying levels of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GeneralVLA：具有知识引导轨迹规划的可推广视觉-语言-动作模型</w:t>
      </w:r>
    </w:p>
    <w:p>
      <w:r>
        <w:rPr>
          <w:rFonts w:ascii="Times New Roman" w:hAnsi="Times New Roman" w:eastAsia="宋体"/>
          <w:b/>
          <w:color w:val="003264"/>
          <w:sz w:val="24"/>
        </w:rPr>
        <w:t>GeneralVLA: Generalizable Vision-Language-Action Models with Knowledge-Guided Trajectory Planning</w:t>
      </w:r>
    </w:p>
    <w:p>
      <w:r>
        <w:rPr>
          <w:rFonts w:ascii="Times New Roman" w:hAnsi="Times New Roman" w:eastAsia="宋体"/>
          <w:sz w:val="21"/>
        </w:rPr>
        <w:t>作者: Hao Tang</w:t>
        <w:br/>
      </w:r>
      <w:r>
        <w:rPr>
          <w:rFonts w:ascii="Times New Roman" w:hAnsi="Times New Roman" w:eastAsia="宋体"/>
          <w:sz w:val="21"/>
        </w:rPr>
        <w:t xml:space="preserve">时间: 2026-02-04T08:30:27Z | </w:t>
      </w:r>
      <w:r>
        <w:t xml:space="preserve">链接: </w:t>
      </w:r>
      <w:hyperlink r:id="rId110">
        <w:r>
          <w:rPr>
            <w:rFonts w:ascii="Times New Roman" w:hAnsi="Times New Roman" w:eastAsia="宋体"/>
            <w:color w:val="0000FF"/>
            <w:sz w:val="21"/>
            <w:u w:val="single"/>
          </w:rPr>
          <w:t>https://arxiv.org/abs/2602.04315v1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基础模型已经对视觉和语言中的复杂问题表现出了强大的开放世界泛化能力，但机器人技术尚未达到类似的泛化水平。一个根本挑战是模型表现出有限的零样本能力，这阻碍了它们有效推广到未见过的场景的能力。在这项工作中，我们提出了 GeneralVLA（具有知识引导轨迹规划的通用视觉语言动作模型），这是一种分层视觉语言动作（VLA）模型，可以更有效地利用基础模型的泛化，实现零样本操作并自动生成机器人数据。特别是，我们研究了一类分层 VLA 模型，其中高级 ASM（可供性分割模块）经过微调以感知场景的图像关键点可供性；中级 3DAgent 执行任务理解、技能知识和轨迹规划，以生成指示所需机器人末端执行器轨迹的 3D 路径。然后，中间 3D 路径预测将作为能够精确操纵的低级 3D 感知控制策略的指导。与其他方法相比，我们的方法不需要现实世界的机器人数据收集或人工演示，这使得它更适合不同的任务和观点。根据经验，GeneralVLA 成功生成了 14 项任务的轨迹，明显优于 VoxPoser 等最先进的方法。与使用人类演示或通过 VoxPoser、Scaling-up 和 Code-As-Policies 生成的数据进行训练相比，生成的演示可以训练更强大的行为克隆策略。我们相信 GeneralVLA 可以成为一种可扩展的方法，既可以为机器人生成数据，也可以在零样本环境中解决新任务。代码：https://github.com/AIGeeksGroup/GeneralVLA。网站：https://aigeeksgroup.github.io/GeneralVLA。</w:t>
      </w:r>
    </w:p>
    <w:p>
      <w:pPr>
        <w:spacing w:before="120"/>
      </w:pPr>
      <w:r>
        <w:rPr>
          <w:rFonts w:ascii="Times New Roman" w:hAnsi="Times New Roman" w:eastAsia="宋体"/>
          <w:b/>
          <w:sz w:val="21"/>
        </w:rPr>
        <w:t>English Abstract:</w:t>
      </w:r>
    </w:p>
    <w:p>
      <w:r>
        <w:rPr>
          <w:rFonts w:ascii="Times New Roman" w:hAnsi="Times New Roman" w:eastAsia="宋体"/>
          <w:sz w:val="21"/>
        </w:rPr>
        <w:t>Large foundation models have shown strong open-world generalization to complex problems in vision and language, but similar levels of generalization have yet to be achieved in robotics. One fundamental challenge is that the models exhibit limited zero-shot capability, which hampers their ability to generalize effectively to unseen scenarios. In this work, we propose GeneralVLA (Generalizable Vision-Language-Action Models with Knowledge-Guided Trajectory Planning), a hierarchical vision-language-action (VLA) model that can be more effective in utilizing the generalization of foundation models, enabling zero-shot manipulation and automatically generating data for robotics. In particular, we study a class of hierarchical VLA model where the high-level ASM (Affordance Segmentation Module) is finetuned to perceive image keypoint affordances of the scene; the mid-level 3DAgent carries out task understanding, skill knowledge, and trajectory planning to produce a 3D path indicating the desired robot end-effector trajectory. The intermediate 3D path prediction is then served as guidance to the low-level, 3D-aware control policy capable of precise manipulation. Compared to alternative approaches, our method requires no real-world robotic data collection or human demonstration, making it much more scalable to diverse tasks and viewpoints. Empirically, GeneralVLA successfully generates trajectories for 14 tasks, significantly outperforming state-of-the-art methods such as VoxPoser. The generated demonstrations can train more robust behavior cloning policies than training with human demonstrations or from data generated by VoxPoser, Scaling-up, and Code-As-Policies. We believe GeneralVLA can be the scalable method for both generating data for robotics and solving novel tasks in a zero-shot setting. Code: https://github.com/AIGeeksGroup/GeneralVLA. Website: https://aigeeksgroup.github.io/GeneralVLA.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JOintGS：用于野外单目重建的相机、机身和 3D 高斯的联合优化</w:t>
      </w:r>
    </w:p>
    <w:p>
      <w:r>
        <w:rPr>
          <w:rFonts w:ascii="Times New Roman" w:hAnsi="Times New Roman" w:eastAsia="宋体"/>
          <w:b/>
          <w:color w:val="003264"/>
          <w:sz w:val="24"/>
        </w:rPr>
        <w:t>JOintGS: Joint Optimization of Cameras, Bodies and 3D Gaussians for In-the-Wild Monocular Reconstruction</w:t>
      </w:r>
    </w:p>
    <w:p>
      <w:r>
        <w:rPr>
          <w:rFonts w:ascii="Times New Roman" w:hAnsi="Times New Roman" w:eastAsia="宋体"/>
          <w:sz w:val="21"/>
        </w:rPr>
        <w:t>作者: Jing Zhang</w:t>
        <w:br/>
      </w:r>
      <w:r>
        <w:rPr>
          <w:rFonts w:ascii="Times New Roman" w:hAnsi="Times New Roman" w:eastAsia="宋体"/>
          <w:sz w:val="21"/>
        </w:rPr>
        <w:t xml:space="preserve">时间: 2026-02-04T08:33:51Z | </w:t>
      </w:r>
      <w:r>
        <w:t xml:space="preserve">链接: </w:t>
      </w:r>
      <w:hyperlink r:id="rId111">
        <w:r>
          <w:rPr>
            <w:rFonts w:ascii="Times New Roman" w:hAnsi="Times New Roman" w:eastAsia="宋体"/>
            <w:color w:val="0000FF"/>
            <w:sz w:val="21"/>
            <w:u w:val="single"/>
          </w:rPr>
          <w:t>https://arxiv.org/abs/2602.04317v1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从单眼 RGB 视频重建高保真可动画 3D 人体头像仍然具有挑战性，特别是在不受约束的野外场景中，其中来自现成方法（例如 COLMAP、HMR2.0）的相机参数和人体姿势通常不准确。 Splatting (3DGS) 的进步展示了令人印象深刻的渲染质量和实时性能，它们严重依赖于精确的相机校准和姿势注释，限制了它们在现实世界设置中的适用性。我们提出了 JOintGS，这是一个统一的框架，通过协同细化机制，从粗初始化中联合优化相机外在参数、人体姿势和 3D 高斯表示。我们的主要见解是，明确的前景-背景解开可以相互增强：通过多视图一致性进行静态背景高斯锚定相机估计；精致的摄像头通过精确的时间对应来改善人体对齐；优化的人体姿势通过消除静态约束中的动态伪影来增强场景重建。我们进一步引入了一个时间动态模块来捕获细粒度的姿势相关变形和一个残余色场来模拟照明变化。在 NeuMan 和 EMDB 数据集上进行的大量实验表明，JOintGS 实现了卓越的重建质量，与 NeuMan 数据集上最先进的方法相比，PSNR 提高了 2.1~dB，同时保持了实时渲染。值得注意的是，与基线相比，我们的方法显示出对噪声初始化的鲁棒性显着增强。我们的源代码可在 https://github.com/MiliLab/JOintGS 获取。</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high-fidelity animatable 3D human avatars from monocular RGB videos remains challenging, particularly in unconstrained in-the-wild scenarios where camera parameters and human poses from off-the-shelf methods (e.g., COLMAP, HMR2.0) are often inaccurate. Splatting (3DGS) advances demonstrate impressive rendering quality and real-time performance, they critically depend on precise camera calibration and pose annotations, limiting their applicability in real-world settings. We present JOintGS, a unified framework that jointly optimizes camera extrinsics, human poses, and 3D Gaussian representations from coarse initialization through a synergistic refinement mechanism. Our key insight is that explicit foreground-background disentanglement enables mutual reinforcement: static background Gaussians anchor camera estimation via multi-view consistency; refined cameras improve human body alignment through accurate temporal correspondence; optimized human poses enhance scene reconstruction by removing dynamic artifacts from static constraints. We further introduce a temporal dynamics module to capture fine-grained pose-dependent deformations and a residual color field to model illumination variations. Extensive experiments on NeuMan and EMDB datasets demonstrate that JOintGS achieves superior reconstruction quality, with 2.1~dB PSNR improvement over state-of-the-art methods on NeuMan dataset, while maintaining real-time rendering. Notably, our method shows significantly enhanced robustness to noisy initialization compared to the baseline.Our source code is available at https://github.com/MiliLab/JOintGS.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通过双提示调谐对主动 CLIP 适应进行显式不确定性建模</w:t>
      </w:r>
    </w:p>
    <w:p>
      <w:r>
        <w:rPr>
          <w:rFonts w:ascii="Times New Roman" w:hAnsi="Times New Roman" w:eastAsia="宋体"/>
          <w:b/>
          <w:color w:val="003264"/>
          <w:sz w:val="24"/>
        </w:rPr>
        <w:t>Explicit Uncertainty Modeling for Active CLIP Adaptation with Dual Prompt Tuning</w:t>
      </w:r>
    </w:p>
    <w:p>
      <w:r>
        <w:rPr>
          <w:rFonts w:ascii="Times New Roman" w:hAnsi="Times New Roman" w:eastAsia="宋体"/>
          <w:sz w:val="21"/>
        </w:rPr>
        <w:t>作者: Shu-Tao Xia</w:t>
        <w:br/>
      </w:r>
      <w:r>
        <w:rPr>
          <w:rFonts w:ascii="Times New Roman" w:hAnsi="Times New Roman" w:eastAsia="宋体"/>
          <w:sz w:val="21"/>
        </w:rPr>
        <w:t xml:space="preserve">时间: 2026-02-04T09:01:55Z | </w:t>
      </w:r>
      <w:r>
        <w:t xml:space="preserve">链接: </w:t>
      </w:r>
      <w:hyperlink r:id="rId112">
        <w:r>
          <w:rPr>
            <w:rFonts w:ascii="Times New Roman" w:hAnsi="Times New Roman" w:eastAsia="宋体"/>
            <w:color w:val="0000FF"/>
            <w:sz w:val="21"/>
            <w:u w:val="single"/>
          </w:rPr>
          <w:t>https://arxiv.org/abs/2602.04340v1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预先训练的视觉语言模型表现出很强的可移植性，但在有限的注释预算下使它们适应下游图像分类任务仍然具有挑战性。在主动学习设置中，模型必须从大量未标记数据中选择信息最丰富的样本进行注释。现有方法通常通过基于熵的标准或表示聚类来估计不确定性，而不是从模型角度明确地建模不确定性。在这项工作中，我们提出了一种基于双提示调整的主动 CLIP 自适应鲁棒不确定性建模框架。我们在 CLIP 的文本分支中引入了两个可学习的提示。积极提示增强了与轻量级调整视觉嵌入相对应的特定于任务的文本嵌入的可辨别性，从而提高了分类可靠性。同时，以相反的方式训练负面提示，以明确地模拟预测标签正确的概率，为指导主动样本选择提供原则上的不确定性信号。跨不同微调范式的大量实验表明，在相同的注释预算下，我们的方法始终优于现有的主动学习方法。</w:t>
      </w:r>
    </w:p>
    <w:p>
      <w:pPr>
        <w:spacing w:before="120"/>
      </w:pPr>
      <w:r>
        <w:rPr>
          <w:rFonts w:ascii="Times New Roman" w:hAnsi="Times New Roman" w:eastAsia="宋体"/>
          <w:b/>
          <w:sz w:val="21"/>
        </w:rPr>
        <w:t>English Abstract:</w:t>
      </w:r>
    </w:p>
    <w:p>
      <w:r>
        <w:rPr>
          <w:rFonts w:ascii="Times New Roman" w:hAnsi="Times New Roman" w:eastAsia="宋体"/>
          <w:sz w:val="21"/>
        </w:rPr>
        <w:t>Pre-trained vision-language models such as CLIP exhibit strong transferability, yet adapting them to downstream image classification tasks under limited annotation budgets remains challenging. In active learning settings, the model must select the most informative samples for annotation from a large pool of unlabeled data. Existing approaches typically estimate uncertainty via entropy-based criteria or representation clustering, without explicitly modeling uncertainty from the model perspective. In this work, we propose a robust uncertainty modeling framework for active CLIP adaptation based on dual-prompt tuning. We introduce two learnable prompts in the textual branch of CLIP. The positive prompt enhances the discriminability of task-specific textual embeddings corresponding to light-weight tuned visual embeddings, improving classification reliability. Meanwhile, the negative prompt is trained in an reversed manner to explicitly model the probability that the predicted label is correct, providing a principled uncertainty signal for guiding active sample selection. Extensive experiments across different fine-tuning paradigms demonstrate that our method consistently outperforms existing active learning methods under the same annotation budget.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寻找 NeMO：用于少镜头感知的模板视图的几何感知表示</w:t>
      </w:r>
    </w:p>
    <w:p>
      <w:r>
        <w:rPr>
          <w:rFonts w:ascii="Times New Roman" w:hAnsi="Times New Roman" w:eastAsia="宋体"/>
          <w:b/>
          <w:color w:val="003264"/>
          <w:sz w:val="24"/>
        </w:rPr>
        <w:t>Finding NeMO: A Geometry-Aware Representation of Template Views for Few-Shot Perception</w:t>
      </w:r>
    </w:p>
    <w:p>
      <w:r>
        <w:rPr>
          <w:rFonts w:ascii="Times New Roman" w:hAnsi="Times New Roman" w:eastAsia="宋体"/>
          <w:sz w:val="21"/>
        </w:rPr>
        <w:t>作者: Maximilian Durner</w:t>
        <w:br/>
      </w:r>
      <w:r>
        <w:rPr>
          <w:rFonts w:ascii="Times New Roman" w:hAnsi="Times New Roman" w:eastAsia="宋体"/>
          <w:sz w:val="21"/>
        </w:rPr>
        <w:t xml:space="preserve">时间: 2026-02-04T09:12:05Z | </w:t>
      </w:r>
      <w:r>
        <w:t xml:space="preserve">链接: </w:t>
      </w:r>
      <w:hyperlink r:id="rId113">
        <w:r>
          <w:rPr>
            <w:rFonts w:ascii="Times New Roman" w:hAnsi="Times New Roman" w:eastAsia="宋体"/>
            <w:color w:val="0000FF"/>
            <w:sz w:val="21"/>
            <w:u w:val="single"/>
          </w:rPr>
          <w:t>https://arxiv.org/abs/2602.04343v1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我们提出了神经记忆对象（NeMO），这是一种新颖的以对象为中心的表示，可用于使用 RGB 图像检测、分割和估计在训练期间未见过的对象的 6DoF 姿态。我们的方法由一个编码器组成，该编码器仅需要几个描述对象的 RGB 模板视图，即可使用包含语义和几何信息的学习 UDF 生成稀疏的类对象点云。接下来，解码器将对象编码与查询图像一起生成各种密集预测。通过大量的实验，我们表明我们的方法可以用于少镜头物体感知，而不需要任何特定于相机的参数或对目标数据进行重新训练。我们提出的概念是在 NeMO 中外包对象信息并使用单个网络执行多个感知任务，从而增强了与新对象的交互，通过无需重新训练或大量预处理即可实现快速对象加载来提高可扩展性和效率。我们报告了国际收支基准的各种数据集和感知任务的竞争性和最先进的结果，展示了我们方法的多功能性。 https://github.com/DLR-RM/nemo</w:t>
      </w:r>
    </w:p>
    <w:p>
      <w:pPr>
        <w:spacing w:before="120"/>
      </w:pPr>
      <w:r>
        <w:rPr>
          <w:rFonts w:ascii="Times New Roman" w:hAnsi="Times New Roman" w:eastAsia="宋体"/>
          <w:b/>
          <w:sz w:val="21"/>
        </w:rPr>
        <w:t>English Abstract:</w:t>
      </w:r>
    </w:p>
    <w:p>
      <w:r>
        <w:rPr>
          <w:rFonts w:ascii="Times New Roman" w:hAnsi="Times New Roman" w:eastAsia="宋体"/>
          <w:sz w:val="21"/>
        </w:rPr>
        <w:t>We present Neural Memory Object (NeMO), a novel object-centric representation that can be used to detect, segment and estimate the 6DoF pose of objects unseen during training using RGB images. Our method consists of an encoder that requires only a few RGB template views depicting an object to generate a sparse object-like point cloud using a learned UDF containing semantic and geometric information. Next, a decoder takes the object encoding together with a query image to generate a variety of dense predictions. Through extensive experiments, we show that our method can be used for few-shot object perception without requiring any camera-specific parameters or retraining on target data. Our proposed concept of outsourcing object information in a NeMO and using a single network for multiple perception tasks enhances interaction with novel objects, improving scalability and efficiency by enabling quick object onboarding without retraining or extensive pre-processing. We report competitive and state-of-the-art results on various datasets and perception tasks of the BOP benchmark, demonstrating the versatility of our approach. https://github.com/DLR-RM/nemo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VecSet-Edit：释放预训练的 LRM，用于从单个图像进行网格编辑</w:t>
      </w:r>
    </w:p>
    <w:p>
      <w:r>
        <w:rPr>
          <w:rFonts w:ascii="Times New Roman" w:hAnsi="Times New Roman" w:eastAsia="宋体"/>
          <w:b/>
          <w:color w:val="003264"/>
          <w:sz w:val="24"/>
        </w:rPr>
        <w:t>VecSet-Edit: Unleashing Pre-trained LRM for Mesh Editing from Single Image</w:t>
      </w:r>
    </w:p>
    <w:p>
      <w:r>
        <w:rPr>
          <w:rFonts w:ascii="Times New Roman" w:hAnsi="Times New Roman" w:eastAsia="宋体"/>
          <w:sz w:val="21"/>
        </w:rPr>
        <w:t>作者: Hong-Han Shuai</w:t>
        <w:br/>
      </w:r>
      <w:r>
        <w:rPr>
          <w:rFonts w:ascii="Times New Roman" w:hAnsi="Times New Roman" w:eastAsia="宋体"/>
          <w:sz w:val="21"/>
        </w:rPr>
        <w:t xml:space="preserve">时间: 2026-02-04T09:16:12Z | </w:t>
      </w:r>
      <w:r>
        <w:t xml:space="preserve">链接: </w:t>
      </w:r>
      <w:hyperlink r:id="rId114">
        <w:r>
          <w:rPr>
            <w:rFonts w:ascii="Times New Roman" w:hAnsi="Times New Roman" w:eastAsia="宋体"/>
            <w:color w:val="0000FF"/>
            <w:sz w:val="21"/>
            <w:u w:val="single"/>
          </w:rPr>
          <w:t>https://arxiv.org/abs/2602.04349v1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编辑已成为一个重要的研究领域，为用户提供对 3D 资产的灵活控制。虽然当前的编辑方法主要集中在 3D 高斯喷射或多视图图像，但 3D 网格的直接编辑仍未得到充分探索。之前的尝试（例如 VoxHammer）依赖于基于体素的表示，但分辨率有限，并且需要劳动密集型的 3D 掩模。为了解决这些限制，我们提出 \textbf{VecSet-Edit}，这是第一个利用高保真 VecSet 大型重建模型（LRM）作为网格编辑骨干的管道。我们的方法基于对 VecSet 令牌中的空间属性的分析，揭示了令牌子集管理不同的几何区域。基于这一见解，我们引入了掩模引导的令牌播种和注意力对齐的令牌门控策略，仅使用 2D 图像条件即可精确定位目标区域。此外，考虑到 VecSet 扩散过程与体素之间的差异，我们设计了一个漂移感知令牌修剪，以在去噪过程中拒绝几何异常值。最后，我们的细节保留纹理烘焙模块确保我们不仅保留原始网格的几何细节，还保留纹理信息。更多详细信息可以在我们的项目页面中找到：https://github.com/BlueDyee/VecSet-Edit/tree/main</w:t>
      </w:r>
    </w:p>
    <w:p>
      <w:pPr>
        <w:spacing w:before="120"/>
      </w:pPr>
      <w:r>
        <w:rPr>
          <w:rFonts w:ascii="Times New Roman" w:hAnsi="Times New Roman" w:eastAsia="宋体"/>
          <w:b/>
          <w:sz w:val="21"/>
        </w:rPr>
        <w:t>English Abstract:</w:t>
      </w:r>
    </w:p>
    <w:p>
      <w:r>
        <w:rPr>
          <w:rFonts w:ascii="Times New Roman" w:hAnsi="Times New Roman" w:eastAsia="宋体"/>
          <w:sz w:val="21"/>
        </w:rPr>
        <w:t>3D editing has emerged as a critical research area to provide users with flexible control over 3D assets. While current editing approaches predominantly focus on 3D Gaussian Splatting or multi-view images, the direct editing of 3D meshes remains underexplored. Prior attempts, such as VoxHammer, rely on voxel-based representations that suffer from limited resolution and necessitate labor-intensive 3D mask. To address these limitations, we propose \textbf{VecSet-Edit}, the first pipeline that leverages the high-fidelity VecSet Large Reconstruction Model (LRM) as a backbone for mesh editing. Our approach is grounded on a analysis of the spatial properties in VecSet tokens, revealing that token subsets govern distinct geometric regions. Based on this insight, we introduce Mask-guided Token Seeding and Attention-aligned Token Gating strategies to precisely localize target regions using only 2D image conditions. Also, considering the difference between VecSet diffusion process versus voxel we design a Drift-aware Token Pruning to reject geometric outliers during the denoising process. Finally, our Detail-preserving Texture Baking module ensures that we not only preserve the geometric details of original mesh but also the textural information. More details can be found in our project page: https://github.com/BlueDyee/VecSet-Edit/tree/main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何时何地进攻？对大视觉语言模型的分阶段注意力引导对抗性攻击</w:t>
      </w:r>
    </w:p>
    <w:p>
      <w:r>
        <w:rPr>
          <w:rFonts w:ascii="Times New Roman" w:hAnsi="Times New Roman" w:eastAsia="宋体"/>
          <w:b/>
          <w:color w:val="003264"/>
          <w:sz w:val="24"/>
        </w:rPr>
        <w:t>When and Where to Attack? Stage-wise Attention-Guided Adversarial Attack on Large Vision Language Models</w:t>
      </w:r>
    </w:p>
    <w:p>
      <w:r>
        <w:rPr>
          <w:rFonts w:ascii="Times New Roman" w:hAnsi="Times New Roman" w:eastAsia="宋体"/>
          <w:sz w:val="21"/>
        </w:rPr>
        <w:t>作者: Se-Young Yun</w:t>
        <w:br/>
      </w:r>
      <w:r>
        <w:rPr>
          <w:rFonts w:ascii="Times New Roman" w:hAnsi="Times New Roman" w:eastAsia="宋体"/>
          <w:sz w:val="21"/>
        </w:rPr>
        <w:t xml:space="preserve">时间: 2026-02-04T09:29:10Z | </w:t>
      </w:r>
      <w:r>
        <w:t xml:space="preserve">链接: </w:t>
      </w:r>
      <w:hyperlink r:id="rId115">
        <w:r>
          <w:rPr>
            <w:rFonts w:ascii="Times New Roman" w:hAnsi="Times New Roman" w:eastAsia="宋体"/>
            <w:color w:val="0000FF"/>
            <w:sz w:val="21"/>
            <w:u w:val="single"/>
          </w:rPr>
          <w:t>https://arxiv.org/abs/2602.04356v1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大型视觉语言模型（LVLM）的对抗性攻击对于暴露现代多模式系统中的安全漏洞至关重要。最近基于输入变换（例如随机裁剪）的攻击表明，空间局部扰动可能比全局图像处理更有效。然而，随机裁剪整个图像本质上是随机的，并且无法有效地使用有限的每像素扰动预算。我们做出两个关键观察：（i）区域注意力得分与对抗性损失敏感性正相关，（ii）攻击高注意力区域会导致注意力向后续显着区域的结构化重新分配。基于这些发现，我们提出了阶段式注意力引导攻击（SAGA），这是一种注意力引导框架，逐步将扰动集中在高注意力区域。 SAGA 能够更有效地使用受限扰动预算，产生高度难以察觉的对抗性示例，同时在 10 个 LVLM 中持续实现最先进的攻击成功率。源代码可在 https://github.com/jackwaky/SAGA 获取。</w:t>
      </w:r>
    </w:p>
    <w:p>
      <w:pPr>
        <w:spacing w:before="120"/>
      </w:pPr>
      <w:r>
        <w:rPr>
          <w:rFonts w:ascii="Times New Roman" w:hAnsi="Times New Roman" w:eastAsia="宋体"/>
          <w:b/>
          <w:sz w:val="21"/>
        </w:rPr>
        <w:t>English Abstract:</w:t>
      </w:r>
    </w:p>
    <w:p>
      <w:r>
        <w:rPr>
          <w:rFonts w:ascii="Times New Roman" w:hAnsi="Times New Roman" w:eastAsia="宋体"/>
          <w:sz w:val="21"/>
        </w:rPr>
        <w:t>Adversarial attacks against Large Vision-Language Models (LVLMs) are crucial for exposing safety vulnerabilities in modern multimodal systems. Recent attacks based on input transformations, such as random cropping, suggest that spatially localized perturbations can be more effective than global image manipulation. However, randomly cropping the entire image is inherently stochastic and fails to use the limited per-pixel perturbation budget efficiently. We make two key observations: (i) regional attention scores are positively correlated with adversarial loss sensitivity, and (ii) attacking high-attention regions induces a structured redistribution of attention toward subsequent salient regions. Based on these findings, we propose Stage-wise Attention-Guided Attack (SAGA), an attention-guided framework that progressively concentrates perturbations on high-attention regions. SAGA enables more efficient use of constrained perturbation budgets, producing highly imperceptible adversarial examples while consistently achieving state-of-the-art attack success rates across ten LVLMs. The source code is available at https://github.com/jackwaky/SAGA.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SparVAR：探索视觉自回归建模中的稀疏性以实现免训练加速</w:t>
      </w:r>
    </w:p>
    <w:p>
      <w:r>
        <w:rPr>
          <w:rFonts w:ascii="Times New Roman" w:hAnsi="Times New Roman" w:eastAsia="宋体"/>
          <w:b/>
          <w:color w:val="003264"/>
          <w:sz w:val="24"/>
        </w:rPr>
        <w:t>SparVAR: Exploring Sparsity in Visual AutoRegressive Modeling for Training-Free Acceleration</w:t>
      </w:r>
    </w:p>
    <w:p>
      <w:r>
        <w:rPr>
          <w:rFonts w:ascii="Times New Roman" w:hAnsi="Times New Roman" w:eastAsia="宋体"/>
          <w:sz w:val="21"/>
        </w:rPr>
        <w:t>作者: Jian Cheng</w:t>
        <w:br/>
      </w:r>
      <w:r>
        <w:rPr>
          <w:rFonts w:ascii="Times New Roman" w:hAnsi="Times New Roman" w:eastAsia="宋体"/>
          <w:sz w:val="21"/>
        </w:rPr>
        <w:t xml:space="preserve">时间: 2026-02-04T09:34:06Z | </w:t>
      </w:r>
      <w:r>
        <w:t xml:space="preserve">链接: </w:t>
      </w:r>
      <w:hyperlink r:id="rId116">
        <w:r>
          <w:rPr>
            <w:rFonts w:ascii="Times New Roman" w:hAnsi="Times New Roman" w:eastAsia="宋体"/>
            <w:color w:val="0000FF"/>
            <w:sz w:val="21"/>
            <w:u w:val="single"/>
          </w:rPr>
          <w:t>https://arxiv.org/abs/2602.04361v1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视觉自回归（VAR）建模因其创新的下一代预测范式而受到广泛关注。然而，主流 VAR 范式在每个自回归步骤中都考虑到历史尺度上的所有代币。随着下一个尺度分辨率的增长，注意力的计算复杂性随着分辨率的增加呈四倍增长，从而导致大量的延迟。先前的加速通常会跳过高分辨率尺度，这会加快推理速度，但会丢弃高频细节并损害图像质量。为了解决这些问题，我们提出了 SparVAR，这是一种无需训练的加速框架，它利用了 VAR 注意力的三个属性：（i）强大的注意力池，（ii）跨尺度激活相似性，以及（iii）明显的局部性。具体来说，我们从稀疏决策尺度动态预测后续高分辨率尺度的稀疏注意力模式，并通过有效的索引映射机制构造尺度自相似稀疏注意力，从而实现大规模的高效稀疏注意力计算。此外，我们提出了跨尺度局部稀疏注意力并实现了高效的分块稀疏内核，其前进速度比 FlashAttention 快 $\mathbf{&gt; 5\times}$。大量实验表明，所提出的 SparseVAR 可以将 8B 模型生成 $1024\times1024$ 高分辨率图像的生成时间减少到 1 秒，而无需跳过最后一个尺度。与 FlashAttention 加速的 VAR 基线相比，我们的方法实现了 $\mathbf{1.57\times}$ 加速，同时保留了几乎所有高频细节。当与现有的尺度跳跃策略相结合时，SparseVAR 可以获得高达 $\mathbf{2.28\times}$ 的加速，同时保持具有竞争力的视觉生成质量。代码可在 https://github.com/CAS-CLab/SparVAR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modeling has garnered significant attention for its innovative next-scale prediction paradigm. However, mainstream VAR paradigms attend to all tokens across historical scales at each autoregressive step. As the next scale resolution grows, the computational complexity of attention increases quartically with resolution, causing substantial latency. Prior accelerations often skip high-resolution scales, which speeds up inference but discards high-frequency details and harms image quality. To address these problems, we present SparVAR, a training-free acceleration framework that exploits three properties of VAR attention: (i) strong attention sinks, (ii) cross-scale activation similarity, and (iii) pronounced locality. Specifically, we dynamically predict the sparse attention pattern of later high-resolution scales from a sparse decision scale, and construct scale self-similar sparse attention via an efficient index-mapping mechanism, enabling high-efficiency sparse attention computation at large scales. Furthermore, we propose cross-scale local sparse attention and implement an efficient block-wise sparse kernel, which achieves $\mathbf{&gt; 5\times}$ faster forward speed than FlashAttention. Extensive experiments demonstrate that the proposed SparseVAR can reduce the generation time of an 8B model producing $1024\times1024$ high-resolution images to the 1s, without skipping the last scales. Compared with the VAR baseline accelerated by FlashAttention, our method achieves a $\mathbf{1.57\times}$ speed-up while preserving almost all high-frequency details. When combined with existing scale-skipping strategies, SparseVAR attains up to a $\mathbf{2.28\times}$ acceleration, while maintaining competitive visual generation quality. Code is available at https://github.com/CAS-CLab/SparVAR.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通过超轻量级架构在商品 CPU 上实现实时结肠镜息肉分割</w:t>
      </w:r>
    </w:p>
    <w:p>
      <w:r>
        <w:rPr>
          <w:rFonts w:ascii="Times New Roman" w:hAnsi="Times New Roman" w:eastAsia="宋体"/>
          <w:b/>
          <w:color w:val="003264"/>
          <w:sz w:val="24"/>
        </w:rPr>
        <w:t>Enabling Real-Time Colonoscopic Polyp Segmentation on Commodity CPUs via Ultra-Lightweight Architecture</w:t>
      </w:r>
    </w:p>
    <w:p>
      <w:r>
        <w:rPr>
          <w:rFonts w:ascii="Times New Roman" w:hAnsi="Times New Roman" w:eastAsia="宋体"/>
          <w:sz w:val="21"/>
        </w:rPr>
        <w:t>作者: Lan Ma</w:t>
        <w:br/>
      </w:r>
      <w:r>
        <w:rPr>
          <w:rFonts w:ascii="Times New Roman" w:hAnsi="Times New Roman" w:eastAsia="宋体"/>
          <w:sz w:val="21"/>
        </w:rPr>
        <w:t xml:space="preserve">时间: 2026-02-04T10:04:30Z | </w:t>
      </w:r>
      <w:r>
        <w:t xml:space="preserve">链接: </w:t>
      </w:r>
      <w:hyperlink r:id="rId117">
        <w:r>
          <w:rPr>
            <w:rFonts w:ascii="Times New Roman" w:hAnsi="Times New Roman" w:eastAsia="宋体"/>
            <w:color w:val="0000FF"/>
            <w:sz w:val="21"/>
            <w:u w:val="single"/>
          </w:rPr>
          <w:t>https://arxiv.org/abs/2602.04381v1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结直肠癌的早期发现取决于实时、准确的息肉识别和切除。然而，当前的高精度分割模型依赖于 GPU，这使得它们在基层医院、移动内窥镜设备或胶囊机器人中部署不切实际。为了弥补这一差距，我们推出了 UltraSeg 系列，在极端压缩状态（&lt;0.3 M 参数）下运行。 UltraSeg-108K（0.108 M 参数）针对单中心数据进行了优化，而 UltraSeg-130K（0.13 M 参数）则推广到多中心、多模态图像。通过联合优化编码器-解码器宽度、结合约束扩张卷积来扩大感受野，以及集成跨层轻量级融合模块，这些模型在单个 CPU 核心上实现了 90 FPS，且不牺牲精度。在七个公共数据集上进行评估后，UltraSeg 保留了 31 M 参数 U-Net 94% 以上的 Dice 分数，同时仅利用了 0.4% 的参数，为极端压缩领域建立了强大的、临床上可行的基线，并为资源有限的环境提供了可立即部署的解决方案。这项工作不仅为结肠镜检查提供了 CPU 原生解决方案，还为更广泛的微创手术视觉应用提供了可重复的蓝图。源代码是公开的，以确保可重复性并促进未来的基准测试。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colorectal cancer hinges on real-time, accurate polyp identification and resection. Yet current high-precision segmentation models rely on GPUs, making them impractical to deploy in primary hospitals, mobile endoscopy units, or capsule robots. To bridge this gap, we present the UltraSeg family, operating in an extreme-compression regime (&lt;0.3 M parameters). UltraSeg-108K (0.108 M parameters) is optimized for single-center data, while UltraSeg-130K (0.13 M parameters) generalizes to multi-center, multi-modal images. By jointly optimizing encoder-decoder widths, incorporating constrained dilated convolutions to enlarge receptive fields, and integrating a cross-layer lightweight fusion module, the models achieve 90 FPS on a single CPU core without sacrificing accuracy. Evaluated on seven public datasets, UltraSeg retains &gt;94% of the Dice score of a 31 M-parameter U-Net while utilizing only 0.4% of its parameters, establishing a strong, clinically viable baseline for the extreme-compression domain and offering an immediately deployable solution for resource-constrained settings. This work provides not only a CPU-native solution for colonoscopy but also a reproducible blueprint for broader minimally invasive surgical vision applications. Source code is publicly available to ensure reproducibility and facilitate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视觉位置识别中可靠工作点选择的分位数转移</w:t>
      </w:r>
    </w:p>
    <w:p>
      <w:r>
        <w:rPr>
          <w:rFonts w:ascii="Times New Roman" w:hAnsi="Times New Roman" w:eastAsia="宋体"/>
          <w:b/>
          <w:color w:val="003264"/>
          <w:sz w:val="24"/>
        </w:rPr>
        <w:t>Quantile Transfer for Reliable Operating Point Selection in Visual Place Recognition</w:t>
      </w:r>
    </w:p>
    <w:p>
      <w:r>
        <w:rPr>
          <w:rFonts w:ascii="Times New Roman" w:hAnsi="Times New Roman" w:eastAsia="宋体"/>
          <w:sz w:val="21"/>
        </w:rPr>
        <w:t>作者: Tobias Fischer</w:t>
        <w:br/>
      </w:r>
      <w:r>
        <w:rPr>
          <w:rFonts w:ascii="Times New Roman" w:hAnsi="Times New Roman" w:eastAsia="宋体"/>
          <w:sz w:val="21"/>
        </w:rPr>
        <w:t xml:space="preserve">时间: 2026-02-04T10:31:29Z | </w:t>
      </w:r>
      <w:r>
        <w:t xml:space="preserve">链接: </w:t>
      </w:r>
      <w:hyperlink r:id="rId118">
        <w:r>
          <w:rPr>
            <w:rFonts w:ascii="Times New Roman" w:hAnsi="Times New Roman" w:eastAsia="宋体"/>
            <w:color w:val="0000FF"/>
            <w:sz w:val="21"/>
            <w:u w:val="single"/>
          </w:rPr>
          <w:t>https://arxiv.org/abs/2602.04401v1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视觉地点识别 (VPR) 是 GNSS 拒绝环境中定位的关键组件，但其性能关键取决于选择平衡精度和召回率的图像匹配阈值（操作点）。阈值通常针对特定环境进行离线手动调整，并在部署期间固定，从而导致环境变化时性能下降。我们提出了一种方法，根据用户定义的精度要求，自动选择 VPR 系统的工作点以最大化召回率。该方法使用具有已知对应关系的小型校准遍历，并通过相似性分数分布的分位数归一化将阈值转移到部署。这种分位数转移可确保阈值在校准大小和查询子集中保持稳定，从而使该方法对采样变异性具有鲁棒性。使用多种最先进的 VPR 技术和数据集进行的实验表明，所提出的方法始终优于最先进的方法，在高精度操作方案中将召回率提高了 25%。该方法通过适应新环境和跨操作条件进行推广，消除了手动调整。我们的代码将在接受后发布。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Visual Place Recognition (VPR) is a key component for localisation in GNSS-denied environments, but its performance critically depends on selecting an image matching threshold (operating point) that balances precision and recall. Thresholds are typically hand-tuned offline for a specific environment and fixed during deployment, leading to degraded performance under environmental change. We propose a method that, given a user-defined precision requirement, automatically selects the operating point of a VPR system to maximise recall. The method uses a small calibration traversal with known correspondences and transfers thresholds to deployment via quantile normalisation of similarity score distributions. This quantile transfer ensures that thresholds remain stable across calibration sizes and query subsets, making the method robust to sampling variability. Experiments with multiple state-of-the-art VPR techniques and datasets show that the proposed approach consistently outperforms the state-of-the-art, delivering up to 25% higher recall in high-precision operating regimes. The method eliminates manual tuning by adapting to new environments and generalising across operating conditions. Our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用于多模态图像融合的交互式空间频率融合 Mamba</w:t>
      </w:r>
    </w:p>
    <w:p>
      <w:r>
        <w:rPr>
          <w:rFonts w:ascii="Times New Roman" w:hAnsi="Times New Roman" w:eastAsia="宋体"/>
          <w:b/>
          <w:color w:val="003264"/>
          <w:sz w:val="24"/>
        </w:rPr>
        <w:t>Interactive Spatial-Frequency Fusion Mamba for Multi-Modal Image Fusion</w:t>
      </w:r>
    </w:p>
    <w:p>
      <w:r>
        <w:rPr>
          <w:rFonts w:ascii="Times New Roman" w:hAnsi="Times New Roman" w:eastAsia="宋体"/>
          <w:sz w:val="21"/>
        </w:rPr>
        <w:t>作者: Huchuan Lu</w:t>
        <w:br/>
      </w:r>
      <w:r>
        <w:rPr>
          <w:rFonts w:ascii="Times New Roman" w:hAnsi="Times New Roman" w:eastAsia="宋体"/>
          <w:sz w:val="21"/>
        </w:rPr>
        <w:t xml:space="preserve">时间: 2026-02-04T10:35:55Z | </w:t>
      </w:r>
      <w:r>
        <w:t xml:space="preserve">链接: </w:t>
      </w:r>
      <w:hyperlink r:id="rId119">
        <w:r>
          <w:rPr>
            <w:rFonts w:ascii="Times New Roman" w:hAnsi="Times New Roman" w:eastAsia="宋体"/>
            <w:color w:val="0000FF"/>
            <w:sz w:val="21"/>
            <w:u w:val="single"/>
          </w:rPr>
          <w:t>https://arxiv.org/abs/2602.04405v1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多模态图像融合（MMIF）旨在组合来自不同模态的图像以生成融合图像，保留纹理细节并保留重要信息。最近，一些 MMIF 方法结合了频域信息来增强空间特征。然而，这些方法通常依赖于简单的串行或并行空间频率融合，而无需交互。在本文中，我们为 MMIF 提出了一种新颖的交互式空间频率融合 Mamba (ISFM) 框架。具体来说，我们从模态特定提取器（MSE）开始，从不同模态中提取特征。它以线性计算复杂度对整个图像的远程依赖性进行建模。为了有效地利用频率信息，我们提出了多尺度频率融合（MFF）。它自适应地集成多个尺度的低频和高频分量，从而实现频率特征的稳健表示。更重要的是，我们进一步提出了交互式空间频率融合（ISF）。它结合了频率特征来指导跨模态的空间特征，增强互补表示。在六个 MMIF 数据集上进行了广泛的实验。实验结果表明，我们的 ISFM 可以比其他最先进的方法取得更好的性能。源代码可在 https://github.com/Namn23/ISFM 获取。</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combine images from different modalities to produce fused images, retaining texture details and preserving significant information. Recently, some MMIF methods incorporate frequency domain information to enhance spatial features. However, these methods typically rely on simple serial or parallel spatial-frequency fusion without interaction. In this paper, we propose a novel Interactive Spatial-Frequency Fusion Mamba (ISFM) framework for MMIF. Specifically, we begin with a Modality-Specific Extractor (MSE) to extract features from different modalities. It models long-range dependencies across the image with linear computational complexity. To effectively leverage frequency information, we then propose a Multi-scale Frequency Fusion (MFF). It adaptively integrates low-frequency and high-frequency components across multiple scales, enabling robust representations of frequency features. More importantly, we further propose an Interactive Spatial-Frequency Fusion (ISF). It incorporates frequency features to guide spatial features across modalities, enhancing complementary representations. Extensive experiments are conducted on six MMIF datasets. The experimental results demonstrate that our ISFM can achieve better performances than other state-of-the-art methods. The source code is available at https://github.com/Namn23/ISFM.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LCUDiff：潜在能力升级扩散，实现人体忠实恢复</w:t>
      </w:r>
    </w:p>
    <w:p>
      <w:r>
        <w:rPr>
          <w:rFonts w:ascii="Times New Roman" w:hAnsi="Times New Roman" w:eastAsia="宋体"/>
          <w:b/>
          <w:color w:val="003264"/>
          <w:sz w:val="24"/>
        </w:rPr>
        <w:t>LCUDiff: Latent Capacity Upgrade Diffusion for Faithful Human Body Restoration</w:t>
      </w:r>
    </w:p>
    <w:p>
      <w:r>
        <w:rPr>
          <w:rFonts w:ascii="Times New Roman" w:hAnsi="Times New Roman" w:eastAsia="宋体"/>
          <w:sz w:val="21"/>
        </w:rPr>
        <w:t>作者: Yulun Zhang</w:t>
        <w:br/>
      </w:r>
      <w:r>
        <w:rPr>
          <w:rFonts w:ascii="Times New Roman" w:hAnsi="Times New Roman" w:eastAsia="宋体"/>
          <w:sz w:val="21"/>
        </w:rPr>
        <w:t xml:space="preserve">时间: 2026-02-04T10:37:46Z | </w:t>
      </w:r>
      <w:r>
        <w:t xml:space="preserve">链接: </w:t>
      </w:r>
      <w:hyperlink r:id="rId120">
        <w:r>
          <w:rPr>
            <w:rFonts w:ascii="Times New Roman" w:hAnsi="Times New Roman" w:eastAsia="宋体"/>
            <w:color w:val="0000FF"/>
            <w:sz w:val="21"/>
            <w:u w:val="single"/>
          </w:rPr>
          <w:t>https://arxiv.org/abs/2602.04406v1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用于恢复退化的以人为中心的图像的方法常常因保真度不足而苦苦挣扎，特别是在人体恢复（HBR）方面。最近基于扩散的恢复方法通常采用预先训练的文本到图像扩散模型，其中变分自动编码器（VAE）会严重阻碍恢复保真度。我们提出了 LCUDiff，一种稳定的一步框架，将预训练的潜在扩散模型从 ​​4 通道潜在空间升级到 16 通道潜在空间。对于 VAE 微调，通道分割蒸馏 (CSD) 用于保持前四个通道与预训练先验保持一致，同时分配附加通道以有效编码高频细节。我们进一步设计了先验保留自适应（PPA），以平滑地弥合 4 通道扩散主干和高维 16 通道潜在网络之间的不匹配。此外，我们提出了一种解码器路由器（DeR），用于使用恢复质量分数注释进行每个样本解码器路由，这提高了不同条件下的视觉质量。对合成数据集和真实世界数据集的实验显示出具有竞争力的结果，在轻度退化的情况下具有更高的保真度和更少的伪影，同时保持一步效率。代码和模型位于 https://github.com/gobunu/LCUDiff。</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restoring degraded human-centric images often struggle with insufficient fidelity, particularly in human body restoration (HBR). Recent diffusion-based restoration methods commonly adapt pre-trained text-to-image diffusion models, where the variational autoencoder (VAE) can significantly bottleneck restoration fidelity. We propose LCUDiff, a stable one-step framework that upgrades a pre-trained latent diffusion model from the 4-channel latent space to the 16-channel latent space. For VAE fine-tuning, channel splitting distillation (CSD) is used to keep the first four channels aligned with pre-trained priors while allocating the additional channels to effectively encode high-frequency details. We further design prior-preserving adaptation (PPA) to smoothly bridge the mismatch between 4-channel diffusion backbones and the higher-dimensional 16-channel latent. In addition, we propose a decoder router (DeR) for per-sample decoder routing using restoration-quality score annotations, which improves visual quality across diverse conditions. Experiments on synthetic and real-world datasets show competitive results with higher fidelity and fewer artifacts under mild degradations, while preserving one-step efficiency. The code and model will be at https://github.com/gobunu/LCUDiff.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Med-MMFL：医疗保健领域的多模式联合学习基准</w:t>
      </w:r>
    </w:p>
    <w:p>
      <w:r>
        <w:rPr>
          <w:rFonts w:ascii="Times New Roman" w:hAnsi="Times New Roman" w:eastAsia="宋体"/>
          <w:b/>
          <w:color w:val="003264"/>
          <w:sz w:val="24"/>
        </w:rPr>
        <w:t>Med-MMFL: A Multimodal Federated Learning Benchmark in Healthcare</w:t>
      </w:r>
    </w:p>
    <w:p>
      <w:r>
        <w:rPr>
          <w:rFonts w:ascii="Times New Roman" w:hAnsi="Times New Roman" w:eastAsia="宋体"/>
          <w:sz w:val="21"/>
        </w:rPr>
        <w:t>作者: Binod Bhattarai</w:t>
        <w:br/>
      </w:r>
      <w:r>
        <w:rPr>
          <w:rFonts w:ascii="Times New Roman" w:hAnsi="Times New Roman" w:eastAsia="宋体"/>
          <w:sz w:val="21"/>
        </w:rPr>
        <w:t xml:space="preserve">时间: 2026-02-04T10:50:15Z | </w:t>
      </w:r>
      <w:r>
        <w:t xml:space="preserve">链接: </w:t>
      </w:r>
      <w:hyperlink r:id="rId121">
        <w:r>
          <w:rPr>
            <w:rFonts w:ascii="Times New Roman" w:hAnsi="Times New Roman" w:eastAsia="宋体"/>
            <w:color w:val="0000FF"/>
            <w:sz w:val="21"/>
            <w:u w:val="single"/>
          </w:rPr>
          <w:t>https://arxiv.org/abs/2602.04416v1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联邦学习（FL）支持跨分散医疗机构的协作模型训练，同时保护数据隐私。然而，医学 FL 基准仍然稀缺，现有的工作主要集中在单模态或双模态以及有限范围的医疗任务上。这一差距强调了标准化评估的必要性，以促进对医学多模式 FL (MMFL) 的系统理解。为此，我们推出 Med-MMFL，这是医学领域第一个全面的 MMFL 基准，涵盖不同的模式、任务和联合场景。我们的基准评估了六种具有代表性的最先进的 FL 算法，涵盖不同的聚合策略、损失公式和正则化技术。它涵盖 2 到 4 种模式的数据集，总共包括 10 种独特的医学模式，包括文本、病理图像、心电图、X 射线、放射学报告和多个 MRI 序列。在自然联合、合成 IID 和合成非 IID 设置中进行实验，以模拟现实世界的异构性。我们评估分割、分类、模态对齐（检索）和 VQA 任务。为了支持未来多模态联合学习（MMFL）方法在现实医疗环境下的可重复性和公平比较，我们在 https://github.com/bhattarailab/Med-MMFL-Benchmark 上发布了完整的基准实现，包括数据处理和分区管道。</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enables collaborative model training across decentralized medical institutions while preserving data privacy. However, medical FL benchmarks remain scarce, with existing efforts focusing mainly on unimodal or bimodal modalities and a limited range of medical tasks. This gap underscores the need for standardized evaluation to advance systematic understanding in medical MultiModal FL (MMFL). To this end, we introduce Med-MMFL, the first comprehensive MMFL benchmark for the medical domain, encompassing diverse modalities, tasks, and federation scenarios. Our benchmark evaluates six representative state-of-the-art FL algorithms, covering different aggregation strategies, loss formulations, and regularization techniques. It spans datasets with 2 to 4 modalities, comprising a total of 10 unique medical modalities, including text, pathology images, ECG, X-ray, radiology reports, and multiple MRI sequences. Experiments are conducted across naturally federated, synthetic IID, and synthetic non-IID settings to simulate real-world heterogeneity. We assess segmentation, classification, modality alignment (retrieval), and VQA tasks. To support reproducibility and fair comparison of future multimodal federated learning (MMFL) methods under realistic medical settings, we release the complete benchmark implementation, including data processing and partitioning pipelines, at https://github.com/bhattarailab/Med-MMFL-Benchmark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TrajVG：3D 轨迹耦合视觉几何学习</w:t>
      </w:r>
    </w:p>
    <w:p>
      <w:r>
        <w:rPr>
          <w:rFonts w:ascii="Times New Roman" w:hAnsi="Times New Roman" w:eastAsia="宋体"/>
          <w:b/>
          <w:color w:val="003264"/>
          <w:sz w:val="24"/>
        </w:rPr>
        <w:t>TrajVG: 3D Trajectory-Coupled Visual Geometry Learning</w:t>
      </w:r>
    </w:p>
    <w:p>
      <w:r>
        <w:rPr>
          <w:rFonts w:ascii="Times New Roman" w:hAnsi="Times New Roman" w:eastAsia="宋体"/>
          <w:sz w:val="21"/>
        </w:rPr>
        <w:t>作者: Junting Dong</w:t>
        <w:br/>
      </w:r>
      <w:r>
        <w:rPr>
          <w:rFonts w:ascii="Times New Roman" w:hAnsi="Times New Roman" w:eastAsia="宋体"/>
          <w:sz w:val="21"/>
        </w:rPr>
        <w:t xml:space="preserve">时间: 2026-02-04T11:13:55Z | </w:t>
      </w:r>
      <w:r>
        <w:t xml:space="preserve">链接: </w:t>
      </w:r>
      <w:hyperlink r:id="rId122">
        <w:r>
          <w:rPr>
            <w:rFonts w:ascii="Times New Roman" w:hAnsi="Times New Roman" w:eastAsia="宋体"/>
            <w:color w:val="0000FF"/>
            <w:sz w:val="21"/>
            <w:u w:val="single"/>
          </w:rPr>
          <w:t>https://arxiv.org/abs/2602.04439v1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前馈多帧 3D 重建模型在处理具有对象运动的视频时通常会降级。全局参考在多个运动下变得模糊，而局部点图严重依赖估计的相对姿势并且可能漂移，导致跨帧未对准和重复的结构。我们提出了 TrajVG，一种重建框架，通过估计相机坐标 3D 轨迹，使跨帧 3D 对应成为显式预测。我们将稀疏轨迹、每帧局部点图和相对相机姿态与几何一致性目标结合起来：（i）具有受控梯度流的双向轨迹点图一致性，以及（ii）由抑制动态区域梯度的静态轨迹锚点驱动的姿态一致性目标。为了将训练扩展到 3D 轨迹标签稀缺的野外视频，我们仅使用伪 2D 轨迹将相同的耦合约束重新表述为自监督目标，从而实现混合监督的统一训练。 3D 跟踪、姿态估计、点图重建和视频深度方面的大量实验表明 TrajVG 超越了当前的前馈性能基线。</w:t>
      </w:r>
    </w:p>
    <w:p>
      <w:pPr>
        <w:spacing w:before="120"/>
      </w:pPr>
      <w:r>
        <w:rPr>
          <w:rFonts w:ascii="Times New Roman" w:hAnsi="Times New Roman" w:eastAsia="宋体"/>
          <w:b/>
          <w:sz w:val="21"/>
        </w:rPr>
        <w:t>English Abstract:</w:t>
      </w:r>
    </w:p>
    <w:p>
      <w:r>
        <w:rPr>
          <w:rFonts w:ascii="Times New Roman" w:hAnsi="Times New Roman" w:eastAsia="宋体"/>
          <w:sz w:val="21"/>
        </w:rPr>
        <w:t>Feed-forward multi-frame 3D reconstruction models often degrade on videos with object motion. Global-reference becomes ambiguous under multiple motions, while the local pointmap relies heavily on estimated relative poses and can drift, causing cross-frame misalignment and duplicated structures. We propose TrajVG, a reconstruction framework that makes cross-frame 3D correspondence an explicit prediction by estimating camera-coordinate 3D trajectories. We couple sparse trajectories, per-frame local point maps, and relative camera poses with geometric consistency objectives: (i) bidirectional trajectory-pointmap consistency with controlled gradient flow, and (ii) a pose consistency objective driven by static track anchors that suppresses gradients from dynamic regions. To scale training to in-the-wild videos where 3D trajectory labels are scarce, we reformulate the same coupling constraints into self-supervised objectives using only pseudo 2D tracks, enabling unified training with mixed supervision. Extensive experiments across 3D tracking, pose estimation, pointmap reconstruction, and video depth show that TrajVG surpasses the current feedforward performance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中央视觉的时间缓慢推动语义对象学习</w:t>
      </w:r>
    </w:p>
    <w:p>
      <w:r>
        <w:rPr>
          <w:rFonts w:ascii="Times New Roman" w:hAnsi="Times New Roman" w:eastAsia="宋体"/>
          <w:b/>
          <w:color w:val="003264"/>
          <w:sz w:val="24"/>
        </w:rPr>
        <w:t>Temporal Slowness in Central Vision Drives Semantic Object Learning</w:t>
      </w:r>
    </w:p>
    <w:p>
      <w:r>
        <w:rPr>
          <w:rFonts w:ascii="Times New Roman" w:hAnsi="Times New Roman" w:eastAsia="宋体"/>
          <w:sz w:val="21"/>
        </w:rPr>
        <w:t>作者: Jochen Triesch</w:t>
        <w:br/>
      </w:r>
      <w:r>
        <w:rPr>
          <w:rFonts w:ascii="Times New Roman" w:hAnsi="Times New Roman" w:eastAsia="宋体"/>
          <w:sz w:val="21"/>
        </w:rPr>
        <w:t xml:space="preserve">时间: 2026-02-04T11:47:58Z | </w:t>
      </w:r>
      <w:r>
        <w:t xml:space="preserve">链接: </w:t>
      </w:r>
      <w:hyperlink r:id="rId123">
        <w:r>
          <w:rPr>
            <w:rFonts w:ascii="Times New Roman" w:hAnsi="Times New Roman" w:eastAsia="宋体"/>
            <w:color w:val="0000FF"/>
            <w:sz w:val="21"/>
            <w:u w:val="single"/>
          </w:rPr>
          <w:t>https://arxiv.org/abs/2602.04462v1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在最少的监督下从以自我为中心的视觉流中获取语义对象表示。重要的是，视觉系统仅以高分辨率处理其视野的中心，并学习及时发生的视觉输入的类似表示。这强调了注视位置周围信息的缓慢变化。这项研究调查了中央视觉和缓慢学习在从类人视觉体验中形成语义对象表示中的作用。我们使用 Ego4D 数据集模拟五个月的类人视觉体验，并使用最先进的注视预测模型生成注视坐标。利用这些预测，我们提取模仿中心视觉的作物，并在其上训练时间对比自我监督学习模型。我们的结果表明，时间缓慢性和中心视觉的结合改善了对象表示的不同语义方面的编码。具体来说，关注中心视觉可以加强对前景物体特征的提取，同时考虑时间缓慢性，特别是在注视眼球运动期间，使模型能够编码有关物体的更广泛的语义信息。这些发现为人类从自然视觉体验中开发语义对象表示的机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Humans acquire semantic object representations from egocentric visual streams with minimal supervision. Importantly, the visual system processes with high resolution only the center of its field of view and learns similar representations for visual inputs occurring close in time. This emphasizes slowly changing information around gaze locations. This study investigates the role of central vision and slowness learning in the formation of semantic object representations from human-like visual experience. We simulate five months of human-like visual experience using the Ego4D dataset and generate gaze coordinates with a state-of-the-art gaze prediction model. Using these predictions, we extract crops that mimic central vision and train a time-contrastive Self-Supervised Learning model on them. Our results show that combining temporal slowness and central vision improves the encoding of different semantic facets of object representations. Specifically, focusing on central vision strengthens the extraction of foreground object features, while considering temporal slowness, especially during fixational eye movements, allows the model to encode broader semantic information about objects. These findings provide new insights into the mechanisms by which humans may develop semantic object representations from natural visual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SALAD-Pan：用于全色锐化的传感器无关的潜在自适应扩散</w:t>
      </w:r>
    </w:p>
    <w:p>
      <w:r>
        <w:rPr>
          <w:rFonts w:ascii="Times New Roman" w:hAnsi="Times New Roman" w:eastAsia="宋体"/>
          <w:b/>
          <w:color w:val="003264"/>
          <w:sz w:val="24"/>
        </w:rPr>
        <w:t>SALAD-Pan: Sensor-Agnostic Latent Adaptive Diffusion for Pan-Sharpening</w:t>
      </w:r>
    </w:p>
    <w:p>
      <w:r>
        <w:rPr>
          <w:rFonts w:ascii="Times New Roman" w:hAnsi="Times New Roman" w:eastAsia="宋体"/>
          <w:sz w:val="21"/>
        </w:rPr>
        <w:t>作者: Chunhua Shen</w:t>
        <w:br/>
      </w:r>
      <w:r>
        <w:rPr>
          <w:rFonts w:ascii="Times New Roman" w:hAnsi="Times New Roman" w:eastAsia="宋体"/>
          <w:sz w:val="21"/>
        </w:rPr>
        <w:t xml:space="preserve">时间: 2026-02-04T12:01:07Z | </w:t>
      </w:r>
      <w:r>
        <w:t xml:space="preserve">链接: </w:t>
      </w:r>
      <w:hyperlink r:id="rId124">
        <w:r>
          <w:rPr>
            <w:rFonts w:ascii="Times New Roman" w:hAnsi="Times New Roman" w:eastAsia="宋体"/>
            <w:color w:val="0000FF"/>
            <w:sz w:val="21"/>
            <w:u w:val="single"/>
          </w:rPr>
          <w:t>https://arxiv.org/abs/2602.04473v1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最近，扩散模型为全色锐化带来了新的见解，并显着提高了融合精度。然而，大多数现有模型在像素空间中进行扩散，并为不同的多光谱 (MS) 图像训练不同的模型，但存在高延迟和特定于传感器的限制。在本文中，我们提出了 SALAD-Pan，一种与传感器无关的潜在空间扩散方法，用于高效全色锐化。具体来说，SALAD-Pan 训练带状单通道 VAE，将高分辨率多光谱 (HRMS) 编码为紧凑的潜在表示，支持具有各种通道数的 MS 图像并建立加速基础。然后，光谱物理特性与PAN和MS图像分别通过单向和双向交互控制结构注入扩散主干，在扩散过程中实现高精度融合。最后，在扩散模型的中心层添加了一个轻量级的跨光谱注意模块，加强光谱连接以提高光谱一致性并进一步提高融合精度。 GauFen-2、QuickBird 和 WorldView-3 上的实验结果表明，SALAD-Pan 在所有三个数据集上均优于最先进的基于扩散的方法，实现了 2-3 倍的推理加速，并表现出强大的零样本（跨传感器）能力。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models bring novel insights for Pan-sharpening and notably boost fusion precision. However, most existing models perform diffusion in the pixel space and train distinct models for different multispectral (MS) imagery, suffering from high latency and sensor-specific limitations. In this paper, we present SALAD-Pan, a sensor-agnostic latent space diffusion method for efficient pansharpening. Specifically, SALAD-Pan trains a band-wise single-channel VAE to encode high-resolution multispectral (HRMS) into compact latent representations, supporting MS images with various channel counts and establishing a basis for acceleration. Then spectral physical properties, along with PAN and MS images, are injected into the diffusion backbone through unidirectional and bidirectional interactive control structures respectively, achieving high-precision fusion in the diffusion process. Finally, a lightweight cross-spectral attention module is added to the central layer of diffusion model, reinforcing spectral connections to boost spectral consistency and further elevate fusion precision. Experimental results on GaoFen-2, QuickBird, and WorldView-3 demonstrate that SALAD-Pan outperforms state-of-the-art diffusion-based methods across all three datasets, attains a 2-3x inference speedup, and exhibits robust zero-shot (cross-sensor)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S-MUSt3R：滑动多视图 3D 重建</w:t>
      </w:r>
    </w:p>
    <w:p>
      <w:r>
        <w:rPr>
          <w:rFonts w:ascii="Times New Roman" w:hAnsi="Times New Roman" w:eastAsia="宋体"/>
          <w:b/>
          <w:color w:val="003264"/>
          <w:sz w:val="24"/>
        </w:rPr>
        <w:t>S-MUSt3R: Sliding Multi-view 3D Reconstruction</w:t>
      </w:r>
    </w:p>
    <w:p>
      <w:r>
        <w:rPr>
          <w:rFonts w:ascii="Times New Roman" w:hAnsi="Times New Roman" w:eastAsia="宋体"/>
          <w:sz w:val="21"/>
        </w:rPr>
        <w:t>作者: Jerome Revaud</w:t>
        <w:br/>
      </w:r>
      <w:r>
        <w:rPr>
          <w:rFonts w:ascii="Times New Roman" w:hAnsi="Times New Roman" w:eastAsia="宋体"/>
          <w:sz w:val="21"/>
        </w:rPr>
        <w:t xml:space="preserve">时间: 2026-02-04T13:07:14Z | </w:t>
      </w:r>
      <w:r>
        <w:t xml:space="preserve">链接: </w:t>
      </w:r>
      <w:hyperlink r:id="rId125">
        <w:r>
          <w:rPr>
            <w:rFonts w:ascii="Times New Roman" w:hAnsi="Times New Roman" w:eastAsia="宋体"/>
            <w:color w:val="0000FF"/>
            <w:sz w:val="21"/>
            <w:u w:val="single"/>
          </w:rPr>
          <w:t>https://arxiv.org/abs/2602.04517v1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 3D 视觉范式的转变导致了基础模型的兴起，这些模型在未校准图像中具有卓越的 3D 感知能力。然而，由于内存限制，将这些模型扩展到大规模 RGB 流 3D 重建仍然具有挑战性。这项工作提出了 S-MUSt3R，这是一种简单而高效的流程，扩展了单目 3D 重建基础模型的限制。我们的方法通过简单的序列分割策略，然后是片段对齐和轻量级闭环优化，解决了基础模型的可扩展性瓶颈。无需模型重新训练，我们就能受益于 MUSt3R 模型卓越的 3D 重建能力，并实现与具有更复杂架构的传统方法相当的轨迹和重建性能。我们在 TUM、7-Scenes 和专有机器人导航数据集上评估 S-MUSt3R，并表明 S-MUSt3R 在长 RGB 序列上成功运行，并产生准确且一致的 3D 重建。我们的结果凸显了在现实环境中利用 MUSt3R 模型实现可扩展单目 3D 场景的潜力，并具有直接在度量空间中进行预测的重要优势。</w:t>
      </w:r>
    </w:p>
    <w:p>
      <w:pPr>
        <w:spacing w:before="120"/>
      </w:pPr>
      <w:r>
        <w:rPr>
          <w:rFonts w:ascii="Times New Roman" w:hAnsi="Times New Roman" w:eastAsia="宋体"/>
          <w:b/>
          <w:sz w:val="21"/>
        </w:rPr>
        <w:t>English Abstract:</w:t>
      </w:r>
    </w:p>
    <w:p>
      <w:r>
        <w:rPr>
          <w:rFonts w:ascii="Times New Roman" w:hAnsi="Times New Roman" w:eastAsia="宋体"/>
          <w:sz w:val="21"/>
        </w:rPr>
        <w:t>The recent paradigm shift in 3D vision led to the rise of foundation models with remarkable capabilities in 3D perception from uncalibrated images. However, extending these models to large-scale RGB stream 3D reconstruction remains challenging due to memory limitations. This work proposes S-MUSt3R, a simple and efficient pipeline that extends the limits of foundation models for monocular 3D reconstruction. Our approach addresses the scalability bottleneck of foundation models through a simple strategy of sequence segmentation followed by segment alignment and lightweight loop closure optimization. Without model retraining, we benefit from remarkable 3D reconstruction capacities of MUSt3R model and achieve trajectory and reconstruction performance comparable to traditional methods with more complex architecture. We evaluate S-MUSt3R on TUM, 7-Scenes and proprietary robot navigation datasets and show that S-MUSt3R runs successfully on long RGB sequences and produces accurate and consistent 3D reconstruction. Our results highlight the potential of leveraging the MUSt3R model for scalable monocular 3D scene in real-world settings, with an important advantage of making predictions directly in the metric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OmniRad：用于多任务医学图像分析的放射学基础模型</w:t>
      </w:r>
    </w:p>
    <w:p>
      <w:r>
        <w:rPr>
          <w:rFonts w:ascii="Times New Roman" w:hAnsi="Times New Roman" w:eastAsia="宋体"/>
          <w:b/>
          <w:color w:val="003264"/>
          <w:sz w:val="24"/>
        </w:rPr>
        <w:t>OmniRad: A Radiological Foundation Model for Multi-Task Medical Image Analysis</w:t>
      </w:r>
    </w:p>
    <w:p>
      <w:r>
        <w:rPr>
          <w:rFonts w:ascii="Times New Roman" w:hAnsi="Times New Roman" w:eastAsia="宋体"/>
          <w:sz w:val="21"/>
        </w:rPr>
        <w:t>作者: Cecilia Di Ruberto</w:t>
        <w:br/>
      </w:r>
      <w:r>
        <w:rPr>
          <w:rFonts w:ascii="Times New Roman" w:hAnsi="Times New Roman" w:eastAsia="宋体"/>
          <w:sz w:val="21"/>
        </w:rPr>
        <w:t xml:space="preserve">时间: 2026-02-04T13:38:51Z | </w:t>
      </w:r>
      <w:r>
        <w:t xml:space="preserve">链接: </w:t>
      </w:r>
      <w:hyperlink r:id="rId126">
        <w:r>
          <w:rPr>
            <w:rFonts w:ascii="Times New Roman" w:hAnsi="Times New Roman" w:eastAsia="宋体"/>
            <w:color w:val="0000FF"/>
            <w:sz w:val="21"/>
            <w:u w:val="single"/>
          </w:rPr>
          <w:t>https://arxiv.org/abs/2602.04547v1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放射学分析越来越受益于预训练的视觉表示，这些视觉表示可以支持跨成像模式的异构下游任务。在这项工作中，我们介绍了 OmniRad，这是一种在 120 万张医学图像上进行预训练的自监督放射学基础模型，其设计遵循放射学启发的原则，强调表示重用和跨任务可转移性。我们在多个下游适应机制下评估预训练的编码器，包括具有冻结主干的轻量级特定于任务的适配器以及用于分类的完整端到端微调，使我们能够评估表示质量和特定于任务的性能。 OmniRad 根据一系列广泛的公共基准进行评估，涵盖多种模式的分类和细分。在 MedMNISTv2 系列中，OmniRad 将分类 F1 比竞争基础模型提高了 2.05%。对于密集预测，当使用冻结表示时，OmniRad 在六个 MedSegBench 数据集上实现了平均 Dice 得分提高。定性分析和潜在空间可视化表明改进的特征聚类和模态相关的分离。</w:t>
      </w:r>
    </w:p>
    <w:p>
      <w:pPr>
        <w:spacing w:before="120"/>
      </w:pPr>
      <w:r>
        <w:rPr>
          <w:rFonts w:ascii="Times New Roman" w:hAnsi="Times New Roman" w:eastAsia="宋体"/>
          <w:b/>
          <w:sz w:val="21"/>
        </w:rPr>
        <w:t>English Abstract:</w:t>
      </w:r>
    </w:p>
    <w:p>
      <w:r>
        <w:rPr>
          <w:rFonts w:ascii="Times New Roman" w:hAnsi="Times New Roman" w:eastAsia="宋体"/>
          <w:sz w:val="21"/>
        </w:rPr>
        <w:t>Radiological analysis increasingly benefits from pretrained visual representations that can support heterogeneous downstream tasks across imaging modalities. In this work, we introduce OmniRad, a self-supervised radiological foundation model pretrained on 1.2 million medical images, designed with radiology-inspired principles emphasizing representation reuse and cross-task transferability. We evaluate the pretrained encoder under multiple downstream adaptation regimes, including lightweight task-specific adapters with a frozen backbone as well as full end-to-end fine-tuning for classification, allowing us to assess both representation quality and task-specific performance. OmniRad is evaluated on a broad suite of public benchmarks spanning classification and segmentation across multiple modalities. On the MedMNISTv2 collection, OmniRad improves classification F1 by up to 2.05% over competing foundation models. For dense prediction, OmniRad attains mean Dice score improvements across six MedSegBench datasets when using frozen representations. Qualitative analyses and latent-space visualizations suggest improved feature clustering and modality-related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用视觉语言模型理解退化</w:t>
      </w:r>
    </w:p>
    <w:p>
      <w:r>
        <w:rPr>
          <w:rFonts w:ascii="Times New Roman" w:hAnsi="Times New Roman" w:eastAsia="宋体"/>
          <w:b/>
          <w:color w:val="003264"/>
          <w:sz w:val="24"/>
        </w:rPr>
        <w:t>Understanding Degradation with Vision Language Model</w:t>
      </w:r>
    </w:p>
    <w:p>
      <w:r>
        <w:rPr>
          <w:rFonts w:ascii="Times New Roman" w:hAnsi="Times New Roman" w:eastAsia="宋体"/>
          <w:sz w:val="21"/>
        </w:rPr>
        <w:t>作者: Xuelong Li</w:t>
        <w:br/>
      </w:r>
      <w:r>
        <w:rPr>
          <w:rFonts w:ascii="Times New Roman" w:hAnsi="Times New Roman" w:eastAsia="宋体"/>
          <w:sz w:val="21"/>
        </w:rPr>
        <w:t xml:space="preserve">时间: 2026-02-04T13:51:15Z | </w:t>
      </w:r>
      <w:r>
        <w:t xml:space="preserve">链接: </w:t>
      </w:r>
      <w:hyperlink r:id="rId127">
        <w:r>
          <w:rPr>
            <w:rFonts w:ascii="Times New Roman" w:hAnsi="Times New Roman" w:eastAsia="宋体"/>
            <w:color w:val="0000FF"/>
            <w:sz w:val="21"/>
            <w:u w:val="single"/>
          </w:rPr>
          <w:t>https://arxiv.org/abs/2602.04565v1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理解视觉退化是计算机视觉中一个关键但具有挑战性的问题。虽然最近的视觉语言模型 (VLM) 擅长定性描述，但它们通常无法理解图像退化背后的参数物理原理。在这项工作中，我们将退化理解重新定义为分层结构化预测任务，需要同时估计退化类型、参数键及其连续物理值。尽管这些子任务在不同的空间中运行，但我们证明它们可以在一个自回归下一个标记预测范式下统一，其误差受到值空间量化网格的限制。基于这一见解，我们引入了 DU-VLM，这是一种多模式思想链模型，通过使用结构化奖励的监督微调和强化学习进行训练。此外，我们还表明 DU-VLM 可以用作预训练扩散模型的零样本控制器，无需微调生成主干即可实现高保真图像恢复。我们还引入了 \textbf{DU-110k}，这是一个大型数据集，包含 110,000 个带有基础物理注释的干净退化对。大量的实验表明，我们的方法在准确性和鲁棒性方面都显着优于通才基线，表现出对看不见的分布的泛化能力。</w:t>
      </w:r>
    </w:p>
    <w:p>
      <w:pPr>
        <w:spacing w:before="120"/>
      </w:pPr>
      <w:r>
        <w:rPr>
          <w:rFonts w:ascii="Times New Roman" w:hAnsi="Times New Roman" w:eastAsia="宋体"/>
          <w:b/>
          <w:sz w:val="21"/>
        </w:rPr>
        <w:t>English Abstract:</w:t>
      </w:r>
    </w:p>
    <w:p>
      <w:r>
        <w:rPr>
          <w:rFonts w:ascii="Times New Roman" w:hAnsi="Times New Roman" w:eastAsia="宋体"/>
          <w:sz w:val="21"/>
        </w:rPr>
        <w:t>Understanding visual degradations is a critical yet challenging problem in computer vision. While recent Vision-Language Models (VLMs) excel at qualitative description, they often fall short in understanding the parametric physics underlying image degradations. In this work, we redefine degradation understanding as a hierarchical structured prediction task, necessitating the concurrent estimation of degradation types, parameter keys, and their continuous physical values. Although these sub-tasks operate in disparate spaces, we prove that they can be unified under one autoregressive next-token prediction paradigm, whose error is bounded by the value-space quantization grid. Building on this insight, we introduce DU-VLM, a multimodal chain-of-thought model trained with supervised fine-tuning and reinforcement learning using structured rewards. Furthermore, we show that DU-VLM can serve as a zero-shot controller for pre-trained diffusion models, enabling high-fidelity image restoration without fine-tuning the generative backbone. We also introduce \textbf{DU-110k}, a large-scale dataset comprising 110,000 clean-degraded pairs with grounded physical annotations. Extensive experiments demonstrate that our approach significantly outperforms generalist baselines in both accuracy and robustness, exhibiting generalization to unseen distributions.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PEPR：用于域泛化的基于特权事件的预测正则化</w:t>
      </w:r>
    </w:p>
    <w:p>
      <w:r>
        <w:rPr>
          <w:rFonts w:ascii="Times New Roman" w:hAnsi="Times New Roman" w:eastAsia="宋体"/>
          <w:b/>
          <w:color w:val="003264"/>
          <w:sz w:val="24"/>
        </w:rPr>
        <w:t>PEPR: Privileged Event-based Predictive Regularization for Domain Generalization</w:t>
      </w:r>
    </w:p>
    <w:p>
      <w:r>
        <w:rPr>
          <w:rFonts w:ascii="Times New Roman" w:hAnsi="Times New Roman" w:eastAsia="宋体"/>
          <w:sz w:val="21"/>
        </w:rPr>
        <w:t>作者: Pietro Pala</w:t>
        <w:br/>
      </w:r>
      <w:r>
        <w:rPr>
          <w:rFonts w:ascii="Times New Roman" w:hAnsi="Times New Roman" w:eastAsia="宋体"/>
          <w:sz w:val="21"/>
        </w:rPr>
        <w:t xml:space="preserve">时间: 2026-02-04T14:10:36Z | </w:t>
      </w:r>
      <w:r>
        <w:t xml:space="preserve">链接: </w:t>
      </w:r>
      <w:hyperlink r:id="rId128">
        <w:r>
          <w:rPr>
            <w:rFonts w:ascii="Times New Roman" w:hAnsi="Times New Roman" w:eastAsia="宋体"/>
            <w:color w:val="0000FF"/>
            <w:sz w:val="21"/>
            <w:u w:val="single"/>
          </w:rPr>
          <w:t>https://arxiv.org/abs/2602.04583v1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感知的深度神经网络非常容易受到域转移的影响，这对在与训练数据不同的条件下进行实际部署提出了严峻的挑战。为了解决这一领域泛化挑战，我们在使用特权信息学习（LUPI）范式下提出了一个跨模态框架，用于训练鲁棒的单模态 RGB 模型。我们利用事件摄像机作为特权信息的来源，仅在训练期间可用。这两种模式表现出互补的特征：RGB 流在语义上是密集的，但与域相关，而事件流是稀疏的，但更具有域不变性。因此，它们之间的直接特征对齐并不是最优的，因为它迫使 RGB 编码器模仿稀疏事件表示，从而丢失语义细节。为了克服这个问题，我们引入了基于特权事件的预测正则化（PEPR），它将 LUPI 重新定义为共享潜在空间中的预测问题。我们没有强制执行直接跨模态对齐，而是使用 PEPR 训练 RGB 编码器来预测基于事件的潜在特征，在不牺牲语义丰富性的情况下提高鲁棒性。由此产生的独立 RGB 模型持续提高了对昼夜和其他域变化的鲁棒性，在对象检测和语义分割方面优于基于对齐的基线。</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visual perception are highly susceptible to domain shift, which poses a critical challenge for real-world deployment under conditions that differ from the training data. To address this domain generalization challenge, we propose a cross-modal framework under the learning using privileged information (LUPI) paradigm for training a robust, single-modality RGB model. We leverage event cameras as a source of privileged information, available only during training. The two modalities exhibit complementary characteristics: the RGB stream is semantically dense but domain-dependent, whereas the event stream is sparse yet more domain-invariant. Direct feature alignment between them is therefore suboptimal, as it forces the RGB encoder to mimic the sparse event representation, thereby losing semantic detail. To overcome this, we introduce Privileged Event-based Predictive Regularization (PEPR), which reframes LUPI as a predictive problem in a shared latent space. Instead of enforcing direct cross-modal alignment, we train the RGB encoder with PEPR to predict event-based latent features, distilling robustness without sacrificing semantic richness. The resulting standalone RGB model consistently improves robustness to day-to-night and other domain shifts, outperforming alignment-based baselines across object detection and semantic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ImmuVis：用于成像质量细胞计数的超卷积基础模型</w:t>
      </w:r>
    </w:p>
    <w:p>
      <w:r>
        <w:rPr>
          <w:rFonts w:ascii="Times New Roman" w:hAnsi="Times New Roman" w:eastAsia="宋体"/>
          <w:b/>
          <w:color w:val="003264"/>
          <w:sz w:val="24"/>
        </w:rPr>
        <w:t>ImmuVis: Hyperconvolutional Foundation Model for Imaging Mass Cytometry</w:t>
      </w:r>
    </w:p>
    <w:p>
      <w:r>
        <w:rPr>
          <w:rFonts w:ascii="Times New Roman" w:hAnsi="Times New Roman" w:eastAsia="宋体"/>
          <w:sz w:val="21"/>
        </w:rPr>
        <w:t>作者: Ewa Szczurek</w:t>
        <w:br/>
      </w:r>
      <w:r>
        <w:rPr>
          <w:rFonts w:ascii="Times New Roman" w:hAnsi="Times New Roman" w:eastAsia="宋体"/>
          <w:sz w:val="21"/>
        </w:rPr>
        <w:t xml:space="preserve">时间: 2026-02-04T14:11:33Z | </w:t>
      </w:r>
      <w:r>
        <w:t xml:space="preserve">链接: </w:t>
      </w:r>
      <w:hyperlink r:id="rId129">
        <w:r>
          <w:rPr>
            <w:rFonts w:ascii="Times New Roman" w:hAnsi="Times New Roman" w:eastAsia="宋体"/>
            <w:color w:val="0000FF"/>
            <w:sz w:val="21"/>
            <w:u w:val="single"/>
          </w:rPr>
          <w:t>https://arxiv.org/abs/2602.04585v1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ImmuVis，一种用于成像质谱流式分析 (IMC) 的高效卷积基础模型，这是一种高通量多重成像技术，可将分子标记测量作为图像通道进行处理，并实现大规模空间组织分析。与自然图像不同，多重成像缺乏固定的通道空间，因为现实世界的标记集因研究而异，违反了标准视觉主干的核心假设。为了解决这个问题，ImmuVis 引入了标记自适应超卷积，它可以根据学习的标记嵌入生成卷积核，从而使单个模型能够在任意测量的标记子集上运行，而无需重新训练。我们使用自监督掩模重建在迄今为止最大的数据集 IMC17M（28 个队列、24,405 张图像、265 个标记、超过 1700 万个补丁）上对 ImmuVis 进行预训练。 ImmuVis 在虚拟染色和下游分类任务中的性能优于 SOTA 基线和消融，其计算成本远低于基于 Transformer 的替代方案，并且是唯一通过异方差似然目标提供校准不确定性的模型。这些结果使 ImmuVis 成为现实世界 IMC 建模的实用、高效的基础模型。</w:t>
      </w:r>
    </w:p>
    <w:p>
      <w:pPr>
        <w:spacing w:before="120"/>
      </w:pPr>
      <w:r>
        <w:rPr>
          <w:rFonts w:ascii="Times New Roman" w:hAnsi="Times New Roman" w:eastAsia="宋体"/>
          <w:b/>
          <w:sz w:val="21"/>
        </w:rPr>
        <w:t>English Abstract:</w:t>
      </w:r>
    </w:p>
    <w:p>
      <w:r>
        <w:rPr>
          <w:rFonts w:ascii="Times New Roman" w:hAnsi="Times New Roman" w:eastAsia="宋体"/>
          <w:sz w:val="21"/>
        </w:rPr>
        <w:t>We present ImmuVis, an efficient convolutional foundation model for imaging mass cytometry (IMC), a high-throughput multiplex imaging technology that handles molecular marker measurements as image channels and enables large-scale spatial tissue profiling. Unlike natural images, multiplex imaging lacks a fixed channel space, as real-world marker sets vary across studies, violating a core assumption of standard vision backbones. To address this, ImmuVis introduces marker-adaptive hyperconvolutions that generate convolutional kernels from learned marker embeddings, enabling a single model to operate on arbitrary measured marker subsets without retraining. We pretrain ImmuVis on the largest to-date dataset, IMC17M (28 cohorts, 24,405 images, 265 markers, over 17M patches), using self-supervised masked reconstruction. ImmuVis outperforms SOTA baselines and ablations in virtual staining and downstream classification tasks at substantially lower compute cost than transformer-based alternatives, and is the sole model that provides calibrated uncertainty via a heteroscedastic likelihood objective. These results position ImmuVis as a practical, efficient foundation model for real-world IMC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医疗人工智能模拟放血程序的标记数据集：用于对象检测和人机交互的多边形注释</w:t>
      </w:r>
    </w:p>
    <w:p>
      <w:r>
        <w:rPr>
          <w:rFonts w:ascii="Times New Roman" w:hAnsi="Times New Roman" w:eastAsia="宋体"/>
          <w:b/>
          <w:color w:val="003264"/>
          <w:sz w:val="24"/>
        </w:rPr>
        <w:t>A labeled dataset of simulated phlebotomy procedures for medical AI: polygon annotations for object detection and human-object interaction</w:t>
      </w:r>
    </w:p>
    <w:p>
      <w:r>
        <w:rPr>
          <w:rFonts w:ascii="Times New Roman" w:hAnsi="Times New Roman" w:eastAsia="宋体"/>
          <w:sz w:val="21"/>
        </w:rPr>
        <w:t>作者: Barbara Weber</w:t>
        <w:br/>
      </w:r>
      <w:r>
        <w:rPr>
          <w:rFonts w:ascii="Times New Roman" w:hAnsi="Times New Roman" w:eastAsia="宋体"/>
          <w:sz w:val="21"/>
        </w:rPr>
        <w:t xml:space="preserve">时间: 2026-02-04T14:54:46Z | </w:t>
      </w:r>
      <w:r>
        <w:t xml:space="preserve">链接: </w:t>
      </w:r>
      <w:hyperlink r:id="rId130">
        <w:r>
          <w:rPr>
            <w:rFonts w:ascii="Times New Roman" w:hAnsi="Times New Roman" w:eastAsia="宋体"/>
            <w:color w:val="0000FF"/>
            <w:sz w:val="21"/>
            <w:u w:val="single"/>
          </w:rPr>
          <w:t>https://arxiv.org/abs/2602.04624v1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本数据文章提供了包含 11,884 张标记图像的数据集，记录了在训练臂上执行的模拟血液抽取（静脉切开术）程序。图像是从在受控条件下录制的高清视频中提取的，并使用结构相似性指数测量 (SSIM) 过滤来减少冗余。在帧选择之前，对所有视频应用自动面部匿名化步骤。每个图像都包含五个医学相关类别的多边形注释：注射器、橡皮筋、消毒湿巾、手套和训练手臂。注释以与现代对象检测框架（例如 YOLOv8）兼容的分段格式导出，确保广泛的可用性。该数据集分为训练 (70%)、验证 (15%) 和测试 (15%) 子集，旨在推进医疗训练自动化和人机交互的研究。它支持多种应用，包括放血工具检测、程序步骤识别、工作流程分析、一致性检查以及开发向医学实习生提供结构化反馈的教育系统。数据和随附的标签文件可在 Zenodo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This data article presents a dataset of 11,884 labeled images documenting a simulated blood extraction (phlebotomy) procedure performed on a training arm. Images were extracted from high-definition videos recorded under controlled conditions and curated to reduce redundancy using Structural Similarity Index Measure (SSIM) filtering. An automated face-anonymization step was applied to all videos prior to frame selection. Each image contains polygon annotations for five medically relevant classes: syringe, rubber band, disinfectant wipe, gloves, and training arm. The annotations were exported in a segmentation format compatible with modern object detection frameworks (e.g., YOLOv8), ensuring broad usability. This dataset is partitioned into training (70%), validation (15%), and test (15%) subsets and is designed to advance research in medical training automation and human-object interaction. It enables multiple applications, including phlebotomy tool detection, procedural step recognition, workflow analysis, conformance checking, and the development of educational systems that provide structured feedback to medical trainees. The data and accompanying label files are publicly available on Zenodo.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研究文本到图像模型中的残疾表示</w:t>
      </w:r>
    </w:p>
    <w:p>
      <w:r>
        <w:rPr>
          <w:rFonts w:ascii="Times New Roman" w:hAnsi="Times New Roman" w:eastAsia="宋体"/>
          <w:b/>
          <w:color w:val="003264"/>
          <w:sz w:val="24"/>
        </w:rPr>
        <w:t>Investigating Disability Representations in Text-to-Image Models</w:t>
      </w:r>
    </w:p>
    <w:p>
      <w:r>
        <w:rPr>
          <w:rFonts w:ascii="Times New Roman" w:hAnsi="Times New Roman" w:eastAsia="宋体"/>
          <w:sz w:val="21"/>
        </w:rPr>
        <w:t>作者: Sarah Ebling</w:t>
        <w:br/>
      </w:r>
      <w:r>
        <w:rPr>
          <w:rFonts w:ascii="Times New Roman" w:hAnsi="Times New Roman" w:eastAsia="宋体"/>
          <w:sz w:val="21"/>
        </w:rPr>
        <w:t xml:space="preserve">时间: 2026-02-04T15:54:25Z | </w:t>
      </w:r>
      <w:r>
        <w:t xml:space="preserve">链接: </w:t>
      </w:r>
      <w:hyperlink r:id="rId131">
        <w:r>
          <w:rPr>
            <w:rFonts w:ascii="Times New Roman" w:hAnsi="Times New Roman" w:eastAsia="宋体"/>
            <w:color w:val="0000FF"/>
            <w:sz w:val="21"/>
            <w:u w:val="single"/>
          </w:rPr>
          <w:t>https://arxiv.org/abs/2602.04687v1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生成模型在根据文本描述生成高质量视觉内容方面取得了显着进展，但人们仍然担心它们如何代表社会群体。虽然性别和种族等特征受到越来越多的关注，但残疾代表性仍然没有得到充分探索。本研究通过使用结构化提示设计分析 Stable Diffusion XL 和 DALL-E 3 的输出，研究如何在 AI 生成的图像中呈现残疾人。我们通过比较一般残疾提示和涉及特定残疾类别的提示之间的图像相似性来分析残疾表征。此外，我们评估缓解策略如何影响残疾描绘，重点是通过情感极性分析评估情感框架，结合自动和人工评估。我们的研究结果揭示了持续存在的代表性失衡，并强调需要不断评估和完善生成模型，以促进对残疾的更加多样化和包容性的描述。</w:t>
      </w:r>
    </w:p>
    <w:p>
      <w:pPr>
        <w:spacing w:before="120"/>
      </w:pPr>
      <w:r>
        <w:rPr>
          <w:rFonts w:ascii="Times New Roman" w:hAnsi="Times New Roman" w:eastAsia="宋体"/>
          <w:b/>
          <w:sz w:val="21"/>
        </w:rPr>
        <w:t>English Abstract:</w:t>
      </w:r>
    </w:p>
    <w:p>
      <w:r>
        <w:rPr>
          <w:rFonts w:ascii="Times New Roman" w:hAnsi="Times New Roman" w:eastAsia="宋体"/>
          <w:sz w:val="21"/>
        </w:rPr>
        <w:t>Text-to-image generative models have made remarkable progress in producing high-quality visual content from textual descriptions, yet concerns remain about how they represent social groups. While characteristics like gender and race have received increasing attention, disability representations remain underexplored. This study investigates how people with disabilities are represented in AI-generated images by analyzing outputs from Stable Diffusion XL and DALL-E 3 using a structured prompt design. We analyze disability representations by comparing image similarities between generic disability prompts and prompts referring to specific disability categories. Moreover, we evaluate how mitigation strategies influence disability portrayals, with a focus on assessing affective framing through sentiment polarity analysis, combining both automatic and human evaluation. Our findings reveal persistent representational imbalances and highlight the need for continuous evaluation and refinement of generative models to foster more diverse and inclusive portrayals of disability.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DRMOT：RGBD 参考多对象跟踪的数据集和框架</w:t>
      </w:r>
    </w:p>
    <w:p>
      <w:r>
        <w:rPr>
          <w:rFonts w:ascii="Times New Roman" w:hAnsi="Times New Roman" w:eastAsia="宋体"/>
          <w:b/>
          <w:color w:val="003264"/>
          <w:sz w:val="24"/>
        </w:rPr>
        <w:t>DRMOT: A Dataset and Framework for RGBD Referring Multi-Object Tracking</w:t>
      </w:r>
    </w:p>
    <w:p>
      <w:r>
        <w:rPr>
          <w:rFonts w:ascii="Times New Roman" w:hAnsi="Times New Roman" w:eastAsia="宋体"/>
          <w:sz w:val="21"/>
        </w:rPr>
        <w:t>作者: Wenbing Tao</w:t>
        <w:br/>
      </w:r>
      <w:r>
        <w:rPr>
          <w:rFonts w:ascii="Times New Roman" w:hAnsi="Times New Roman" w:eastAsia="宋体"/>
          <w:sz w:val="21"/>
        </w:rPr>
        <w:t xml:space="preserve">时间: 2026-02-04T15:56:16Z | </w:t>
      </w:r>
      <w:r>
        <w:t xml:space="preserve">链接: </w:t>
      </w:r>
      <w:hyperlink r:id="rId132">
        <w:r>
          <w:rPr>
            <w:rFonts w:ascii="Times New Roman" w:hAnsi="Times New Roman" w:eastAsia="宋体"/>
            <w:color w:val="0000FF"/>
            <w:sz w:val="21"/>
            <w:u w:val="single"/>
          </w:rPr>
          <w:t>https://arxiv.org/abs/2602.04692v1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参考多目标跟踪（RMOT）旨在根据语言描述跟踪特定目标，对于机器人和自动驾驶等交互式人工智能系统至关重要。然而，现有的 RMOT 模型仅依赖于 2D RGB 数据，由于缺乏明确的 3D 空间信息，因此很难准确检测和关联以复杂空间语义为特征的目标（例如“最靠近相机的人”），并在严重遮挡下保持可靠的身份。在这项工作中，我们提出了一项新颖的任务：RGBD 参考多对象跟踪 (DRMOT)，它明确要求模型融合 RGB、深度 (D) 和语言 (L) 模态以实现 3D 感知跟踪。为了推进 DRMOT 任务的研究，我们构建了一个定制的 RGBD 参考多目标跟踪数据集，名为 DRSet，旨在评估模型的空间语义基础和跟踪能力。具体来说，DRSet 包含来自 187 个场景的 RGB 图像和深度图，以及 240 种语言描述，其中 56 种描述包含与深度相关的信息。此外，我们提出了 DRTrack，一种 MLLM 引导的深度参考跟踪框架。 DRTrack 通过联合 RGB-D-L 输入执行深度感知目标接地，并通过合并深度提示来强制执行稳健的轨迹关联。对 DRSet 数据集的大量实验证明了我们框架的有效性。</w:t>
      </w:r>
    </w:p>
    <w:p>
      <w:pPr>
        <w:spacing w:before="120"/>
      </w:pPr>
      <w:r>
        <w:rPr>
          <w:rFonts w:ascii="Times New Roman" w:hAnsi="Times New Roman" w:eastAsia="宋体"/>
          <w:b/>
          <w:sz w:val="21"/>
        </w:rPr>
        <w:t>English Abstract:</w:t>
      </w:r>
    </w:p>
    <w:p>
      <w:r>
        <w:rPr>
          <w:rFonts w:ascii="Times New Roman" w:hAnsi="Times New Roman" w:eastAsia="宋体"/>
          <w:sz w:val="21"/>
        </w:rPr>
        <w:t>Referring Multi-Object Tracking (RMOT) aims to track specific targets based on language descriptions and is vital for interactive AI systems such as robotics and autonomous driving. However, existing RMOT models rely solely on 2D RGB data, making it challenging to accurately detect and associate targets characterized by complex spatial semantics (e.g., ``the person closest to the camera'') and to maintain reliable identities under severe occlusion, due to the absence of explicit 3D spatial information. In this work, we propose a novel task, RGBD Referring Multi-Object Tracking (DRMOT), which explicitly requires models to fuse RGB, Depth (D), and Language (L) modalities to achieve 3D-aware tracking. To advance research on the DRMOT task, we construct a tailored RGBD referring multi-object tracking dataset, named DRSet, designed to evaluate models' spatial-semantic grounding and tracking capabilities. Specifically, DRSet contains RGB images and depth maps from 187 scenes, along with 240 language descriptions, among which 56 descriptions incorporate depth-related information. Furthermore, we propose DRTrack, a MLLM-guided depth-referring tracking framework. DRTrack performs depth-aware target grounding from joint RGB-D-L inputs and enforces robust trajectory association by incorporating depth cues. Extensive experiments on the DRSet dataset demonstrate the effectiveness of our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用于文本到图像生成的自适应提示启发</w:t>
      </w:r>
    </w:p>
    <w:p>
      <w:r>
        <w:rPr>
          <w:rFonts w:ascii="Times New Roman" w:hAnsi="Times New Roman" w:eastAsia="宋体"/>
          <w:b/>
          <w:color w:val="003264"/>
          <w:sz w:val="24"/>
        </w:rPr>
        <w:t>Adaptive Prompt Elicitation for Text-to-Image Generation</w:t>
      </w:r>
    </w:p>
    <w:p>
      <w:r>
        <w:rPr>
          <w:rFonts w:ascii="Times New Roman" w:hAnsi="Times New Roman" w:eastAsia="宋体"/>
          <w:sz w:val="21"/>
        </w:rPr>
        <w:t>作者: Antti Oulasvirta</w:t>
        <w:br/>
      </w:r>
      <w:r>
        <w:rPr>
          <w:rFonts w:ascii="Times New Roman" w:hAnsi="Times New Roman" w:eastAsia="宋体"/>
          <w:sz w:val="21"/>
        </w:rPr>
        <w:t xml:space="preserve">时间: 2026-02-04T16:24:46Z | </w:t>
      </w:r>
      <w:r>
        <w:t xml:space="preserve">链接: </w:t>
      </w:r>
      <w:hyperlink r:id="rId133">
        <w:r>
          <w:rPr>
            <w:rFonts w:ascii="Times New Roman" w:hAnsi="Times New Roman" w:eastAsia="宋体"/>
            <w:color w:val="0000FF"/>
            <w:sz w:val="21"/>
            <w:u w:val="single"/>
          </w:rPr>
          <w:t>https://arxiv.org/abs/2602.04713v1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提供模糊输入并与模型特性作斗争的用户来说，将文本到图像的生成与用户意图保持一致仍然具有挑战性。我们提出了自适应提示启发（APE），这是一种自适应地提出视觉查询的技术，可以帮助用户在无需大量书写的情况下完善提示。我们的技术贡献是在信息理论框架下制定交互式意图推理。 APE 使用语言模型先验将潜在意图表示为可解释的特征需求，自适应地生成视觉查询，并将引发的需求编译为有效的提示。 IDEA-Bench和DesignBench的评估表明，APE实现了更强的一致性并提高了效率。针对具有挑战性的用户定义任务的用户研究表明，在没有工作负载开销的情况下，一致性提高了 19.8%。我们的工作提供了一种有原则的提示方法，对于普通用户来说，为流行的基于提示的文本到图像模型的交互范例提供了有效且高效的补充。</w:t>
      </w:r>
    </w:p>
    <w:p>
      <w:pPr>
        <w:spacing w:before="120"/>
      </w:pPr>
      <w:r>
        <w:rPr>
          <w:rFonts w:ascii="Times New Roman" w:hAnsi="Times New Roman" w:eastAsia="宋体"/>
          <w:b/>
          <w:sz w:val="21"/>
        </w:rPr>
        <w:t>English Abstract:</w:t>
      </w:r>
    </w:p>
    <w:p>
      <w:r>
        <w:rPr>
          <w:rFonts w:ascii="Times New Roman" w:hAnsi="Times New Roman" w:eastAsia="宋体"/>
          <w:sz w:val="21"/>
        </w:rPr>
        <w:t>Aligning text-to-image generation with user intent remains challenging, for users who provide ambiguous inputs and struggle with model idiosyncrasies. We propose Adaptive Prompt Elicitation (APE), a technique that adaptively asks visual queries to help users refine prompts without extensive writing. Our technical contribution is a formulation of interactive intent inference under an information-theoretic framework. APE represents latent intent as interpretable feature requirements using language model priors, adaptively generates visual queries, and compiles elicited requirements into effective prompts. Evaluation on IDEA-Bench and DesignBench shows that APE achieves stronger alignment with improved efficiency. A user study with challenging user-defined tasks demonstrates 19.8% higher alignment without workload overhead. Our work contributes a principled approach to prompting that, for general users, offers an effective and efficient complement to the prevailing prompt-based interaction paradigm with text-to-image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如何重写星星：通过水果星座绘制随时间变化的果园图</w:t>
      </w:r>
    </w:p>
    <w:p>
      <w:r>
        <w:rPr>
          <w:rFonts w:ascii="Times New Roman" w:hAnsi="Times New Roman" w:eastAsia="宋体"/>
          <w:b/>
          <w:color w:val="003264"/>
          <w:sz w:val="24"/>
        </w:rPr>
        <w:t>How to rewrite the stars: Mapping your orchard over time through constellations of fruits</w:t>
      </w:r>
    </w:p>
    <w:p>
      <w:r>
        <w:rPr>
          <w:rFonts w:ascii="Times New Roman" w:hAnsi="Times New Roman" w:eastAsia="宋体"/>
          <w:sz w:val="21"/>
        </w:rPr>
        <w:t>作者: Ernesto M. Morgado</w:t>
        <w:br/>
      </w:r>
      <w:r>
        <w:rPr>
          <w:rFonts w:ascii="Times New Roman" w:hAnsi="Times New Roman" w:eastAsia="宋体"/>
          <w:sz w:val="21"/>
        </w:rPr>
        <w:t xml:space="preserve">时间: 2026-02-04T16:31:32Z | </w:t>
      </w:r>
      <w:r>
        <w:t xml:space="preserve">链接: </w:t>
      </w:r>
      <w:hyperlink r:id="rId134">
        <w:r>
          <w:rPr>
            <w:rFonts w:ascii="Times New Roman" w:hAnsi="Times New Roman" w:eastAsia="宋体"/>
            <w:color w:val="0000FF"/>
            <w:sz w:val="21"/>
            <w:u w:val="single"/>
          </w:rPr>
          <w:t>https://arxiv.org/abs/2602.04722v1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跟踪作物的生长周期，农民可以在早期阶段预测坐果和产量，但如果由必须使用卡尺或树木测量仪手动测量果实大小的人来执行，这是一项费力且不可扩展的任务。近年来，计算机视觉已被用于自动化精准农业中的多项任务，例如检测和计数水果以及估计其大小。然而，将给定日期收集的一个视频中的完全相同的水果与稍后日期收集的另一视频中可见的水果进行匹配的基本问题仍有待解决，这是跟踪水果随时间的生长所需的。很少有人尝试，但他们要么假设相机总是从相同的已知位置开始，并且有足够明显的特征来匹配，要么他们使用 GPS 等其他数据源。在这里，我们提出了一种基于 3D 质心星座的新范例来解决这个问题，并引入了非常稀疏的 3D 点云的描述符，可用于跨视频匹配水果。匹配星座而不是单个水果是处理非刚性、遮挡和具有挑战性的图像的关键，几乎没有明显的视觉特征需要跟踪。结果表明，所提出的方法可以成功地用于跨视频和跨时间的水果匹配，还可以构建果园地图，然后使用它来定位 6DoF 中的相机位姿，从而为果园中的机器人自主导航和选择性水果采摘等提供一种方法。</w:t>
      </w:r>
    </w:p>
    <w:p>
      <w:pPr>
        <w:spacing w:before="120"/>
      </w:pPr>
      <w:r>
        <w:rPr>
          <w:rFonts w:ascii="Times New Roman" w:hAnsi="Times New Roman" w:eastAsia="宋体"/>
          <w:b/>
          <w:sz w:val="21"/>
        </w:rPr>
        <w:t>English Abstract:</w:t>
      </w:r>
    </w:p>
    <w:p>
      <w:r>
        <w:rPr>
          <w:rFonts w:ascii="Times New Roman" w:hAnsi="Times New Roman" w:eastAsia="宋体"/>
          <w:sz w:val="21"/>
        </w:rPr>
        <w:t>Following crop growth through the vegetative cycle allows farmers to predict fruit setting and yield in early stages, but it is a laborious and non-scalable task if performed by a human who has to manually measure fruit sizes with a caliper or dendrometers. In recent years, computer vision has been used to automate several tasks in precision agriculture, such as detecting and counting fruits, and estimating their size. However, the fundamental problem of matching the exact same fruits from one video, collected on a given date, to the fruits visible in another video, collected on a later date, which is needed to track fruits' growth through time, remains to be solved. Few attempts were made, but they either assume that the camera always starts from the same known position and that there are sufficiently distinct features to match, or they used other sources of data like GPS. Here we propose a new paradigm to tackle this problem, based on constellations of 3D centroids, and introduce a descriptor for very sparse 3D point clouds that can be used to match fruits across videos. Matching constellations instead of individual fruits is key to deal with non-rigidity, occlusions and challenging imagery with few distinct visual features to track. The results show that the proposed method can be successfully used to match fruits across videos and through time, and also to build an orchard map and later use it to locate the camera pose in 6DoF, thus providing a method for autonomous navigation of robots in the orchard and for selective fruit picking, for example.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通过即时控制扩散增强减轻长尾偏差</w:t>
      </w:r>
    </w:p>
    <w:p>
      <w:r>
        <w:rPr>
          <w:rFonts w:ascii="Times New Roman" w:hAnsi="Times New Roman" w:eastAsia="宋体"/>
          <w:b/>
          <w:color w:val="003264"/>
          <w:sz w:val="24"/>
        </w:rPr>
        <w:t>Mitigating Long-Tail Bias via Prompt-Controlled Diffusion Augmentation</w:t>
      </w:r>
    </w:p>
    <w:p>
      <w:r>
        <w:rPr>
          <w:rFonts w:ascii="Times New Roman" w:hAnsi="Times New Roman" w:eastAsia="宋体"/>
          <w:sz w:val="21"/>
        </w:rPr>
        <w:t>作者: Vishal M. Patel</w:t>
        <w:br/>
      </w:r>
      <w:r>
        <w:rPr>
          <w:rFonts w:ascii="Times New Roman" w:hAnsi="Times New Roman" w:eastAsia="宋体"/>
          <w:sz w:val="21"/>
        </w:rPr>
        <w:t xml:space="preserve">时间: 2026-02-04T16:49:16Z | </w:t>
      </w:r>
      <w:r>
        <w:t xml:space="preserve">链接: </w:t>
      </w:r>
      <w:hyperlink r:id="rId135">
        <w:r>
          <w:rPr>
            <w:rFonts w:ascii="Times New Roman" w:hAnsi="Times New Roman" w:eastAsia="宋体"/>
            <w:color w:val="0000FF"/>
            <w:sz w:val="21"/>
            <w:u w:val="single"/>
          </w:rPr>
          <w:t>https://arxiv.org/abs/2602.04749v1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高分辨率遥感图像的语义分割对于城市测绘和土地覆盖监测至关重要，但训练数据通常表现出严重的长尾像素不平衡。在 LoveDA 数据集中，这一挑战因城市/乡村的明确划分、不同的外观和跨领域的类频率统计不一致而变得更加复杂。我们提出了一个提示控制的扩散增强框架，该框架可以合成配对的标签图像样本，并明确控制领域和语义组成。 Stage~A 使用领域感知、屏蔽比率条件离散扩散模型来生成满足用户指定的类比率目标的布局，同时尊重学习的共现结构。 Stage~B 使用稳定扩散和 ControlNet 指导将布局转换为逼真、域一致的图像。将所得比率和域控制的合成对与真实数据混合，可以在多个分割主干上产生一致的改进，增益集中于少数群体并改善城市和农村的泛化，证明可控增强是减轻遥感分割中长尾偏差的实用机制。源代码、预训练模型和合成数据集可在 \href{https://github.com/Buddhi19/SyntheticGen.git}{Github} 获取</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high-resolution remote-sensing imagery is critical for urban mapping and land-cover monitoring, yet training data typically exhibits severe long-tailed pixel imbalance. In the dataset LoveDA, this challenge is compounded by an explicit Urban/Rural split with distinct appearance and inconsistent class-frequency statistics across domains. We present a prompt-controlled diffusion augmentation framework that synthesizes paired label--image samples with explicit control of both domain and semantic composition. Stage~A uses a domain-aware, masked ratio-conditioned discrete diffusion model to generate layouts that satisfy user-specified class-ratio targets while respecting learned co-occurrence structure. Stage~B translates layouts into photorealistic, domain-consistent images using Stable Diffusion with ControlNet guidance. Mixing the resulting ratio and domain-controlled synthetic pairs with real data yields consistent improvements across multiple segmentation backbones, with gains concentrated on minority classes and improved Urban and Rural generalization, demonstrating controllable augmentation as a practical mechanism to mitigate long-tail bias in remote-sensing segmentation. Source codes, pretrained models, and synthetic datasets are available at \href{https://github.com/Buddhi19/SyntheticGen.git}{Github}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VISTA-Bench：视觉语言模型真的能理解可视化文本和纯文本吗？</w:t>
      </w:r>
    </w:p>
    <w:p>
      <w:r>
        <w:rPr>
          <w:rFonts w:ascii="Times New Roman" w:hAnsi="Times New Roman" w:eastAsia="宋体"/>
          <w:b/>
          <w:color w:val="003264"/>
          <w:sz w:val="24"/>
        </w:rPr>
        <w:t>VISTA-Bench: Do Vision-Language Models Really Understand Visualized Text as Well as Pure Text?</w:t>
      </w:r>
    </w:p>
    <w:p>
      <w:r>
        <w:rPr>
          <w:rFonts w:ascii="Times New Roman" w:hAnsi="Times New Roman" w:eastAsia="宋体"/>
          <w:sz w:val="21"/>
        </w:rPr>
        <w:t>作者: Huchuan Lu</w:t>
        <w:br/>
      </w:r>
      <w:r>
        <w:rPr>
          <w:rFonts w:ascii="Times New Roman" w:hAnsi="Times New Roman" w:eastAsia="宋体"/>
          <w:sz w:val="21"/>
        </w:rPr>
        <w:t xml:space="preserve">时间: 2026-02-04T17:48:55Z | </w:t>
      </w:r>
      <w:r>
        <w:t xml:space="preserve">链接: </w:t>
      </w:r>
      <w:hyperlink r:id="rId136">
        <w:r>
          <w:rPr>
            <w:rFonts w:ascii="Times New Roman" w:hAnsi="Times New Roman" w:eastAsia="宋体"/>
            <w:color w:val="0000FF"/>
            <w:sz w:val="21"/>
            <w:u w:val="single"/>
          </w:rPr>
          <w:t>https://arxiv.org/abs/2602.04802v1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在跨文本和视觉输入的跨模式理解方面取得了令人印象深刻的性能，但现有的基准主要集中在纯文本查询上。在现实场景中，语言也经常以嵌入图像中的可视化文本的形式出现，这就提出了一个问题：当前的 VLM 是否能够同等地处理此类输入请求。我们介绍 VISTA-Bench，这是一个从多模态感知、推理到单模态理解领域的系统基准。它通过在受控渲染条件下对比纯文本和可视化文本问题来评估可视化文本理解。对 20 多个代表性 VLM 的广泛评估揭示了明显的模态差距：当等效语义内容呈现为可视化文本时，在纯文本查询上表现良好的模型通常会大幅退化。这种差距因感知难度的增加而进一步放大，凸显了尽管语义不变但对渲染变化的敏感性。总体而言，VISTA-Bench 提供了一个原则性的评估框架来诊断这一限制，并指导在标记化文本和像素上实现更统一的语言表示。源数据集可在 https://github.com/QingAnLiu/VISTA-Bench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achieved impressive performance in cross-modal understanding across textual and visual inputs, yet existing benchmarks predominantly focus on pure-text queries. In real-world scenarios, language also frequently appears as visualized text embedded in images, raising the question of whether current VLMs handle such input requests comparably. We introduce VISTA-Bench, a systematic benchmark from multimodal perception, reasoning, to unimodal understanding domains. It evaluates visualized text understanding by contrasting pure-text and visualized-text questions under controlled rendering conditions. Extensive evaluation of over 20 representative VLMs reveals a pronounced modality gap: models that perform well on pure-text queries often degrade substantially when equivalent semantic content is presented as visualized text. This gap is further amplified by increased perceptual difficulty, highlighting sensitivity to rendering variations despite unchanged semantics. Overall, VISTA-Bench provides a principled evaluation framework to diagnose this limitation and to guide progress toward more unified language representations across tokenized text and pixels. The source dataset is available at https://github.com/QingAnLiu/VISTA-Bench.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X2HDR：感知均匀空间中的 HDR 图像生成</w:t>
      </w:r>
    </w:p>
    <w:p>
      <w:r>
        <w:rPr>
          <w:rFonts w:ascii="Times New Roman" w:hAnsi="Times New Roman" w:eastAsia="宋体"/>
          <w:b/>
          <w:color w:val="003264"/>
          <w:sz w:val="24"/>
        </w:rPr>
        <w:t>X2HDR: HDR Image Generation in a Perceptually Uniform Space</w:t>
      </w:r>
    </w:p>
    <w:p>
      <w:r>
        <w:rPr>
          <w:rFonts w:ascii="Times New Roman" w:hAnsi="Times New Roman" w:eastAsia="宋体"/>
          <w:sz w:val="21"/>
        </w:rPr>
        <w:t>作者: Rafał K. Mantiuk</w:t>
        <w:br/>
      </w:r>
      <w:r>
        <w:rPr>
          <w:rFonts w:ascii="Times New Roman" w:hAnsi="Times New Roman" w:eastAsia="宋体"/>
          <w:sz w:val="21"/>
        </w:rPr>
        <w:t xml:space="preserve">时间: 2026-02-04T17:59:51Z | </w:t>
      </w:r>
      <w:r>
        <w:t xml:space="preserve">链接: </w:t>
      </w:r>
      <w:hyperlink r:id="rId137">
        <w:r>
          <w:rPr>
            <w:rFonts w:ascii="Times New Roman" w:hAnsi="Times New Roman" w:eastAsia="宋体"/>
            <w:color w:val="0000FF"/>
            <w:sz w:val="21"/>
            <w:u w:val="single"/>
          </w:rPr>
          <w:t>https://arxiv.org/abs/2602.04814v1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高动态范围 (HDR) 格式和显示器变得越来越普遍，但由于缺乏大规模 HDR 训练数据，最先进的图像生成器（例如稳定扩散和通量）通常仍仅限于低动态范围 (LDR) 输出。在这项工作中，我们表明现有的预训练扩散模型可以轻松适应 HDR 生成，而无需从头开始重新训练。一个关键的挑战是 HDR 图像本身以线性 RGB 表示，其强度和颜色统计数据与 sRGB 编码的 LDR 图像有很大不同。然而，可以通过将 HDR 输入转换为感知统一的编码（例如使用 PU21 或 PQ）来有效弥补这一差距。根据经验，我们发现 LDR 预训练的变分自动编码器 (VAE) 重建 PU21 编码的 HDR 输入，其保真度与 LDR 数据相当，而线性 RGB 输入会导致严重的退化。受这一发现的启发，我们描述了一种有效的适应策略，该策略冻结 VAE 并通过感知均匀空间中的低秩适应仅微调降噪器。这产生了统一的计算方法，支持文本到 HDR 合成和单图像 RAW 到 HDR 重建。实验表明，相对于以前的技术，我们的感知编码适应持续提高了感知保真度、文本图像对齐和有效动态范围。</w:t>
      </w:r>
    </w:p>
    <w:p>
      <w:pPr>
        <w:spacing w:before="120"/>
      </w:pPr>
      <w:r>
        <w:rPr>
          <w:rFonts w:ascii="Times New Roman" w:hAnsi="Times New Roman" w:eastAsia="宋体"/>
          <w:b/>
          <w:sz w:val="21"/>
        </w:rPr>
        <w:t>English Abstract:</w:t>
      </w:r>
    </w:p>
    <w:p>
      <w:r>
        <w:rPr>
          <w:rFonts w:ascii="Times New Roman" w:hAnsi="Times New Roman" w:eastAsia="宋体"/>
          <w:sz w:val="21"/>
        </w:rPr>
        <w:t>High-dynamic-range (HDR) formats and displays are becoming increasingly prevalent, yet state-of-the-art image generators (e.g., Stable Diffusion and FLUX) typically remain limited to low-dynamic-range (LDR) output due to the lack of large-scale HDR training data. In this work, we show that existing pretrained diffusion models can be easily adapted to HDR generation without retraining from scratch. A key challenge is that HDR images are natively represented in linear RGB, whose intensity and color statistics differ substantially from those of sRGB-encoded LDR images. This gap, however, can be effectively bridged by converting HDR inputs into perceptually uniform encodings (e.g., using PU21 or PQ). Empirically, we find that LDR-pretrained variational autoencoders (VAEs) reconstruct PU21-encoded HDR inputs with fidelity comparable to LDR data, whereas linear RGB inputs cause severe degradations. Motivated by this finding, we describe an efficient adaptation strategy that freezes the VAE and finetunes only the denoiser via low-rank adaptation in a perceptually uniform space. This results in a unified computational method that supports both text-to-HDR synthesis and single-image RAW-to-HDR reconstruction. Experiments demonstrate that our perceptually encoded adaptation consistently improves perceptual fidelity, text-image alignment, and effective dynamic range, relative to previous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XtraLight-MedMamba 用于肿瘤性管状腺瘤的分类</w:t>
      </w:r>
    </w:p>
    <w:p>
      <w:r>
        <w:rPr>
          <w:rFonts w:ascii="Times New Roman" w:hAnsi="Times New Roman" w:eastAsia="宋体"/>
          <w:b/>
          <w:color w:val="003264"/>
          <w:sz w:val="24"/>
        </w:rPr>
        <w:t>XtraLight-MedMamba for Classification of Neoplastic Tubular Adenomas</w:t>
      </w:r>
    </w:p>
    <w:p>
      <w:r>
        <w:rPr>
          <w:rFonts w:ascii="Times New Roman" w:hAnsi="Times New Roman" w:eastAsia="宋体"/>
          <w:sz w:val="21"/>
        </w:rPr>
        <w:t>作者: Vijayan K. Asari</w:t>
        <w:br/>
      </w:r>
      <w:r>
        <w:rPr>
          <w:rFonts w:ascii="Times New Roman" w:hAnsi="Times New Roman" w:eastAsia="宋体"/>
          <w:sz w:val="21"/>
        </w:rPr>
        <w:t xml:space="preserve">时间: 2026-02-04T18:07:51Z | </w:t>
      </w:r>
      <w:r>
        <w:t xml:space="preserve">链接: </w:t>
      </w:r>
      <w:hyperlink r:id="rId138">
        <w:r>
          <w:rPr>
            <w:rFonts w:ascii="Times New Roman" w:hAnsi="Times New Roman" w:eastAsia="宋体"/>
            <w:color w:val="0000FF"/>
            <w:sz w:val="21"/>
            <w:u w:val="single"/>
          </w:rPr>
          <w:t>https://arxiv.org/abs/2602.04819v1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常规结肠镜检查期间对癌前息肉进行准确的风险分层对于降低患结直肠癌（CRC）的风险至关重要。然而，低度不典型增生的评估仍然受到主观组织病理学解释的限制。数字病理学和深度学习的进步为识别与恶性进展相关的微妙形态模式提供了新的机会，而这些模式可能是人眼无法察觉的。在这项工作中，我们提出了 XtraLight-MedMamba，这是一种基于状态空间的超轻量级深度学习框架，用于从全幻灯片图像 (WSI) 中对肿瘤性管状腺瘤进行分类。该架构融合了基于 ConvNext 的浅层特征提取器和并行视觉 mamba，可有效地对长程和短程依赖关系以及图像泛化进行建模。空间和通道注意桥 (SCAB) 模块的集成增强了多尺度特征提取，而固定非负正交分类器 (FNOClassifier) 可以大幅减少参数并提高泛化能力。该模型根据从低级别管状腺瘤患者获取的整理数据集进行评估，并根据随后的 CRC 发展情况分为病例组和对照组。 XtraLight-MedMamba 使用大约 32,000 个参数实现了 97.18% 的准确率和 0.9767 的 F1 分数，优于基于 Transformer 的传统 Mamba 架构，但模型复杂性显着更高。</w:t>
      </w:r>
    </w:p>
    <w:p>
      <w:pPr>
        <w:spacing w:before="120"/>
      </w:pPr>
      <w:r>
        <w:rPr>
          <w:rFonts w:ascii="Times New Roman" w:hAnsi="Times New Roman" w:eastAsia="宋体"/>
          <w:b/>
          <w:sz w:val="21"/>
        </w:rPr>
        <w:t>English Abstract:</w:t>
      </w:r>
    </w:p>
    <w:p>
      <w:r>
        <w:rPr>
          <w:rFonts w:ascii="Times New Roman" w:hAnsi="Times New Roman" w:eastAsia="宋体"/>
          <w:sz w:val="21"/>
        </w:rPr>
        <w:t>Accurate risk stratification of precancerous polyps during routine colonoscopy screenings is essential for lowering the risk of developing colorectal cancer (CRC). However, assessment of low-grade dysplasia remains limited by subjective histopathologic interpretation. Advancements in digital pathology and deep learning provide new opportunities to identify subtle and fine morphologic patterns associated with malignant progression that may be imperceptible to the human eye. In this work, we propose XtraLight-MedMamba, an ultra-lightweight state-space-based deep learning framework for classifying neoplastic tubular adenomas from whole-slide images (WSIs). The architecture is a blend of ConvNext based shallow feature extractor with parallel vision mamba to efficiently model both long- and short-range dependencies and image generalization. An integration of Spatial and Channel Attention Bridge (SCAB) module enhances multiscale feature extraction, while Fixed Non-Negative Orthogonal Classifier (FNOClassifier) enables substantial parameter reduction and improved generalization. The model was evaluated on a curated dataset acquired from patients with low-grade tubular adenomas, stratified into case and control cohorts based on subsequent CRC development. XtraLight-MedMamba achieved an accuracy of 97.18% and an F1-score of 0.9767 using approximately 32,000 parameters, outperforming transformer-based and conventional Mamba architectures with significantly higher model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实现可靠且可解释的指甲疾病分类：利用对抗性训练和 Grad-CAM 可视化</w:t>
      </w:r>
    </w:p>
    <w:p>
      <w:r>
        <w:rPr>
          <w:rFonts w:ascii="Times New Roman" w:hAnsi="Times New Roman" w:eastAsia="宋体"/>
          <w:b/>
          <w:color w:val="003264"/>
          <w:sz w:val="24"/>
        </w:rPr>
        <w:t>Toward Reliable and Explainable Nail Disease Classification: Leveraging Adversarial Training and Grad-CAM Visualization</w:t>
      </w:r>
    </w:p>
    <w:p>
      <w:r>
        <w:rPr>
          <w:rFonts w:ascii="Times New Roman" w:hAnsi="Times New Roman" w:eastAsia="宋体"/>
          <w:sz w:val="21"/>
        </w:rPr>
        <w:t>作者: Nishat Tasnim Niloy</w:t>
        <w:br/>
      </w:r>
      <w:r>
        <w:rPr>
          <w:rFonts w:ascii="Times New Roman" w:hAnsi="Times New Roman" w:eastAsia="宋体"/>
          <w:sz w:val="21"/>
        </w:rPr>
        <w:t xml:space="preserve">时间: 2026-02-04T18:08:13Z | </w:t>
      </w:r>
      <w:r>
        <w:t xml:space="preserve">链接: </w:t>
      </w:r>
      <w:hyperlink r:id="rId139">
        <w:r>
          <w:rPr>
            <w:rFonts w:ascii="Times New Roman" w:hAnsi="Times New Roman" w:eastAsia="宋体"/>
            <w:color w:val="0000FF"/>
            <w:sz w:val="21"/>
            <w:u w:val="single"/>
          </w:rPr>
          <w:t>https://arxiv.org/abs/2602.04820v1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指甲疾病在所有年龄组中逐渐观察到，特别是在老年人中，通常被忽视，直到变得严重。早期发现和准确诊断此类疾病非常重要，因为它们有时会揭示我们身体的健康问题。但由于疾病类型之间推断的视觉差异，这是具有挑战性的。本文提出了一种基于机器学习的模型，用于基于公开数据集对指甲疾病进行自动分类，该数据集包含 6 个类别的 3,835 张图像。在 224x224 像素中，所有图像均已调整大小以确保一致性。为了评估性能，对四种著名的 CNN 模型——InceptionV3、DenseNet201、EfficientNetV2 和 ResNet50 进行了训练和分析。其中，InceptionV3 以 95.57% 的准确率领先其他网络，而 DenseNet201 以 94.79% 的准确率紧随其后。为了使模型更强大并且不太可能在棘手或嘈杂的图像上出错，我们使用了对抗性训练。为了帮助理解模型如何做出决策，我们使用 SHAP 来突出显示预测中的重要特征。该系统可以为医生提供有益的支持，使指甲疾病的诊断更加准确和快捷。</w:t>
      </w:r>
    </w:p>
    <w:p>
      <w:pPr>
        <w:spacing w:before="120"/>
      </w:pPr>
      <w:r>
        <w:rPr>
          <w:rFonts w:ascii="Times New Roman" w:hAnsi="Times New Roman" w:eastAsia="宋体"/>
          <w:b/>
          <w:sz w:val="21"/>
        </w:rPr>
        <w:t>English Abstract:</w:t>
      </w:r>
    </w:p>
    <w:p>
      <w:r>
        <w:rPr>
          <w:rFonts w:ascii="Times New Roman" w:hAnsi="Times New Roman" w:eastAsia="宋体"/>
          <w:sz w:val="21"/>
        </w:rPr>
        <w:t>Human nail diseases are gradually observed over all age groups, especially among older individuals, often going ignored until they become severe. Early detection and accurate diagnosis of such conditions are important because they sometimes reveal our body's health problems. But it is challenging due to the inferred visual differences between disease types. This paper presents a machine learning-based model for automated classification of nail diseases based on a publicly available dataset, which contains 3,835 images scaling six categories. In 224x224 pixels, all images were resized to ensure consistency. To evaluate performance, four well-known CNN models-InceptionV3, DenseNet201, EfficientNetV2, and ResNet50 were trained and analyzed. Among these, InceptionV3 outperformed the others with an accuracy of 95.57%, while DenseNet201 came next with 94.79%. To make the model stronger and less likely to make mistakes on tricky or noisy images, we used adversarial training. To help understand how the model makes decisions, we used SHAP to highlight important features in the predictions. This system could be a helpful support for doctors, making nail disease diagnosis more accurate and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LLaVA 遇到物体时：视觉语言模型的代币构成</w:t>
      </w:r>
    </w:p>
    <w:p>
      <w:r>
        <w:rPr>
          <w:rFonts w:ascii="Times New Roman" w:hAnsi="Times New Roman" w:eastAsia="宋体"/>
          <w:b/>
          <w:color w:val="003264"/>
          <w:sz w:val="24"/>
        </w:rPr>
        <w:t>When LLaVA Meets Objects: Token Composition for Vision-Language-Models</w:t>
      </w:r>
    </w:p>
    <w:p>
      <w:r>
        <w:rPr>
          <w:rFonts w:ascii="Times New Roman" w:hAnsi="Times New Roman" w:eastAsia="宋体"/>
          <w:sz w:val="21"/>
        </w:rPr>
        <w:t>作者: Hilde Kuehne</w:t>
        <w:br/>
      </w:r>
      <w:r>
        <w:rPr>
          <w:rFonts w:ascii="Times New Roman" w:hAnsi="Times New Roman" w:eastAsia="宋体"/>
          <w:sz w:val="21"/>
        </w:rPr>
        <w:t xml:space="preserve">时间: 2026-02-04T18:50:46Z | </w:t>
      </w:r>
      <w:r>
        <w:t xml:space="preserve">链接: </w:t>
      </w:r>
      <w:hyperlink r:id="rId140">
        <w:r>
          <w:rPr>
            <w:rFonts w:ascii="Times New Roman" w:hAnsi="Times New Roman" w:eastAsia="宋体"/>
            <w:color w:val="0000FF"/>
            <w:sz w:val="21"/>
            <w:u w:val="single"/>
          </w:rPr>
          <w:t>https://arxiv.org/abs/2602.04864v1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当前的自回归视觉语言模型（VLM）通常依赖大量视觉标记来表示图像，导致需要更多的计算，尤其是在推理时。为了解决这个问题，我们提出了 Mask-LLaVA，这是一个利用不同级别的视觉特征为自回归 VLM 创建紧凑但信息丰富的视觉表示的框架。也就是说，我们将基于掩码的对象表示与全局标记和本地补丁标记结合在一起。虽然在训练期间使用了所有令牌，但它表明生成的模型可以灵活地减少，特别是在测试时基于掩码的对象令牌的数量，从而允许在推理期间调整令牌的数量，而无需重新训练模型，并且性能不会显着下降。我们在一套标准基准上评估了所提出的方法，显示出与当前令牌有效方法竞争的结果，并且与仅使用一小部分视觉令牌的原始 LLaVA 基线相当。我们的分析表明，结合多级功能可以使用更少的标记进行高效学习，同时允许在测试时进行动态标记选择以获得良好的性能。</w:t>
      </w:r>
    </w:p>
    <w:p>
      <w:pPr>
        <w:spacing w:before="120"/>
      </w:pPr>
      <w:r>
        <w:rPr>
          <w:rFonts w:ascii="Times New Roman" w:hAnsi="Times New Roman" w:eastAsia="宋体"/>
          <w:b/>
          <w:sz w:val="21"/>
        </w:rPr>
        <w:t>English Abstract:</w:t>
      </w:r>
    </w:p>
    <w:p>
      <w:r>
        <w:rPr>
          <w:rFonts w:ascii="Times New Roman" w:hAnsi="Times New Roman" w:eastAsia="宋体"/>
          <w:sz w:val="21"/>
        </w:rPr>
        <w:t>Current autoregressive Vision Language Models (VLMs) usually rely on a large number of visual tokens to represent images, resulting in a need for more compute especially at inference time. To address this problem, we propose Mask-LLaVA, a framework that leverages different levels of visual features to create a compact yet information-rich visual representation for autoregressive VLMs. Namely, we combine mask-based object representations together with global tokens and local patch tokens. While all tokens are used during training, it shows that the resulting model can flexibly drop especially the number of mask-based object-tokens at test time, allowing to adapt the number of tokens during inference without the need to retrain the model and without a significant drop in performance. We evaluate the proposed approach on a suite of standard benchmarks showing results competitive to current token efficient methods and comparable to the original LLaVA baseline using only a fraction of visual tokens. Our analysis demonstrates that combining multi-level features enables efficient learning with fewer tokens while allowing dynamic token selection at test time for good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用于高效扩散的层压表示自动编码器</w:t>
      </w:r>
    </w:p>
    <w:p>
      <w:r>
        <w:rPr>
          <w:rFonts w:ascii="Times New Roman" w:hAnsi="Times New Roman" w:eastAsia="宋体"/>
          <w:b/>
          <w:color w:val="003264"/>
          <w:sz w:val="24"/>
        </w:rPr>
        <w:t>Laminating Representation Autoencoders for Efficient Diffusion</w:t>
      </w:r>
    </w:p>
    <w:p>
      <w:r>
        <w:rPr>
          <w:rFonts w:ascii="Times New Roman" w:hAnsi="Times New Roman" w:eastAsia="宋体"/>
          <w:sz w:val="21"/>
        </w:rPr>
        <w:t>作者: François Fleuret</w:t>
        <w:br/>
      </w:r>
      <w:r>
        <w:rPr>
          <w:rFonts w:ascii="Times New Roman" w:hAnsi="Times New Roman" w:eastAsia="宋体"/>
          <w:sz w:val="21"/>
        </w:rPr>
        <w:t xml:space="preserve">时间: 2026-02-04T18:57:33Z | </w:t>
      </w:r>
      <w:r>
        <w:t xml:space="preserve">链接: </w:t>
      </w:r>
      <w:hyperlink r:id="rId141">
        <w:r>
          <w:rPr>
            <w:rFonts w:ascii="Times New Roman" w:hAnsi="Times New Roman" w:eastAsia="宋体"/>
            <w:color w:val="0000FF"/>
            <w:sz w:val="21"/>
            <w:u w:val="single"/>
          </w:rPr>
          <w:t>https://arxiv.org/abs/2602.04873v1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最近的工作表明，扩散模型可以通过直接对 SSL 补丁特征而不是像素空间潜在变量进行操作来生成高质量图像。然而，来自 DINOv2 等编码器的密集补丁网格包含大量冗余，使得扩散不必要地昂贵。我们引入了 FlatDINO，一种变分自动编码器，它将这种表示形式压缩为仅包含 32 个连续标记的一维序列 - 序列长度减少了 8 倍，总维度压缩了 48 倍。在 ImageNet 256x256 上，与未压缩 DINOv2 特征上的扩散相比，在 FlatDINO 潜伏上训练的 DiT-XL 在无分类器指导下实现了 1.80 的 gFID，同时每次前向传递所需的 FLOP 数减少了 8 倍，每个训练步骤所需的 FLOP 数减少了 4.5 倍。这些是初步结果，这项工作正在进行中。</w:t>
      </w:r>
    </w:p>
    <w:p>
      <w:pPr>
        <w:spacing w:before="120"/>
      </w:pPr>
      <w:r>
        <w:rPr>
          <w:rFonts w:ascii="Times New Roman" w:hAnsi="Times New Roman" w:eastAsia="宋体"/>
          <w:b/>
          <w:sz w:val="21"/>
        </w:rPr>
        <w:t>English Abstract:</w:t>
      </w:r>
    </w:p>
    <w:p>
      <w:r>
        <w:rPr>
          <w:rFonts w:ascii="Times New Roman" w:hAnsi="Times New Roman" w:eastAsia="宋体"/>
          <w:sz w:val="21"/>
        </w:rPr>
        <w:t>Recent work has shown that diffusion models can generate high-quality images by operating directly on SSL patch features rather than pixel-space latents. However, the dense patch grids from encoders like DINOv2 contain significant redundancy, making diffusion needlessly expensive. We introduce FlatDINO, a variational autoencoder that compresses this representation into a one-dimensional sequence of just 32 continuous tokens -an 8x reduction in sequence length and 48x compression in total dimensionality. On ImageNet 256x256, a DiT-XL trained on FlatDINO latents achieves a gFID of 1.80 with classifier-free guidance while requiring 8x fewer FLOPs per forward pass and up to 4.5x fewer FLOPs per training step compared to diffusion on uncompressed DINOv2 features. These are preliminary results and this work is in progress.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PerpetualWonder：长视动作条件 4D 场景生成</w:t>
      </w:r>
    </w:p>
    <w:p>
      <w:r>
        <w:rPr>
          <w:rFonts w:ascii="Times New Roman" w:hAnsi="Times New Roman" w:eastAsia="宋体"/>
          <w:b/>
          <w:color w:val="003264"/>
          <w:sz w:val="24"/>
        </w:rPr>
        <w:t>PerpetualWonder: Long-Horizon Action-Conditioned 4D Scene Generation</w:t>
      </w:r>
    </w:p>
    <w:p>
      <w:r>
        <w:rPr>
          <w:rFonts w:ascii="Times New Roman" w:hAnsi="Times New Roman" w:eastAsia="宋体"/>
          <w:sz w:val="21"/>
        </w:rPr>
        <w:t>作者: Jiajun Wu</w:t>
        <w:br/>
      </w:r>
      <w:r>
        <w:rPr>
          <w:rFonts w:ascii="Times New Roman" w:hAnsi="Times New Roman" w:eastAsia="宋体"/>
          <w:sz w:val="21"/>
        </w:rPr>
        <w:t xml:space="preserve">时间: 2026-02-04T18:58:55Z | </w:t>
      </w:r>
      <w:r>
        <w:t xml:space="preserve">链接: </w:t>
      </w:r>
      <w:hyperlink r:id="rId142">
        <w:r>
          <w:rPr>
            <w:rFonts w:ascii="Times New Roman" w:hAnsi="Times New Roman" w:eastAsia="宋体"/>
            <w:color w:val="0000FF"/>
            <w:sz w:val="21"/>
            <w:u w:val="single"/>
          </w:rPr>
          <w:t>https://arxiv.org/abs/2602.04876v1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PerpetualWonder，这是一种混合生成模拟器，可以从单个图像生成长视野、动作条件的 4D 场景。目前的工作在这项任务上失败了，因为它们的物理状态与视觉表示脱钩，这阻止了生成性细化来更新后续交互的底层物理。 PerpetualWonder 通过引入第一个真正的闭环系统解决了这个问题。它具有新颖的统一表示形式，可在物理状态和视觉基元之间创建双向链接，从而允许生成细化来纠正动态和外观。它还引入了强大的更新机制，从多个角度收集监督以解决优化模糊性。实验表明，PerpetualWonder 可以通过单张图像成功模拟长视距动作的复杂、多步骤交互，保持物理合理性和视觉一致性。</w:t>
      </w:r>
    </w:p>
    <w:p>
      <w:pPr>
        <w:spacing w:before="120"/>
      </w:pPr>
      <w:r>
        <w:rPr>
          <w:rFonts w:ascii="Times New Roman" w:hAnsi="Times New Roman" w:eastAsia="宋体"/>
          <w:b/>
          <w:sz w:val="21"/>
        </w:rPr>
        <w:t>English Abstract:</w:t>
      </w:r>
    </w:p>
    <w:p>
      <w:r>
        <w:rPr>
          <w:rFonts w:ascii="Times New Roman" w:hAnsi="Times New Roman" w:eastAsia="宋体"/>
          <w:sz w:val="21"/>
        </w:rPr>
        <w:t>We introduce PerpetualWonder, a hybrid generative simulator that enables long-horizon, action-conditioned 4D scene generation from a single image. Current works fail at this task because their physical state is decoupled from their visual representation, which prevents generative refinements to update the underlying physics for subsequent interactions. PerpetualWonder solves this by introducing the first true closed-loop system. It features a novel unified representation that creates a bidirectional link between the physical state and visual primitives, allowing generative refinements to correct both the dynamics and appearance. It also introduces a robust update mechanism that gathers supervision from multiple viewpoints to resolve optimization ambiguity. Experiments demonstrate that from a single image, PerpetualWonder can successfully simulate complex, multi-step interactions from long-horizon actions, maintaining physical plausibility and visual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CoWTracker：通过扭曲而不是相关进行跟踪</w:t>
      </w:r>
    </w:p>
    <w:p>
      <w:r>
        <w:rPr>
          <w:rFonts w:ascii="Times New Roman" w:hAnsi="Times New Roman" w:eastAsia="宋体"/>
          <w:b/>
          <w:color w:val="003264"/>
          <w:sz w:val="24"/>
        </w:rPr>
        <w:t>CoWTracker: Tracking by Warping instead of Correlation</w:t>
      </w:r>
    </w:p>
    <w:p>
      <w:r>
        <w:rPr>
          <w:rFonts w:ascii="Times New Roman" w:hAnsi="Times New Roman" w:eastAsia="宋体"/>
          <w:sz w:val="21"/>
        </w:rPr>
        <w:t>作者: Andrea Vedaldi</w:t>
        <w:br/>
      </w:r>
      <w:r>
        <w:rPr>
          <w:rFonts w:ascii="Times New Roman" w:hAnsi="Times New Roman" w:eastAsia="宋体"/>
          <w:sz w:val="21"/>
        </w:rPr>
        <w:t xml:space="preserve">时间: 2026-02-04T18:58:59Z | </w:t>
      </w:r>
      <w:r>
        <w:t xml:space="preserve">链接: </w:t>
      </w:r>
      <w:hyperlink r:id="rId143">
        <w:r>
          <w:rPr>
            <w:rFonts w:ascii="Times New Roman" w:hAnsi="Times New Roman" w:eastAsia="宋体"/>
            <w:color w:val="0000FF"/>
            <w:sz w:val="21"/>
            <w:u w:val="single"/>
          </w:rPr>
          <w:t>https://arxiv.org/abs/2602.04877v1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点跟踪是计算机视觉中的一个基本问题，其应用范围从视频分析到机器人操作。最先进的跟踪器通常依赖于成本量来匹配跨帧的特征，但这种方法会导致空间分辨率的二次复杂性，限制可扩展性和效率。在本文中，我们提出了 \ 方法，一种新颖的密集点跟踪器，它避免了成本量而有利于扭曲。受光流最新进展的启发，我们的方法通过基于当前估计将特征从目标帧扭曲到查询帧来迭代地细化轨迹估计。结合在所有轨道上执行联合时空推理的变压器架构，我们的设计建立了远程对应关系，而无需计算特征相关性。我们的模型很简单，并且在标准密集点跟踪基准测试（包括 TAP-Vid-DAVIS、TAP-Vid-Kinetics 和 Robo-TAP）上实现了最先进的性能。值得注意的是，该模型在光流方面也表现出色，有时在 Sintel、KITTI 和 Spring 基准测试中优于专门方法。这些结果表明基于扭曲的架构可以统一密集点跟踪和光流估计。</w:t>
      </w:r>
    </w:p>
    <w:p>
      <w:pPr>
        <w:spacing w:before="120"/>
      </w:pPr>
      <w:r>
        <w:rPr>
          <w:rFonts w:ascii="Times New Roman" w:hAnsi="Times New Roman" w:eastAsia="宋体"/>
          <w:b/>
          <w:sz w:val="21"/>
        </w:rPr>
        <w:t>English Abstract:</w:t>
      </w:r>
    </w:p>
    <w:p>
      <w:r>
        <w:rPr>
          <w:rFonts w:ascii="Times New Roman" w:hAnsi="Times New Roman" w:eastAsia="宋体"/>
          <w:sz w:val="21"/>
        </w:rPr>
        <w:t>Dense point tracking is a fundamental problem in computer vision, with applications ranging from video analysis to robotic manipulation. State-of-the-art trackers typically rely on cost volumes to match features across frames, but this approach incurs quadratic complexity in spatial resolution, limiting scalability and efficiency. In this paper, we propose \method, a novel dense point tracker that eschews cost volumes in favor of warping. Inspired by recent advances in optical flow, our approach iteratively refines track estimates by warping features from the target frame to the query frame based on the current estimate. Combined with a transformer architecture that performs joint spatiotemporal reasoning across all tracks, our design establishes long-range correspondences without computing feature correlations. Our model is simple and achieves state-of-the-art performance on standard dense point tracking benchmarks, including TAP-Vid-DAVIS, TAP-Vid-Kinetics, and Robo-TAP. Remarkably, the model also excels at optical flow, sometimes outperforming specialized methods on the Sintel, KITTI, and Spring benchmarks. These results suggest that warping-based architectures can unify dense point tracking and optical flow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强化注意力学习</w:t>
      </w:r>
    </w:p>
    <w:p>
      <w:r>
        <w:rPr>
          <w:rFonts w:ascii="Times New Roman" w:hAnsi="Times New Roman" w:eastAsia="宋体"/>
          <w:b/>
          <w:color w:val="003264"/>
          <w:sz w:val="24"/>
        </w:rPr>
        <w:t>Reinforced Attention Learning</w:t>
      </w:r>
    </w:p>
    <w:p>
      <w:r>
        <w:rPr>
          <w:rFonts w:ascii="Times New Roman" w:hAnsi="Times New Roman" w:eastAsia="宋体"/>
          <w:sz w:val="21"/>
        </w:rPr>
        <w:t>作者: Derek Zhiyuan Cheng</w:t>
        <w:br/>
      </w:r>
      <w:r>
        <w:rPr>
          <w:rFonts w:ascii="Times New Roman" w:hAnsi="Times New Roman" w:eastAsia="宋体"/>
          <w:sz w:val="21"/>
        </w:rPr>
        <w:t xml:space="preserve">时间: 2026-02-04T18:59:52Z | </w:t>
      </w:r>
      <w:r>
        <w:t xml:space="preserve">链接: </w:t>
      </w:r>
      <w:hyperlink r:id="rId144">
        <w:r>
          <w:rPr>
            <w:rFonts w:ascii="Times New Roman" w:hAnsi="Times New Roman" w:eastAsia="宋体"/>
            <w:color w:val="0000FF"/>
            <w:sz w:val="21"/>
            <w:u w:val="single"/>
          </w:rPr>
          <w:t>https://arxiv.org/abs/2602.04884v1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 (RL) 的后训练通过测试时间扩展显着改善了大型语言模型 (LLM) 的推理能力。然而，通过冗长的原理将这种范式扩展到多模式法学硕士（MLLM）只会产生有限的感知收益，甚至会降低性能。我们提出了强化注意力学习（RAL），这是一种策略梯度框架，可以直接优化内部注意力分布而不是输出令牌序列。通过将优化从生成内容转向参加地点，RAL 促进了有效的信息分配并改善了复杂多式联运输入的基础。跨不同图像和视频基准的实验显示，与 GRPO 和其他基准相比，其获得了一致的增益。我们进一步引入了策略注意力蒸馏，证明转移潜在注意力行为比标准知识蒸馏产生更强的跨模式对齐。我们的结果将注意力政策定位为多模式后培训的原则性和通用替代方案。</w:t>
      </w:r>
    </w:p>
    <w:p>
      <w:pPr>
        <w:spacing w:before="120"/>
      </w:pPr>
      <w:r>
        <w:rPr>
          <w:rFonts w:ascii="Times New Roman" w:hAnsi="Times New Roman" w:eastAsia="宋体"/>
          <w:b/>
          <w:sz w:val="21"/>
        </w:rPr>
        <w:t>English Abstract:</w:t>
      </w:r>
    </w:p>
    <w:p>
      <w:r>
        <w:rPr>
          <w:rFonts w:ascii="Times New Roman" w:hAnsi="Times New Roman" w:eastAsia="宋体"/>
          <w:sz w:val="21"/>
        </w:rPr>
        <w:t>Post-training with Reinforcement Learning (RL) has substantially improved reasoning in Large Language Models (LLMs) via test-time scaling. However, extending this paradigm to Multimodal LLMs (MLLMs) through verbose rationales yields limited gains for perception and can even degrade performance. We propose Reinforced Attention Learning (RAL), a policy-gradient framework that directly optimizes internal attention distributions rather than output token sequences. By shifting optimization from what to generate to where to attend, RAL promotes effective information allocation and improved grounding in complex multimodal inputs. Experiments across diverse image and video benchmarks show consistent gains over GRPO and other baselines. We further introduce On-Policy Attention Distillation, demonstrating that transferring latent attention behaviors yields stronger cross-modal alignment than standard knowledge distillation. Our results position attention policies as a principled and general alternative for multimodal post-training.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从稀疏传感器到连续场：时空重建的 STRIDE</w:t>
      </w:r>
    </w:p>
    <w:p>
      <w:r>
        <w:rPr>
          <w:rFonts w:ascii="Times New Roman" w:hAnsi="Times New Roman" w:eastAsia="宋体"/>
          <w:b/>
          <w:color w:val="003264"/>
          <w:sz w:val="24"/>
        </w:rPr>
        <w:t>From Sparse Sensors to Continuous Fields: STRIDE for Spatiotemporal Reconstruction</w:t>
      </w:r>
    </w:p>
    <w:p>
      <w:r>
        <w:rPr>
          <w:rFonts w:ascii="Times New Roman" w:hAnsi="Times New Roman" w:eastAsia="宋体"/>
          <w:sz w:val="21"/>
        </w:rPr>
        <w:t>作者: Peng Chen</w:t>
        <w:br/>
      </w:r>
      <w:r>
        <w:rPr>
          <w:rFonts w:ascii="Times New Roman" w:hAnsi="Times New Roman" w:eastAsia="宋体"/>
          <w:sz w:val="21"/>
        </w:rPr>
        <w:t xml:space="preserve">时间: 2026-02-04T04:39:23Z | </w:t>
      </w:r>
      <w:r>
        <w:t xml:space="preserve">链接: </w:t>
      </w:r>
      <w:hyperlink r:id="rId145">
        <w:r>
          <w:rPr>
            <w:rFonts w:ascii="Times New Roman" w:hAnsi="Times New Roman" w:eastAsia="宋体"/>
            <w:color w:val="0000FF"/>
            <w:sz w:val="21"/>
            <w:u w:val="single"/>
          </w:rPr>
          <w:t>https://arxiv.org/abs/2602.04201v1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点传感器测量重建高维时空场是学习参数偏微分方程动力学的核心挑战。现有的方法通常很难在轨迹和参数设置之间进行泛化，或者依赖于离散化相关的解码器，而这些解码器不能自然地跨网格和分辨率进行传输。我们提出了 STRIDE（时空循环隐式解码器），这是一个两阶段框架，它使用时间编码器将传感器测量的短窗口映射到潜在状态，并使用调制隐式神经表示（INR）解码器在任意查询位置重建字段。使用傅里叶多分量多层神经网络 (FMMNN) 作为 INR 主干，可以改善复杂空间场的表示，并产生比基于正弦的 INR 更稳定的优化。我们提供了一个有条件的理论论证：在低维参数不变集上点测量的稳定延迟可观测性下，重建算子通过有限维嵌入进行因子分解，使 STRIDE 型架构成为自然逼近器。对涵盖混沌动力学和波传播的四个具有挑战性的基准进行的实验表明，STRIDE 在极其稀疏的传感下优于强基线，支持超分辨率，并且对噪声保持鲁棒性。</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high-dimensional spatiotemporal fields from sparse point-sensor measurements is a central challenge in learning parametric PDE dynamics. Existing approaches often struggle to generalize across trajectories and parameter settings, or rely on discretization-tied decoders that do not naturally transfer across meshes and resolutions. We propose STRIDE (Spatio-Temporal Recurrent Implicit DEcoder), a two-stage framework that maps a short window of sensor measurements to a latent state with a temporal encoder and reconstructs the field at arbitrary query locations with a modulated implicit neural representation (INR) decoder. Using the Fourier Multi-Component and Multi-Layer Neural Network (FMMNN) as the INR backbone improves representation of complex spatial fields and yields more stable optimization than sine-based INRs. We provide a conditional theoretical justification: under stable delay observability of point measurements on a low-dimensional parametric invariant set, the reconstruction operator factors through a finite-dimensional embedding, making STRIDE-type architectures natural approximators. Experiments on four challenging benchmarks spanning chaotic dynamics and wave propagation show that STRIDE outperforms strong baselines under extremely sparse sensing, supports super-resolution, and remains robust to noise.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13:27 ---</w:t>
      </w:r>
    </w:p>
    <w:p>
      <w:pPr>
        <w:pStyle w:val="Heading2"/>
      </w:pPr>
      <w:r/>
      <w:r>
        <w:rPr>
          <w:rFonts w:ascii="Times New Roman" w:hAnsi="Times New Roman" w:eastAsia="宋体"/>
          <w:b/>
          <w:color w:val="000000"/>
          <w:sz w:val="24"/>
        </w:rPr>
        <w:t>蛋白质如何将维生素 B12 重新用作光传感器</w:t>
      </w:r>
    </w:p>
    <w:p>
      <w:r>
        <w:rPr>
          <w:rFonts w:ascii="Times New Roman" w:hAnsi="Times New Roman" w:eastAsia="宋体"/>
          <w:b/>
          <w:color w:val="003264"/>
          <w:sz w:val="24"/>
        </w:rPr>
        <w:t>How a protein repurposes vitamin B12 as a light sensor</w:t>
      </w:r>
    </w:p>
    <w:p>
      <w:r>
        <w:rPr>
          <w:rFonts w:ascii="Times New Roman" w:hAnsi="Times New Roman" w:eastAsia="宋体"/>
          <w:sz w:val="21"/>
        </w:rPr>
        <w:t>作者: Dante M. Avalos, Catherine L. Drennan</w:t>
        <w:br/>
      </w:r>
      <w:r>
        <w:rPr>
          <w:rFonts w:ascii="Times New Roman" w:hAnsi="Times New Roman" w:eastAsia="宋体"/>
          <w:sz w:val="21"/>
        </w:rPr>
        <w:t xml:space="preserve">时间: 2026-02-04 | </w:t>
      </w:r>
      <w:r>
        <w:t xml:space="preserve">链接: </w:t>
      </w:r>
      <w:hyperlink r:id="rId146">
        <w:r>
          <w:rPr>
            <w:rFonts w:ascii="Times New Roman" w:hAnsi="Times New Roman" w:eastAsia="宋体"/>
            <w:color w:val="0000FF"/>
            <w:sz w:val="21"/>
            <w:u w:val="single"/>
          </w:rPr>
          <w:t>https://doi.org/10.1038/d41586-026-00169-9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强烈的超短 X 射线脉冲已被用来探测光敏受体中发生的异常反应，解决了生化难题。</w:t>
      </w:r>
    </w:p>
    <w:p>
      <w:pPr>
        <w:spacing w:before="120"/>
      </w:pPr>
      <w:r>
        <w:rPr>
          <w:rFonts w:ascii="Times New Roman" w:hAnsi="Times New Roman" w:eastAsia="宋体"/>
          <w:b/>
          <w:sz w:val="21"/>
        </w:rPr>
        <w:t>English Abstract:</w:t>
      </w:r>
    </w:p>
    <w:p>
      <w:r>
        <w:rPr>
          <w:rFonts w:ascii="Times New Roman" w:hAnsi="Times New Roman" w:eastAsia="宋体"/>
          <w:sz w:val="21"/>
        </w:rPr>
        <w:t>Intense, ultrashort X-ray pulses have been used to probe the extraordinary reactions that occur in a light-sensing receptor, resolving a biochemical conundrum.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粒子碰撞揭示了物质如何从看似真空的空间形成</w:t>
      </w:r>
    </w:p>
    <w:p>
      <w:r>
        <w:rPr>
          <w:rFonts w:ascii="Times New Roman" w:hAnsi="Times New Roman" w:eastAsia="宋体"/>
          <w:b/>
          <w:color w:val="003264"/>
          <w:sz w:val="24"/>
        </w:rPr>
        <w:t>Particle collisions cast light on how matter forms from seemingly empty space</w:t>
      </w:r>
    </w:p>
    <w:p>
      <w:r>
        <w:rPr>
          <w:rFonts w:ascii="Times New Roman" w:hAnsi="Times New Roman" w:eastAsia="宋体"/>
          <w:sz w:val="21"/>
        </w:rPr>
        <w:t>作者: Yasmine Amhis</w:t>
        <w:br/>
      </w:r>
      <w:r>
        <w:rPr>
          <w:rFonts w:ascii="Times New Roman" w:hAnsi="Times New Roman" w:eastAsia="宋体"/>
          <w:sz w:val="21"/>
        </w:rPr>
        <w:t xml:space="preserve">时间: 2026-02-04 | </w:t>
      </w:r>
      <w:r>
        <w:t xml:space="preserve">链接: </w:t>
      </w:r>
      <w:hyperlink r:id="rId147">
        <w:r>
          <w:rPr>
            <w:rFonts w:ascii="Times New Roman" w:hAnsi="Times New Roman" w:eastAsia="宋体"/>
            <w:color w:val="0000FF"/>
            <w:sz w:val="21"/>
            <w:u w:val="single"/>
          </w:rPr>
          <w:t>https://doi.org/10.1038/d41586-026-00036-7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称为夸克的基本粒子可以在量子相关对中产生。这些相关性可以传递给夸克形成的更大粒子。</w:t>
      </w:r>
    </w:p>
    <w:p>
      <w:pPr>
        <w:spacing w:before="120"/>
      </w:pPr>
      <w:r>
        <w:rPr>
          <w:rFonts w:ascii="Times New Roman" w:hAnsi="Times New Roman" w:eastAsia="宋体"/>
          <w:b/>
          <w:sz w:val="21"/>
        </w:rPr>
        <w:t>English Abstract:</w:t>
      </w:r>
    </w:p>
    <w:p>
      <w:r>
        <w:rPr>
          <w:rFonts w:ascii="Times New Roman" w:hAnsi="Times New Roman" w:eastAsia="宋体"/>
          <w:sz w:val="21"/>
        </w:rPr>
        <w:t>Fundamental particles called quarks can be created in quantum-correlated pairs. These correlations can be passed on to larger particles that form from the quarks.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13:28 ---</w:t>
      </w:r>
    </w:p>
    <w:p>
      <w:pPr>
        <w:pStyle w:val="Heading2"/>
      </w:pPr>
      <w:r/>
      <w:r>
        <w:rPr>
          <w:rFonts w:ascii="Times New Roman" w:hAnsi="Times New Roman" w:eastAsia="宋体"/>
          <w:b/>
          <w:color w:val="000000"/>
          <w:sz w:val="24"/>
        </w:rPr>
        <w:t>在 FWM、SRS 和 ASE 噪声的三重影响下，使用 EDFA 的 DWDM/UDWDM 长途传输系统中的机器学习方法预测 OSNR</w:t>
      </w:r>
    </w:p>
    <w:p>
      <w:r>
        <w:rPr>
          <w:rFonts w:ascii="Times New Roman" w:hAnsi="Times New Roman" w:eastAsia="宋体"/>
          <w:b/>
          <w:color w:val="003264"/>
          <w:sz w:val="24"/>
        </w:rPr>
        <w:t>Prediction of OSNR with machine learning methods in DWDM/UDWDM long-haul transmission systems using EDFAs under the triple impact of FWM, SRS and ASE noise</w:t>
      </w:r>
    </w:p>
    <w:p>
      <w:r>
        <w:rPr>
          <w:rFonts w:ascii="Times New Roman" w:hAnsi="Times New Roman" w:eastAsia="宋体"/>
          <w:sz w:val="21"/>
        </w:rPr>
        <w:t>作者: Kübra Kılınçarslan, Sait Eser Karlık</w:t>
        <w:br/>
      </w:r>
      <w:r>
        <w:rPr>
          <w:rFonts w:ascii="Times New Roman" w:hAnsi="Times New Roman" w:eastAsia="宋体"/>
          <w:sz w:val="21"/>
        </w:rPr>
        <w:t xml:space="preserve">时间: 2026-05-01 | </w:t>
      </w:r>
      <w:r>
        <w:t xml:space="preserve">链接: </w:t>
      </w:r>
      <w:hyperlink r:id="rId153">
        <w:r>
          <w:rPr>
            <w:rFonts w:ascii="Times New Roman" w:hAnsi="Times New Roman" w:eastAsia="宋体"/>
            <w:color w:val="0000FF"/>
            <w:sz w:val="21"/>
            <w:u w:val="single"/>
          </w:rPr>
          <w:t>https://doi.org/10.1016/j.optlastec.2026.114832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13:29 ---</w:t>
      </w:r>
    </w:p>
    <w:p>
      <w:pPr>
        <w:pStyle w:val="Heading2"/>
      </w:pPr>
      <w:r/>
      <w:r>
        <w:rPr>
          <w:rFonts w:ascii="Times New Roman" w:hAnsi="Times New Roman" w:eastAsia="宋体"/>
          <w:b/>
          <w:color w:val="000000"/>
          <w:sz w:val="24"/>
        </w:rPr>
        <w:t>通过类庞加莱球表示法对轨道角动量梳进行高效相位测量</w:t>
      </w:r>
    </w:p>
    <w:p>
      <w:r>
        <w:rPr>
          <w:rFonts w:ascii="Times New Roman" w:hAnsi="Times New Roman" w:eastAsia="宋体"/>
          <w:b/>
          <w:color w:val="003264"/>
          <w:sz w:val="24"/>
        </w:rPr>
        <w:t>Efficient phase measurement for orbital angular momentum comb through Poincaré-sphere-like representation</w:t>
      </w:r>
    </w:p>
    <w:p>
      <w:r>
        <w:rPr>
          <w:rFonts w:ascii="Times New Roman" w:hAnsi="Times New Roman" w:eastAsia="宋体"/>
          <w:sz w:val="21"/>
        </w:rPr>
        <w:t>作者: Zi-Mo Cheng, Sheng-Qiang Jia, Hao Sheng, Chao Chen, Jianping Ding, Zhi-Cheng Ren, Xi-Lin Wang, Hui-Tian Wang</w:t>
        <w:br/>
      </w:r>
      <w:r>
        <w:rPr>
          <w:rFonts w:ascii="Times New Roman" w:hAnsi="Times New Roman" w:eastAsia="宋体"/>
          <w:sz w:val="21"/>
        </w:rPr>
        <w:t xml:space="preserve">时间: 2026-02-04 | </w:t>
      </w:r>
      <w:r>
        <w:t xml:space="preserve">链接: </w:t>
      </w:r>
      <w:hyperlink r:id="rId162">
        <w:r>
          <w:rPr>
            <w:rFonts w:ascii="Times New Roman" w:hAnsi="Times New Roman" w:eastAsia="宋体"/>
            <w:color w:val="0000FF"/>
            <w:sz w:val="21"/>
            <w:u w:val="single"/>
          </w:rPr>
          <w:t>https://doi.org/10.1063/5.0303986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螺旋相位的光子将携带轨道角动量（OAM），由于其正交性和无界维数，它可以成为构建高维希尔伯特空间的宝贵资源。然而，高维OAM光谱的快速测量仍然是一个挑战。虽然强度检测相对简单，但完整的表征需要相位检索。尽管量子态断层扫描允许完全重建，但它需要与维度 (d) 的 d2 成二次方缩放的测量数量，导致随着维度 d 的增加而出现“维度灾难”。因此，迫切需要有效且简单的方法从高维OAM谱中提取相位信息。在这里，我们提出了一种具有模拟斯托克斯参数的广义庞加莱球模型，仅使用 4d 测量即可实现 d 维 OAM 频谱的全相位测量，从而显着降低了数据采集要求。我们通过对 8、16 和 32 维 OAM 梳状光谱进行强度和相位测量来验证该方法。结果与理论预测非常吻合，测量的保真度范围为 0.9829 至 0.9965。这种方法有助于高效表征高维 OAM 光谱，并有助于推进其实际应用。</w:t>
      </w:r>
    </w:p>
    <w:p>
      <w:pPr>
        <w:spacing w:before="120"/>
      </w:pPr>
      <w:r>
        <w:rPr>
          <w:rFonts w:ascii="Times New Roman" w:hAnsi="Times New Roman" w:eastAsia="宋体"/>
          <w:b/>
          <w:sz w:val="21"/>
        </w:rPr>
        <w:t>English Abstract:</w:t>
      </w:r>
    </w:p>
    <w:p>
      <w:r>
        <w:rPr>
          <w:rFonts w:ascii="Times New Roman" w:hAnsi="Times New Roman" w:eastAsia="宋体"/>
          <w:sz w:val="21"/>
        </w:rPr>
        <w:t>Photons with a spiral phase will carry orbital angular momentum (OAM), which can serve as a valuable resource for constructing high-dimensional Hilbert spaces due to its orthogonality and unbounded dimensionality. However, the fast measurement of high-dimensional OAM spectra remains a challenge. While intensity detection is relatively straightforward, full characterization requires phase retrieval. Although quantum state tomography allows full reconstruction, it demands a number of measurements scaling quadratically with the d2 of dimension (d), leading to a “curse of dimensionality” as the dimension d increases. Thus, there is an urgent need for efficient and simple methods for extracting phase information from high-dimensional OAM spectra. Here, we propose a generalized Poincaré sphere model with analog Stokes-like parameters, enabling full phase measurement of a d-dimensional OAM spectrum using only 4d measurements, significantly reducing the data acquisition requirement. We experimentally validated the method by performing intensity and phase measurements on 8-, 16-, and 32-dimensional OAM comb spectra. The results show excellent agreement with theoretical predictions, with measured fidelities ranging from 0.9829 to 0.9965. This approach facilitates an efficient characterization of high-dimensional OAM spectra and contributes to advancing their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15:28 ---</w:t>
      </w:r>
    </w:p>
    <w:p>
      <w:pPr>
        <w:pStyle w:val="Heading1"/>
      </w:pPr>
      <w:r>
        <w:rPr>
          <w:rFonts w:ascii="Times New Roman" w:hAnsi="Times New Roman" w:eastAsia="宋体"/>
          <w:b/>
          <w:color w:val="000000"/>
          <w:sz w:val="32"/>
        </w:rPr>
        <w:t>Photonics Research</w:t>
      </w:r>
    </w:p>
    <w:p>
      <w:pPr>
        <w:jc w:val="center"/>
      </w:pPr>
      <w:r>
        <w:t>--- 更新: 15:28 ---</w:t>
      </w:r>
    </w:p>
    <w:p>
      <w:pPr>
        <w:pStyle w:val="Heading2"/>
      </w:pPr>
      <w:r/>
      <w:r>
        <w:rPr>
          <w:rFonts w:ascii="Times New Roman" w:hAnsi="Times New Roman" w:eastAsia="宋体"/>
          <w:b/>
          <w:color w:val="000000"/>
          <w:sz w:val="24"/>
        </w:rPr>
        <w:t>量子噪声流密码系统在量化攻击下的安全性分析</w:t>
      </w:r>
    </w:p>
    <w:p>
      <w:r>
        <w:rPr>
          <w:rFonts w:ascii="Times New Roman" w:hAnsi="Times New Roman" w:eastAsia="宋体"/>
          <w:b/>
          <w:color w:val="003264"/>
          <w:sz w:val="24"/>
        </w:rPr>
        <w:t>Security analysis of quantum noise stream cipher systems under quantization-attack</w:t>
      </w:r>
    </w:p>
    <w:p>
      <w:r>
        <w:rPr>
          <w:rFonts w:ascii="Times New Roman" w:hAnsi="Times New Roman" w:eastAsia="宋体"/>
          <w:sz w:val="21"/>
        </w:rPr>
        <w:t>作者: Jihui Sun, Lin Jiang, Anlin Yi, Wei Pan, Lianshan Yan</w:t>
        <w:br/>
      </w:r>
      <w:r>
        <w:rPr>
          <w:rFonts w:ascii="Times New Roman" w:hAnsi="Times New Roman" w:eastAsia="宋体"/>
          <w:sz w:val="21"/>
        </w:rPr>
        <w:t xml:space="preserve">时间: 2026-01-27 | </w:t>
      </w:r>
      <w:r>
        <w:t xml:space="preserve">链接: </w:t>
      </w:r>
      <w:hyperlink r:id="rId172">
        <w:r>
          <w:rPr>
            <w:rFonts w:ascii="Times New Roman" w:hAnsi="Times New Roman" w:eastAsia="宋体"/>
            <w:color w:val="0000FF"/>
            <w:sz w:val="21"/>
            <w:u w:val="single"/>
          </w:rPr>
          <w:t>https://doi.org/10.1364/prj.574013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在物理层加密方案中，量子噪声流密码（QNSC）由于其与高速商用光纤通信系统的兼容性而受到广泛关注。经过对加密方案的仔细分析，我们发现 QNSC 传输系统在其编码方案中存在安全漏洞。此漏洞限制了量子噪声，以警告依赖于明文的区域中的高阶信息位，从而创建结构化密文隐藏。数值模拟和实验验证均表明窃听者可以利用量化攻击来破解该漏洞。现有的安全评估方法会高估系统在量化攻击下的安全性。此外，系统安全性表现出对明文调制格式的强烈线性依赖性，而不是像广泛假设的那样对密文调制格式。为了进一步增强系统的安全性，在密文的编码过程中进一步引入了概率分布。实验结果表明，我们不仅实现了量子噪声对密文的随机隐藏，而且使窃听者的符号错误率提高了∼86%，并将QAM-QNSC系统的密钥空间最大扩展了2 27.2 。</w:t>
      </w:r>
    </w:p>
    <w:p>
      <w:pPr>
        <w:spacing w:before="120"/>
      </w:pPr>
      <w:r>
        <w:rPr>
          <w:rFonts w:ascii="Times New Roman" w:hAnsi="Times New Roman" w:eastAsia="宋体"/>
          <w:b/>
          <w:sz w:val="21"/>
        </w:rPr>
        <w:t>English Abstract:</w:t>
      </w:r>
    </w:p>
    <w:p>
      <w:r>
        <w:rPr>
          <w:rFonts w:ascii="Times New Roman" w:hAnsi="Times New Roman" w:eastAsia="宋体"/>
          <w:sz w:val="21"/>
        </w:rPr>
        <w:t>Among physical layer encryption schemes, the quantum noise stream cipher (QNSC) has garnered significant attention due to its compatibility with high-speed commercial fiber-optic communication systems. After careful analysis of the encryption scheme, we reveal that QNSC transmission systems exhibit a security vulnerability in their encoding scheme. This vulnerability limits quantum noise to alerting high-order information bits in plaintext-dependent regions, creating structured ciphertext concealment. Numerical simulation and experimental verification both indicate that an eavesdropper can use quantization-attack to crack this vulnerability. Existing security assessment methods will overestimate the system’s security under quantization-attack. In addition, system security demonstrates a strong linear dependence on the plaintext modulation format, rather than the ciphertext modulation format as is widely presumed. To further enhance system security, the probability distribution is further introduced into the encoding process of ciphertext. The experiment results show that we not only achieved random concealment of ciphertext by quantum noise but also enhanced the eavesdropper’s symbol error rate by ∼86 % and maximally expanded the key space of the QAM-QNSC system by 2 27.2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15:28 ---</w:t>
      </w:r>
    </w:p>
    <w:p>
      <w:pPr>
        <w:pStyle w:val="Heading2"/>
      </w:pPr>
      <w:r/>
      <w:r>
        <w:rPr>
          <w:rFonts w:ascii="Times New Roman" w:hAnsi="Times New Roman" w:eastAsia="宋体"/>
          <w:b/>
          <w:color w:val="000000"/>
          <w:sz w:val="24"/>
        </w:rPr>
        <w:t>封面：基于自适应时间同步的高效金刚石拉曼放大方案（Adv. Photonics Res. 2/2026）</w:t>
      </w:r>
    </w:p>
    <w:p>
      <w:r>
        <w:rPr>
          <w:rFonts w:ascii="Times New Roman" w:hAnsi="Times New Roman" w:eastAsia="宋体"/>
          <w:b/>
          <w:color w:val="003264"/>
          <w:sz w:val="24"/>
        </w:rPr>
        <w:t>Front Cover: An Efficient Diamond Raman Amplification Scheme Based on Adaptive Temporal Synchronization (Adv. Photonics Res. 2/2026)</w:t>
      </w:r>
    </w:p>
    <w:p>
      <w:r>
        <w:rPr>
          <w:rFonts w:ascii="Times New Roman" w:hAnsi="Times New Roman" w:eastAsia="宋体"/>
          <w:sz w:val="21"/>
        </w:rPr>
        <w:t>作者: Hao Zheng, Zhenxu Bai, Hui Chen, Fei Zhang, Chengjin Shi, Jie Ding, Yulei Wang, Zhiwei Lu</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https://doi.org/10.1002/adpr.70137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封面特征：用于单光子发射的锋利金刚石针（Adv. Photonics Res. 2/2026）</w:t>
      </w:r>
    </w:p>
    <w:p>
      <w:r>
        <w:rPr>
          <w:rFonts w:ascii="Times New Roman" w:hAnsi="Times New Roman" w:eastAsia="宋体"/>
          <w:b/>
          <w:color w:val="003264"/>
          <w:sz w:val="24"/>
        </w:rPr>
        <w:t>Cover Feature: Sharp Diamond Needles for Single‐Photon Emission (Adv. Photonics Res. 2/2026)</w:t>
      </w:r>
    </w:p>
    <w:p>
      <w:r>
        <w:rPr>
          <w:rFonts w:ascii="Times New Roman" w:hAnsi="Times New Roman" w:eastAsia="宋体"/>
          <w:sz w:val="21"/>
        </w:rPr>
        <w:t>作者: Mariam Quarshie, Yaraslau Padrez, Priyadharshini Balasubramanian, Elena Filonenko, Rizwan Sultan, Renata Karpicz, Alexander Obraztsov, Fedor Jelezko, Sergei Malykhin, Polina Kuzhir</w:t>
        <w:br/>
      </w:r>
      <w:r>
        <w:rPr>
          <w:rFonts w:ascii="Times New Roman" w:hAnsi="Times New Roman" w:eastAsia="宋体"/>
          <w:sz w:val="21"/>
        </w:rPr>
        <w:t xml:space="preserve">时间: 2026-02-04 | </w:t>
      </w:r>
      <w:r>
        <w:t xml:space="preserve">链接: </w:t>
      </w:r>
      <w:hyperlink r:id="rId174">
        <w:r>
          <w:rPr>
            <w:rFonts w:ascii="Times New Roman" w:hAnsi="Times New Roman" w:eastAsia="宋体"/>
            <w:color w:val="0000FF"/>
            <w:sz w:val="21"/>
            <w:u w:val="single"/>
          </w:rPr>
          <w:t>https://doi.org/10.1002/adpr.70153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 Id="rId27" Type="http://schemas.openxmlformats.org/officeDocument/2006/relationships/hyperlink" Target="https://doi.org/10.1038/s41467-026-68772-y" TargetMode="External"/><Relationship Id="rId28" Type="http://schemas.openxmlformats.org/officeDocument/2006/relationships/hyperlink" Target="https://doi.org/10.1038/s41598-026-38371-4" TargetMode="External"/><Relationship Id="rId29" Type="http://schemas.openxmlformats.org/officeDocument/2006/relationships/hyperlink" Target="https://doi.org/10.1038/s41598-026-38407-9" TargetMode="External"/><Relationship Id="rId30" Type="http://schemas.openxmlformats.org/officeDocument/2006/relationships/hyperlink" Target="https://doi.org/10.1038/s41598-026-38415-9" TargetMode="External"/><Relationship Id="rId31" Type="http://schemas.openxmlformats.org/officeDocument/2006/relationships/hyperlink" Target="https://doi.org/10.1038/s41598-026-38449-z" TargetMode="External"/><Relationship Id="rId32" Type="http://schemas.openxmlformats.org/officeDocument/2006/relationships/hyperlink" Target="https://doi.org/10.1038/s41598-026-39098-y" TargetMode="External"/><Relationship Id="rId33" Type="http://schemas.openxmlformats.org/officeDocument/2006/relationships/hyperlink" Target="https://doi.org/10.1038/s41598-026-38384-z" TargetMode="External"/><Relationship Id="rId34" Type="http://schemas.openxmlformats.org/officeDocument/2006/relationships/hyperlink" Target="https://doi.org/10.1038/s41598-026-36054-8" TargetMode="External"/><Relationship Id="rId35" Type="http://schemas.openxmlformats.org/officeDocument/2006/relationships/hyperlink" Target="https://doi.org/10.1038/s41598-026-38731-0" TargetMode="External"/><Relationship Id="rId36" Type="http://schemas.openxmlformats.org/officeDocument/2006/relationships/hyperlink" Target="https://doi.org/10.1038/s41598-026-38746-7" TargetMode="External"/><Relationship Id="rId37" Type="http://schemas.openxmlformats.org/officeDocument/2006/relationships/hyperlink" Target="https://doi.org/10.1038/s41598-026-37406-0" TargetMode="External"/><Relationship Id="rId38" Type="http://schemas.openxmlformats.org/officeDocument/2006/relationships/hyperlink" Target="https://doi.org/10.1038/s41598-026-38346-5" TargetMode="External"/><Relationship Id="rId39" Type="http://schemas.openxmlformats.org/officeDocument/2006/relationships/hyperlink" Target="https://doi.org/10.1038/s41598-026-38388-9" TargetMode="External"/><Relationship Id="rId40" Type="http://schemas.openxmlformats.org/officeDocument/2006/relationships/hyperlink" Target="https://doi.org/10.1038/s41598-026-38128-z" TargetMode="External"/><Relationship Id="rId41" Type="http://schemas.openxmlformats.org/officeDocument/2006/relationships/hyperlink" Target="https://doi.org/10.1038/s41598-025-31173-0" TargetMode="External"/><Relationship Id="rId42" Type="http://schemas.openxmlformats.org/officeDocument/2006/relationships/hyperlink" Target="https://doi.org/10.1038/s41598-026-38020-w" TargetMode="External"/><Relationship Id="rId43" Type="http://schemas.openxmlformats.org/officeDocument/2006/relationships/hyperlink" Target="https://doi.org/10.1038/s41598-026-38356-3" TargetMode="External"/><Relationship Id="rId44" Type="http://schemas.openxmlformats.org/officeDocument/2006/relationships/hyperlink" Target="https://doi.org/10.1038/s41598-026-38352-7" TargetMode="External"/><Relationship Id="rId45" Type="http://schemas.openxmlformats.org/officeDocument/2006/relationships/hyperlink" Target="https://doi.org/10.1016/j.optcom.2026.132994" TargetMode="External"/><Relationship Id="rId46" Type="http://schemas.openxmlformats.org/officeDocument/2006/relationships/hyperlink" Target="https://doi.org/10.1016/j.optcom.2026.132995" TargetMode="External"/><Relationship Id="rId47" Type="http://schemas.openxmlformats.org/officeDocument/2006/relationships/hyperlink" Target="https://doi.org/10.1364/oe.582674" TargetMode="External"/><Relationship Id="rId48" Type="http://schemas.openxmlformats.org/officeDocument/2006/relationships/hyperlink" Target="https://doi.org/10.1364/oe.581002" TargetMode="External"/><Relationship Id="rId49" Type="http://schemas.openxmlformats.org/officeDocument/2006/relationships/hyperlink" Target="https://doi.org/10.1364/oe.578992" TargetMode="External"/><Relationship Id="rId50" Type="http://schemas.openxmlformats.org/officeDocument/2006/relationships/hyperlink" Target="https://doi.org/10.1364/oe.581652" TargetMode="External"/><Relationship Id="rId51" Type="http://schemas.openxmlformats.org/officeDocument/2006/relationships/hyperlink" Target="https://doi.org/10.1364/oe.579508" TargetMode="External"/><Relationship Id="rId52" Type="http://schemas.openxmlformats.org/officeDocument/2006/relationships/hyperlink" Target="https://doi.org/10.1364/boe.585526" TargetMode="External"/><Relationship Id="rId53" Type="http://schemas.openxmlformats.org/officeDocument/2006/relationships/hyperlink" Target="https://doi.org/10.1002/lpor.202503162" TargetMode="External"/><Relationship Id="rId54" Type="http://schemas.openxmlformats.org/officeDocument/2006/relationships/hyperlink" Target="https://doi.org/10.1002/lpor.202503022" TargetMode="External"/><Relationship Id="rId55" Type="http://schemas.openxmlformats.org/officeDocument/2006/relationships/hyperlink" Target="https://doi.org/10.1002/lpor.202502853" TargetMode="External"/><Relationship Id="rId56" Type="http://schemas.openxmlformats.org/officeDocument/2006/relationships/hyperlink" Target="https://doi.org/10.1021/phv013i003_2036987" TargetMode="External"/><Relationship Id="rId57" Type="http://schemas.openxmlformats.org/officeDocument/2006/relationships/hyperlink" Target="https://doi.org/10.1021/phv013i003_2036986" TargetMode="External"/><Relationship Id="rId58" Type="http://schemas.openxmlformats.org/officeDocument/2006/relationships/hyperlink" Target="https://doi.org/10.1038/s41598-026-37746-x" TargetMode="External"/><Relationship Id="rId59" Type="http://schemas.openxmlformats.org/officeDocument/2006/relationships/hyperlink" Target="https://doi.org/10.1038/s41598-026-37318-z" TargetMode="External"/><Relationship Id="rId60" Type="http://schemas.openxmlformats.org/officeDocument/2006/relationships/hyperlink" Target="https://doi.org/10.1038/s41598-026-38343-8" TargetMode="External"/><Relationship Id="rId61" Type="http://schemas.openxmlformats.org/officeDocument/2006/relationships/hyperlink" Target="https://doi.org/10.1038/s41598-026-37129-2" TargetMode="External"/><Relationship Id="rId62" Type="http://schemas.openxmlformats.org/officeDocument/2006/relationships/hyperlink" Target="https://doi.org/10.1038/s41598-026-36363-y" TargetMode="External"/><Relationship Id="rId63" Type="http://schemas.openxmlformats.org/officeDocument/2006/relationships/hyperlink" Target="https://doi.org/10.1038/s41598-026-35816-8" TargetMode="External"/><Relationship Id="rId64" Type="http://schemas.openxmlformats.org/officeDocument/2006/relationships/hyperlink" Target="https://doi.org/10.1038/s41566-026-01847-w" TargetMode="External"/><Relationship Id="rId65" Type="http://schemas.openxmlformats.org/officeDocument/2006/relationships/hyperlink" Target="https://doi.org/10.1038/s41467-026-68983-3" TargetMode="External"/><Relationship Id="rId66" Type="http://schemas.openxmlformats.org/officeDocument/2006/relationships/hyperlink" Target="https://doi.org/10.1038/s41467-026-68708-6" TargetMode="External"/><Relationship Id="rId67" Type="http://schemas.openxmlformats.org/officeDocument/2006/relationships/hyperlink" Target="https://doi.org/10.1038/s41598-026-37872-6" TargetMode="External"/><Relationship Id="rId68" Type="http://schemas.openxmlformats.org/officeDocument/2006/relationships/hyperlink" Target="https://doi.org/10.1038/s41598-026-35015-5" TargetMode="External"/><Relationship Id="rId69" Type="http://schemas.openxmlformats.org/officeDocument/2006/relationships/hyperlink" Target="https://doi.org/10.1038/s41598-026-37903-2" TargetMode="External"/><Relationship Id="rId70" Type="http://schemas.openxmlformats.org/officeDocument/2006/relationships/hyperlink" Target="https://doi.org/10.1038/s41598-026-37523-w" TargetMode="External"/><Relationship Id="rId71" Type="http://schemas.openxmlformats.org/officeDocument/2006/relationships/hyperlink" Target="https://doi.org/10.1364/ao.583961" TargetMode="External"/><Relationship Id="rId72" Type="http://schemas.openxmlformats.org/officeDocument/2006/relationships/hyperlink" Target="https://doi.org/10.1364/ao.583890" TargetMode="External"/><Relationship Id="rId73" Type="http://schemas.openxmlformats.org/officeDocument/2006/relationships/hyperlink" Target="https://arxiv.org/abs/2602.04330v1" TargetMode="External"/><Relationship Id="rId74" Type="http://schemas.openxmlformats.org/officeDocument/2006/relationships/hyperlink" Target="https://arxiv.org/abs/2602.04618v1" TargetMode="External"/><Relationship Id="rId75" Type="http://schemas.openxmlformats.org/officeDocument/2006/relationships/hyperlink" Target="https://arxiv.org/abs/2602.03281v2" TargetMode="External"/><Relationship Id="rId76" Type="http://schemas.openxmlformats.org/officeDocument/2006/relationships/hyperlink" Target="https://arxiv.org/abs/2602.04840v1" TargetMode="External"/><Relationship Id="rId77" Type="http://schemas.openxmlformats.org/officeDocument/2006/relationships/hyperlink" Target="https://arxiv.org/abs/2602.04834v1" TargetMode="External"/><Relationship Id="rId78" Type="http://schemas.openxmlformats.org/officeDocument/2006/relationships/hyperlink" Target="https://arxiv.org/abs/2602.04121v1" TargetMode="External"/><Relationship Id="rId79" Type="http://schemas.openxmlformats.org/officeDocument/2006/relationships/hyperlink" Target="https://arxiv.org/abs/2602.04171v1" TargetMode="External"/><Relationship Id="rId80" Type="http://schemas.openxmlformats.org/officeDocument/2006/relationships/hyperlink" Target="https://arxiv.org/abs/2602.04259v1" TargetMode="External"/><Relationship Id="rId81" Type="http://schemas.openxmlformats.org/officeDocument/2006/relationships/hyperlink" Target="https://arxiv.org/abs/2602.04319v1" TargetMode="External"/><Relationship Id="rId82" Type="http://schemas.openxmlformats.org/officeDocument/2006/relationships/hyperlink" Target="https://arxiv.org/abs/2602.04395v1" TargetMode="External"/><Relationship Id="rId83" Type="http://schemas.openxmlformats.org/officeDocument/2006/relationships/hyperlink" Target="https://arxiv.org/abs/2602.04446v1" TargetMode="External"/><Relationship Id="rId84" Type="http://schemas.openxmlformats.org/officeDocument/2006/relationships/hyperlink" Target="https://arxiv.org/abs/2602.04483v1" TargetMode="External"/><Relationship Id="rId85" Type="http://schemas.openxmlformats.org/officeDocument/2006/relationships/hyperlink" Target="https://arxiv.org/abs/2602.04505v1" TargetMode="External"/><Relationship Id="rId86" Type="http://schemas.openxmlformats.org/officeDocument/2006/relationships/hyperlink" Target="https://arxiv.org/abs/2602.04724v1" TargetMode="External"/><Relationship Id="rId87" Type="http://schemas.openxmlformats.org/officeDocument/2006/relationships/hyperlink" Target="https://arxiv.org/abs/2602.03998v1" TargetMode="External"/><Relationship Id="rId88" Type="http://schemas.openxmlformats.org/officeDocument/2006/relationships/hyperlink" Target="https://arxiv.org/abs/2602.04032v1" TargetMode="External"/><Relationship Id="rId89" Type="http://schemas.openxmlformats.org/officeDocument/2006/relationships/hyperlink" Target="https://arxiv.org/abs/2602.04162v1" TargetMode="External"/><Relationship Id="rId90" Type="http://schemas.openxmlformats.org/officeDocument/2006/relationships/hyperlink" Target="https://arxiv.org/abs/2602.04712v1" TargetMode="External"/><Relationship Id="rId91" Type="http://schemas.openxmlformats.org/officeDocument/2006/relationships/hyperlink" Target="https://arxiv.org/abs/2602.04009v1" TargetMode="External"/><Relationship Id="rId92" Type="http://schemas.openxmlformats.org/officeDocument/2006/relationships/hyperlink" Target="https://arxiv.org/abs/2602.04030v1" TargetMode="External"/><Relationship Id="rId93" Type="http://schemas.openxmlformats.org/officeDocument/2006/relationships/hyperlink" Target="https://arxiv.org/abs/2602.04043v1" TargetMode="External"/><Relationship Id="rId94" Type="http://schemas.openxmlformats.org/officeDocument/2006/relationships/hyperlink" Target="https://arxiv.org/abs/2602.04046v1" TargetMode="External"/><Relationship Id="rId95" Type="http://schemas.openxmlformats.org/officeDocument/2006/relationships/hyperlink" Target="https://arxiv.org/abs/2602.04051v1" TargetMode="External"/><Relationship Id="rId96" Type="http://schemas.openxmlformats.org/officeDocument/2006/relationships/hyperlink" Target="https://arxiv.org/abs/2602.04053v1" TargetMode="External"/><Relationship Id="rId97" Type="http://schemas.openxmlformats.org/officeDocument/2006/relationships/hyperlink" Target="https://arxiv.org/abs/2602.04063v1" TargetMode="External"/><Relationship Id="rId98" Type="http://schemas.openxmlformats.org/officeDocument/2006/relationships/hyperlink" Target="https://arxiv.org/abs/2602.04102v1" TargetMode="External"/><Relationship Id="rId99" Type="http://schemas.openxmlformats.org/officeDocument/2006/relationships/hyperlink" Target="https://arxiv.org/abs/2602.04142v1" TargetMode="External"/><Relationship Id="rId100" Type="http://schemas.openxmlformats.org/officeDocument/2006/relationships/hyperlink" Target="https://arxiv.org/abs/2602.04154v1" TargetMode="External"/><Relationship Id="rId101" Type="http://schemas.openxmlformats.org/officeDocument/2006/relationships/hyperlink" Target="https://arxiv.org/abs/2602.04170v1" TargetMode="External"/><Relationship Id="rId102" Type="http://schemas.openxmlformats.org/officeDocument/2006/relationships/hyperlink" Target="https://arxiv.org/abs/2602.04182v1" TargetMode="External"/><Relationship Id="rId103" Type="http://schemas.openxmlformats.org/officeDocument/2006/relationships/hyperlink" Target="https://arxiv.org/abs/2602.04184v1" TargetMode="External"/><Relationship Id="rId104" Type="http://schemas.openxmlformats.org/officeDocument/2006/relationships/hyperlink" Target="https://arxiv.org/abs/2602.04193v1" TargetMode="External"/><Relationship Id="rId105" Type="http://schemas.openxmlformats.org/officeDocument/2006/relationships/hyperlink" Target="https://arxiv.org/abs/2602.04227v1" TargetMode="External"/><Relationship Id="rId106" Type="http://schemas.openxmlformats.org/officeDocument/2006/relationships/hyperlink" Target="https://arxiv.org/abs/2602.04237v1" TargetMode="External"/><Relationship Id="rId107" Type="http://schemas.openxmlformats.org/officeDocument/2006/relationships/hyperlink" Target="https://arxiv.org/abs/2602.04240v1" TargetMode="External"/><Relationship Id="rId108" Type="http://schemas.openxmlformats.org/officeDocument/2006/relationships/hyperlink" Target="https://arxiv.org/abs/2602.04271v1" TargetMode="External"/><Relationship Id="rId109" Type="http://schemas.openxmlformats.org/officeDocument/2006/relationships/hyperlink" Target="https://arxiv.org/abs/2602.04304v1" TargetMode="External"/><Relationship Id="rId110" Type="http://schemas.openxmlformats.org/officeDocument/2006/relationships/hyperlink" Target="https://arxiv.org/abs/2602.04315v1" TargetMode="External"/><Relationship Id="rId111" Type="http://schemas.openxmlformats.org/officeDocument/2006/relationships/hyperlink" Target="https://arxiv.org/abs/2602.04317v1" TargetMode="External"/><Relationship Id="rId112" Type="http://schemas.openxmlformats.org/officeDocument/2006/relationships/hyperlink" Target="https://arxiv.org/abs/2602.04340v1" TargetMode="External"/><Relationship Id="rId113" Type="http://schemas.openxmlformats.org/officeDocument/2006/relationships/hyperlink" Target="https://arxiv.org/abs/2602.04343v1" TargetMode="External"/><Relationship Id="rId114" Type="http://schemas.openxmlformats.org/officeDocument/2006/relationships/hyperlink" Target="https://arxiv.org/abs/2602.04349v1" TargetMode="External"/><Relationship Id="rId115" Type="http://schemas.openxmlformats.org/officeDocument/2006/relationships/hyperlink" Target="https://arxiv.org/abs/2602.04356v1" TargetMode="External"/><Relationship Id="rId116" Type="http://schemas.openxmlformats.org/officeDocument/2006/relationships/hyperlink" Target="https://arxiv.org/abs/2602.04361v1" TargetMode="External"/><Relationship Id="rId117" Type="http://schemas.openxmlformats.org/officeDocument/2006/relationships/hyperlink" Target="https://arxiv.org/abs/2602.04381v1" TargetMode="External"/><Relationship Id="rId118" Type="http://schemas.openxmlformats.org/officeDocument/2006/relationships/hyperlink" Target="https://arxiv.org/abs/2602.04401v1" TargetMode="External"/><Relationship Id="rId119" Type="http://schemas.openxmlformats.org/officeDocument/2006/relationships/hyperlink" Target="https://arxiv.org/abs/2602.04405v1" TargetMode="External"/><Relationship Id="rId120" Type="http://schemas.openxmlformats.org/officeDocument/2006/relationships/hyperlink" Target="https://arxiv.org/abs/2602.04406v1" TargetMode="External"/><Relationship Id="rId121" Type="http://schemas.openxmlformats.org/officeDocument/2006/relationships/hyperlink" Target="https://arxiv.org/abs/2602.04416v1" TargetMode="External"/><Relationship Id="rId122" Type="http://schemas.openxmlformats.org/officeDocument/2006/relationships/hyperlink" Target="https://arxiv.org/abs/2602.04439v1" TargetMode="External"/><Relationship Id="rId123" Type="http://schemas.openxmlformats.org/officeDocument/2006/relationships/hyperlink" Target="https://arxiv.org/abs/2602.04462v1" TargetMode="External"/><Relationship Id="rId124" Type="http://schemas.openxmlformats.org/officeDocument/2006/relationships/hyperlink" Target="https://arxiv.org/abs/2602.04473v1" TargetMode="External"/><Relationship Id="rId125" Type="http://schemas.openxmlformats.org/officeDocument/2006/relationships/hyperlink" Target="https://arxiv.org/abs/2602.04517v1" TargetMode="External"/><Relationship Id="rId126" Type="http://schemas.openxmlformats.org/officeDocument/2006/relationships/hyperlink" Target="https://arxiv.org/abs/2602.04547v1" TargetMode="External"/><Relationship Id="rId127" Type="http://schemas.openxmlformats.org/officeDocument/2006/relationships/hyperlink" Target="https://arxiv.org/abs/2602.04565v1" TargetMode="External"/><Relationship Id="rId128" Type="http://schemas.openxmlformats.org/officeDocument/2006/relationships/hyperlink" Target="https://arxiv.org/abs/2602.04583v1" TargetMode="External"/><Relationship Id="rId129" Type="http://schemas.openxmlformats.org/officeDocument/2006/relationships/hyperlink" Target="https://arxiv.org/abs/2602.04585v1" TargetMode="External"/><Relationship Id="rId130" Type="http://schemas.openxmlformats.org/officeDocument/2006/relationships/hyperlink" Target="https://arxiv.org/abs/2602.04624v1" TargetMode="External"/><Relationship Id="rId131" Type="http://schemas.openxmlformats.org/officeDocument/2006/relationships/hyperlink" Target="https://arxiv.org/abs/2602.04687v1" TargetMode="External"/><Relationship Id="rId132" Type="http://schemas.openxmlformats.org/officeDocument/2006/relationships/hyperlink" Target="https://arxiv.org/abs/2602.04692v1" TargetMode="External"/><Relationship Id="rId133" Type="http://schemas.openxmlformats.org/officeDocument/2006/relationships/hyperlink" Target="https://arxiv.org/abs/2602.04713v1" TargetMode="External"/><Relationship Id="rId134" Type="http://schemas.openxmlformats.org/officeDocument/2006/relationships/hyperlink" Target="https://arxiv.org/abs/2602.04722v1" TargetMode="External"/><Relationship Id="rId135" Type="http://schemas.openxmlformats.org/officeDocument/2006/relationships/hyperlink" Target="https://arxiv.org/abs/2602.04749v1" TargetMode="External"/><Relationship Id="rId136" Type="http://schemas.openxmlformats.org/officeDocument/2006/relationships/hyperlink" Target="https://arxiv.org/abs/2602.04802v1" TargetMode="External"/><Relationship Id="rId137" Type="http://schemas.openxmlformats.org/officeDocument/2006/relationships/hyperlink" Target="https://arxiv.org/abs/2602.04814v1" TargetMode="External"/><Relationship Id="rId138" Type="http://schemas.openxmlformats.org/officeDocument/2006/relationships/hyperlink" Target="https://arxiv.org/abs/2602.04819v1" TargetMode="External"/><Relationship Id="rId139" Type="http://schemas.openxmlformats.org/officeDocument/2006/relationships/hyperlink" Target="https://arxiv.org/abs/2602.04820v1" TargetMode="External"/><Relationship Id="rId140" Type="http://schemas.openxmlformats.org/officeDocument/2006/relationships/hyperlink" Target="https://arxiv.org/abs/2602.04864v1" TargetMode="External"/><Relationship Id="rId141" Type="http://schemas.openxmlformats.org/officeDocument/2006/relationships/hyperlink" Target="https://arxiv.org/abs/2602.04873v1" TargetMode="External"/><Relationship Id="rId142" Type="http://schemas.openxmlformats.org/officeDocument/2006/relationships/hyperlink" Target="https://arxiv.org/abs/2602.04876v1" TargetMode="External"/><Relationship Id="rId143" Type="http://schemas.openxmlformats.org/officeDocument/2006/relationships/hyperlink" Target="https://arxiv.org/abs/2602.04877v1" TargetMode="External"/><Relationship Id="rId144" Type="http://schemas.openxmlformats.org/officeDocument/2006/relationships/hyperlink" Target="https://arxiv.org/abs/2602.04884v1" TargetMode="External"/><Relationship Id="rId145" Type="http://schemas.openxmlformats.org/officeDocument/2006/relationships/hyperlink" Target="https://arxiv.org/abs/2602.04201v1" TargetMode="External"/><Relationship Id="rId146" Type="http://schemas.openxmlformats.org/officeDocument/2006/relationships/hyperlink" Target="https://doi.org/10.1038/d41586-026-00169-9" TargetMode="External"/><Relationship Id="rId147" Type="http://schemas.openxmlformats.org/officeDocument/2006/relationships/hyperlink" Target="https://doi.org/10.1038/d41586-026-00036-7" TargetMode="External"/><Relationship Id="rId148" Type="http://schemas.openxmlformats.org/officeDocument/2006/relationships/hyperlink" Target="https://doi.org/10.1038/s41598-026-35841-7" TargetMode="External"/><Relationship Id="rId149" Type="http://schemas.openxmlformats.org/officeDocument/2006/relationships/hyperlink" Target="https://doi.org/10.1038/s41598-026-36260-4" TargetMode="External"/><Relationship Id="rId150" Type="http://schemas.openxmlformats.org/officeDocument/2006/relationships/hyperlink" Target="https://doi.org/10.1038/s41598-026-36097-x" TargetMode="External"/><Relationship Id="rId151" Type="http://schemas.openxmlformats.org/officeDocument/2006/relationships/hyperlink" Target="https://doi.org/10.1038/s41598-026-36573-4" TargetMode="External"/><Relationship Id="rId152" Type="http://schemas.openxmlformats.org/officeDocument/2006/relationships/hyperlink" Target="https://doi.org/10.1038/s41598-026-37395-0" TargetMode="External"/><Relationship Id="rId153" Type="http://schemas.openxmlformats.org/officeDocument/2006/relationships/hyperlink" Target="https://doi.org/10.1016/j.optlastec.2026.114832" TargetMode="External"/><Relationship Id="rId154" Type="http://schemas.openxmlformats.org/officeDocument/2006/relationships/hyperlink" Target="https://doi.org/10.1364/ao.585420" TargetMode="External"/><Relationship Id="rId155" Type="http://schemas.openxmlformats.org/officeDocument/2006/relationships/hyperlink" Target="https://doi.org/10.1364/ao.586383" TargetMode="External"/><Relationship Id="rId156" Type="http://schemas.openxmlformats.org/officeDocument/2006/relationships/hyperlink" Target="https://doi.org/10.1364/ao.586419" TargetMode="External"/><Relationship Id="rId157" Type="http://schemas.openxmlformats.org/officeDocument/2006/relationships/hyperlink" Target="https://doi.org/10.1364/ao.585711" TargetMode="External"/><Relationship Id="rId158" Type="http://schemas.openxmlformats.org/officeDocument/2006/relationships/hyperlink" Target="https://doi.org/10.1364/ao.586119" TargetMode="External"/><Relationship Id="rId159" Type="http://schemas.openxmlformats.org/officeDocument/2006/relationships/hyperlink" Target="https://doi.org/10.1364/ao.585838" TargetMode="External"/><Relationship Id="rId160" Type="http://schemas.openxmlformats.org/officeDocument/2006/relationships/hyperlink" Target="https://doi.org/10.1364/ao.575790" TargetMode="External"/><Relationship Id="rId161" Type="http://schemas.openxmlformats.org/officeDocument/2006/relationships/hyperlink" Target="https://doi.org/10.1364/ao.575879" TargetMode="External"/><Relationship Id="rId162" Type="http://schemas.openxmlformats.org/officeDocument/2006/relationships/hyperlink" Target="https://doi.org/10.1063/5.0303986" TargetMode="External"/><Relationship Id="rId163" Type="http://schemas.openxmlformats.org/officeDocument/2006/relationships/hyperlink" Target="https://doi.org/10.1038/s41467-026-68939-7" TargetMode="External"/><Relationship Id="rId164" Type="http://schemas.openxmlformats.org/officeDocument/2006/relationships/hyperlink" Target="https://doi.org/10.1038/s41467-025-67511-z" TargetMode="External"/><Relationship Id="rId165" Type="http://schemas.openxmlformats.org/officeDocument/2006/relationships/hyperlink" Target="https://doi.org/10.1038/s41598-026-38263-7" TargetMode="External"/><Relationship Id="rId166" Type="http://schemas.openxmlformats.org/officeDocument/2006/relationships/hyperlink" Target="https://doi.org/10.1016/j.displa.2026.103372" TargetMode="External"/><Relationship Id="rId167" Type="http://schemas.openxmlformats.org/officeDocument/2006/relationships/hyperlink" Target="https://doi.org/10.1016/j.displa.2026.103371" TargetMode="External"/><Relationship Id="rId168" Type="http://schemas.openxmlformats.org/officeDocument/2006/relationships/hyperlink" Target="https://doi.org/10.1016/j.displa.2026.103381" TargetMode="External"/><Relationship Id="rId169" Type="http://schemas.openxmlformats.org/officeDocument/2006/relationships/hyperlink" Target="https://doi.org/10.1016/j.displa.2026.103384" TargetMode="External"/><Relationship Id="rId170" Type="http://schemas.openxmlformats.org/officeDocument/2006/relationships/hyperlink" Target="https://doi.org/10.1016/j.displa.2026.103379" TargetMode="External"/><Relationship Id="rId171" Type="http://schemas.openxmlformats.org/officeDocument/2006/relationships/hyperlink" Target="https://doi.org/10.1016/j.optcom.2026.132967" TargetMode="External"/><Relationship Id="rId172" Type="http://schemas.openxmlformats.org/officeDocument/2006/relationships/hyperlink" Target="https://doi.org/10.1364/prj.574013" TargetMode="External"/><Relationship Id="rId173" Type="http://schemas.openxmlformats.org/officeDocument/2006/relationships/hyperlink" Target="https://doi.org/10.1002/adpr.70137" TargetMode="External"/><Relationship Id="rId174" Type="http://schemas.openxmlformats.org/officeDocument/2006/relationships/hyperlink" Target="https://doi.org/10.1002/adpr.701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