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光调节雄性小鼠的长期威胁回避行为</w:t>
      </w:r>
    </w:p>
    <w:p>
      <w:r>
        <w:rPr>
          <w:rFonts w:ascii="Times New Roman" w:hAnsi="Times New Roman" w:eastAsia="宋体"/>
          <w:b/>
          <w:color w:val="003264"/>
          <w:sz w:val="24"/>
        </w:rPr>
        <w:t>Light tunes long-term threat avoidance behavior in male mice</w:t>
      </w:r>
    </w:p>
    <w:p>
      <w:r>
        <w:rPr>
          <w:rFonts w:ascii="Times New Roman" w:hAnsi="Times New Roman" w:eastAsia="宋体"/>
          <w:sz w:val="21"/>
        </w:rPr>
        <w:t>作者: Marcos L. Aranda, Eric Min, Lucy T. Liu, Anika E. Schipma, Hui Wang, Tiffany M. Schmidt</w:t>
        <w:br/>
      </w:r>
      <w:r>
        <w:rPr>
          <w:rFonts w:ascii="Times New Roman" w:hAnsi="Times New Roman" w:eastAsia="宋体"/>
          <w:sz w:val="21"/>
        </w:rPr>
        <w:t xml:space="preserve">时间: 2026-02-13 | </w:t>
      </w:r>
      <w:r>
        <w:t xml:space="preserve">链接: </w:t>
      </w:r>
      <w:hyperlink r:id="rId10">
        <w:r>
          <w:rPr>
            <w:rFonts w:ascii="Times New Roman" w:hAnsi="Times New Roman" w:eastAsia="宋体"/>
            <w:color w:val="0000FF"/>
            <w:sz w:val="21"/>
            <w:u w:val="single"/>
          </w:rPr>
          <w:t>https://doi.org/10.1038/s41467-026-69564-0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在这项研究中，作者描述了光如何通过连接小鼠眼睛和边缘系统的视觉回路塑造长期威胁规避行为。</w:t>
      </w:r>
    </w:p>
    <w:p>
      <w:pPr>
        <w:spacing w:before="120"/>
      </w:pPr>
      <w:r>
        <w:rPr>
          <w:rFonts w:ascii="Times New Roman" w:hAnsi="Times New Roman" w:eastAsia="宋体"/>
          <w:b/>
          <w:sz w:val="21"/>
        </w:rPr>
        <w:t>English Abstract:</w:t>
      </w:r>
    </w:p>
    <w:p>
      <w:r>
        <w:rPr>
          <w:rFonts w:ascii="Times New Roman" w:hAnsi="Times New Roman" w:eastAsia="宋体"/>
          <w:sz w:val="21"/>
        </w:rPr>
        <w:t>In this study, the authors describe how light shapes a long-term threat avoidance behavior via a visual circuit linking the eye with the limbic system in mice.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用于空穴传输层的杂芳基衍生物可提高钙钛矿太阳能电池的热稳定性</w:t>
      </w:r>
    </w:p>
    <w:p>
      <w:r>
        <w:rPr>
          <w:rFonts w:ascii="Times New Roman" w:hAnsi="Times New Roman" w:eastAsia="宋体"/>
          <w:b/>
          <w:color w:val="003264"/>
          <w:sz w:val="24"/>
        </w:rPr>
        <w:t>Heteroaryl derivatives for hole-transport layers improve thermal stability of perovskite solar cells</w:t>
      </w:r>
    </w:p>
    <w:p>
      <w:r>
        <w:rPr>
          <w:rFonts w:ascii="Times New Roman" w:hAnsi="Times New Roman" w:eastAsia="宋体"/>
          <w:sz w:val="21"/>
        </w:rPr>
        <w:t>作者: Hiroyuki Kanda, Santa Mondal, Naoto Eguchi, Naoyuki Nishimura, Yoyo Hinuma, Kohei Yamamoto, Masaki Yumoto, Kenichi Tashiro, Hideyuki Takada, Aiko Narazaki, Takashi Koida, Takurou N. Murakami</w:t>
        <w:br/>
      </w:r>
      <w:r>
        <w:rPr>
          <w:rFonts w:ascii="Times New Roman" w:hAnsi="Times New Roman" w:eastAsia="宋体"/>
          <w:sz w:val="21"/>
        </w:rPr>
        <w:t xml:space="preserve">时间: 2026-02-13 | </w:t>
      </w:r>
      <w:r>
        <w:t xml:space="preserve">链接: </w:t>
      </w:r>
      <w:hyperlink r:id="rId11">
        <w:r>
          <w:rPr>
            <w:rFonts w:ascii="Times New Roman" w:hAnsi="Times New Roman" w:eastAsia="宋体"/>
            <w:color w:val="0000FF"/>
            <w:sz w:val="21"/>
            <w:u w:val="single"/>
          </w:rPr>
          <w:t>https://doi.org/10.1038/s41467-025-68236-9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钙钛矿太阳能电池（PSC）的热稳定性仍然是其集成到电网应用中的关键挑战。在这里，我们通过在 Spiro-OMeTAD 中使用杂芳基添加剂来报道热稳定 PSC。这些添加剂有效控制空穴传输层中空隙的形成，并最大限度地减少与钙钛矿层的反应性，显着提高PSC在85°C下的热稳定性。结果，具有3-苯基吡啶和2-苯基吡啶的PSC在85℃测试2400小时后分别保持了其初始光转换效率的101%和104%。作为一个额外的好处，光伏性能实现了 25% 的光转换效率。此外，户外测试显示，在最大功率点跟踪下，1570小时后初始功率点电压仍保持在90%，表现出卓越的光稳定性和循环稳定性。我们通过比较 36 种杂芳基衍生物和 60 种添加剂组合，揭示了添加剂如何提高 PSC 热稳定性的机制。</w:t>
      </w:r>
    </w:p>
    <w:p>
      <w:pPr>
        <w:spacing w:before="120"/>
      </w:pPr>
      <w:r>
        <w:rPr>
          <w:rFonts w:ascii="Times New Roman" w:hAnsi="Times New Roman" w:eastAsia="宋体"/>
          <w:b/>
          <w:sz w:val="21"/>
        </w:rPr>
        <w:t>English Abstract:</w:t>
      </w:r>
    </w:p>
    <w:p>
      <w:r>
        <w:rPr>
          <w:rFonts w:ascii="Times New Roman" w:hAnsi="Times New Roman" w:eastAsia="宋体"/>
          <w:sz w:val="21"/>
        </w:rPr>
        <w:t>Abstract The thermal stability of perovskite solar cells (PSCs) remains a critical challenge for their integration into power grid applications. Here, we report the thermally stable PSCs by employing heteroaryl additives in the Spiro-OMeTAD. These additives effectively control void formation in the hole-transport layer and minimize reactivity with the perovskite layer, significantly improving the thermal stability of PSCs at 85 °C. As a result, PSCs with 3-phenylpyridine and 2-phenylpyridine maintained 101% and 104% of their initial photoconversion efficiency after 2400 hours of 85 °C test, respectively. As an added benefit, photovoltaic performance achieved a photoconversion efficiency of 25%. Also, the outdoor test shows 90% of the initial power point voltage after 1570 hours with maximum-power point tracking, showing remarkable light and cycle stability. We revealed the mechanism of how the additive can improve the thermal stability of PSCs by comparing 36 heteroaryl derivatives and 60 additive combinations.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患病结肠组织中的 eQTL 识别与 IBD 相关的潜在靶基因</w:t>
      </w:r>
    </w:p>
    <w:p>
      <w:r>
        <w:rPr>
          <w:rFonts w:ascii="Times New Roman" w:hAnsi="Times New Roman" w:eastAsia="宋体"/>
          <w:b/>
          <w:color w:val="003264"/>
          <w:sz w:val="24"/>
        </w:rPr>
        <w:t>eQTL in diseased colon tissue identifies potential target genes associated with IBD</w:t>
      </w:r>
    </w:p>
    <w:p>
      <w:r>
        <w:rPr>
          <w:rFonts w:ascii="Times New Roman" w:hAnsi="Times New Roman" w:eastAsia="宋体"/>
          <w:sz w:val="21"/>
        </w:rPr>
        <w:t>作者: Nina C. Nishiyama, Sophie Silverstein, Kimberly Darlington, Meaghan M. Kennedy Ng, Katelyn M. Clough, Mikaela Bauer, Caroline Beasley, Akshatha Bharadwaj, Rajee Ganesan, Muneera R. Kapadia, Gwen Lau, Grace Lian, Reza Rahbar, Timothy S. Sadiq, Matthew R. Schaner, Jonathan Stem, Jessica Friton, William A. Faubion, Shehzad Z. Sheikh, Terrence S. Furey</w:t>
        <w:br/>
      </w:r>
      <w:r>
        <w:rPr>
          <w:rFonts w:ascii="Times New Roman" w:hAnsi="Times New Roman" w:eastAsia="宋体"/>
          <w:sz w:val="21"/>
        </w:rPr>
        <w:t xml:space="preserve">时间: 2026-02-13 | </w:t>
      </w:r>
      <w:r>
        <w:t xml:space="preserve">链接: </w:t>
      </w:r>
      <w:hyperlink r:id="rId68">
        <w:r>
          <w:rPr>
            <w:rFonts w:ascii="Times New Roman" w:hAnsi="Times New Roman" w:eastAsia="宋体"/>
            <w:color w:val="0000FF"/>
            <w:sz w:val="21"/>
            <w:u w:val="single"/>
          </w:rPr>
          <w:t>https://doi.org/10.1038/s41467-026-69364-6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炎症性肠病患者的表达数量性状位点 (eQTL) 分析确定了在未患病个体中不易检测到的 IBD GWAS 位点的潜在靶基因，强调了以疾病为中心的研究的重要性。</w:t>
      </w:r>
    </w:p>
    <w:p>
      <w:pPr>
        <w:spacing w:before="120"/>
      </w:pPr>
      <w:r>
        <w:rPr>
          <w:rFonts w:ascii="Times New Roman" w:hAnsi="Times New Roman" w:eastAsia="宋体"/>
          <w:b/>
          <w:sz w:val="21"/>
        </w:rPr>
        <w:t>English Abstract:</w:t>
      </w:r>
    </w:p>
    <w:p>
      <w:r>
        <w:rPr>
          <w:rFonts w:ascii="Times New Roman" w:hAnsi="Times New Roman" w:eastAsia="宋体"/>
          <w:sz w:val="21"/>
        </w:rPr>
        <w:t>Expression quantitative trait loci (eQTL) analysis in patients with inflammatory bowel disease identify potential target genes for IBD GWAS loci not readily detected in individuals without disease highlighting the importance disease-focused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通过单神经元扰动测量的可解码性、灵敏度和关键性</w:t>
      </w:r>
    </w:p>
    <w:p>
      <w:r>
        <w:rPr>
          <w:rFonts w:ascii="Times New Roman" w:hAnsi="Times New Roman" w:eastAsia="宋体"/>
          <w:b/>
          <w:color w:val="003264"/>
          <w:sz w:val="24"/>
        </w:rPr>
        <w:t>Decodability, sensitivity, and criticality measured through single-neuron perturbations</w:t>
      </w:r>
    </w:p>
    <w:p>
      <w:r>
        <w:rPr>
          <w:rFonts w:ascii="Times New Roman" w:hAnsi="Times New Roman" w:eastAsia="宋体"/>
          <w:sz w:val="21"/>
        </w:rPr>
        <w:t>作者: Matthew Farrell, Taro Toyoizumi</w:t>
        <w:br/>
      </w:r>
      <w:r>
        <w:rPr>
          <w:rFonts w:ascii="Times New Roman" w:hAnsi="Times New Roman" w:eastAsia="宋体"/>
          <w:sz w:val="21"/>
        </w:rPr>
        <w:t xml:space="preserve">时间: 2026-02-13 | </w:t>
      </w:r>
      <w:r>
        <w:t xml:space="preserve">链接: </w:t>
      </w:r>
      <w:hyperlink r:id="rId69">
        <w:r>
          <w:rPr>
            <w:rFonts w:ascii="Times New Roman" w:hAnsi="Times New Roman" w:eastAsia="宋体"/>
            <w:color w:val="0000FF"/>
            <w:sz w:val="21"/>
            <w:u w:val="single"/>
          </w:rPr>
          <w:t>https://doi.org/10.1038/s41467-026-69121-9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此评论重点介绍了 Ribeiro 等人的一项新研究，该研究调查了单神经元尖峰如何影响体内周围的皮质网络。通过从可解码性、灵敏度和关键性的角度比较诱导峰值和背景峰值，这项工作强调了局部扰动如何与持续的网络动态相互作用，以揭示关键神经计算的多方面特征。</w:t>
      </w:r>
    </w:p>
    <w:p>
      <w:pPr>
        <w:spacing w:before="120"/>
      </w:pPr>
      <w:r>
        <w:rPr>
          <w:rFonts w:ascii="Times New Roman" w:hAnsi="Times New Roman" w:eastAsia="宋体"/>
          <w:b/>
          <w:sz w:val="21"/>
        </w:rPr>
        <w:t>English Abstract:</w:t>
      </w:r>
    </w:p>
    <w:p>
      <w:r>
        <w:rPr>
          <w:rFonts w:ascii="Times New Roman" w:hAnsi="Times New Roman" w:eastAsia="宋体"/>
          <w:sz w:val="21"/>
        </w:rPr>
        <w:t>This comment highlights a new study by Ribeiro et al.1 which investigates how single-neuron spikes influence the surrounding cortical network in vivo. By comparing induced and background spikes through the lenses of decodability, sensitivity, and criticality, this work highlights how local perturbations interact with ongoing network dynamics to reveal multi-faceted signatures of critical neural computation.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用于高容量甲烷储存的单晶二维共价有机框架</w:t>
      </w:r>
    </w:p>
    <w:p>
      <w:r>
        <w:rPr>
          <w:rFonts w:ascii="Times New Roman" w:hAnsi="Times New Roman" w:eastAsia="宋体"/>
          <w:b/>
          <w:color w:val="003264"/>
          <w:sz w:val="24"/>
        </w:rPr>
        <w:t>Single-crystal 2D covalent organic frameworks for high-capacity methane storage</w:t>
      </w:r>
    </w:p>
    <w:p>
      <w:r>
        <w:rPr>
          <w:rFonts w:ascii="Times New Roman" w:hAnsi="Times New Roman" w:eastAsia="宋体"/>
          <w:sz w:val="21"/>
        </w:rPr>
        <w:t>作者: Baoqiu Yu, Felipe L. Oliveira, Wenliang Li, Qingmei Xu, Xu Ding, Shangwei Yuan, Yucheng Jin, Hua Liu, Hailong Wang, Xin Xiao, Jingping Zhang, Guillaume Maurin, Banglin Chen, Jianzhuang Jiang</w:t>
        <w:br/>
      </w:r>
      <w:r>
        <w:rPr>
          <w:rFonts w:ascii="Times New Roman" w:hAnsi="Times New Roman" w:eastAsia="宋体"/>
          <w:sz w:val="21"/>
        </w:rPr>
        <w:t xml:space="preserve">时间: 2026-02-14 | </w:t>
      </w:r>
      <w:r>
        <w:t xml:space="preserve">链接: </w:t>
      </w:r>
      <w:hyperlink r:id="rId112">
        <w:r>
          <w:rPr>
            <w:rFonts w:ascii="Times New Roman" w:hAnsi="Times New Roman" w:eastAsia="宋体"/>
            <w:color w:val="0000FF"/>
            <w:sz w:val="21"/>
            <w:u w:val="single"/>
          </w:rPr>
          <w:t>https://doi.org/10.1038/s41467-026-69614-7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2D共价有机框架（COF）通常具有多晶性质，并且比3D对应物具有更低的孔隙率和表面积，限制了它们在气体储存应用方面的探索。在此，提出并采用取代策略来生成三种稳健的单晶 2D COF 异构体，其原子分辨率结构由 3D 电子衍射确定。在三种异构体中，层间距离的精确设计为去溶剂化的 GZU-1 提供了 ~2100 m 2 g -1 的最高 Brunauer−Emmett−Teller 表面积和 1.40 cm 3 g −1 的最大孔体积。该COF在2D COF中在273 K和100 bar下表现出最高的总体积甲烷吸收量240 cm 3 (STP) cm -3 ，甚至可以与优秀的3D MOF相媲美。这项工作不仅为通过层间堆叠调节设计二维单晶COF提供了独特的见解，而且促进了高多孔二维COF在气体存储中的应用。</w:t>
      </w:r>
    </w:p>
    <w:p>
      <w:pPr>
        <w:spacing w:before="120"/>
      </w:pPr>
      <w:r>
        <w:rPr>
          <w:rFonts w:ascii="Times New Roman" w:hAnsi="Times New Roman" w:eastAsia="宋体"/>
          <w:b/>
          <w:sz w:val="21"/>
        </w:rPr>
        <w:t>English Abstract:</w:t>
      </w:r>
    </w:p>
    <w:p>
      <w:r>
        <w:rPr>
          <w:rFonts w:ascii="Times New Roman" w:hAnsi="Times New Roman" w:eastAsia="宋体"/>
          <w:sz w:val="21"/>
        </w:rPr>
        <w:t>Abstract 2D covalent organic frameworks (COFs) usually possess a polycrystalline nature as well as lower porosity and surface area than 3D counterparts, restraining their exploration over gas storage applications. Herein, a substituent strategy has been proposed and employed to generate three robust single-crystal 2D COFs isomers with atom-resolution structures determined by 3D electron diffraction. Among three isomers, a precise engineering of their interlayer distance affords the highest Brunauer−Emmett−Teller surface area of ~2100 m 2 g −1 and the largest pore volume of 1.40 cm 3 g −1 for the desolvated GZU-1. This COF shows the highest total volumetric methane uptake of 240 cm 3 (STP) cm −3 at 273 K and 100 bar among 2D COFs, even comparable with those for excellent 3D MOFs. This work not only delivers unique insight into the design of 2D single-crystal COFs by interlayer stacking regulation, but also promotes the application of highly porous 2D COFs in gas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祖先神经元受体是细菌辅助毒素</w:t>
      </w:r>
    </w:p>
    <w:p>
      <w:r>
        <w:rPr>
          <w:rFonts w:ascii="Times New Roman" w:hAnsi="Times New Roman" w:eastAsia="宋体"/>
          <w:b/>
          <w:color w:val="003264"/>
          <w:sz w:val="24"/>
        </w:rPr>
        <w:t>Ancestral neuronal receptors are bacterial accessory toxins</w:t>
      </w:r>
    </w:p>
    <w:p>
      <w:r>
        <w:rPr>
          <w:rFonts w:ascii="Times New Roman" w:hAnsi="Times New Roman" w:eastAsia="宋体"/>
          <w:sz w:val="21"/>
        </w:rPr>
        <w:t>作者: Finaritra Raoelijaona, Joanna Szczepaniak, Adrien Schahl, James E. Bray, Jin Chuan Zhou, Lindsay Baker, Kamel El Omari, Edward Lowe, Yu Shang Low, Chandra M. Rodriguez, Michael J. Landsberg, J. Shaun Lott, Colin Kleanthous, Matthieu Chavent, Martin CJ Maiden, Elena Seiradake</w:t>
        <w:br/>
      </w:r>
      <w:r>
        <w:rPr>
          <w:rFonts w:ascii="Times New Roman" w:hAnsi="Times New Roman" w:eastAsia="宋体"/>
          <w:sz w:val="21"/>
        </w:rPr>
        <w:t xml:space="preserve">时间: 2026-02-14 | </w:t>
      </w:r>
      <w:r>
        <w:t xml:space="preserve">链接: </w:t>
      </w:r>
      <w:hyperlink r:id="rId118">
        <w:r>
          <w:rPr>
            <w:rFonts w:ascii="Times New Roman" w:hAnsi="Times New Roman" w:eastAsia="宋体"/>
            <w:color w:val="0000FF"/>
            <w:sz w:val="21"/>
            <w:u w:val="single"/>
          </w:rPr>
          <w:t>https://doi.org/10.1038/s41467-026-69246-x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水平基因转移事件对于多细胞生命的出现至关重要。一个引人注目的例子是获得 Teneurins，这是细菌中假定的表面暴露毒素，在后生动物神经元发育中充当细胞粘附受体。在这里，我们展示了后生动物和细菌 Teneurins 之间的进化关系。我们使用低温电子显微镜和生物信息分析表明细菌 Teneurins 在蛋白质壳中含有有毒蛋白质。它们很罕见，但广泛分布在细菌类群中，主要见于具有复杂社会行为的物种，表明它们在细胞间相互作用中发挥作用。这项工作证实后生动物 Teneurins 是重新利用的细菌毒素，已进化成为所有高级神经系统细胞间通讯的重要介质。它们的获得是后生动物进化中的一个关键事件。</w:t>
      </w:r>
    </w:p>
    <w:p>
      <w:pPr>
        <w:spacing w:before="120"/>
      </w:pPr>
      <w:r>
        <w:rPr>
          <w:rFonts w:ascii="Times New Roman" w:hAnsi="Times New Roman" w:eastAsia="宋体"/>
          <w:b/>
          <w:sz w:val="21"/>
        </w:rPr>
        <w:t>English Abstract:</w:t>
      </w:r>
    </w:p>
    <w:p>
      <w:r>
        <w:rPr>
          <w:rFonts w:ascii="Times New Roman" w:hAnsi="Times New Roman" w:eastAsia="宋体"/>
          <w:sz w:val="21"/>
        </w:rPr>
        <w:t>Abstract Horizontal gene transfer events were crucial in the emergence of multicellular life. A striking example is the acquisition of Teneurins, putative surface-exposed toxins in bacteria that function as cell adhesion receptors in metazoan neuronal development. Here, we demonstrate the evolutionary relationships between metazoan and bacterial Teneurins. We use cryogenic electron microscopy and bioinformatic analysis to show that bacterial Teneurins harbour a toxic protein in a proteinaceous shell. They are rare but widely distributed across bacterial taxa and are predominantly seen in species with complex social behaviours, suggesting roles in cell-to-cell interaction. This work confirms that metazoan Teneurins are repurposed bacterial toxins that have evolved to be essential mediators of intercellular communication in all advanced nervous systems. Their acquisition was a key event in the evolution of metazoans.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基于血液的表观遗传不稳定性与人类衰老和疾病有关</w:t>
      </w:r>
    </w:p>
    <w:p>
      <w:r>
        <w:rPr>
          <w:rFonts w:ascii="Times New Roman" w:hAnsi="Times New Roman" w:eastAsia="宋体"/>
          <w:b/>
          <w:color w:val="003264"/>
          <w:sz w:val="24"/>
        </w:rPr>
        <w:t>Blood-based epigenetic instability linked to human aging and disease</w:t>
      </w:r>
    </w:p>
    <w:p>
      <w:r>
        <w:rPr>
          <w:rFonts w:ascii="Times New Roman" w:hAnsi="Times New Roman" w:eastAsia="宋体"/>
          <w:sz w:val="21"/>
        </w:rPr>
        <w:t>作者: Salman Basrai, Ido Nofech-Mozes, Rajesh Detroja, Fernando L. Scolari, Mehran Bakhtiari, Andrea Arruda, Tracy Murphy, Scott V. Bratman, Steven M. Chan, Mark D. Minden, Jae Sook Ahn, Dennis D. H. Kim, Robert Kridel, Filio Billia, Sagi Abelson</w:t>
        <w:br/>
      </w:r>
      <w:r>
        <w:rPr>
          <w:rFonts w:ascii="Times New Roman" w:hAnsi="Times New Roman" w:eastAsia="宋体"/>
          <w:sz w:val="21"/>
        </w:rPr>
        <w:t xml:space="preserve">时间: 2026-02-14 | </w:t>
      </w:r>
      <w:r>
        <w:t xml:space="preserve">链接: </w:t>
      </w:r>
      <w:hyperlink r:id="rId126">
        <w:r>
          <w:rPr>
            <w:rFonts w:ascii="Times New Roman" w:hAnsi="Times New Roman" w:eastAsia="宋体"/>
            <w:color w:val="0000FF"/>
            <w:sz w:val="21"/>
            <w:u w:val="single"/>
          </w:rPr>
          <w:t>https://doi.org/10.1038/s41467-026-69430-z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DNA 甲基化的丰度、动态性和环境依赖性异质性（其中一种细胞类型中被认为异常的模式在另一种细胞类型中可能是正常的）使得驱动或发出疾病发展信号的早期甲基化变化的识别变得复杂。这种复杂性可能会掩盖疾病风险增加的早期标志，使得在疾病发生过程中检测和干预变得具有挑战性。在这里，我们报告了 31,744 个 CpG 位点，在年轻健康个体的血液中表现出高度一致的甲基化谱。我们评估了 29 个不同队列中 8,886 名个体的这些表观遗传稳定位点的变化，其中包括血液癌症患者 (n = 3159)、心血管并发症患者 (n = 2788) 和健康对照者 (n = 2939)。我们的研究结果揭示了骨髓和淋巴恶性肿瘤中甲基化模式的破坏，与整个白血病治疗过程中的克隆负荷动态和突变频率相关。在非癌症队列中，我们观察到表观遗传稳定位点的甲基化水平随着年龄的增长而变化越来越大，这种变化与较高的心血管疾病风险和较低的生存率有关。这项研究强调了 DNA 甲基化不稳定性作为血液癌症和心血管疾病的血液生物标志物，并揭示了甲基化动态与适应不良造血克隆扩张之间的机制联系。</w:t>
      </w:r>
    </w:p>
    <w:p>
      <w:pPr>
        <w:spacing w:before="120"/>
      </w:pPr>
      <w:r>
        <w:rPr>
          <w:rFonts w:ascii="Times New Roman" w:hAnsi="Times New Roman" w:eastAsia="宋体"/>
          <w:b/>
          <w:sz w:val="21"/>
        </w:rPr>
        <w:t>English Abstract:</w:t>
      </w:r>
    </w:p>
    <w:p>
      <w:r>
        <w:rPr>
          <w:rFonts w:ascii="Times New Roman" w:hAnsi="Times New Roman" w:eastAsia="宋体"/>
          <w:sz w:val="21"/>
        </w:rPr>
        <w:t>Abstract The abundance, dynamics, and context-dependent heterogeneity of DNA methylation, where a pattern considered abnormal in one cell type may be normal in another, complicate the identification of early methylation changes that drive or signal disease development. This complexity can obscure early markers of increased disease risk, making it challenging to detect and intervene in disease processes at their inception. Here, we report 31,744 CpG loci exhibiting highly consistent methylation profiles in the blood of young, healthy individuals. We assess alterations at these epigenetically stable loci in 8,886 individuals across 29 diverse cohorts, including those with hematological cancers (n = 3159), cardiovascular complications (n = 2788), and healthy controls (n = 2939). Our findings reveal methylation pattern disruption in myeloid and lymphoid malignancies, correlating with clonal burden dynamics and mutation frequency throughout leukemia treatment. In non-cancer cohorts, we observe that methylation levels at epigenetically stable loci become increasingly variable with age, a shift linked to higher cardiovascular disease risk and lower survival rates. This study highlights DNA methylation instability as a blood-based biomarker for both hematological cancer and cardiovascular disease and uncovers a mechanistic link between methylation dynamics and the expansion of maladaptive hematopoietic clones.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全球河流三角洲适应海平面上升的物理极限</w:t>
      </w:r>
    </w:p>
    <w:p>
      <w:r>
        <w:rPr>
          <w:rFonts w:ascii="Times New Roman" w:hAnsi="Times New Roman" w:eastAsia="宋体"/>
          <w:b/>
          <w:color w:val="003264"/>
          <w:sz w:val="24"/>
        </w:rPr>
        <w:t>Physical limits of sea-level rise adaptation in global river deltas</w:t>
      </w:r>
    </w:p>
    <w:p>
      <w:r>
        <w:rPr>
          <w:rFonts w:ascii="Times New Roman" w:hAnsi="Times New Roman" w:eastAsia="宋体"/>
          <w:sz w:val="21"/>
        </w:rPr>
        <w:t>作者: Kiara G. Lasch, Jaap H. Nienhuis, Gundula Winter, Marjolijn Haasnoot</w:t>
        <w:br/>
      </w:r>
      <w:r>
        <w:rPr>
          <w:rFonts w:ascii="Times New Roman" w:hAnsi="Times New Roman" w:eastAsia="宋体"/>
          <w:sz w:val="21"/>
        </w:rPr>
        <w:t xml:space="preserve">时间: 2026-02-14 | </w:t>
      </w:r>
      <w:r>
        <w:t xml:space="preserve">链接: </w:t>
      </w:r>
      <w:hyperlink r:id="rId129">
        <w:r>
          <w:rPr>
            <w:rFonts w:ascii="Times New Roman" w:hAnsi="Times New Roman" w:eastAsia="宋体"/>
            <w:color w:val="0000FF"/>
            <w:sz w:val="21"/>
            <w:u w:val="single"/>
          </w:rPr>
          <w:t>https://doi.org/10.1038/s41467-026-69517-7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海平面上升威胁着全世界的三角洲，需要适应洪水风险。三角洲适应通常表现为五种策略之间的选择：前进、保护封闭、保护开放、适应和撤退。然而，对这些跨三角洲战略的实际可行性的全面评估仍然有限。我们对全球近 800 个三角洲适应海平面上升的物理解决方案空间进行了一级评估。在这里，我们表明，当前的技术、资源和空间至少为每个三角洲提供了一种物理上可行的三角洲范围战略，以便在 2100 年之前适应。通过技术创新或三角洲之间的合作，这个数字在未来可能会增加。物理上可行的策略的类型和数量主要取决于三角洲的物理特征，即大型、城市化或经常被洪水淹没的三角洲比小型、农村或不常被洪水淹没的三角洲有更少的选择。我们的分析强调了资源限制的风险，因为全球三角洲需要同时适应未来的洪水风险。</w:t>
      </w:r>
    </w:p>
    <w:p>
      <w:pPr>
        <w:spacing w:before="120"/>
      </w:pPr>
      <w:r>
        <w:rPr>
          <w:rFonts w:ascii="Times New Roman" w:hAnsi="Times New Roman" w:eastAsia="宋体"/>
          <w:b/>
          <w:sz w:val="21"/>
        </w:rPr>
        <w:t>English Abstract:</w:t>
      </w:r>
    </w:p>
    <w:p>
      <w:r>
        <w:rPr>
          <w:rFonts w:ascii="Times New Roman" w:hAnsi="Times New Roman" w:eastAsia="宋体"/>
          <w:sz w:val="21"/>
        </w:rPr>
        <w:t>Abstract Sea-level rise threatens deltas worldwide, requiring adaptation to flood risks. Delta adaptation is typically presented as a choice between five strategies: advance, protect-closed, protect-open, accommodate, and retreat. However, a full assessment of the physical feasibility of these strategies across deltas remains limited. We present a first-order assessment of the physical solution space for adaptation to sea-level rise for nearly 800 deltas globally. Here, we show that current technologies, resources, and space provide at least one physically feasible delta-wide strategy for every delta to adapt by 2100. This number may increase in the future through technical innovation or collaboration between deltas. The type and number of physically feasible strategies are mostly determined by delta’s physical characteristics, whereby large, urbanized, or frequently flooded deltas have fewer options than small, rural, or infrequently flooded deltas. Our analysis highlights the risk of resource limitations as global deltas will need to adapt simultaneously to future flood risks.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无限层镍酸钐薄膜的增强超导性和混合维度行为</w:t>
      </w:r>
    </w:p>
    <w:p>
      <w:r>
        <w:rPr>
          <w:rFonts w:ascii="Times New Roman" w:hAnsi="Times New Roman" w:eastAsia="宋体"/>
          <w:b/>
          <w:color w:val="003264"/>
          <w:sz w:val="24"/>
        </w:rPr>
        <w:t>Enhanced superconductivity and mixed-dimensional behaviour in infinite-layer samarium nickelate thin films</w:t>
      </w:r>
    </w:p>
    <w:p>
      <w:r>
        <w:rPr>
          <w:rFonts w:ascii="Times New Roman" w:hAnsi="Times New Roman" w:eastAsia="宋体"/>
          <w:sz w:val="21"/>
        </w:rPr>
        <w:t>作者: Mingwei Yang, Heng Wang, Jiayin Tang, Junping Luo, Xianfeng Wu, Wenjing Xu, Aile Wang, Yuetong Wu, Ruilin Mao, Ze Wang, Zhicheng Pei, Guangdi Zhou, Zhengang Dong, Bohan Feng, Lingchi Shi, Wenjie Meng, Chuanying Xi, Li Pi, Qingyou Lu, Jun Okamoto, Hsiao-Yu Huang, Di-Jing Huang, Haoliang Huang, Qisi Wang, Peng Gao, Zhuoyu Chen, Danfeng Li</w:t>
        <w:br/>
      </w:r>
      <w:r>
        <w:rPr>
          <w:rFonts w:ascii="Times New Roman" w:hAnsi="Times New Roman" w:eastAsia="宋体"/>
          <w:sz w:val="21"/>
        </w:rPr>
        <w:t xml:space="preserve">时间: 2026-02-14 | </w:t>
      </w:r>
      <w:r>
        <w:t xml:space="preserve">链接: </w:t>
      </w:r>
      <w:hyperlink r:id="rId130">
        <w:r>
          <w:rPr>
            <w:rFonts w:ascii="Times New Roman" w:hAnsi="Times New Roman" w:eastAsia="宋体"/>
            <w:color w:val="0000FF"/>
            <w:sz w:val="21"/>
            <w:u w:val="single"/>
          </w:rPr>
          <w:t>https://doi.org/10.1038/s41467-026-69650-3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作者报告了基于钐的超导无限层镍酸盐薄膜以及包含铕和钙的共掺杂变体的合成和表征。共掺杂化合物实现了创纪录的小 c 轴参数，并显示出高达 32.5 K 的超导转变温度。</w:t>
      </w:r>
    </w:p>
    <w:p>
      <w:pPr>
        <w:spacing w:before="120"/>
      </w:pPr>
      <w:r>
        <w:rPr>
          <w:rFonts w:ascii="Times New Roman" w:hAnsi="Times New Roman" w:eastAsia="宋体"/>
          <w:b/>
          <w:sz w:val="21"/>
        </w:rPr>
        <w:t>English Abstract:</w:t>
      </w:r>
    </w:p>
    <w:p>
      <w:r>
        <w:rPr>
          <w:rFonts w:ascii="Times New Roman" w:hAnsi="Times New Roman" w:eastAsia="宋体"/>
          <w:sz w:val="21"/>
        </w:rPr>
        <w:t>The authors report the synthesis and characterization of samarium-based superconducting infinite layer nickelate thin films, along with co-doped variants incorporating europium and calcium. The co doped compounds achieve a record-small c-axis parameter and display superconducting transition temperatures up to 32.5 K.</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M6：多生成器、多领域、多语言和文化、多流派、多乐器机器生成的音乐检测数据库</w:t>
      </w:r>
    </w:p>
    <w:p>
      <w:r>
        <w:rPr>
          <w:rFonts w:ascii="Times New Roman" w:hAnsi="Times New Roman" w:eastAsia="宋体"/>
          <w:b/>
          <w:color w:val="003264"/>
          <w:sz w:val="24"/>
        </w:rPr>
        <w:t>M6: multi-generator, multi-domain, multi-lingual and cultural, multi-genres, multi-instrument machine-generated music detection databases</w:t>
      </w:r>
    </w:p>
    <w:p>
      <w:r>
        <w:rPr>
          <w:rFonts w:ascii="Times New Roman" w:hAnsi="Times New Roman" w:eastAsia="宋体"/>
          <w:sz w:val="21"/>
        </w:rPr>
        <w:t>作者: Yupei Li, Hanqian Li, Lucia Specia, Bjorn Schuller</w:t>
        <w:br/>
      </w:r>
      <w:r>
        <w:rPr>
          <w:rFonts w:ascii="Times New Roman" w:hAnsi="Times New Roman" w:eastAsia="宋体"/>
          <w:sz w:val="21"/>
        </w:rPr>
        <w:t xml:space="preserve">时间: 2026-02-13 | </w:t>
      </w:r>
      <w:r>
        <w:t xml:space="preserve">链接: </w:t>
      </w:r>
      <w:hyperlink r:id="rId12">
        <w:r>
          <w:rPr>
            <w:rFonts w:ascii="Times New Roman" w:hAnsi="Times New Roman" w:eastAsia="宋体"/>
            <w:color w:val="0000FF"/>
            <w:sz w:val="21"/>
            <w:u w:val="single"/>
          </w:rPr>
          <w:t>https://doi.org/10.1038/s41598-026-36044-w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机器生成音乐（MGM）已成为一种强大的工具，可应用于音乐治疗、个性化编辑和创意灵感。然而，其不受管制的使用会降低高质量人类作品的价值，从而威胁到娱乐、教育和艺术领域。有效检测机器生成的音乐（MGMD）至关重要，但缺乏全面的数据集阻碍了进展。为了解决这一差距，我们引入了 M6，这是一个专为 MGMD 研究而设计的大型基准数据集。 M6 以其多样性而著称，涵盖多种生成器、领域、语言、文化背景、流派和乐器，全部以 WAV 格式提供。我们详细介绍了数据收集方法和分析，以及基础二元分类模型的基线性能分数，强调了 MGMD 的复杂性和进一步改进的必要性。 M6 是支持未来研究开发有效检测方法的强大资源。该数据集可在 https://huggingface.co/datasets/yl7622/M6 上获取，以促进协作和创新。</w:t>
      </w:r>
    </w:p>
    <w:p>
      <w:pPr>
        <w:spacing w:before="120"/>
      </w:pPr>
      <w:r>
        <w:rPr>
          <w:rFonts w:ascii="Times New Roman" w:hAnsi="Times New Roman" w:eastAsia="宋体"/>
          <w:b/>
          <w:sz w:val="21"/>
        </w:rPr>
        <w:t>English Abstract:</w:t>
      </w:r>
    </w:p>
    <w:p>
      <w:r>
        <w:rPr>
          <w:rFonts w:ascii="Times New Roman" w:hAnsi="Times New Roman" w:eastAsia="宋体"/>
          <w:sz w:val="21"/>
        </w:rPr>
        <w:t>Abstract Machine-generated music (MGM) has become a powerful tool with applications in music therapy, personalised editing, and creative inspiration. However, its unregulated use threatens the entertainment, education, and arts sectors by diminishing the value of high-quality human compositions. Effective detection of machine-generated music (MGMD) is essential, yet progress is hindered by the lack of comprehensive datasets. To address this gap, we introduce M6 , a large-scope benchmark dataset designed for MGMD research. M6 is distinguished by its diversity, encompassing multiple generators, domains, languages, cultural contexts, genres, and instruments, all provided in WAV format. We detail the data collection methodology and analysis, alongside baseline performance scores from foundational binary classification models, highlighting the complexity of MGMD and the need for further advancements. M6 serves as a robust resource to support future research in developing effective detection methods. The dataset is available at https://huggingface.co/datasets/yl7622/M6 to promote collaboration and innovation.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黄秋葵植物废料纤维的表征，用于可持续复合材料和生物医学应用</w:t>
      </w:r>
    </w:p>
    <w:p>
      <w:r>
        <w:rPr>
          <w:rFonts w:ascii="Times New Roman" w:hAnsi="Times New Roman" w:eastAsia="宋体"/>
          <w:b/>
          <w:color w:val="003264"/>
          <w:sz w:val="24"/>
        </w:rPr>
        <w:t>Characterization of Abelmoschus esculentus plant waste fiber for sustainable composite and biomedical applications</w:t>
      </w:r>
    </w:p>
    <w:p>
      <w:r>
        <w:rPr>
          <w:rFonts w:ascii="Times New Roman" w:hAnsi="Times New Roman" w:eastAsia="宋体"/>
          <w:sz w:val="21"/>
        </w:rPr>
        <w:t>作者: Thandavamoorthy Raja, Yuvarajan Devarajan, Aravindan Munusamy Kalidhas, G. M. Sandeep, Mukul Saxena, Sasanka Choudhury, D. Dhorajiya Amitkumar, Kulmani Mehar</w:t>
        <w:br/>
      </w:r>
      <w:r>
        <w:rPr>
          <w:rFonts w:ascii="Times New Roman" w:hAnsi="Times New Roman" w:eastAsia="宋体"/>
          <w:sz w:val="21"/>
        </w:rPr>
        <w:t xml:space="preserve">时间: 2026-02-13 | </w:t>
      </w:r>
      <w:r>
        <w:t xml:space="preserve">链接: </w:t>
      </w:r>
      <w:hyperlink r:id="rId13">
        <w:r>
          <w:rPr>
            <w:rFonts w:ascii="Times New Roman" w:hAnsi="Times New Roman" w:eastAsia="宋体"/>
            <w:color w:val="0000FF"/>
            <w:sz w:val="21"/>
            <w:u w:val="single"/>
          </w:rPr>
          <w:t>https://doi.org/10.1038/s41598-026-39438-y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农业废弃物作为可持续材料来源的价值在复合材料开发中正在获得动力。本研究的重点是通过水沤制、机械刮削和碱处理从秋葵植物废茎中提取纤维，然后进行综合表征。 X射线衍射分析显示出半结晶结构，结晶度指数为30.3%，而傅里叶变换红外光谱证实了纤维素、半纤维素和木质素官能团的存在。拉伸测试表明，拉伸强度为 13.79 MPa，断裂伸长率为 0.36，表明可生物降解复合材料具有良好的机械性能。扫描电子显微镜显示纤维表面粗糙且原纤化，表明界面粘附潜力增强。针对鼠伤寒沙门氏菌的抗菌测试在 50 µg 浓度下显示出 23 mm 的显着抑菌圈，与标准抗生素链霉素非常接近。共焦激光扫描显微镜进一步揭示了生物膜形成的显着破坏，纤维提取物处理后细菌细胞死亡增加。这些发现共同强调，黄秋葵纤维具有机械强度、化学功能和抗菌活性的有利组合，使其成为环境和生物医学领域环保复合材料应用的有效材料。</w:t>
      </w:r>
    </w:p>
    <w:p>
      <w:pPr>
        <w:spacing w:before="120"/>
      </w:pPr>
      <w:r>
        <w:rPr>
          <w:rFonts w:ascii="Times New Roman" w:hAnsi="Times New Roman" w:eastAsia="宋体"/>
          <w:b/>
          <w:sz w:val="21"/>
        </w:rPr>
        <w:t>English Abstract:</w:t>
      </w:r>
    </w:p>
    <w:p>
      <w:r>
        <w:rPr>
          <w:rFonts w:ascii="Times New Roman" w:hAnsi="Times New Roman" w:eastAsia="宋体"/>
          <w:sz w:val="21"/>
        </w:rPr>
        <w:t>The valorization of agricultural waste as a source of sustainable materials is gaining momentum in composite development. This study focuses on fibers extracted from Abelmoschus esculentus (okra) plant waste stems through water retting, mechanical scraping, and alkali treatment, followed by comprehensive characterization. X-ray diffraction analysis revealed a semi-crystalline structure with a crystallinity index of 30.3%, while Fourier-transform infrared spectroscopy confirmed the presence of cellulose, hemicellulose, and lignin functional groups. Tensile testing demonstrated a tensile strength of 13.79 MPa and an elongation at break of 0.36 indicating good mechanical performance for biodegradable composites. Scanning electron microscopy showed rough and fibrillated fiber surfaces, suggesting enhanced interfacial adhesion potential. Antibacterial testing against Salmonella typhimurium exhibited a notable inhibition zone of 23 mm at a 50 µg concentration, closely comparable to the standard antibiotic streptomycin. Confocal laser scanning microscopy further revealed significant disruption of biofilm formation, with increased bacterial cell death after fiber extract treatment. These findings collectively highlight that Abelmoschus esculentus fibers possess an advantageous combination of mechanical strength, chemical functionality, and antimicrobial activity, making them efficient material for eco-friendly composite applications in environmental and biomedical sectors.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使用深度学习算法对临床矢状和冠状 T1 加权 MRI 上的肩袖肌肉进行定量脂肪分数分析</w:t>
      </w:r>
    </w:p>
    <w:p>
      <w:r>
        <w:rPr>
          <w:rFonts w:ascii="Times New Roman" w:hAnsi="Times New Roman" w:eastAsia="宋体"/>
          <w:b/>
          <w:color w:val="003264"/>
          <w:sz w:val="24"/>
        </w:rPr>
        <w:t>Quantitative fat-fraction analysis of the rotator cuff muscles on clinical sagittal and coronal T1-weighted MRI using deep learning algorithms</w:t>
      </w:r>
    </w:p>
    <w:p>
      <w:r>
        <w:rPr>
          <w:rFonts w:ascii="Times New Roman" w:hAnsi="Times New Roman" w:eastAsia="宋体"/>
          <w:sz w:val="21"/>
        </w:rPr>
        <w:t>作者: Hanspeter Hess, Alexandra Oswald, Keivan Daneshvar, Nicolas Gerber, Michael Schär, Matthias A. Zumstein, Kate Gerber</w:t>
        <w:br/>
      </w:r>
      <w:r>
        <w:rPr>
          <w:rFonts w:ascii="Times New Roman" w:hAnsi="Times New Roman" w:eastAsia="宋体"/>
          <w:sz w:val="21"/>
        </w:rPr>
        <w:t xml:space="preserve">时间: 2026-02-13 | </w:t>
      </w:r>
      <w:r>
        <w:t xml:space="preserve">链接: </w:t>
      </w:r>
      <w:hyperlink r:id="rId14">
        <w:r>
          <w:rPr>
            <w:rFonts w:ascii="Times New Roman" w:hAnsi="Times New Roman" w:eastAsia="宋体"/>
            <w:color w:val="0000FF"/>
            <w:sz w:val="21"/>
            <w:u w:val="single"/>
          </w:rPr>
          <w:t>https://doi.org/10.1038/s41598-026-38108-3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肩袖肌肉脂肪浸润增加是肩袖修复手术效果不佳的主要预后因素。术前脂肪评估目前依赖于使用磁共振成像 (MRI) 的定性古塔利尔分类。该方法存在观察者变异性较高的问题，并且仅评估单个切片。本研究的目的是利用深度学习从标准 T1 加权 MRI 中预测定量的体素脂肪分数 (FF)。开发了一种基于深度学习的算法，用于使用体素五类系统进行自动 FF 预测。该网络使用配对 T1 加权和 2 点 Dixon MRI 对 75 名患者进行了训练，肩袖肌肉在冠状面和矢状面进行了分段。该方法已在 24 名患者身上得到验证。所提出的算法明显比二元脂肪分类方法更准确（p &lt; 0.001）。与 Dixon MRI 测量相比，平均全肌肉 FF 计算误差（平均值±标准差）范围为 − 0.5 ± 2.2% 至 2.3 ± 3.9%。深度学习使用临床 T1 加权 MRI 实现准确的体素 FF 量化。该方法可以进行肌肉 FF 分布分析，提供更全面的评估，可以改善预后分析并优化治疗计划。</w:t>
      </w:r>
    </w:p>
    <w:p>
      <w:pPr>
        <w:spacing w:before="120"/>
      </w:pPr>
      <w:r>
        <w:rPr>
          <w:rFonts w:ascii="Times New Roman" w:hAnsi="Times New Roman" w:eastAsia="宋体"/>
          <w:b/>
          <w:sz w:val="21"/>
        </w:rPr>
        <w:t>English Abstract:</w:t>
      </w:r>
    </w:p>
    <w:p>
      <w:r>
        <w:rPr>
          <w:rFonts w:ascii="Times New Roman" w:hAnsi="Times New Roman" w:eastAsia="宋体"/>
          <w:sz w:val="21"/>
        </w:rPr>
        <w:t>Abstract Increased fatty infiltration of the rotator cuff muscles is a primary prognostic factor for poor surgical outcomes of rotator cuff repair surgery. Preoperative fat assessment currently relies on the qualitative Goutallier classification using magnetic resonance imaging (MRI). This method suffers from high observer variability and only assesses a single slice. The aim of this study was to use deep learning to predict quantitative, voxel-wise fat fraction (FF) from standard T1-weighted MRIs. A deep learning-based algorithm was developed for automatic FF prediction using a voxel-wise, five-class system. The network was trained on 75 patients using paired T1-weighted and 2-point Dixon MRI, with rotator cuff muscles segmented in coronal and sagittal planes. It was validated on 24 patients. The proposed algorithm was significantly more accurate than a binary fat classification approach ( p &lt; 0.001). Average whole muscle FF calculation errors (mean ± standard deviation) ranged from − 0.5 ± 2.2% to 2.3 ± 3.9% compared to Dixon MRI measures. Deep learning enabled an accurate, voxel-wise FF quantification using clinical T1-weighted MRIs. This method allows for muscle FF distribution analysis, providing a more comprehensive assessment, that can improve prognosis analysis and optimise treatment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短双歧杆菌通过转录组重编程瞬时促进阴道毛滴虫的生长和脂质改变</w:t>
      </w:r>
    </w:p>
    <w:p>
      <w:r>
        <w:rPr>
          <w:rFonts w:ascii="Times New Roman" w:hAnsi="Times New Roman" w:eastAsia="宋体"/>
          <w:b/>
          <w:color w:val="003264"/>
          <w:sz w:val="24"/>
        </w:rPr>
        <w:t>Bifidobacterium breve promotes growth and lipid alteration in Trichomonas vaginalis transiently through transcriptomic reprogramming</w:t>
      </w:r>
    </w:p>
    <w:p>
      <w:r>
        <w:rPr>
          <w:rFonts w:ascii="Times New Roman" w:hAnsi="Times New Roman" w:eastAsia="宋体"/>
          <w:sz w:val="21"/>
        </w:rPr>
        <w:t>作者: Pei-Yun Chen, Yuan-Ming Yeh, Chun-Hsien Chen, Ming-Chi Li, Yu-Tzu Hsu, Po-Jung Huang, Wei-Hung Cheng</w:t>
        <w:br/>
      </w:r>
      <w:r>
        <w:rPr>
          <w:rFonts w:ascii="Times New Roman" w:hAnsi="Times New Roman" w:eastAsia="宋体"/>
          <w:sz w:val="21"/>
        </w:rPr>
        <w:t xml:space="preserve">时间: 2026-02-13 | </w:t>
      </w:r>
      <w:r>
        <w:t xml:space="preserve">链接: </w:t>
      </w:r>
      <w:hyperlink r:id="rId15">
        <w:r>
          <w:rPr>
            <w:rFonts w:ascii="Times New Roman" w:hAnsi="Times New Roman" w:eastAsia="宋体"/>
            <w:color w:val="0000FF"/>
            <w:sz w:val="21"/>
            <w:u w:val="single"/>
          </w:rPr>
          <w:t>https://doi.org/10.1038/s41598-026-38866-0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阴道毛滴虫被认为是最常见的非病毒性传播寄生虫感染，它与共生细菌一起存在于阴道微生物群中，特别是乳杆菌和双歧杆菌。值得注意的是，感染阴道毛滴虫的女性中短双歧杆菌数量有所减少。然而，阴道毛滴虫和这些有益细菌物种之间相互作用的动态仍然没有得到充分的了解，需要进一步研究以阐明潜在的机制和对阴道健康的潜在影响。我们研究了短双歧杆菌对阴道毛滴虫生长的影响，包括其基因表达和与宿主的相互作用。将 HeLa 细胞暴露于经过或不经过短双歧杆菌预处理的阴道毛滴虫。我们评估了细胞因子反应（特别是 IL-6 和 IL-8）并评估了细胞病变效应。通过显微镜监测共培养的动态。此外，我们还进行了转录组学和代谢组学分析，以表征阴道毛滴虫对短双歧杆菌的反应。将阴道毛滴虫与短双歧杆菌共培养 4 小时，原生动物增殖显着增加 1.2 倍，而细菌丰度降低 27%。无论是在阴道毛滴虫之前还是同时使用，用短双歧杆菌治疗后，HeLa 细胞均未表现出细胞病变效应或变化。显微镜显示这两种生物之间存在直接的物理联系。与短双歧杆菌共培养的阴道毛滴虫的转录组分析揭示了与脂肪酸代谢和 DNA 复制相关的基因的上调。代谢组学分析证实了长链脂肪酸含量的变化。此外，毒力相关基因（包括粘附素）也有所增加。短双歧杆菌可促进阴道毛滴虫的生长并短暂调节寄生虫基因表达和脂质代谢。然而，它在感染过程中不为宿主上皮细胞提供保护。这些发现表明，短双歧杆菌可能有助于维持微生物群落平衡，但不能直接对抗阴道毛滴虫。重要的是，这些见解强调了短双歧杆菌相关微生物或代谢特征作为导致寄生虫过度生长的生态变化指标的潜在价值。</w:t>
      </w:r>
    </w:p>
    <w:p>
      <w:pPr>
        <w:spacing w:before="120"/>
      </w:pPr>
      <w:r>
        <w:rPr>
          <w:rFonts w:ascii="Times New Roman" w:hAnsi="Times New Roman" w:eastAsia="宋体"/>
          <w:b/>
          <w:sz w:val="21"/>
        </w:rPr>
        <w:t>English Abstract:</w:t>
      </w:r>
    </w:p>
    <w:p>
      <w:r>
        <w:rPr>
          <w:rFonts w:ascii="Times New Roman" w:hAnsi="Times New Roman" w:eastAsia="宋体"/>
          <w:sz w:val="21"/>
        </w:rPr>
        <w:t>Trichomonas vaginalis is recognized as the most prevalent non-viral sexually transmitted parasitic infection, establishing its presence in the vaginal microbiota alongside commensal bacteria, particularly Lactobacillus and Bifidobacterium species. Notably, a reduction in the population of Bifidobacterium breve has been documented in women infected with T. vaginalis. However, the dynamics of the interaction between T. vaginalis and these beneficial bacterial species remain inadequately understood, warranting further investigation to elucidate the underlying mechanisms and potential implications for vaginal health. We investigated the effects of B. breve on the growth of T. vaginalis, including its gene expression and interactions with the host. HeLa cells were exposed to T. vaginalis that had been pretreated with or without B. breve. We assessed cytokine responses (specifically IL-6 and IL-8) and evaluated cytopathic effects. The dynamics of the co-culture were monitored microscopically. Additionally, we conducted transcriptomic and metabolomic analyses to characterize the responses of T. vaginalis to B. breve. Co-culture of T. vaginalis with B. breve for 4 h significantly increased protozoan proliferation by 1.2-fold, while bacterial abundance was reduced by 27%. HeLa cells showed no cytopathic effects or changes after treatment with B. breve, whether given before or alongside T. vaginalis. Microscopy showed a direct physical association between the two organisms. Transcriptomic profiling of T. vaginalis co-cultured with B. breve revealed an upregulation of genes related to fatty acid metabolism and DNA replication. Metabolomic analysis confirmed changes in the content of long-chain fatty acids. Additionally, there was an increase in virulence-associated genes, including adhesins. B. breve promotes the growth of T. vaginalis and modulates parasite gene expression and lipid metabolism transiently. However, it does not confer protection on host epithelial cells during infection. These findings suggest that B. breve may contribute to maintaining microbial community balance but does not directly counteract T. vaginalis. Importantly, these insights highlight the potential value of B. breve–associated microbial or metabolic signatures as indicators of ecological shifts that predispose to parasite overgrowth.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Silvaco TCAD 建模、光学模拟和高电流钙钛矿和 u-CIGS 串联太阳能电池优化，效率超过 30%</w:t>
      </w:r>
    </w:p>
    <w:p>
      <w:r>
        <w:rPr>
          <w:rFonts w:ascii="Times New Roman" w:hAnsi="Times New Roman" w:eastAsia="宋体"/>
          <w:b/>
          <w:color w:val="003264"/>
          <w:sz w:val="24"/>
        </w:rPr>
        <w:t>Silvaco TCAD modeling, optical simulation, and optimization for high-current perovskite and u-CIGS tandem solar cells with efficiencies above 30%</w:t>
      </w:r>
    </w:p>
    <w:p>
      <w:r>
        <w:rPr>
          <w:rFonts w:ascii="Times New Roman" w:hAnsi="Times New Roman" w:eastAsia="宋体"/>
          <w:sz w:val="21"/>
        </w:rPr>
        <w:t>作者: Reza Mosalanezhad, Mohammad Reza Shayesteh, Majid Pourahmadi</w:t>
        <w:br/>
      </w:r>
      <w:r>
        <w:rPr>
          <w:rFonts w:ascii="Times New Roman" w:hAnsi="Times New Roman" w:eastAsia="宋体"/>
          <w:sz w:val="21"/>
        </w:rPr>
        <w:t xml:space="preserve">时间: 2026-02-13 | </w:t>
      </w:r>
      <w:r>
        <w:t xml:space="preserve">链接: </w:t>
      </w:r>
      <w:hyperlink r:id="rId16">
        <w:r>
          <w:rPr>
            <w:rFonts w:ascii="Times New Roman" w:hAnsi="Times New Roman" w:eastAsia="宋体"/>
            <w:color w:val="0000FF"/>
            <w:sz w:val="21"/>
            <w:u w:val="single"/>
          </w:rPr>
          <w:t>https://doi.org/10.1038/s41598-026-39816-6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串联钙钛矿太阳能电池（TPSC）由于其具有高效率、低生产成本和出色的可扩展性的潜力而引起了广泛的关注。在这项研究中，两端单片串联太阳能电池结合了无铅甲基碘化铋铵（(CH₃NH₃)₃Bi2I₉，缩写为MBI）钙钛矿顶部子电池（Eg = 1.9 eV，吸收体厚度320 nm）和薄CIGS底部子电池（Eg = 1.68 eV，吸收体厚度） 500 nm）是使用 Silvaco Atlas TCAD 进行设计和全面优化的。为了消除稀缺且昂贵的铟的使用，特意选择掺氟氧化锡（FTO）作为正面透明导电氧化物（TCO），而不是传统使用的氧化铟锡（ITO）。 FTO 卓越的热稳定性（稳定高达 600 °C，而 ITO 为 350 °C）、更高的物理磨损耐受性以及无需中间钝化层即可在玻璃上直接沉积的能力，使其成为大规模制造以及 CIGS 沉积所需的后续高温处理步骤的更稳健且更具成本效益的选择。使用FTO的独立优化的MBI-钙钛矿单结电池实现了15.13%的功率转换效率。对两个子电池进行单独校准和优化后，完全耦合的两端单片串联器件在标准 AM1.5G 照明下实现了 35.67% 的真实且可重复的效率（Voc = 4.53 V，Jsc = 29.23 mA/cm²，FF = 77.88%）。这些结果凸显了高性能、无铟、无铅钙钛矿/CIGS 串联架构的可行性。</w:t>
      </w:r>
    </w:p>
    <w:p>
      <w:pPr>
        <w:spacing w:before="120"/>
      </w:pPr>
      <w:r>
        <w:rPr>
          <w:rFonts w:ascii="Times New Roman" w:hAnsi="Times New Roman" w:eastAsia="宋体"/>
          <w:b/>
          <w:sz w:val="21"/>
        </w:rPr>
        <w:t>English Abstract:</w:t>
      </w:r>
    </w:p>
    <w:p>
      <w:r>
        <w:rPr>
          <w:rFonts w:ascii="Times New Roman" w:hAnsi="Times New Roman" w:eastAsia="宋体"/>
          <w:sz w:val="21"/>
        </w:rPr>
        <w:t>Tandem perovskite solar cells (TPSCs) have attracted considerable attention due to their potential for achieving high efficiency, low production cost, and excellent scalability. In this study, a two-terminal monolithic tandem solar cell combining a lead-free Methylammonium Bismuth Iodide ((CH₃NH₃)₃Bi₂I₉, abbreviated as MBI) perovskite top sub-cell (Eg = 1.9 eV, absorber thickness 320 nm) and an thin CIGS bottom sub-cell (Eg = 1.68 eV, absorber thickness 500 nm) was designed and comprehensively optimized using Silvaco Atlas TCAD. To eliminate the use of scarce and expensive indium, fluorine-doped tin oxide (FTO) was deliberately selected as the front transparent conductive oxide (TCO) instead of the conventionally used indium tin oxide (ITO). The superior thermal stability of FTO (stable up to 600 °C versus 350 °C for ITO), its higher tolerance to physical abrasion, and its direct deposition capability on glass without an intermediate passivation layer make it a more robust and cost-effective choice for large-scale manufacturing and for subsequent high-temperature processing steps required in CIGS deposition. The standalone optimized MBI-perovskite single-junction cell using FTO achieved a power conversion efficiency of 15.13%. After individual calibration and optimization of both sub-cells, the fully coupled two-terminal monolithic tandem device delivered a realistic and reproducible efficiency of 35.67% (Voc = 4.53 V, Jsc = 29.23 mA/cm², FF = 77.88%) under standard AM1.5G illumination. These results highlight the feasibility of high-performance, indium-free, lead-free perovskite/CIGS tandem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通过空间建模和验证加强土壤有机碳的数字绘图</w:t>
      </w:r>
    </w:p>
    <w:p>
      <w:r>
        <w:rPr>
          <w:rFonts w:ascii="Times New Roman" w:hAnsi="Times New Roman" w:eastAsia="宋体"/>
          <w:b/>
          <w:color w:val="003264"/>
          <w:sz w:val="24"/>
        </w:rPr>
        <w:t>Enhancing digital mapping of soil organic carbon through spatial modeling and validation</w:t>
      </w:r>
    </w:p>
    <w:p>
      <w:r>
        <w:rPr>
          <w:rFonts w:ascii="Times New Roman" w:hAnsi="Times New Roman" w:eastAsia="宋体"/>
          <w:sz w:val="21"/>
        </w:rPr>
        <w:t>作者: Azam Jafari, Fereydoon Sarmadian, Ahmad Heidari, Zahra Rasaei</w:t>
        <w:br/>
      </w:r>
      <w:r>
        <w:rPr>
          <w:rFonts w:ascii="Times New Roman" w:hAnsi="Times New Roman" w:eastAsia="宋体"/>
          <w:sz w:val="21"/>
        </w:rPr>
        <w:t xml:space="preserve">时间: 2026-02-13 | </w:t>
      </w:r>
      <w:r>
        <w:t xml:space="preserve">链接: </w:t>
      </w:r>
      <w:hyperlink r:id="rId17">
        <w:r>
          <w:rPr>
            <w:rFonts w:ascii="Times New Roman" w:hAnsi="Times New Roman" w:eastAsia="宋体"/>
            <w:color w:val="0000FF"/>
            <w:sz w:val="21"/>
            <w:u w:val="single"/>
          </w:rPr>
          <w:t>https://doi.org/10.1038/s41598-026-39496-2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土壤有机碳（SOC）是土壤健康、稳定性和安全的关键指标，也是全球固碳的主要组成部分。准确的 SOC 建模对于环境管理和减缓气候变化至关重要。尽管机器学习取得了进步，空间自相关仍然是 SOC 预测的一个挑战。本研究通过比较 0-30 cm 土壤深度的四种随机森林 (RF) 模型来评估其影响：(1) 具有非空间变量和随机交叉验证的经典 RF，(2) 具有空间和非空间变量和随机交叉验证的经典 RF，(3) 具有非空间变量和空间交叉验证的经典 RF，以及 (4) 具有非空间变量和随机交叉验证的空间 RF。该研究利用六年来在伊朗阿比耶克收集的 281 个土壤样本，整合了空间和非空间预测因子，包括地形、气候和植被指数。场景 4 产生最高的预测精度（R2 = 0.86，RMSE = 0.11）并消除残差中的空间自相关（Moran’s I = -0.01，p = 0.82）。相反，缺乏空间成分的模型（例如场景 1）显示残差聚类和有偏差的预测（Moran’s I &gt; 0.15，p &lt; 0.001）。这些结果凸显了整合空间依赖性和适当验证以增强 SOC 预测的重要性。该研究为数字土壤测绘、碳储量评估和可持续农业的土地管理提供了信息。</w:t>
      </w:r>
    </w:p>
    <w:p>
      <w:pPr>
        <w:spacing w:before="120"/>
      </w:pPr>
      <w:r>
        <w:rPr>
          <w:rFonts w:ascii="Times New Roman" w:hAnsi="Times New Roman" w:eastAsia="宋体"/>
          <w:b/>
          <w:sz w:val="21"/>
        </w:rPr>
        <w:t>English Abstract:</w:t>
      </w:r>
    </w:p>
    <w:p>
      <w:r>
        <w:rPr>
          <w:rFonts w:ascii="Times New Roman" w:hAnsi="Times New Roman" w:eastAsia="宋体"/>
          <w:sz w:val="21"/>
        </w:rPr>
        <w:t>Soil organic carbon (SOC) is a key indicator of soil health, stability, and security, and a major component of global carbon sequestration. Accurate SOC modeling is vital for environmental management and climate change mitigation. Despite machine learning advances, spatial autocorrelation remains a challenge in SOC prediction. This study assesses its impact by comparing four Random Forest (RF) models at 0–30 cm soil depth: (1) classic RF with non-spatial variables and random cross-validation, (2) classic RF with spatial and non-spatial variables and random cross-validation, (3) classic RF with non-spatial variables and spatial cross-validation, and (4) spatial RF with non-spatial variables and random cross-validation. Using 281 soil samples collected over six years in Abyek, Iran, the study integrates spatial and non-spatial predictors, including topographic, climatic, and vegetation indices. Scenario 4 yields the highest predictive accuracy (R2 = 0.86, RMSE = 0.11) and eliminates spatial autocorrelation in residuals (Moran’s I = -0.01, p = 0.82). In contrast, models lacking spatial components (e.g., Scenario 1) show residual clustering and biased predictions (Moran’s I &gt; 0.15, p &lt; 0.001). These results highlight the importance of incorporating spatial dependencies and proper validation to enhance SOC prediction. The study informs digital soil mapping, carbon stock assessment, and land management for sustainable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大黄通过钙介导的肠道乙酰胆碱释放增强胃肠动力：一项网络药理学研究</w:t>
      </w:r>
    </w:p>
    <w:p>
      <w:r>
        <w:rPr>
          <w:rFonts w:ascii="Times New Roman" w:hAnsi="Times New Roman" w:eastAsia="宋体"/>
          <w:b/>
          <w:color w:val="003264"/>
          <w:sz w:val="24"/>
        </w:rPr>
        <w:t>Rhubarb enhances gastrointestinal motility via calcium-mediated intestinal acetylcholine release: a network pharmacology study</w:t>
      </w:r>
    </w:p>
    <w:p>
      <w:r>
        <w:rPr>
          <w:rFonts w:ascii="Times New Roman" w:hAnsi="Times New Roman" w:eastAsia="宋体"/>
          <w:sz w:val="21"/>
        </w:rPr>
        <w:t>作者: Zhiyong Wen, Weihua Liu, Jialing Li, Songling Tan, Jianbo Wen</w:t>
        <w:br/>
      </w:r>
      <w:r>
        <w:rPr>
          <w:rFonts w:ascii="Times New Roman" w:hAnsi="Times New Roman" w:eastAsia="宋体"/>
          <w:sz w:val="21"/>
        </w:rPr>
        <w:t xml:space="preserve">时间: 2026-02-13 | </w:t>
      </w:r>
      <w:r>
        <w:t xml:space="preserve">链接: </w:t>
      </w:r>
      <w:hyperlink r:id="rId18">
        <w:r>
          <w:rPr>
            <w:rFonts w:ascii="Times New Roman" w:hAnsi="Times New Roman" w:eastAsia="宋体"/>
            <w:color w:val="0000FF"/>
            <w:sz w:val="21"/>
            <w:u w:val="single"/>
          </w:rPr>
          <w:t>https://doi.org/10.1038/s41598-026-39372-z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肠道蠕动的快速恢复对于治疗急性胰腺炎（AP）至关重要，特别是在重症病例中。本研究旨在探讨中药大黄通过调节胃肠道钙离子信号来增强肠蠕动的潜力。一种整合网络药理学、KEGG 通路富集和蛋白质-蛋白质相互作用 (PPI) 分析的多组学方法，以鉴定大黄的活性成分和与 AP 相关的靶基因。 KEGG分析突出了钙离子通路中的关键基因，有利于网络药理学框架的构建。 C57BL/6小鼠被单盲随机给予盐水或大黄灌胃（0.2mL/10g，每天三次，持续2天）。收集回肠组织和血清来测量关键基因、乙酰胆碱（ACh）和乙酰胆碱酯酶（AChE）。同样，萍乡市人民医院的轻至中度 AP 患者被单盲随机分配到对照组或大黄组，并分析血清中的 AChE 水平。多维分析确定了大黄中与 67 种靶蛋白相互作用的 10 种活性成分。与 AP 相关靶点的交叉参考确定了 55 个关键调控基因，其中 10 个在钙信号通路中显着富集。动物研究表明，大黄显着增加小鼠回肠中的 ACh (p = 0.0023) 和血清 AChE 水平 (p &lt; 0.0001)。 Q-PCR 分析表明九个钙途径相关基因上调。在一项对 10 名 AP 患者进行的随机单盲试验中，接受口服大黄治疗的患者排便次数明显增多 (p &lt; 0.0001)，血清 AChE 水平 (p &lt; 0.0001) 明显高于对照组。没有发生不良事件。大黄通过增强胃肠蠕动、激活钙离子信号传导以及促进乙酰胆碱和乙酰胆碱酯酶释放来增加小鼠腹泻。它还会提高 AP 患者的血清 AChE 水平和排便频率。这些作用可以解释大黄在治疗与 AP 相关的胃肠动力障碍中的治疗作用。试用注册号：ITMCTR2025002044。</w:t>
      </w:r>
    </w:p>
    <w:p>
      <w:pPr>
        <w:spacing w:before="120"/>
      </w:pPr>
      <w:r>
        <w:rPr>
          <w:rFonts w:ascii="Times New Roman" w:hAnsi="Times New Roman" w:eastAsia="宋体"/>
          <w:b/>
          <w:sz w:val="21"/>
        </w:rPr>
        <w:t>English Abstract:</w:t>
      </w:r>
    </w:p>
    <w:p>
      <w:r>
        <w:rPr>
          <w:rFonts w:ascii="Times New Roman" w:hAnsi="Times New Roman" w:eastAsia="宋体"/>
          <w:sz w:val="21"/>
        </w:rPr>
        <w:t>Abstract Rapid restoration of intestinal motility is crucial in managing acute pancreatitis (AP), particularly in severe cases. This study aims to investigate the potential of Chinese medicinal rhubarb to enhance bowel motility through modulation of calcium ion signaling in the gastrointestinal tract. A multi-omics approach integrating network pharmacology, KEGG pathway enrichment, and protein–protein interaction (PPI) analyses to identify rhubarb’s active components and target genes linked to AP. KEGG analysis highlighted key genes in the calcium ion pathway, facilitating the construction of a network pharmacology framework. C57BL/6 mice were single-blind randomly given saline or rhubarb gavage (0.2 mL/10 g, thrice daily for 2 days). Ileum tissues and serum were collected to measure key genes, acetylcholine (ACh), and acetylcholinesterase (AChE). Similarly, mild to moderate AP patients in Pingxiang People’s Hospital were single-blind randomly assigned to control or rhubarb groups, with serum analyzed for AChE levels. Multi-dimensional analyses identified ten active components in rhubarb that interact with 67 target proteins. Cross-referencing with AP-related targets identified 55 key regulatory genes, ten of which were significantly enriched in the calcium signaling pathway. Animal studies demonstrated that rhubarb significantly increased ACh in the mice ileum ( p = 0.0023) and serum AChE levels ( p &lt; 0.0001). Q-PCR analysis indicated upregulation of nine calcium pathway-related genes. In a randomized single-blind trial with 10 AP patients, those receiving oral rhubarb had significantly more frequent bowel movements ( p &lt; 0.0001) and higher serum AChE levels ( p &lt; 0.0001) than controls. No adverse events occurred. Rhubarb increases diarrhea in mice by enhancing gastrointestinal motility, activating calcium ion signaling, and boosting ACh and AChE release. It also raises serum AChE levels and defecation frequency in AP patients. These effects may explain rhubarb’s therapeutic role in treating gastrointestinal motility disorders linked to AP. Trial registration number: ITMCTR2025002044.</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在高心脏代谢风险的超重个体中，Alistipes 与脂蛋白谱的疾病特异性串扰</w:t>
      </w:r>
    </w:p>
    <w:p>
      <w:r>
        <w:rPr>
          <w:rFonts w:ascii="Times New Roman" w:hAnsi="Times New Roman" w:eastAsia="宋体"/>
          <w:b/>
          <w:color w:val="003264"/>
          <w:sz w:val="24"/>
        </w:rPr>
        <w:t>Disease-specific crosstalk of Alistipes with lipoprotein profiles in overweight individuals at high cardiometabolic risk</w:t>
      </w:r>
    </w:p>
    <w:p>
      <w:r>
        <w:rPr>
          <w:rFonts w:ascii="Times New Roman" w:hAnsi="Times New Roman" w:eastAsia="宋体"/>
          <w:sz w:val="21"/>
        </w:rPr>
        <w:t>作者: Amanda Cuevas-Sierra, Andrea Higuera-Gómez, Begoña de Cuevillas, Núria Amigó, María Martínez-Urbistondo, Raquel Castejón, J. Antonio Vargas, J. Alfredo Martínez</w:t>
        <w:br/>
      </w:r>
      <w:r>
        <w:rPr>
          <w:rFonts w:ascii="Times New Roman" w:hAnsi="Times New Roman" w:eastAsia="宋体"/>
          <w:sz w:val="21"/>
        </w:rPr>
        <w:t xml:space="preserve">时间: 2026-02-13 | </w:t>
      </w:r>
      <w:r>
        <w:t xml:space="preserve">链接: </w:t>
      </w:r>
      <w:hyperlink r:id="rId19">
        <w:r>
          <w:rPr>
            <w:rFonts w:ascii="Times New Roman" w:hAnsi="Times New Roman" w:eastAsia="宋体"/>
            <w:color w:val="0000FF"/>
            <w:sz w:val="21"/>
            <w:u w:val="single"/>
          </w:rPr>
          <w:t>https://doi.org/10.1038/s41598-026-36024-0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代谢综合征（MS）和系统性红斑狼疮（SLE）代表两种病理生理学不同的慢性疾病，与心血管风险升高相关。新的证据将肠道微生物群与宿主脂质代谢和脂蛋白功能联系起来。本研究旨在分析受 MS 和 SLE 影响的超重人群中肠道微生物群与高级脂蛋白分析之间的疾病特异性关系。总共包括 85 名 MS 患者和 66 名 SLE 患者，全部超重。评估了人体测量、身体成分和生化参数。脂蛋白谱通过 1 H-NMR 光谱进行定量，肠道微生物群组成通过 16S rRNA 测序进行定量。机器学习 Boruta 特征选择识别出与脂质特征相关的微生物类群。回归模型按疾病类型评估了微生物群与低密度脂蛋白颗粒的关联。 MS 组的参与者在人体测量、身体成分和临床生物化学方面表现出更不利的数值。高级脂蛋白分析显示，MS 个体的 IDL-C、VLDL-TG、小 LDL-P 和总 LDL-P 水平较高，而 HDL-C 降低，反映出更容易发生动脉粥样硬化。肠道微生物群分析将 Alistipes 确定为关键的判别类群。观察到 Alitipes 丰度与小 LDL 颗粒浓度之间存在显着关联，并受疾病类型调节，这表明肠道微生物群与脂质代谢之间的关联可能因疾病类型而异。与患有自身免疫性系统性红斑狼疮的个体相比，患有代谢综合征的参与者表现出不利的人体测量、临床和脂蛋白特征，以及独特的肠道微生物群。结果强调了特定条件下的宿主-微生物群-脂质关系，并支持使用新方法来指导降低高危人群心血管风险的精准策略。</w:t>
      </w:r>
    </w:p>
    <w:p>
      <w:pPr>
        <w:spacing w:before="120"/>
      </w:pPr>
      <w:r>
        <w:rPr>
          <w:rFonts w:ascii="Times New Roman" w:hAnsi="Times New Roman" w:eastAsia="宋体"/>
          <w:b/>
          <w:sz w:val="21"/>
        </w:rPr>
        <w:t>English Abstract:</w:t>
      </w:r>
    </w:p>
    <w:p>
      <w:r>
        <w:rPr>
          <w:rFonts w:ascii="Times New Roman" w:hAnsi="Times New Roman" w:eastAsia="宋体"/>
          <w:sz w:val="21"/>
        </w:rPr>
        <w:t>Abstract Metabolic syndrome (MS) and systemic lupus erythematosus (SLE) represent two pathophysiologically distinct chronic conditions associated with elevated cardiovascular risk. Emerging evidence links gut microbiota to host lipid metabolism and lipoprotein function. This investigation aimed to analyze disease-specific relations between gut microbiota and an advanced lipoprotein profiling in an overweight population affected by MS and SLE. A total of 85 individuals with MS and 66 with SLE, all overweight, were included. Anthropometric, body composition, and biochemical parameters were assessed. Lipoprotein profiles were quantified by 1 H-NMR spectroscopy, and gut microbiota composition via 16S rRNA sequencing. Machine learning Boruta feature selection identified microbial taxa linked to lipid traits. Regression models evaluated microbiota–LDL particle associations by disease type. Participants in the MS group showed more unfavorable values in anthropometric, body composition and clinical biochemistry. Advanced lipoprotein analysis revealed that MS individuals had higher levels of IDL-C, VLDL-TG, small LDL-P, and total LDL-P, with decreased HDL-C, reflecting a more atherogenic profile. Gut microbiota analysis identified Alistipes as a key discriminant taxon. A significant association was observed between Alistipes abundance and small LDL particle concentrations, being modulated by disease type, suggesting that the association between gut microbiota and lipid metabolism may differ by disease type. Participants with metabolic syndrome showed unfavorable anthropometric, clinical, and lipoprotein profiles, along with distinct gut microbiota, compared to individuals with the autoimmune-driven SLE. The results highlight condition-specific host–microbiota–lipid relationship and supports the use of novel approaches to guide precision strategies for cardiovascular risk reduction in high-risk populations.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用于验证纺织服装中再生棉纤维的存在、数量和来源的分析工具箱</w:t>
      </w:r>
    </w:p>
    <w:p>
      <w:r>
        <w:rPr>
          <w:rFonts w:ascii="Times New Roman" w:hAnsi="Times New Roman" w:eastAsia="宋体"/>
          <w:b/>
          <w:color w:val="003264"/>
          <w:sz w:val="24"/>
        </w:rPr>
        <w:t>An analytical toolbox to verify the presence, quantity and origin of recycled cotton fibres in textile garments</w:t>
      </w:r>
    </w:p>
    <w:p>
      <w:r>
        <w:rPr>
          <w:rFonts w:ascii="Times New Roman" w:hAnsi="Times New Roman" w:eastAsia="宋体"/>
          <w:sz w:val="21"/>
        </w:rPr>
        <w:t>作者: Anke B. G. M. Ten Berge, Robin Temmink, Maud Kuppen, Maaike B. van Slagmaat, Sven Kamphuis, Richard A. J. Groeneveld, Anton Luiken, Jens Oelerich, Jan W. G. Mahy</w:t>
        <w:br/>
      </w:r>
      <w:r>
        <w:rPr>
          <w:rFonts w:ascii="Times New Roman" w:hAnsi="Times New Roman" w:eastAsia="宋体"/>
          <w:sz w:val="21"/>
        </w:rPr>
        <w:t xml:space="preserve">时间: 2026-02-13 | </w:t>
      </w:r>
      <w:r>
        <w:t xml:space="preserve">链接: </w:t>
      </w:r>
      <w:hyperlink r:id="rId20">
        <w:r>
          <w:rPr>
            <w:rFonts w:ascii="Times New Roman" w:hAnsi="Times New Roman" w:eastAsia="宋体"/>
            <w:color w:val="0000FF"/>
            <w:sz w:val="21"/>
            <w:u w:val="single"/>
          </w:rPr>
          <w:t>https://doi.org/10.1038/s41598-026-39268-y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纺织工业是污染最严重的工业之一。为了减少对环境的影响，整个供应链必须从线性经济转向循环经济，因此纺织品报废时的回收至关重要。在新法规的刺激下，该行业越来越多地将回收（主要是机械回收）棉纤维融入新服装中。然而，使用再生纤维生产服装比使用原生纤维生产成本更高。目前，没有独立的方法来评估生产商声称的机械回收棉花的数量。因此，“洗绿”现象屡见不鲜。在这项研究中，开发了一个分析工具箱，以便能够独立验证服装中声称的机械再生棉含量。为工具箱开发了三种分析方法。显微镜可用于定性确认机械回收棉纤维的存在。测量纤维长度分布可以半定量地确定回收纤维的数量。聚合度 (DP) 测量可用于区分回收纤维的消费前和/或消费后来源。一旦进一步丰富并发展成为标准，该工具箱将成为减少绿色清洗和促进再生纤维使用的资产。</w:t>
      </w:r>
    </w:p>
    <w:p>
      <w:pPr>
        <w:spacing w:before="120"/>
      </w:pPr>
      <w:r>
        <w:rPr>
          <w:rFonts w:ascii="Times New Roman" w:hAnsi="Times New Roman" w:eastAsia="宋体"/>
          <w:b/>
          <w:sz w:val="21"/>
        </w:rPr>
        <w:t>English Abstract:</w:t>
      </w:r>
    </w:p>
    <w:p>
      <w:r>
        <w:rPr>
          <w:rFonts w:ascii="Times New Roman" w:hAnsi="Times New Roman" w:eastAsia="宋体"/>
          <w:sz w:val="21"/>
        </w:rPr>
        <w:t>The textile industry is one of the most polluting industries. To reduce its environmental impact, the entire supply chain must transition from a linear to a circular economy, making textile recycling at end-of-life critical. Stimulated by new regulations, the industry is increasingly incorporating recycled – mainly mechanically – cotton fibres into new garments. However, producing garments with recycled fibres is costlier than using virgin fibres. Currently, there is no independent way to assess the quantity of mechanically recycled cotton claimed by producers. As a result, “greenwashing” is frequently encountered. In this study, an analytical toolbox was developed to enable independent verification of the claimed mechanically recycled cotton content in garments. For the toolbox three analysis methods were developed. Microscopy can be used to qualitatively confirm the presence of mechanically recycled cotton fibres. Measuring the fibre length distribution allows the amount of recycled fibres to be determined semi-quantitatively. Degree of polymerisation (DP) measurements can be used to distinguish the pre- and/or post-consumer origin of the recycled fibres. Once further enriched and developed into a standard, the toolbox will be an asset in reducing greenwashing and boosting the use of recycled fibres.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通过强化学习驱动的任务技术适配和服务交互，动态适配非标准服务任务</w:t>
      </w:r>
    </w:p>
    <w:p>
      <w:r>
        <w:rPr>
          <w:rFonts w:ascii="Times New Roman" w:hAnsi="Times New Roman" w:eastAsia="宋体"/>
          <w:b/>
          <w:color w:val="003264"/>
          <w:sz w:val="24"/>
        </w:rPr>
        <w:t>Dynamic adaptation of non standard service tasks through reinforcement learning driven task technology fit and service interaction</w:t>
      </w:r>
    </w:p>
    <w:p>
      <w:r>
        <w:rPr>
          <w:rFonts w:ascii="Times New Roman" w:hAnsi="Times New Roman" w:eastAsia="宋体"/>
          <w:sz w:val="21"/>
        </w:rPr>
        <w:t>作者: Yixin Sun, Jinming Gao, Kai Han, Chul-Hyun Hwang, Hoekyung Jung</w:t>
        <w:br/>
      </w:r>
      <w:r>
        <w:rPr>
          <w:rFonts w:ascii="Times New Roman" w:hAnsi="Times New Roman" w:eastAsia="宋体"/>
          <w:sz w:val="21"/>
        </w:rPr>
        <w:t xml:space="preserve">时间: 2026-02-13 | </w:t>
      </w:r>
      <w:r>
        <w:t xml:space="preserve">链接: </w:t>
      </w:r>
      <w:hyperlink r:id="rId21">
        <w:r>
          <w:rPr>
            <w:rFonts w:ascii="Times New Roman" w:hAnsi="Times New Roman" w:eastAsia="宋体"/>
            <w:color w:val="0000FF"/>
            <w:sz w:val="21"/>
            <w:u w:val="single"/>
          </w:rPr>
          <w:t>https://doi.org/10.1038/s41598-026-38808-w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任务异构、缺乏标准化工作流程，非标准化服务型小微企业在数字化转型中面临重大挑战。本研究提出了一种轻量级的嵌入式平台构建方法——任务-服务-人机交互（TSH）方法，将任务-技术契合（TTF）、服务流程定制（SPC）和人机交互（HCI）集成到任务识别、工作流配置和交互反馈的闭环机制中。基于该方法，设计了强化学习驱动的任务技术拟合优化（RL-TTFO）系统架构，以实现语义任务解析和自适应工作流生成。在专业组织行业部署了一个原型平台，收集来自 300 个用户的行为日志和调查数据。结构方程建模结果表明，任务-技术契合度对用户满意度有显着的正向影响（β = 0.62，p &lt; 0.001），配置参与在感知控制中发挥中介作用（p &lt; 0.01）。回归分析进一步表明，与静态工作流配置相比，RL-TTFO 机制的使用频率提高了 35.4%，感知系统智能提高了 27.1%（p &lt; 0.001）。这些发现表明，所提出的方法为在高度定制的服务环境中运营的资源有限的微型企业提供了可持续的、低门槛的数字化转型解决方案。</w:t>
      </w:r>
    </w:p>
    <w:p>
      <w:pPr>
        <w:spacing w:before="120"/>
      </w:pPr>
      <w:r>
        <w:rPr>
          <w:rFonts w:ascii="Times New Roman" w:hAnsi="Times New Roman" w:eastAsia="宋体"/>
          <w:b/>
          <w:sz w:val="21"/>
        </w:rPr>
        <w:t>English Abstract:</w:t>
      </w:r>
    </w:p>
    <w:p>
      <w:r>
        <w:rPr>
          <w:rFonts w:ascii="Times New Roman" w:hAnsi="Times New Roman" w:eastAsia="宋体"/>
          <w:sz w:val="21"/>
        </w:rPr>
        <w:t>Non-standard service-oriented microenterprises face significant challenges in digital transformation due to heterogeneous tasks and the absence of standardized workflows. This study proposes a lightweight, embedded platform construction methodology—the Task–Service–HCI (TSH) method—which integrates Task–Technology Fit (TTF), Service Process Customization (SPC), and Human–Computer Interaction (HCI) into a closed-loop mechanism for task recognition, workflow configuration, and interactive feedback. Based on this method, a Reinforcement Learning–driven Task–Technology Fit Optimization (RL-TTFO) system architecture is designed to enable semantic task parsing and adaptive workflow generation.A prototype platform was deployed in the professional organizing industry, collecting behavioral logs and survey data from 300 users. Structural equation modeling results show that task–technology fit has a significant positive effect on user satisfaction (β = 0.62, p &lt; 0.001), with configuration participation playing a mediating role in perceived control (p &lt; 0.01). Regression analysis further indicates that the RL-TTFO mechanism increases usage frequency by 35.4% and improves perceived system intelligence by 27.1% compared with static workflow configurations (p &lt; 0.001). These findings demonstrate that the proposed approach provides a sustainable, low-barrier digital transformation solution for resource-constrained microenterprises operating in highly customized service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cN0分化型甲状腺癌临床特征及淋巴结转移风险分析</w:t>
      </w:r>
    </w:p>
    <w:p>
      <w:r>
        <w:rPr>
          <w:rFonts w:ascii="Times New Roman" w:hAnsi="Times New Roman" w:eastAsia="宋体"/>
          <w:b/>
          <w:color w:val="003264"/>
          <w:sz w:val="24"/>
        </w:rPr>
        <w:t>Clinical characteristics and risk analysis of lymph node metastasis in patients with cN0 differentiated thyroid carcinoma</w:t>
      </w:r>
    </w:p>
    <w:p>
      <w:r>
        <w:rPr>
          <w:rFonts w:ascii="Times New Roman" w:hAnsi="Times New Roman" w:eastAsia="宋体"/>
          <w:sz w:val="21"/>
        </w:rPr>
        <w:t>作者: Meng Wei, Kaipeng Hu, Gaolin Qiu, Qing Lin, Jincan Qian, Yao Lu, Rui Wang</w:t>
        <w:br/>
      </w:r>
      <w:r>
        <w:rPr>
          <w:rFonts w:ascii="Times New Roman" w:hAnsi="Times New Roman" w:eastAsia="宋体"/>
          <w:sz w:val="21"/>
        </w:rPr>
        <w:t xml:space="preserve">时间: 2026-02-13 | </w:t>
      </w:r>
      <w:r>
        <w:t xml:space="preserve">链接: </w:t>
      </w:r>
      <w:hyperlink r:id="rId22">
        <w:r>
          <w:rPr>
            <w:rFonts w:ascii="Times New Roman" w:hAnsi="Times New Roman" w:eastAsia="宋体"/>
            <w:color w:val="0000FF"/>
            <w:sz w:val="21"/>
            <w:u w:val="single"/>
          </w:rPr>
          <w:t>https://doi.org/10.1038/s41598-026-39630-0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旨在检查临床淋巴结阴性 (cN0)、最小肿瘤直径 &gt; 0.5 cm 和最大肿瘤直径 &lt; 3.0 cm 的分化型甲状腺癌患者的临床特征和淋巴结转移 (LNM) 的可能性。收集232例符合纳入和排除标准的接受甲状腺根治术的患者的临床资料，发现LNM阳性组的平均年龄较LNM阴性组年轻（40.9±10.8比45.3±11.8，P=0.0031）；性别分布也显示出统计学上的显着差异，男性患者更容易患LNM（P = 0.0436）。 LNM 阳性患者的甲状腺结节超声甲状腺成像报告和数据系统 (TI-RADS) 评分较高 (p &lt; 0.001)。在最大肿瘤直径和RET融合方面，LNM阳性组高于LNM阴性组（1.11±0.832 cm vs. 0.808±0.616 cm，P=0.0034和16.3% vs. 2.7%，P=0.0026），呈现统计学差异，LNM阳性组多灶性病灶的比例也较高。 （26.8% 对比 20.2%）。 LNM阳性组患者外周血促甲状腺激素水平较高（2.68±2.88μIU/L vs. 2.12±2.07μIU/L）。值得注意的是，LNM 阳性组和阴性组在凝血酶原时间活性 (PT%)（110 ± 13.0% 与 107 ± 11.5%，P = 0.034）和白细胞（WBC）计数（6.11 ± 1.76 × 10^9/L vs. 6.59 ± 1.85 × 10^9/L，P = 0.034）方面观察到统计学显着差异。 0.0495），进一步研究发现BMI（R=0.19）和血尿素氮（R=0.17）与PT%呈正相关，而PT%与外周血T3（R=−0.17）和T4（R=−0.13）水平呈负相关，这在以往的研究中未见报道。我们观察到，对于cN0分化型甲状腺癌患者，还应关注性别、年龄、肿瘤直径、RET融合甚至PT、WBC等因素对淋巴结转移的影响。</w:t>
      </w:r>
    </w:p>
    <w:p>
      <w:pPr>
        <w:spacing w:before="120"/>
      </w:pPr>
      <w:r>
        <w:rPr>
          <w:rFonts w:ascii="Times New Roman" w:hAnsi="Times New Roman" w:eastAsia="宋体"/>
          <w:b/>
          <w:sz w:val="21"/>
        </w:rPr>
        <w:t>English Abstract:</w:t>
      </w:r>
    </w:p>
    <w:p>
      <w:r>
        <w:rPr>
          <w:rFonts w:ascii="Times New Roman" w:hAnsi="Times New Roman" w:eastAsia="宋体"/>
          <w:sz w:val="21"/>
        </w:rPr>
        <w:t>To examine the clinical attributes and likelihood of lymph node metastasis (LNM) in patients with differentiated thyroid carcinoma classified as clinically lymph node-negative (cN0), with a minimum tumor diameter &gt; 0.5 cm and maximum tumor diameter &lt; 3.0 cm. Clinical data of 232 patients who underwent radical thyroidectomy and satisfied the inclusion and exclusion criteria were collected, and we found that average age of the LNM-positive group was younger than that of the LNM-negative group (40.9 ± 10.8 vs. 45.3 ± 11.8, P = 0.0031); sex distribution also showed a statistically significant difference, with male patients being more prone to LNM (P = 0.0436). Patients with positive LNM exhibited higher ultrasound thyroid imaging reporting and data system (TI-RADS) scores for thyroid nodules (p &lt; 0.001). In terms of maximum tumor diameter and RET fusion, the LNM-positive group was higher in LNM-negative group (1.11 ± 0.832 cm vs. 0.808 ± 0.616 cm, P = 0.0034 and 16.3% vs. 2.7%, P = 0.0026), showing a statistically significant difference, The proportion of multifocal lesions was also higher in the LNM-positive group (26.8% vs. 20.2%). Patients in the LNM-positive group had higher levels of peripheral blood thyroid stimulating hormone (2.68 ± 2.88 μIU/L vs. 2.12 ± 2.07 μIU/L). Notably, statistically significant differences were observed between the LNM-positive and negative groups in terms of prothrombin time activity (PT%) (110 ± 13.0% vs. 107 ± 11.5%, P = 0.034) and white blood cell (WBC) count (6.11 ± 1.76 × 10^9/L vs. 6.59 ± 1.85 × 10^9/L, P = 0.0495), and further investigations revealed that BMI (R = 0.19) and blood urea nitrogen (R = 0.17) were positively correlated with PT%, whereas PT% was negatively correlated with peripheral blood T3 (R = − 0.17) and T4 (R = − 0.13) levels, which has not been reported in previous studies. We observed that for patients with cN0 differentiated thyroid cancer, we should also pay attention to the influence of factors such as gender, age, tumor diameter, RET fusion, and even PT and WBC on lymph node metastasis.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使用微通道梯度离心进行单细胞质量密度测量</w:t>
      </w:r>
    </w:p>
    <w:p>
      <w:r>
        <w:rPr>
          <w:rFonts w:ascii="Times New Roman" w:hAnsi="Times New Roman" w:eastAsia="宋体"/>
          <w:b/>
          <w:color w:val="003264"/>
          <w:sz w:val="24"/>
        </w:rPr>
        <w:t>Single-cell mass-density measurements using microchannel gradient centrifugation</w:t>
      </w:r>
    </w:p>
    <w:p>
      <w:r>
        <w:rPr>
          <w:rFonts w:ascii="Times New Roman" w:hAnsi="Times New Roman" w:eastAsia="宋体"/>
          <w:sz w:val="21"/>
        </w:rPr>
        <w:t>作者: Richard Soller, Per Augustsson, Rune Barnkob</w:t>
        <w:br/>
      </w:r>
      <w:r>
        <w:rPr>
          <w:rFonts w:ascii="Times New Roman" w:hAnsi="Times New Roman" w:eastAsia="宋体"/>
          <w:sz w:val="21"/>
        </w:rPr>
        <w:t xml:space="preserve">时间: 2026-02-13 | </w:t>
      </w:r>
      <w:r>
        <w:t xml:space="preserve">链接: </w:t>
      </w:r>
      <w:hyperlink r:id="rId23">
        <w:r>
          <w:rPr>
            <w:rFonts w:ascii="Times New Roman" w:hAnsi="Times New Roman" w:eastAsia="宋体"/>
            <w:color w:val="0000FF"/>
            <w:sz w:val="21"/>
            <w:u w:val="single"/>
          </w:rPr>
          <w:t>https://doi.org/10.1038/s41598-026-38872-2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种基于微通道的质量密度梯度离心法，用于细胞或微粒的质量密度测量。工作流程包括三个基本步骤：微通道填充、离心和显微镜检查。微通道填充和随后的两种不同密度液体的离心可以瞬时、精确且可重复地生成一维质量密度梯度，并同时将感兴趣的细胞或颗粒沉降到其质量密度等于梯度质量密度的点。我们介绍两种不同的方法，即校准粒子和示踪分子，用于显微质量密度读数。我们通过测量酵母细胞的质量密度来演示测量原理，并表明该方法可以测量单个细胞的质量密度，位置相关的中值不确定度为 3.3 $$\text{kg}\,\text{m}^{-3}$$，吞吐量约为每小时 16000 个细胞。这种测量精度处于当前使用的最佳单细胞方法的范围内，但具有更高的通量。该方法在技术上简单、可靠且经济实惠，使得单细胞质量密度测量得到广泛应用。</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microchannel-based adaptation of mass density-gradient centrifugation for the mass density measurement of cells or microparticles. The workflow consists of three basic steps: Microchannel filling, centrifugation, and microscopy. Microchannel filling and subsequent centrifugation of two liquids with different densities allows the instantaneous, precise, and repeatable generation of a one-dimensional mass-density gradient and the simultaneous sedimentation of cells or particles of interest to a point where their mass density is equal to the gradient’s mass density. We introduce two different methods, calibration particles and tracer molecules, for microscopic mass density readout. We demonstrate the measurement principle by measuring the mass density of yeast cells and show that the method allows the mass density measurement of single cells with a position dependent median uncertainty of 3.3 $$\text{kg}\,\text{m}^{-3}$$ with a throughput of approximately 16000 cells per hour. This measurement precision is in the range of the best single-cell methods currently in use but with a higher throughput. The method is technically straightforward, robust, and affordable, making single-cell mass density measurements widely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妊娠期循环短链和中链脂肪酸及其与母婴代谢、炎症和身体成分的关系</w:t>
      </w:r>
    </w:p>
    <w:p>
      <w:r>
        <w:rPr>
          <w:rFonts w:ascii="Times New Roman" w:hAnsi="Times New Roman" w:eastAsia="宋体"/>
          <w:b/>
          <w:color w:val="003264"/>
          <w:sz w:val="24"/>
        </w:rPr>
        <w:t>Circulating short- and medium-chain fatty acids in pregnancy and associations with maternal and infant metabolism, inflammation, and body composition</w:t>
      </w:r>
    </w:p>
    <w:p>
      <w:r>
        <w:rPr>
          <w:rFonts w:ascii="Times New Roman" w:hAnsi="Times New Roman" w:eastAsia="宋体"/>
          <w:sz w:val="21"/>
        </w:rPr>
        <w:t>作者: Maryam Kebbe, Renny S. Lan, Lindsay Pack, Clark Sims, Leanne M. Redman, Aline Andres</w:t>
        <w:br/>
      </w:r>
      <w:r>
        <w:rPr>
          <w:rFonts w:ascii="Times New Roman" w:hAnsi="Times New Roman" w:eastAsia="宋体"/>
          <w:sz w:val="21"/>
        </w:rPr>
        <w:t xml:space="preserve">时间: 2026-02-13 | </w:t>
      </w:r>
      <w:r>
        <w:t xml:space="preserve">链接: </w:t>
      </w:r>
      <w:hyperlink r:id="rId24">
        <w:r>
          <w:rPr>
            <w:rFonts w:ascii="Times New Roman" w:hAnsi="Times New Roman" w:eastAsia="宋体"/>
            <w:color w:val="0000FF"/>
            <w:sz w:val="21"/>
            <w:u w:val="single"/>
          </w:rPr>
          <w:t>https://doi.org/10.1038/s41598-026-39010-8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短链和中链脂肪酸 (SCFA/MCFA) 调节代谢和炎症途径。本研究探讨了孕早期 (T1) 和孕晚期 (T3) 的母体血浆 SCFA/MCFA 与产后 2 周和 6 个月的母婴代谢炎症指数、母体能量代谢以及婴儿人体测量和身体成分之间的关​​联。数据取自“成长生活、优化健康”研究。 SCFAs/MCFAs 用 3-NPH 衍生化，并在高能量模式下通过飞行时间质谱法进行 LC-MS 定量，而代谢炎症指数则根据标准化生物标志物（例如胆固醇、胰岛素、瘦素）计算。 T1 时的样本量为 231 名，T3 时为 156 名，2 周时为 80 名，6 个月时为 55 名。针对协变量和多重比较调整的广义线性模型。在 T3 时，较高的丁酸、己酸、丙酸、异丁酸和异戊酸与较低的母体代谢炎症指数相关，而较高的乙酸与丙酸、乙酸与丁酸和丙酸与丁酸的比率与较高的指数相关。母体乙酸和总 SCFA/MCFA 浓度与 T1 和 T3 时的呼吸交换率呈负相关。观察到与婴儿指数或身体成分之间的有限关联。总体而言，妊娠晚期 SCFA 与母体代谢炎症途径相关，对下游婴儿的影响最小。</w:t>
      </w:r>
    </w:p>
    <w:p>
      <w:pPr>
        <w:spacing w:before="120"/>
      </w:pPr>
      <w:r>
        <w:rPr>
          <w:rFonts w:ascii="Times New Roman" w:hAnsi="Times New Roman" w:eastAsia="宋体"/>
          <w:b/>
          <w:sz w:val="21"/>
        </w:rPr>
        <w:t>English Abstract:</w:t>
      </w:r>
    </w:p>
    <w:p>
      <w:r>
        <w:rPr>
          <w:rFonts w:ascii="Times New Roman" w:hAnsi="Times New Roman" w:eastAsia="宋体"/>
          <w:sz w:val="21"/>
        </w:rPr>
        <w:t>Short- and medium-chain fatty acids (SCFAs/MCFAs) modulate metabolic and inflammatory pathways. This study examined associations between maternal plasma SCFAs/MCFAs in the first (T1) and third (T3) trimesters and maternal and infant metabolic–inflammatory indices, maternal energy metabolism, and infant anthropometrics and body composition at 2 weeks and 6 months postpartum. Data were retrieved from the Growing Life, Optimizing Wellness Study. SCFAs/MCFAs were derivatized with 3-NPH and quantified by LC–MS in Time-of-Flight mass spectrometry with elevated energy mode., while metabolic–inflammatory indices were computed from standardized biomarkers (e.g., cholesterol, insulin, leptin). Sample sizes included up to 231 participants at T1, 156 at T3, 80 infants at 2 weeks, and 55 at 6 months. Generalized linear models adjusted for covariates and multiple comparisons. At T3, higher butyric, caproic, propionic, isobutyric, and isovaleric acids were linked to a lower maternal metabolic–inflammatory index, whereas higher acetate-to-propionate, acetate-to-butyrate, and propionate-to-butyrate ratios were linked to a higher index. Maternal acetic acid and total SCFA/MCFA concentrations were inversely associated with respiratory exchange ratio at T1 and T3. Limited associations were observed with infant indices or body composition. Overall, third-trimester SCFAs were associated with maternal metabolic–inflammatory pathways with minimal downstream infant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超声波有效地破坏和破坏有包膜呼吸道病毒的结构完整性</w:t>
      </w:r>
    </w:p>
    <w:p>
      <w:r>
        <w:rPr>
          <w:rFonts w:ascii="Times New Roman" w:hAnsi="Times New Roman" w:eastAsia="宋体"/>
          <w:b/>
          <w:color w:val="003264"/>
          <w:sz w:val="24"/>
        </w:rPr>
        <w:t>Ultrasound effectively destabilizes and disrupts the structural integrity of enveloped respiratory viruses</w:t>
      </w:r>
    </w:p>
    <w:p>
      <w:r>
        <w:rPr>
          <w:rFonts w:ascii="Times New Roman" w:hAnsi="Times New Roman" w:eastAsia="宋体"/>
          <w:sz w:val="21"/>
        </w:rPr>
        <w:t>作者: Flavio P. Veras, Gilberto Nakamura, Marcelo A. Pereira-da-Silva, Gilia C. M. Ruiz, Carlos J. L. Constantino, Ronaldo Martins, Eurico Arruda, Fernando Q. Cunha, Odemir M. Bruno</w:t>
        <w:br/>
      </w:r>
      <w:r>
        <w:rPr>
          <w:rFonts w:ascii="Times New Roman" w:hAnsi="Times New Roman" w:eastAsia="宋体"/>
          <w:sz w:val="21"/>
        </w:rPr>
        <w:t xml:space="preserve">时间: 2026-02-13 | </w:t>
      </w:r>
      <w:r>
        <w:t xml:space="preserve">链接: </w:t>
      </w:r>
      <w:hyperlink r:id="rId25">
        <w:r>
          <w:rPr>
            <w:rFonts w:ascii="Times New Roman" w:hAnsi="Times New Roman" w:eastAsia="宋体"/>
            <w:color w:val="0000FF"/>
            <w:sz w:val="21"/>
            <w:u w:val="single"/>
          </w:rPr>
          <w:t>https://doi.org/10.1038/s41598-026-37584-x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这项研究表明，高频超声（3-20 MHz）可以通过与经典空化（kHz 范围）不同的共振驱动机制，有效破坏甲型流感病毒 (H1N1) 和 SARS-CoV-2 的结构完整性。在这些条件下，病毒颗粒会发生明显的变化（破碎、包膜破裂和形态均匀性丧失），这与直接机械不稳定一致，而不是热或气泡介导的效应。详细的结构分析揭示了病毒包膜的显着破坏，伴随着粒径分布的可测量变化和直径的减小，表明共振诱导的断裂。这些结构修饰与生物学后果并行：SARS-CoV-2 的感染性在体外显着降低，受感染细胞的病毒载量显着降低。重要的是，这项工作提供了第一个实验证据，表明声共振可以直接与病毒结构成分耦合，诱导包膜的选择性机械不稳定。结构和功能数据的融合支持了这样一种观点，即这代表了一种先前未描述的生物物理现象，与空化有着根本的区别。这种共振介导的不稳定凸显了一种新颖的、非侵入性的、广谱的抗病毒策略，该策略不同于空化，更适合无菌和灭菌，并提供了一种针对包膜呼吸道病毒和其他临床相关病原体的潜在应用的治疗方法。</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that high-frequency ultrasound (3–20 MHz) can effectively disrupt the structural integrity of both Influenza A virus (H1N1) and SARS-CoV-2 through a resonance-driven mechanism distinct from classical cavitation (kHz range). Under these conditions, viral particles undergo pronounced alterations (fragmentation, envelope rupture, and loss of morphological uniformity) consistent with direct mechanical destabilization rather than thermal or bubble-mediated effects. Detailed structural analyses revealed significant disruption of the viral envelope, accompanied by measurable shifts in particle size distribution and reduced diameters, indicative of resonance-induced fragmentation. These structural modifications were paralleled by biological consequences: SARS-CoV-2 infectivity was markedly reduced in vitro, with infected cells exhibiting substantially lower viral loads. Importantly, this work provides the first experimental evidence that acoustic resonance can directly couple with viral structural components, inducing selective mechanical destabilization of the envelope. The convergence of structural and functional data supports the view that this represents a previously undescribed biophysical phenomenon, fundamentally distinct from cavitation. This resonance-mediated destabilization highlights a novel, non-invasive, and broad-spectrum antiviral strategy that differs from cavitation, more suited to asepsis and sterilization, and offers a therapeutic approach with potential applications against enveloped respiratory viruses and other clinically relevant pathogens.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新辅助化疗对肿瘤患者脂肪间充质基质细胞功能的影响及其对成纤维细胞的调节作用</w:t>
      </w:r>
    </w:p>
    <w:p>
      <w:r>
        <w:rPr>
          <w:rFonts w:ascii="Times New Roman" w:hAnsi="Times New Roman" w:eastAsia="宋体"/>
          <w:b/>
          <w:color w:val="003264"/>
          <w:sz w:val="24"/>
        </w:rPr>
        <w:t>Impact of neoadjuvant chemotherapy on the functionality of adipose-derived mesenchymal stromal cells and their modulatory effects on fibroblasts in oncology patients</w:t>
      </w:r>
    </w:p>
    <w:p>
      <w:r>
        <w:rPr>
          <w:rFonts w:ascii="Times New Roman" w:hAnsi="Times New Roman" w:eastAsia="宋体"/>
          <w:sz w:val="21"/>
        </w:rPr>
        <w:t>作者: Aneta Skoniecka, Paulina Słonimska, Agata Tymińska, Katarzyna Czerwiec, Milena Deptuła, Małgorzata Zawrzykraj, Karolina Kondej, Jacek Zieliński, Serena Zacchigna, Paweł Sachadyn, Michał Pikuła</w:t>
        <w:br/>
      </w:r>
      <w:r>
        <w:rPr>
          <w:rFonts w:ascii="Times New Roman" w:hAnsi="Times New Roman" w:eastAsia="宋体"/>
          <w:sz w:val="21"/>
        </w:rPr>
        <w:t xml:space="preserve">时间: 2026-02-13 | </w:t>
      </w:r>
      <w:r>
        <w:t xml:space="preserve">链接: </w:t>
      </w:r>
      <w:hyperlink r:id="rId26">
        <w:r>
          <w:rPr>
            <w:rFonts w:ascii="Times New Roman" w:hAnsi="Times New Roman" w:eastAsia="宋体"/>
            <w:color w:val="0000FF"/>
            <w:sz w:val="21"/>
            <w:u w:val="single"/>
          </w:rPr>
          <w:t>https://doi.org/10.1038/s41598-026-39457-9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脂肪源性间充质基质细胞（AD-MSC），也称为间充质干细胞，由于其多效性（包括分泌细胞因子、趋化因子和生长因子）而在再生医学中具有广阔的前景。这些细胞可以促进组织修复、增强血管生成和调节炎症。然而，了解新辅助化疗对 AD-MSC 功能、免疫表型、细胞因子分泌及其与成纤维细胞相互作用的影响仍然不够。本研究旨在探讨化疗对 AD-MSC 的影响及其在体外影响成纤维细胞功能的能力。人自体 AD-MSC 和皮肤成纤维细胞是从两个患者队列中分离出来的，即未接受新辅助化疗的患者和接受新辅助化疗的患者，这些患者是从手术过程中获得的皮下脂肪组织中分离出来的。 AD-MSCs 的身份通过流式细胞术、阳性和阴性标记以及脂肪形成、成骨和软骨形成分化的诱导来证实。将自体成纤维细胞与 AD-MSC 共培养，以评估成纤维细胞趋化性、增殖、迁移、细胞因子分泌、细胞周期分布、胶原沉积和基因表达。对表面标志物、分泌细胞因子、转录组分析和细胞周期的流式细胞术分析显示，接受或未接受化疗的患者的 AD-MSC 之间没有显着差异。在化疗患者的细胞中观察到线粒体活性略有增加。对真皮成纤维细胞的分析揭示了化疗后其生物活性的显着变化。它们的趋化活性、迁移和胶原蛋白的产生被削弱，并且它们的细胞因子分泌谱被改变。自体成纤维细胞和 AD-MSC 的共培养表明，AD-MSC 刺激两组成纤维细胞趋化活性。然而，AD-MSC 仅在未接受过化疗的患者中刺激成纤维细胞迁移和增殖。这项研究表明，AD-MSC 在化疗后仍能保持其功能，并能影响成纤维细胞活性。这些发现有助于了解化疗对皮肤成纤维细胞和 AD-MSC 的影响，并支持进一步研究，以优化 AD-MSC 在肿瘤患者再生医学中的使用，特别是在癌症治疗后的伤口愈合和组织修复中。</w:t>
      </w:r>
    </w:p>
    <w:p>
      <w:pPr>
        <w:spacing w:before="120"/>
      </w:pPr>
      <w:r>
        <w:rPr>
          <w:rFonts w:ascii="Times New Roman" w:hAnsi="Times New Roman" w:eastAsia="宋体"/>
          <w:b/>
          <w:sz w:val="21"/>
        </w:rPr>
        <w:t>English Abstract:</w:t>
      </w:r>
    </w:p>
    <w:p>
      <w:r>
        <w:rPr>
          <w:rFonts w:ascii="Times New Roman" w:hAnsi="Times New Roman" w:eastAsia="宋体"/>
          <w:sz w:val="21"/>
        </w:rPr>
        <w:t>Adipose-derived mesenchymal stromal cells (AD-MSCs), also known as mesenchymal stem cells, hold great promise in regenerative medicine due to their pleiotropic effects, including the secretion of cytokines, chemokines, and growth factors. These cells can promote tissue repair, enhance angiogenesis, and modulate inflammation. However, understanding neoadjuvant chemotherapy’s impacts on AD-MSC functionality, immunophenotype, cytokine secretion, and their interactions with fibroblasts remains insufficient. This study aimed to investigate the effects of chemotherapy on AD-MSCs and their ability to influence fibroblast function in vitro. Human, autologous AD-MSCs and skin fibroblasts were isolated from two patient cohorts - those without and those after neoadjuvant chemotherapy, from subcutaneous adipose tissue obtained during surgical procedures. AD-MSCs identity was confirmed by flow cytometry, positive and negative markers, and by induction of adipogenic, osteogenic, and chondrogenic differentiation. Autologous fibroblasts were co-cultured with AD-MSCs to assess fibroblast chemotaxis, proliferation, migration, cytokine secretion, cell-cycle distribution, collagen deposition, and gene expression. Flow cytometric analysis of surface markers, secreted cytokines, transcriptomic analysis, and the cell cycle revealed no significant differences between AD-MSCs from patients who either received or did not receive chemotherapy. A slight increase in mitochondrial activity was observed in cells from chemotherapy-treated patients. Analysis of dermal fibroblasts revealed significant alterations in their biological activity post-chemotherapy. Their chemotactic activity, migration, and collagen production were weakened, and their cytokine secretion profile was altered. Co-culture of autologous fibroblasts and AD-MSCs showed that AD-MSCs stimulated fibroblast chemotactic activity in both groups. However, AD-MSCs stimulated fibroblast migration and proliferation only in patients without previous chemotherapy. This study shows that AD-MSCs maintain their functionality after chemotherapy and can influence fibroblast activity. These findings add to understanding the chemotherapy effects on skin fibroblasts and AD-MSCs and support further research to optimize the use of AD-MSCs in regenerative medicine for oncology patients, particularly in wound healing and tissue repair post-cancer treatments.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用于实时检测马铃薯叶病的轻量级可扩展深度学习框架</w:t>
      </w:r>
    </w:p>
    <w:p>
      <w:r>
        <w:rPr>
          <w:rFonts w:ascii="Times New Roman" w:hAnsi="Times New Roman" w:eastAsia="宋体"/>
          <w:b/>
          <w:color w:val="003264"/>
          <w:sz w:val="24"/>
        </w:rPr>
        <w:t>Lightweight scalable deep learning framework for real time detection of potato leaf diseases</w:t>
      </w:r>
    </w:p>
    <w:p>
      <w:r>
        <w:rPr>
          <w:rFonts w:ascii="Times New Roman" w:hAnsi="Times New Roman" w:eastAsia="宋体"/>
          <w:sz w:val="21"/>
        </w:rPr>
        <w:t>作者: Girigula Durga Bhavani, Mukkoti Maruthi Venkata Chalapathi</w:t>
        <w:br/>
      </w:r>
      <w:r>
        <w:rPr>
          <w:rFonts w:ascii="Times New Roman" w:hAnsi="Times New Roman" w:eastAsia="宋体"/>
          <w:sz w:val="21"/>
        </w:rPr>
        <w:t xml:space="preserve">时间: 2026-02-13 | </w:t>
      </w:r>
      <w:r>
        <w:t xml:space="preserve">链接: </w:t>
      </w:r>
      <w:hyperlink r:id="rId27">
        <w:r>
          <w:rPr>
            <w:rFonts w:ascii="Times New Roman" w:hAnsi="Times New Roman" w:eastAsia="宋体"/>
            <w:color w:val="0000FF"/>
            <w:sz w:val="21"/>
            <w:u w:val="single"/>
          </w:rPr>
          <w:t>https://doi.org/10.1038/s41598-025-33423-7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马铃薯叶病如果未被发现，将威胁农业经济的粮食安全并造成重大农作物损失。为了应对这一严峻挑战，我们开发了一种基于人工智能的系统，称为增强型单次多盒检测器 (EF-SSD)，这是 SSD 的一种变体，集成了多尺度特征融合和挤压和激励注意力，以改进细粒度病变检测。增强型模型可处理高分辨率图像（512$$\times$$512 像素）并以 10 倍放大级别分析叶子，使其能够识别哪怕是最轻微的感染迹象。挤压和激发过滤器的加入使系统能够更有效地关注特征疾病模式，从而提高检测精度。扫描叶子后，系统应用先进的图像处理技术来定位患病区域并评估其严重程度。我们使用 2,500 张标记的马铃薯叶片图像（代表健康植物以及早疫病和晚疫病病例）评估 EF-SSD。所提出的模型在 0.5 IoU 下实现了 97% 的平均精度 (mAP)、95% 的 F1 分数和 89% 的并交交集 (IoU)，在所有指标上均优于 YOLOv5、YOLOv8、RetinaNet 和 Faster R-CNN 等高级检测器。它还以 47 FPS 的速度提供实时推理，确认其适合现场部署。消融研究进一步证明了 SE 块和扩展特征层次结构在提高检测精度方面的有效性。这些结果凸显了 EF-SSD 作为智能农业和早期作物病害管理的可靠、高效和可扩展工具的潜力。</w:t>
      </w:r>
    </w:p>
    <w:p>
      <w:pPr>
        <w:spacing w:before="120"/>
      </w:pPr>
      <w:r>
        <w:rPr>
          <w:rFonts w:ascii="Times New Roman" w:hAnsi="Times New Roman" w:eastAsia="宋体"/>
          <w:b/>
          <w:sz w:val="21"/>
        </w:rPr>
        <w:t>English Abstract:</w:t>
      </w:r>
    </w:p>
    <w:p>
      <w:r>
        <w:rPr>
          <w:rFonts w:ascii="Times New Roman" w:hAnsi="Times New Roman" w:eastAsia="宋体"/>
          <w:sz w:val="21"/>
        </w:rPr>
        <w:t>Potato leaf diseases, if left undetected, threaten food security in agricultural economies and cause substantial crop losses. To address this critical challenge, we developed an AI-based system called the Enhanced Single Shot Multibox Detector(EF-SSD), a variant of SSD that integrates multiscale feature fusion and Squeeze-and-Excitation attention to improve fine-grained lesion detection. The enhanced model processes high-resolution images (512$$\times$$512 pixels) and analyzes leaves at ten magnification levels, enabling it to identify even minor signs of infection. The inclusion of Squeeze-and-Excitation filters allows the system to focus more effectively on characteristic disease patterns, increasing detection precision. After scanning the leaves, the system applies advanced image processing techniques to localize disease regions and assess their severity. We evaluated EF-SSD using 2,500 labeled potato leaf images representing healthy plants and cases of early and late blight. The proposed model achieved a mean Average Precision (mAP) of 97% at 0.5 IoU, an F1-score of 95%, and an Intersection over Union (IoU) of 89%, outperforming advanced detectors such as YOLOv5, YOLOv8, RetinaNet, and Faster R-CNN across all metrics. It also delivers real-time inference at 47 FPS, confirming its suitability for on-field deployment. An ablation study further demonstrates the effectiveness of SE blocks and extended feature hierarchies in enhancing detection accuracy. These outcomes highlight EF-SSD’s potential as a reliable, efficient, and scalable tool for smart agriculture and early crop disease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深度强化学习驱动的多目标优化及其在照明基础设施运维策略中的应用</w:t>
      </w:r>
    </w:p>
    <w:p>
      <w:r>
        <w:rPr>
          <w:rFonts w:ascii="Times New Roman" w:hAnsi="Times New Roman" w:eastAsia="宋体"/>
          <w:b/>
          <w:color w:val="003264"/>
          <w:sz w:val="24"/>
        </w:rPr>
        <w:t>Deep reinforcement learning-driven multi-objective optimization and its applications on lighting infrastructure operation and maintenance strategy</w:t>
      </w:r>
    </w:p>
    <w:p>
      <w:r>
        <w:rPr>
          <w:rFonts w:ascii="Times New Roman" w:hAnsi="Times New Roman" w:eastAsia="宋体"/>
          <w:sz w:val="21"/>
        </w:rPr>
        <w:t>作者: Zhiliu Wang, Jiabao Tang, Pengda Wei, Wenhao Lun, Yulong Wang, Weihong Yang, Hui Xiao</w:t>
        <w:br/>
      </w:r>
      <w:r>
        <w:rPr>
          <w:rFonts w:ascii="Times New Roman" w:hAnsi="Times New Roman" w:eastAsia="宋体"/>
          <w:sz w:val="21"/>
        </w:rPr>
        <w:t xml:space="preserve">时间: 2026-02-13 | </w:t>
      </w:r>
      <w:r>
        <w:t xml:space="preserve">链接: </w:t>
      </w:r>
      <w:hyperlink r:id="rId28">
        <w:r>
          <w:rPr>
            <w:rFonts w:ascii="Times New Roman" w:hAnsi="Times New Roman" w:eastAsia="宋体"/>
            <w:color w:val="0000FF"/>
            <w:sz w:val="21"/>
            <w:u w:val="single"/>
          </w:rPr>
          <w:t>https://doi.org/10.1038/s41598-026-37811-5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解决了隧道照明系统维护所面临的挑战，其中传统的单目标优化策略和传统的维护方法难以平衡多维需求。研究重点关注隧道照明基础设施的生命周期维护管理，通过分解策略将多目标优化转化为一组帕累托最优子问题。该框架通过将深度强化学习的双深度 Q 网络（DDQN）算法与邻域梯度转移策略相结合，在解空间内建立动态拓扑网络。本研究提出了维纳退化过程和DDQN算法的创新集成，以建立用于设备性能分析的动态可靠性-成本耦合模型。开发了多目标深度强化学习（MODRL）驱动的智能维护框架，通过计算学习机制系统地协调退化动态和经济约束。结果表明，将维护成本和可靠性作为多目标优化问题（MOP）的奖励成分，可同时提高运行可靠性，并将综合维护支出减少 29.7%。基于邻域的参数传输策略将单集训练时间减少了 41.9%，参数同步时间减少了 68.3%，同时 GPU 利用率提高了 34.9%。它实现了更快的收敛速度，阈值步数减少了 22.8，并将多目标冲突率降低了 17.0%。开发的隧道照明系统多目标优化框架克服了固定维护阈值限制。该框架显示，在照明故障条件附近，可靠性下降了 68.5%，同时有效解决了过度自信问题。基于权重组合的自适应机制可以实现优化目标的特定场景定制，为成本优先、注重可靠性或平衡的运营策略提供可扩展的解决方案。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study addresses the challenges facing tunnel lighting system maintenance, where conventional single-objective optimization strategies and traditional maintenance approaches struggle to balance multidimensional requirements. Focusing on lifecycle maintenance management of tunnel lighting infrastructure, the research transforms multi-objective optimization into a set of Pareto-optimal subproblems through decomposition strategies. The proposed framework establishes a dynamic topological network within the solution space by integrating the Double Deep Q-Network(DDQN) algorithm from deep reinforcement learning with neighborhood gradient transfer strategies. This study proposes an innovative integration of Wiener degradation processes and the DDQN algorithm to establish a dynamic reliability-cost coupling model for equipment performance analysis. A multi-objective deep reinforcement learning (MODRL)-driven intelligent maintenance framework is developed, systematically coordinating degradation dynamics and economic constraints through computational learning mechanisms. The results show that incorporating maintenance costs and reliability as reward components in the multi-objective optimization problem (MOP) simultaneously enhances operational reliability and reduces comprehensive maintenance expenditures by 29.7%. The neighborhood-based parameter transfer strategy reduced single-episode training time by 41.9% and parameter synchronization time by 68.3%, while improving GPU utilization by 34.9%. It achieved faster convergence with 22.8 fewer threshold steps and reduced multi-objective conflict rates by 17.0%. The developed multi-objective optimization framework for tunnel lighting systems overcomes fixed maintenance threshold limitations. The framework demonstrated a 68.5% reliability decline near lighting failure conditions while effectively addressing overconfidence issues. The weight-combination-based adaptive mechanism enables scenario-specific customization of optimization objectives, offering scalable solutions for cost-prioritized, reliability-focused, or balanced operational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局部加热导致周围血管脉搏波速度增加</w:t>
      </w:r>
    </w:p>
    <w:p>
      <w:r>
        <w:rPr>
          <w:rFonts w:ascii="Times New Roman" w:hAnsi="Times New Roman" w:eastAsia="宋体"/>
          <w:b/>
          <w:color w:val="003264"/>
          <w:sz w:val="24"/>
        </w:rPr>
        <w:t>Local heating induces an increase in the pulse wave velocity in peripheral vessels</w:t>
      </w:r>
    </w:p>
    <w:p>
      <w:r>
        <w:rPr>
          <w:rFonts w:ascii="Times New Roman" w:hAnsi="Times New Roman" w:eastAsia="宋体"/>
          <w:sz w:val="21"/>
        </w:rPr>
        <w:t>作者: Alexei A. Kamshilin, Natalia P. Podolyan, Irina A. Mizeva, Oleg V. Mamontov, Valeriy V. Zaytsev, Maria E. Vasilieva, Victor A. Kashchenko, Anastasiia V. Sakovskaia, Polina M. Dolotovskaya, Nikita B. Margaryants, Roman V. Romashko</w:t>
        <w:br/>
      </w:r>
      <w:r>
        <w:rPr>
          <w:rFonts w:ascii="Times New Roman" w:hAnsi="Times New Roman" w:eastAsia="宋体"/>
          <w:sz w:val="21"/>
        </w:rPr>
        <w:t xml:space="preserve">时间: 2026-02-13 | </w:t>
      </w:r>
      <w:r>
        <w:t xml:space="preserve">链接: </w:t>
      </w:r>
      <w:hyperlink r:id="rId29">
        <w:r>
          <w:rPr>
            <w:rFonts w:ascii="Times New Roman" w:hAnsi="Times New Roman" w:eastAsia="宋体"/>
            <w:color w:val="0000FF"/>
            <w:sz w:val="21"/>
            <w:u w:val="single"/>
          </w:rPr>
          <w:t>https://doi.org/10.1038/s41598-026-40041-4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外周微循环的准确评估对于从常规临床检查到手术室患者监测的广泛临床应用具有重要意义。评估体内微循环血流动力学的一种有前景的方法是使用基于同步成像光电体积描记法 (iPPG) 和心电图 (ECG) 的多模态系统。然而，由于运动伪影，精确估计周围脉搏波的时间特征仍然是一项具有挑战性的任务。在本研究中，我们实现了以提高信噪比为特征的数据处理算法。我们分析了 47 名健康志愿者的 iPPG-ECG 系统测量的前臂对局部加热的微循环反应的 67 条记录。将前臂皮肤加热至 41°C 后，所有记录中均观察到脉冲到达时间显着缩短，同时脉动幅度增加数倍（高达 23 倍）。首次检测到局部周边区域脉搏波速度的增加。我们将这些发现解释为局部加热导致动静脉吻合管腔增加的结果。因此，动脉脉搏波的传播速度的改变不仅是由于动脉壁硬度的变化，而且是由于外周血流的重新分布，这是通过动静脉吻合的功能实现的。先进的多模态 iPPG-ECG 技术为进一步深入研究正常和病理条件下的区域和中心血流动力学提供了良好的前景。</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peripheral microcirculation is of great importance for wide range of clinical applications, from routine clinical examinations to patient monitoring in the operation room. Promising approach for assessing microcirculatory hemodynamics in-vivo is the use of a multimodal system based on synchronized imaging photoplethysmography (iPPG) and electrocardiography (ECG). However, precise estimation of the temporal characteristics of peripheral pulse waves is still a challenging task due to motion artifacts. In this study, we implemented data processing algorithm characterized by an increased signal-to-noise ratio. We analyzed 67 recordings of the microcirculation response in the forearm to local heating measured by the iPPG-ECG system from 47 healthy volunteers. A significant decrease in the pulse arrival time, accompanied by a multiple (up to 23-fold) increase in the pulsation amplitude was observed in all recordings after heating the forearm skin up to 41 °C. For the first time, an increase in the pulse wave velocity in a local peripheral area was detected. We interpret these findings as a consequence of an increase in the lumen of arteriovenous anastomoses in response to local heating. Therefore, the velocity of propagation of the arterial pulse wave is changed not only due to variations in the stiffness of the arterial walls but also because of redistribution of blood flow in the periphery, which is accomplished through the functioning of arteriovenous anastomoses. The advanced multimodal iPPG-ECG technique holds good promise for further in-depth studies of regional and central hemodynamics both in normal and pathological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用于预测常染色体显性多囊肾病患者 CKD 分期的机器学习：日本的一项全国性队列研究</w:t>
      </w:r>
    </w:p>
    <w:p>
      <w:r>
        <w:rPr>
          <w:rFonts w:ascii="Times New Roman" w:hAnsi="Times New Roman" w:eastAsia="宋体"/>
          <w:b/>
          <w:color w:val="003264"/>
          <w:sz w:val="24"/>
        </w:rPr>
        <w:t>Machine learning for predicting CKD stages in patients with autosomal dominant polycystic kidney disease: a nationwide cohort study in Japan</w:t>
      </w:r>
    </w:p>
    <w:p>
      <w:r>
        <w:rPr>
          <w:rFonts w:ascii="Times New Roman" w:hAnsi="Times New Roman" w:eastAsia="宋体"/>
          <w:sz w:val="21"/>
        </w:rPr>
        <w:t>作者: Yosuke Shimada, Hiroshi Kataoka, Saori Nishio, Junichi Hoshino, Keiju Hiromura, Yoshitaka Isaka, Satoru Muto</w:t>
        <w:br/>
      </w:r>
      <w:r>
        <w:rPr>
          <w:rFonts w:ascii="Times New Roman" w:hAnsi="Times New Roman" w:eastAsia="宋体"/>
          <w:sz w:val="21"/>
        </w:rPr>
        <w:t xml:space="preserve">时间: 2026-02-13 | </w:t>
      </w:r>
      <w:r>
        <w:t xml:space="preserve">链接: </w:t>
      </w:r>
      <w:hyperlink r:id="rId30">
        <w:r>
          <w:rPr>
            <w:rFonts w:ascii="Times New Roman" w:hAnsi="Times New Roman" w:eastAsia="宋体"/>
            <w:color w:val="0000FF"/>
            <w:sz w:val="21"/>
            <w:u w:val="single"/>
          </w:rPr>
          <w:t>https://doi.org/10.1038/s41598-026-39885-7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机器学习 (ML) 是医疗保健领域的一种宝贵工具，可以通过数据驱动的回归和非线性建模来预测疾病进展。与传统统计方法不同，机器学习可以识别解释变量之间复杂的相互作用。常染色体显性多囊肾病 (ADPKD) 是慢性肾病 (CKD) 的常见原因，常常进展为终末期肾衰竭。准确预测 ADPKD 患者的 CKD 进展对于个性化治疗策略至关重要。本研究分析了日本全国队列中 2,737 名 ADPKD 患者的数据。使用该数据集，我们开发了 ML 模型来预测 CKD 阶段。进行特征重要性分析以确定关键的预测变量。评估了三种 ML 模型（随机森林、支持向量机和朴素贝叶斯）的预测准确性。随机森林在测试的模型中表现出最高的预测精度。特征重要性分析确定估计肾小球滤过率 (eGFR)、血清肌酐、CKD 热图、尿蛋白和肾总体积是 CKD 分期最重要的预测因子。作为一种非线性模型，随机森林有效地捕捉了变量之间复杂的相互作用，优于线性支持向量机。朴素贝叶斯模型尽管假设变量之间独立，但仍超越了线性模型，表明一些预测变量之间的相互依赖性有限。机器学习（尤其是随机森林）通过考虑非线性变量关系，提供了一种预测 ADPKD 患者 CKD 分期的稳健方法。这些发现强调了机器学习在个性化 CKD 管理中的潜力，并强调了个性化治疗方法的必要性。</w:t>
      </w:r>
    </w:p>
    <w:p>
      <w:pPr>
        <w:spacing w:before="120"/>
      </w:pPr>
      <w:r>
        <w:rPr>
          <w:rFonts w:ascii="Times New Roman" w:hAnsi="Times New Roman" w:eastAsia="宋体"/>
          <w:b/>
          <w:sz w:val="21"/>
        </w:rPr>
        <w:t>English Abstract:</w:t>
      </w:r>
    </w:p>
    <w:p>
      <w:r>
        <w:rPr>
          <w:rFonts w:ascii="Times New Roman" w:hAnsi="Times New Roman" w:eastAsia="宋体"/>
          <w:sz w:val="21"/>
        </w:rPr>
        <w:t>Machine learning (ML) is a valuable tool in healthcare, enabling the prediction of disease progression through data-driven regression and nonlinear modeling. Unlike traditional statistical methods, ML can identify complex interactions among explanatory variables. Autosomal dominant polycystic kidney disease (ADPKD) is a common cause of chronic kidney disease (CKD), often progressing to end-stage renal failure. Accurately predicting CKD progression in ADPKD patients is essential for personalized treatment strategies. This study analyzed data from 2,737 patients with ADPKD enrolled in the Japanese Nationwide Cohort. Using this dataset, we developed ML models to predict CKD stages. Feature importance analysis was performed to identify key predictive variables. Three ML models—random forest, support vector machine, and naïve Bayes—were evaluated for their predictive accuracy. Random forest exhibited the highest predictive accuracy among the models tested. Feature importance analysis identified estimated glomerular filtration rate (eGFR), serum creatinine, CKD heat map, urinary protein, and total kidney volume as the most significant predictors of CKD stage. As a nonlinear model, random forest effectively captured complex interactions between variables, outperforming the linear support vector machine. The naïve Bayes model, despite assuming independence among variables, surpassed the linear model, indicating limited interdependence among some predictors. ML, particularly random forest, provides a robust approach for predicting CKD stages in patients with ADPKD by accounting for nonlinear variable relationships. These findings emphasize ML’s potential in personalized CKD management and highlight the need for individualized treatment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BMIA-12（正常和血液恶性肿瘤样本中骨髓细胞定量系统）的综合性能评估</w:t>
      </w:r>
    </w:p>
    <w:p>
      <w:r>
        <w:rPr>
          <w:rFonts w:ascii="Times New Roman" w:hAnsi="Times New Roman" w:eastAsia="宋体"/>
          <w:b/>
          <w:color w:val="003264"/>
          <w:sz w:val="24"/>
        </w:rPr>
        <w:t>Comprehensive performance assessment of the BMIA-12 a system for bone marrow cell quantification in normal and hematological malignancy samples</w:t>
      </w:r>
    </w:p>
    <w:p>
      <w:r>
        <w:rPr>
          <w:rFonts w:ascii="Times New Roman" w:hAnsi="Times New Roman" w:eastAsia="宋体"/>
          <w:sz w:val="21"/>
        </w:rPr>
        <w:t>作者: Ha Nui Kim, Jin Hee Lee, Yoon Jung, Jung Ah Kwon, Soo-Young Yoon</w:t>
        <w:br/>
      </w:r>
      <w:r>
        <w:rPr>
          <w:rFonts w:ascii="Times New Roman" w:hAnsi="Times New Roman" w:eastAsia="宋体"/>
          <w:sz w:val="21"/>
        </w:rPr>
        <w:t xml:space="preserve">时间: 2026-02-13 | </w:t>
      </w:r>
      <w:r>
        <w:t xml:space="preserve">链接: </w:t>
      </w:r>
      <w:hyperlink r:id="rId31">
        <w:r>
          <w:rPr>
            <w:rFonts w:ascii="Times New Roman" w:hAnsi="Times New Roman" w:eastAsia="宋体"/>
            <w:color w:val="0000FF"/>
            <w:sz w:val="21"/>
            <w:u w:val="single"/>
          </w:rPr>
          <w:t>https://doi.org/10.1038/s41598-026-39443-1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手动骨髓 (BM) 分类计数是一项劳动密集型、耗时的工作，并且容易出现观察者之间的差异。基于人工智能 (AI) 的系统可以标准化 BM 细胞学评估。本研究评估了 BMIA-12 A 系统（UIMD，韩国首尔）的自动化 BM 细胞识别和差异计数功能。总共分析了 149 名患者的 298 份 BM 抽吸涂片，包括正常对照 (n = 50)、多发性骨髓瘤 (n = 33)、意义未明的单克隆丙种球蛋白病 (n = 6)、急性髓系白血病 (AML；n = 40)、急性早幼粒细胞白血病 (n = 4) 和急性淋巴细胞白血病 (ALL；n = 16）。比较了三种分类方法：人工智能自动化、专家评审的人工智能和手动显微计数。评估了楔形和南瓜制剂。使用召回率、精确度、F1 分数和准确度来评估系统性能。 BMIA-12 A 的准确率达到 94.6%（楔形）和 94.0%（南瓜），14/16 细胞类型的召回率 &gt; 90%。楔形制剂对关键诊断细胞（包括浆细胞、母细胞和嗜碱性粒细胞）显示出卓越的精度。九种细胞类型的人工智能自动分类和专家评审分类之间存在很强的相关性 (r ≥ 0.9)。然而，疾病特异性定量因方法而异，特别是浆细胞和母细胞百分比。在具有 NPM1 突变的 AML 和具有 BCR::ABL1 融合的 B-ALL 中，方法间差异很明显。总体而言，BMIA-12 A 为正常 BM 样本提供了稳健的分类。持续存在的方法间差异凸显了进一步验证的必要性。</w:t>
      </w:r>
    </w:p>
    <w:p>
      <w:pPr>
        <w:spacing w:before="120"/>
      </w:pPr>
      <w:r>
        <w:rPr>
          <w:rFonts w:ascii="Times New Roman" w:hAnsi="Times New Roman" w:eastAsia="宋体"/>
          <w:b/>
          <w:sz w:val="21"/>
        </w:rPr>
        <w:t>English Abstract:</w:t>
      </w:r>
    </w:p>
    <w:p>
      <w:r>
        <w:rPr>
          <w:rFonts w:ascii="Times New Roman" w:hAnsi="Times New Roman" w:eastAsia="宋体"/>
          <w:sz w:val="21"/>
        </w:rPr>
        <w:t>Manual bone marrow (BM) differential counting is labor-intensive, time-consuming, and prone to inter-observer variability. Artificial intelligence (AI)-based systems can standardize BM cytological assessments. This study evaluated the BMIA-12 A system (UIMD, Seoul, Korea) for automated BM cell recognition and differential counting. A total of 298 BM aspirate smears from 149 patients were analyzed, including normal controls (n = 50), multiple myeloma (n = 33), monoclonal gammopathy of undetermined significance (n = 6), acute myeloid leukemia (AML; n = 40), acute promyelocytic leukemia (n = 4), and acute lymphoblastic leukemia (ALL; n = 16). Three classification methods were compared: AI-automated, expert-reviewed AI, and manual microscopic counting. Both wedge and squash preparations were assessed. System performance was evaluated using recall, precision, F1-score, and accuracy. BMIA-12 A achieved accuracies of 94.6% (wedge) and 94.0% (squash), with recall &gt; 90% for 14/16 cell types. Wedge preparations showed superior precision for key diagnostic cells, including plasma cells, blasts, and basophils. Strong correlations (r ≥ 0.9) were observed between AI-automated and expert-reviewed classifications for nine cell types. However, disease-specific quantification varied significantly by method, particularly for plasma cell and blast percentages. Inter-method discrepancies were pronounced in AML with NPM1 mutation and B-ALL with BCR::ABL1 fusion. Overall, BMIA-12 A provides robust classification for normal BM samples. Persistent inter-method differences highlight the need for further validation.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一次性牙科手术刀形变的SEM形貌分析</w:t>
      </w:r>
    </w:p>
    <w:p>
      <w:r>
        <w:rPr>
          <w:rFonts w:ascii="Times New Roman" w:hAnsi="Times New Roman" w:eastAsia="宋体"/>
          <w:b/>
          <w:color w:val="003264"/>
          <w:sz w:val="24"/>
        </w:rPr>
        <w:t>SEM morphological analysis of the deformation on disposable scalpels used in dentistry</w:t>
      </w:r>
    </w:p>
    <w:p>
      <w:r>
        <w:rPr>
          <w:rFonts w:ascii="Times New Roman" w:hAnsi="Times New Roman" w:eastAsia="宋体"/>
          <w:sz w:val="21"/>
        </w:rPr>
        <w:t>作者: Enzo Cumbo, Pietro Messina, Giuseppe Gallina, Giuseppe Alessandro Scardina, Mohammad Fareed, Mohmed Isaqali Karobari</w:t>
        <w:br/>
      </w:r>
      <w:r>
        <w:rPr>
          <w:rFonts w:ascii="Times New Roman" w:hAnsi="Times New Roman" w:eastAsia="宋体"/>
          <w:sz w:val="21"/>
        </w:rPr>
        <w:t xml:space="preserve">时间: 2026-02-13 | </w:t>
      </w:r>
      <w:r>
        <w:t xml:space="preserve">链接: </w:t>
      </w:r>
      <w:hyperlink r:id="rId32">
        <w:r>
          <w:rPr>
            <w:rFonts w:ascii="Times New Roman" w:hAnsi="Times New Roman" w:eastAsia="宋体"/>
            <w:color w:val="0000FF"/>
            <w:sz w:val="21"/>
            <w:u w:val="single"/>
          </w:rPr>
          <w:t>https://doi.org/10.1038/s41598-026-40261-8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次性手术刀刀片通常用于口腔外科手术；然而，在临床使用过程中，特别是在全层皮瓣抬高过程中，它们的尖端完整性可能会受到损害。关于口内手术中切口长度和刀片变形之间关系的证据仍然有限。本研究旨在使用扫描电子显微镜 (SEM) 评估常用牙科手术刀刀片变形的存在和程度，作为全层口腔切口线性长度的函数。对 96 名接受全层皮瓣口腔外科手术的患者进行了体内研究。手术刀刀片编号11 和没有。对来自两个制造商的 15 个样品进行了评估，并根据切口长度（0-2 厘米、2-4 厘米、4-6 厘米和 6-8 厘米）进行分组。通过记录变形的存在、变形长度和变形宽度，在SEM下评估叶片变形。使用 ANOVA 和 Tukey 事后检验进行统计分析（P ≤ 0.05）。总体而言，96 个刀片中有 94 个（97.9%）在临床使用后出现变形。 91.7% 用于切口不超过 2 cm 的刀片和 100% 用于切口超过 2 cm 的刀片观察到变形。随着切口长度的增加，变形长度和变形宽度均显着增加（P &lt; 0.05）。叶片形态影响变形特性，叶片号。 15 显示更大的变形长度和刀片编号。 11表现出更大的变形宽度。对于相同形态的刀片，制造商之间没有观察到统计学上的显着差异（P &gt; 0.05）。根据目前的发现，一次性手术刀刀片没有。 11 和没有。 15 在全层口腔外科手术的临床使用过程中经历了可测量的变形。无论制造商如何，刀片变形的存在、长度和宽度都会随着切口的线性长度而增加。</w:t>
      </w:r>
    </w:p>
    <w:p>
      <w:pPr>
        <w:spacing w:before="120"/>
      </w:pPr>
      <w:r>
        <w:rPr>
          <w:rFonts w:ascii="Times New Roman" w:hAnsi="Times New Roman" w:eastAsia="宋体"/>
          <w:b/>
          <w:sz w:val="21"/>
        </w:rPr>
        <w:t>English Abstract:</w:t>
      </w:r>
    </w:p>
    <w:p>
      <w:r>
        <w:rPr>
          <w:rFonts w:ascii="Times New Roman" w:hAnsi="Times New Roman" w:eastAsia="宋体"/>
          <w:sz w:val="21"/>
        </w:rPr>
        <w:t>Disposable scalpel blades are routinely used in oral surgical procedures; however, their cutting-edge integrity may be compromised during clinical use, particularly during full-thickness flap elevation. Evidence regarding the relationship between incision length and blade deformation in intraoral surgery remains limited. This study aimed to evaluate the presence and extent of deformation of commonly used dental scalpel blades as a function of the linear length of full-thickness oral incisions using scanning electron microscopy (SEM). An in vivo study was conducted on 96 patients undergoing oral surgical procedures requiring full-thickness flaps. Scalpel blades no. 11 and no. 15 from two manufacturers were evaluated and grouped according to incision length (0–2 cm, 2–4 cm, 4–6 cm, and 6–8 cm). Blade deformation was assessed under SEM by recording the presence of deformation, deformation length, and deformation width. Statistical analysis was performed using ANOVA with Tukey post-hoc tests (P ≤ 0.05). Overall, 94 of 96 blades (97.9%) exhibited deformation following clinical use. Deformation was observed in 91.7% of blades used for incisions up to 2 cm and in 100% of blades used for incisions exceeding 2 cm. Both deformation length and deformation width increased significantly with increasing incision length (P &lt; 0.05). Blade morphology influenced deformation characteristics, with blade no. 15 showing greater deformation length and blade no. 11 exhibiting greater deformation width. No statistically significant differences were observed between manufacturers for blades of identical morphology (P &gt; 0.05). Based on the present findings, disposable scalpel blades no. 11 and no. 15 undergo measurable deformation during clinical use in full-thickness oral surgical procedures. The presence, length, and width of blade deformation increase with the linear length of the incision, regardless of the manufacturer.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局部/全局视觉处理影响数量级冲突解决</w:t>
      </w:r>
    </w:p>
    <w:p>
      <w:r>
        <w:rPr>
          <w:rFonts w:ascii="Times New Roman" w:hAnsi="Times New Roman" w:eastAsia="宋体"/>
          <w:b/>
          <w:color w:val="003264"/>
          <w:sz w:val="24"/>
        </w:rPr>
        <w:t>Local/global visual processing impacts numerosity-magnitude conflict resolution</w:t>
      </w:r>
    </w:p>
    <w:p>
      <w:r>
        <w:rPr>
          <w:rFonts w:ascii="Times New Roman" w:hAnsi="Times New Roman" w:eastAsia="宋体"/>
          <w:sz w:val="21"/>
        </w:rPr>
        <w:t>作者: Léa Chrétien, Nicolas Poirel, André Knops, Arnaud Viarouge</w:t>
        <w:br/>
      </w:r>
      <w:r>
        <w:rPr>
          <w:rFonts w:ascii="Times New Roman" w:hAnsi="Times New Roman" w:eastAsia="宋体"/>
          <w:sz w:val="21"/>
        </w:rPr>
        <w:t xml:space="preserve">时间: 2026-02-13 | </w:t>
      </w:r>
      <w:r>
        <w:t xml:space="preserve">链接: </w:t>
      </w:r>
      <w:hyperlink r:id="rId82">
        <w:r>
          <w:rPr>
            <w:rFonts w:ascii="Times New Roman" w:hAnsi="Times New Roman" w:eastAsia="宋体"/>
            <w:color w:val="0000FF"/>
            <w:sz w:val="21"/>
            <w:u w:val="single"/>
          </w:rPr>
          <w:t>https://doi.org/10.1038/s41598-026-37755-w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在非符号数值比较任务（近似数字系统或 ANS 任务）中，参与者确定两个点阵列中哪一个的数量较多，判断可能会因不相关的非数字量值（例如点大小或总占用面积）而产生偏差。虽然抑制可能有助于克服这些冲突，但引导人们关注相关数字信息的机制仍不清楚。我们假设注意力处理模式——关注单个元素（局部处理）与整体配置（全局处理）——可能会影响参与者解决数字冲突的方式。 54 名成年人（法师 = 32.07 岁，SD = 11.38）完成了 ANS 试验，之前有启动项目，旨在激活局部或全局处理模式，或者在控制条件下不启动。全局启动并没有显着影响性能，而局部启动调节了跨幅度维度的数量/幅度冲突，显着减少了凸包的影响。这些发现揭示了感知模式如何影响成年人在面对视觉冲突时提取数字信息的能力。</w:t>
      </w:r>
    </w:p>
    <w:p>
      <w:pPr>
        <w:spacing w:before="120"/>
      </w:pPr>
      <w:r>
        <w:rPr>
          <w:rFonts w:ascii="Times New Roman" w:hAnsi="Times New Roman" w:eastAsia="宋体"/>
          <w:b/>
          <w:sz w:val="21"/>
        </w:rPr>
        <w:t>English Abstract:</w:t>
      </w:r>
    </w:p>
    <w:p>
      <w:r>
        <w:rPr>
          <w:rFonts w:ascii="Times New Roman" w:hAnsi="Times New Roman" w:eastAsia="宋体"/>
          <w:sz w:val="21"/>
        </w:rPr>
        <w:t>In non-symbolic numerical comparison tasks (Approximate Number System or ANS tasks) where participants determine which of two dot arrays is more numerous, judgments can be biased by irrelevant non-numerical dimensions of magnitude, such as dot size or the total occupied area. While inhibition may help overcome these conflicts, the mechanisms guiding attention toward relevant numerical information remain unclear. We hypothesized that modes of attentional processing - focusing on individual elements (local processing) versus the overall configuration (global processing) - may influence how participants resolve numerical conflicts. Fifty-four adults (Mage = 32.07 years, SD = 11.38) completed ANS trials preceded by prime items designed to activate either a local or global processing mode, or no prime in a control condition. Global priming did not significantly affect performance, while local priming modulated numerosity/magnitude conflicts across magnitude dimensions, notably reducing the impact of convex hull. These findings shed light on how perceptual modes impact adults’ ability to extract numerical information in the face of visual conflict.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视频大语言模型在干眼科普视频质量评估中的基准评估</w:t>
      </w:r>
    </w:p>
    <w:p>
      <w:r>
        <w:rPr>
          <w:rFonts w:ascii="Times New Roman" w:hAnsi="Times New Roman" w:eastAsia="宋体"/>
          <w:b/>
          <w:color w:val="003264"/>
          <w:sz w:val="24"/>
        </w:rPr>
        <w:t>Benchmark evaluation of video large language models in quality assessment of science popularization videos for dry eye</w:t>
      </w:r>
    </w:p>
    <w:p>
      <w:r>
        <w:rPr>
          <w:rFonts w:ascii="Times New Roman" w:hAnsi="Times New Roman" w:eastAsia="宋体"/>
          <w:sz w:val="21"/>
        </w:rPr>
        <w:t>作者: Shiqi Zhou, Mingxue Huang, Jiawen Wei, Huihui Fang, Weihua Yang, Hanyi Yu, Yanwu Xu</w:t>
        <w:br/>
      </w:r>
      <w:r>
        <w:rPr>
          <w:rFonts w:ascii="Times New Roman" w:hAnsi="Times New Roman" w:eastAsia="宋体"/>
          <w:sz w:val="21"/>
        </w:rPr>
        <w:t xml:space="preserve">时间: 2026-02-13 | </w:t>
      </w:r>
      <w:r>
        <w:t xml:space="preserve">链接: </w:t>
      </w:r>
      <w:hyperlink r:id="rId83">
        <w:r>
          <w:rPr>
            <w:rFonts w:ascii="Times New Roman" w:hAnsi="Times New Roman" w:eastAsia="宋体"/>
            <w:color w:val="0000FF"/>
            <w:sz w:val="21"/>
            <w:u w:val="single"/>
          </w:rPr>
          <w:t>https://doi.org/10.1038/s41598-026-39444-0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短视频平台的快速发展重塑了个人获取健康信息的方式，但也助长了错误信息和虚假信息的传播。干眼症是一种常见的眼表疾病，为研究这些挑战提供了一个代表性案例。迫切需要可靠且可扩展的方法来识别和减轻在线健康内容中的错误信息风险。我们提出了一种采用视频大语言模型（VideoLLM）的框架来自动评估科普视频。使用三种既定工具对三个代表性 VideoLLM（VideoLLaMA3、QwenVL 和 InternVL）进行基准测试：视听材料患者教育材料评估工具 (PEMAT-A/V)、全局质量评分 (GQS) 以及视频信息和质量指数 (VIQI)。从 TikTok 收集了 185 个有关干眼症的中文视频的数据集，并由两名眼科医生独立注释。 VideoLLM 生成的分数与专家评分之间的一致性使用类内相关系数 (ICC) 进行量化。在大多数指标中，VideoLLM 与专家注释的一致性较差（ICC &lt; 0.40），但 PEMAT-A/V 的可操作性维度除外，其中 QwenVL 和 InternVL 与专家的 ICC 分别为 0.50 和 0.43。这项工作为评估眼科科普视频建立了 VideoLLM 的第一个基准，并揭示了当前模型性能的重大局限性，一致性水平远远低于实际可接受性。我们的开源框架不是展示部署准备情况，而是作为参考工具，用于系统地评估模型行为，突出现有差距，并在 VideoLLM 被考虑用于医疗视频内容的自动评估或治理之前激励进一步的方法改进。</w:t>
      </w:r>
    </w:p>
    <w:p>
      <w:pPr>
        <w:spacing w:before="120"/>
      </w:pPr>
      <w:r>
        <w:rPr>
          <w:rFonts w:ascii="Times New Roman" w:hAnsi="Times New Roman" w:eastAsia="宋体"/>
          <w:b/>
          <w:sz w:val="21"/>
        </w:rPr>
        <w:t>English Abstract:</w:t>
      </w:r>
    </w:p>
    <w:p>
      <w:r>
        <w:rPr>
          <w:rFonts w:ascii="Times New Roman" w:hAnsi="Times New Roman" w:eastAsia="宋体"/>
          <w:sz w:val="21"/>
        </w:rPr>
        <w:t>The rapid growth of short-video platforms has reshaped how individuals access health information, but it has also fueled the spread of misinformation and disinformation. Dry eye, a prevalent ocular surface disorder, provides a representative case for examining these challenges. Reliable and scalable methods are urgently needed to identify and mitigate misinformation risks in online health content. We proposed a framework employing Video Large Language Models (VideoLLMs) for automated evaluation of science popularization videos. Three representative VideoLLMs (VideoLLaMA3, QwenVL, and InternVL) were benchmarked using three established instruments: Patient Education Materials Assessment Tool for Audiovisual Materials (PEMAT-A/V), Global Quality Score (GQS), and Video Information and Quality Index (VIQI). A dataset of 185 Chinese-language videos on dry eye was collected from TikTok and independently annotated by two ophthalmologists. Agreement between VideoLLM-generated scores and expert ratings was quantified using the Intraclass Correlation Coefficient (ICC). Across most metrics, VideoLLMs demonstrated poor agreement with expert annotations (ICC &lt; 0.40), except for the actionability dimension of PEMAT-A/V, where QwenVL and InternVL achieved ICCs of 0.50 and 0.43, respectively, with the experts. This work establishes the first benchmark of VideoLLMs for evaluating ophthalmic science popularization videos and reveals substantial limitations in the performance of current models, with agreement levels falling well short of practical acceptability. Rather than demonstrating readiness for deployment, our open-source framework serves as a reference tool for systematically assessing model behavior, highlighting existing gaps, and motivating further methodological improvements before VideoLLMs can be considered for automated evaluation or governance of medical video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胖大海内生真菌的生物活性筛选和强效分离毛壳菌的 GC-MS 代谢物分析</w:t>
      </w:r>
    </w:p>
    <w:p>
      <w:r>
        <w:rPr>
          <w:rFonts w:ascii="Times New Roman" w:hAnsi="Times New Roman" w:eastAsia="宋体"/>
          <w:b/>
          <w:color w:val="003264"/>
          <w:sz w:val="24"/>
        </w:rPr>
        <w:t>Bioactivity screening of endophytic fungi from Sterculia urens and GC–MS metabolites profiling of the potent isolate Chaetomium meridiolense</w:t>
      </w:r>
    </w:p>
    <w:p>
      <w:r>
        <w:rPr>
          <w:rFonts w:ascii="Times New Roman" w:hAnsi="Times New Roman" w:eastAsia="宋体"/>
          <w:sz w:val="21"/>
        </w:rPr>
        <w:t>作者: Garima Yadav, Mukesh Meena, Priyankaraj Sonigra</w:t>
        <w:br/>
      </w:r>
      <w:r>
        <w:rPr>
          <w:rFonts w:ascii="Times New Roman" w:hAnsi="Times New Roman" w:eastAsia="宋体"/>
          <w:sz w:val="21"/>
        </w:rPr>
        <w:t xml:space="preserve">时间: 2026-02-13 | </w:t>
      </w:r>
      <w:r>
        <w:t xml:space="preserve">链接: </w:t>
      </w:r>
      <w:hyperlink r:id="rId84">
        <w:r>
          <w:rPr>
            <w:rFonts w:ascii="Times New Roman" w:hAnsi="Times New Roman" w:eastAsia="宋体"/>
            <w:color w:val="0000FF"/>
            <w:sz w:val="21"/>
            <w:u w:val="single"/>
          </w:rPr>
          <w:t>https://doi.org/10.1038/s41598-026-39125-y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药用植物相关的内生真菌被认为是生物活性次生代谢物的有前途的来源。在这项研究中，从胖大海（一种具有治疗相关性的民族药用植物）的健康叶子中分离出内生真菌，并评估了其植物化学成分和生物活性。使用 DPPH 和 ABTS 自由基清除测定法筛选了九种内生真菌的抗氧化潜力，并通过最低抑制和杀菌浓度分析筛选了对金黄色葡萄球菌、大肠杆菌和伤寒沙门氏菌的抗菌活性。在这些分离株中，Chaetomium meridiolense 表现出相对较高的抗氧化和抗菌活性，因此被选择进行详细的代谢研究。该分离物还显示出较高的酚类和类黄酮含量，表明其生物活性的化学基础。气相色谱-质谱分析揭示了富含萜类和酚类衍生化合物的代谢物谱。多变量统计分析表明酚类富集与观察到的抗氧化和抗菌作用之间呈正相关。总体而言，这项研究为 C. meridiolense 与 S. urens 相关的生物活性潜力提供了新的见解，并支持内生真菌作为生物活性代谢物潜在来源的相关性，以供进一步探索。</w:t>
      </w:r>
    </w:p>
    <w:p>
      <w:pPr>
        <w:spacing w:before="120"/>
      </w:pPr>
      <w:r>
        <w:rPr>
          <w:rFonts w:ascii="Times New Roman" w:hAnsi="Times New Roman" w:eastAsia="宋体"/>
          <w:b/>
          <w:sz w:val="21"/>
        </w:rPr>
        <w:t>English Abstract:</w:t>
      </w:r>
    </w:p>
    <w:p>
      <w:r>
        <w:rPr>
          <w:rFonts w:ascii="Times New Roman" w:hAnsi="Times New Roman" w:eastAsia="宋体"/>
          <w:sz w:val="21"/>
        </w:rPr>
        <w:t>Endophytic fungi associated with medicinal plants are recognized as promising sources of bioactive secondary metabolites. In this study, fungal endophytes were isolated from healthy leaves of Sterculia urens, an ethnomedicinal plant with documented therapeutic relevance, and evaluated for their phytochemical composition and biological activities. Nine endophytic fungi were screened for antioxidant potential using DPPH and ABTS radical scavenging assays and for antibacterial activity against Staphylococcus aureus, Escherichia coli, and Salmonella typhi through minimum inhibitory and bactericidal concentration analyses. Among the isolates, Chaetomium meridiolense exhibited comparatively higher antioxidant and antibacterial activities and was therefore selected for detailed metabolic investigation. This isolate also showed elevated phenolic and flavonoid contents, suggesting a chemical basis for its bioactivity. Gas chromatography–mass spectrometry analysis revealed a metabolite profile enriched with terpenoid- and phenolic-derived compounds. Multivariate statistical analyses indicated positive associations between phenolic enrichment and observed antioxidant and antibacterial effects. Overall, this study provides new insight into the bioactive potential of C. meridiolense associated with S. urens and supports the relevance of endophytic fungi as potential sources of biologically active metabolites for further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使用来自全向图像的伪 LiDAR 在光照变化下进行鲁棒位置识别</w:t>
      </w:r>
    </w:p>
    <w:p>
      <w:r>
        <w:rPr>
          <w:rFonts w:ascii="Times New Roman" w:hAnsi="Times New Roman" w:eastAsia="宋体"/>
          <w:b/>
          <w:color w:val="003264"/>
          <w:sz w:val="24"/>
        </w:rPr>
        <w:t>Robust place recognition under illumination changes using pseudo-LiDAR from omnidirectional images</w:t>
      </w:r>
    </w:p>
    <w:p>
      <w:r>
        <w:rPr>
          <w:rFonts w:ascii="Times New Roman" w:hAnsi="Times New Roman" w:eastAsia="宋体"/>
          <w:sz w:val="21"/>
        </w:rPr>
        <w:t>作者: Juan José Cabrera, Marcos Alfaro, Arturo Gil, Oscar Reinoso, Luis Payá</w:t>
        <w:br/>
      </w:r>
      <w:r>
        <w:rPr>
          <w:rFonts w:ascii="Times New Roman" w:hAnsi="Times New Roman" w:eastAsia="宋体"/>
          <w:sz w:val="21"/>
        </w:rPr>
        <w:t xml:space="preserve">时间: 2026-02-13 | </w:t>
      </w:r>
      <w:r>
        <w:t xml:space="preserve">链接: </w:t>
      </w:r>
      <w:hyperlink r:id="rId85">
        <w:r>
          <w:rPr>
            <w:rFonts w:ascii="Times New Roman" w:hAnsi="Times New Roman" w:eastAsia="宋体"/>
            <w:color w:val="0000FF"/>
            <w:sz w:val="21"/>
            <w:u w:val="single"/>
          </w:rPr>
          <w:t>https://doi.org/10.1038/s41598-026-39848-y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当不同类型的视觉传感器之间的照明动态或异质性产生场景外观变化时，视觉位置识别（VPR）系统通常表现出鲁棒性降低。本文提出了一种利用深度估计技术来克服这些挑战的新颖框架。我们的方法使用 Distill Any Depth（基于 Depth Anything V2 的最先进的深度估计器）将全向图像转换为深度图。然后，这些深度图被转换为伪 LiDAR 点云，作为 MinkUNeXt 架构的输入，该架构生成全局外观描述符。一项关键的创新在于我们新颖的数据增强技术，该技术利用深度估计模型的不同精炼变体来增强不同条件下的鲁棒性。尽管仅使用在阴天条件下捕获的有限图像集进行训练，但我们的系统在跨不同照明场景进行评估时表现出强大的性能，并且使用不同数据集和相机类型的进一步测试证实了其对几何形状不同的输​​入的泛化。与最先进的方法的广泛比较证明，我们的方法在不同的照明条件下都具有竞争力，特别是在照明变化显着的场景中表现出色。此外，从标准相机生成伪 LiDAR 信息为 3D 传感器提供了一种经济高效的替代方案。总之，这项工作提出了一种完全不同的 VPR 场景表示方法，对具有挑战性的环境中的机器人定位具有良好的影响。该实现可在 https://juanjo-cabrera.github.io/projects-pL-MinkUNeXt/ 上公开获取。</w:t>
      </w:r>
    </w:p>
    <w:p>
      <w:pPr>
        <w:spacing w:before="120"/>
      </w:pPr>
      <w:r>
        <w:rPr>
          <w:rFonts w:ascii="Times New Roman" w:hAnsi="Times New Roman" w:eastAsia="宋体"/>
          <w:b/>
          <w:sz w:val="21"/>
        </w:rPr>
        <w:t>English Abstract:</w:t>
      </w:r>
    </w:p>
    <w:p>
      <w:r>
        <w:rPr>
          <w:rFonts w:ascii="Times New Roman" w:hAnsi="Times New Roman" w:eastAsia="宋体"/>
          <w:sz w:val="21"/>
        </w:rPr>
        <w:t>Abstract Visual Place Recognition (VPR) systems typically exhibit reduced robustness when subjected to changes in scene appearance produced by illumination dynamics or heterogeneity across different types of visual sensors. This paper proposes a novel framework that exploits depth estimation techniques to overcome these challenges. Our approach transforms omnidirectional images into depth maps using Distill Any Depth, a state-of-the-art depth estimator based on Depth Anything V2. These depth maps are then converted into pseudo-LiDAR point clouds, which serve as input to the MinkUNeXt architecture, which generates global-appearance descriptors. A key innovation lies in our novel data augmentation technique that exploits different distilled variants of depth estimation models to enhance robustness across varying conditions. Despite training with a limited set of images captured only under cloudy conditions, our system demonstrates robust performance when evaluated across diverse lighting scenarios, and further tests with different datasets and camera types confirm its generalization to geometrically dissimilar inputs. Extensive comparisons with state-of-the-art methods prove that our approach performs competitively across diverse lighting conditions, particularly excelling in scenarios with significant illumination changes. Furthermore, the generation of pseudo-LiDAR information from standard cameras provides a cost-effective alternative to 3D sensors. In summary, this work presents a fundamentally different approach to scene representation for VPR, with promising implications for robot localization in challenging environments. The implementation is publicly available at https://juanjo-cabrera.github.io/projects-pL-MinkUNeXt/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使用数据驱动框架衡量上海地铁可达性和公共服务需求之间的空间公平性</w:t>
      </w:r>
    </w:p>
    <w:p>
      <w:r>
        <w:rPr>
          <w:rFonts w:ascii="Times New Roman" w:hAnsi="Times New Roman" w:eastAsia="宋体"/>
          <w:b/>
          <w:color w:val="003264"/>
          <w:sz w:val="24"/>
        </w:rPr>
        <w:t>Measuring spatial equity between metro accessibility and public service demand in Shanghai using a data-driven framework</w:t>
      </w:r>
    </w:p>
    <w:p>
      <w:r>
        <w:rPr>
          <w:rFonts w:ascii="Times New Roman" w:hAnsi="Times New Roman" w:eastAsia="宋体"/>
          <w:sz w:val="21"/>
        </w:rPr>
        <w:t>作者: Pei Jiang, Yawen Liu, Xuewen Shi, Hui Zhuo, Yuntao Liu, Min Erin Fu, Siqi Lin, Shijun Cheng</w:t>
        <w:br/>
      </w:r>
      <w:r>
        <w:rPr>
          <w:rFonts w:ascii="Times New Roman" w:hAnsi="Times New Roman" w:eastAsia="宋体"/>
          <w:sz w:val="21"/>
        </w:rPr>
        <w:t xml:space="preserve">时间: 2026-02-13 | </w:t>
      </w:r>
      <w:r>
        <w:t xml:space="preserve">链接: </w:t>
      </w:r>
      <w:hyperlink r:id="rId86">
        <w:r>
          <w:rPr>
            <w:rFonts w:ascii="Times New Roman" w:hAnsi="Times New Roman" w:eastAsia="宋体"/>
            <w:color w:val="0000FF"/>
            <w:sz w:val="21"/>
            <w:u w:val="single"/>
          </w:rPr>
          <w:t>https://doi.org/10.1038/s41598-026-40160-y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城市地铁系统在创造出行机会和获得基本公共服务方面发挥着核心作用，但这些好处并不总是在城市之间公平分享。本研究通过研究地铁公共服务的可达性如何与实际乘客需求保持一致，评估上海的公平流动性。我们根据到达不同公共服务的出行时间为每个车站制定了多维可达性指数，并将其与客流数据相结合，构建了当地的路线指数。洛伦兹曲线和基尼系数捕获系统范围内的分布模式。分析显示了明显且持续的不平等：中心车站在可达性和需求之间保持着紧密的一致性，而许多外围车站始终面临着高需求但有限的可达性。全系统基尼系数为0.348，反映了无障碍福利分配的明显不平衡。这些结果凸显了地铁网络空间设计中嵌入的不公平空间格局。该研究引入了一个可复制的、行为敏感的框架，将实际的出行模式与公共服务的可及性联系起来。它还为以空间公平为导向的地铁规划提供了可操作的证据，强调需要对服务不足的地区进行有针对性的改进，并加强土地使用和交通发展之间的协调。这些贡献共同支持更具包容性和公平的城市交通规划。</w:t>
      </w:r>
    </w:p>
    <w:p>
      <w:pPr>
        <w:spacing w:before="120"/>
      </w:pPr>
      <w:r>
        <w:rPr>
          <w:rFonts w:ascii="Times New Roman" w:hAnsi="Times New Roman" w:eastAsia="宋体"/>
          <w:b/>
          <w:sz w:val="21"/>
        </w:rPr>
        <w:t>English Abstract:</w:t>
      </w:r>
    </w:p>
    <w:p>
      <w:r>
        <w:rPr>
          <w:rFonts w:ascii="Times New Roman" w:hAnsi="Times New Roman" w:eastAsia="宋体"/>
          <w:sz w:val="21"/>
        </w:rPr>
        <w:t>Urban metro systems play a central role in shaping mobility opportunities and access to essential public services, yet these benefits are not always shared equitably across cities. This study evaluates equitable mobility in Shanghai by examining how metro-based accessibility to public services aligns with actual passenger demand. We develop a multidimensional accessibility index for each station based on travel time to diverse public services and integrate it with passenger flow data to construct a local alignment index. A Lorenz curve and Gini coefficient capture system-wide distributional patterns. The analysis shows clear and persistent inequities: central stations maintain strong alignment between accessibility and demand, while many peripheral stations consistently face high demand but limited access. The system-wide Gini coefficient of 0.348 reflects a notable imbalance in the distribution of accessibility benefits. These results highlight inequitable spatial pattern embedded in the metro network’s spatial design. The study introduces a replicable, behaviour-sensitive framework that links actual mobility patterns with public service accessibility. It also provides actionable evidence for spatial-equity-oriented metro planning, emphasizing the need for targeted improvements in underserved areas and stronger coordination between land-use and transit development. Together, these contributions support more inclusive and equitable urban mobility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印度中老年人的日常歧视：印度纵向老龄化研究的多层次横断面分析</w:t>
      </w:r>
    </w:p>
    <w:p>
      <w:r>
        <w:rPr>
          <w:rFonts w:ascii="Times New Roman" w:hAnsi="Times New Roman" w:eastAsia="宋体"/>
          <w:b/>
          <w:color w:val="003264"/>
          <w:sz w:val="24"/>
        </w:rPr>
        <w:t>Everyday discrimination among middle-aged and older adults in India: a multilevel cross-sectional analysis from the Longitudinal Ageing Study in India</w:t>
      </w:r>
    </w:p>
    <w:p>
      <w:r>
        <w:rPr>
          <w:rFonts w:ascii="Times New Roman" w:hAnsi="Times New Roman" w:eastAsia="宋体"/>
          <w:sz w:val="21"/>
        </w:rPr>
        <w:t>作者: Ravi Sadhu, Soohyeon Ko, S. V. Subramanian, Rockli Kim</w:t>
        <w:br/>
      </w:r>
      <w:r>
        <w:rPr>
          <w:rFonts w:ascii="Times New Roman" w:hAnsi="Times New Roman" w:eastAsia="宋体"/>
          <w:sz w:val="21"/>
        </w:rPr>
        <w:t xml:space="preserve">时间: 2026-02-14 | </w:t>
      </w:r>
      <w:r>
        <w:t xml:space="preserve">链接: </w:t>
      </w:r>
      <w:hyperlink r:id="rId113">
        <w:r>
          <w:rPr>
            <w:rFonts w:ascii="Times New Roman" w:hAnsi="Times New Roman" w:eastAsia="宋体"/>
            <w:color w:val="0000FF"/>
            <w:sz w:val="21"/>
            <w:u w:val="single"/>
          </w:rPr>
          <w:t>https://doi.org/10.1038/s41598-026-37790-7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日常歧视（ED）对健康和福祉产生不利影响。这项研究强调了 45 岁及以上印度成年人 ED 的分布、相关性和地理差异方面尚未得到研究的趋势。印度纵向老龄化研究（2017-18 年）对 61,722 名参与者的分析揭示了邦/联邦地区 (UT) 层面的显着差异。虽然那加兰邦、特里普拉邦、米佐拉姆邦和拉克沙群岛的 ED 分数相对低于全国平均水平，但查谟和克什米尔邦、德里、恰蒂斯加尔邦和卡纳塔克邦的分数较高。此外，利用多水平负二项回归，我们发现男性、未婚成年人、流动居民和农村地区成年人的 ED 率较高。一般来说，随着教育水平和家庭人均月收入的提高，ED率会下降。值得注意的是，患有功能障碍（发病率比 (IRR) = 1.43 [95% 置信区间：1.32, 1.55]）和身体或精神障碍（IRR = 2.15 [1.88, 2.45]）的成年人的 ED 率显着高于没有功能障碍的成年人。我们还对 ED 中的地理差异进行了划分，发现更多的地理差异是由社区（村庄/行政区）级别解释的，而不是由州/UT 级别解释的，分别约占模型间差异的 60% 和 40%。我们的研究结果表明，基于社区的背景因素需要进一步研究。</w:t>
      </w:r>
    </w:p>
    <w:p>
      <w:pPr>
        <w:spacing w:before="120"/>
      </w:pPr>
      <w:r>
        <w:rPr>
          <w:rFonts w:ascii="Times New Roman" w:hAnsi="Times New Roman" w:eastAsia="宋体"/>
          <w:b/>
          <w:sz w:val="21"/>
        </w:rPr>
        <w:t>English Abstract:</w:t>
      </w:r>
    </w:p>
    <w:p>
      <w:r>
        <w:rPr>
          <w:rFonts w:ascii="Times New Roman" w:hAnsi="Times New Roman" w:eastAsia="宋体"/>
          <w:sz w:val="21"/>
        </w:rPr>
        <w:t>Abstract Everyday discrimination (ED) has adverse effects on health and well-being. This study highlights understudied trends in the distribution, correlates, and geographic variation of ED among Indian adults aged 45 and above. The analysis of 61,722 participants in the Longitudinal Ageing Study in India (2017-18) revealed significant state/union territory (UT)-level variation. While Nagaland, Tripura, Mizoram, and Lakshadweep had comparatively lower ED scores than the national average, Jammu and Kashmir, Delhi, Chhattisgarh, and Karnataka had higher scores. Additionally, using multilevel negative binomial regression, we found that men, non-married adults, migrant residents, and adults in rural areas had higher ED rates. In general, with increases in education level and household monthly per capita income, there was a reduction in ED rates. Notably, adults with a functional disability (Incident Rate Ratio (IRR) = 1.43 [95% confidence interval: 1.32, 1.55]) and physical or mental impairment (IRR = 2.15 [1.88, 2.45]) had significantly higher ED rates than those without. We also partitioned the geographic variation in ED and found that more geographic variance was explained by the community (village/ward) level than by the state/UT level, accounting for roughly 60% and 40% of the variation across models, respectively. Our findings suggest that community-based contextual factors necessitate further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通过相控双色激光脉冲与低密度等离子体相互作用增强太赫兹辐射产生</w:t>
      </w:r>
    </w:p>
    <w:p>
      <w:r>
        <w:rPr>
          <w:rFonts w:ascii="Times New Roman" w:hAnsi="Times New Roman" w:eastAsia="宋体"/>
          <w:b/>
          <w:color w:val="003264"/>
          <w:sz w:val="24"/>
        </w:rPr>
        <w:t>Enhanced terahertz radiation generation by phase-controlled two-color laser pulses interacting with an under-dense plasma</w:t>
      </w:r>
    </w:p>
    <w:p>
      <w:r>
        <w:rPr>
          <w:rFonts w:ascii="Times New Roman" w:hAnsi="Times New Roman" w:eastAsia="宋体"/>
          <w:sz w:val="21"/>
        </w:rPr>
        <w:t>作者: K. P. Anjana, Rohit Kumar Srivastav, Mrityunjay Kundu</w:t>
        <w:br/>
      </w:r>
      <w:r>
        <w:rPr>
          <w:rFonts w:ascii="Times New Roman" w:hAnsi="Times New Roman" w:eastAsia="宋体"/>
          <w:sz w:val="21"/>
        </w:rPr>
        <w:t xml:space="preserve">时间: 2026-02-14 | </w:t>
      </w:r>
      <w:r>
        <w:t xml:space="preserve">链接: </w:t>
      </w:r>
      <w:hyperlink r:id="rId114">
        <w:r>
          <w:rPr>
            <w:rFonts w:ascii="Times New Roman" w:hAnsi="Times New Roman" w:eastAsia="宋体"/>
            <w:color w:val="0000FF"/>
            <w:sz w:val="21"/>
            <w:u w:val="single"/>
          </w:rPr>
          <w:t>https://doi.org/10.1038/s41598-026-35800-2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我们研究了由 s 偏振高斯激光脉冲斜入射在半无限低密度等离子体上驱动的真空-等离子体界面处的太赫兹 (THz) 辐射产生。这项工作超越了传统的单频双极脉冲（B 脉冲），重点是利用双色混合频率脉冲（M 脉冲）激励来增强太赫兹在强度和展宽方面的性能，可以通过控制 M 脉冲组成脉冲的幅度和相位来调整太赫兹性能。推导了有质动力 (PF) 的新表达式，它是真空等离子体边界太赫兹辐射的主要驱动力，旨在捕获 M 脉冲固有的相位不对称性的迄今为止尚未探索的影响，这与相位无关的单个 B 脉冲形成鲜明对比。该 PF 公式​​捕获了 M 脉冲场的潜在周期间对称性破缺，负责高效的太赫兹发射。我们通过分析证明，与 B 脉冲总能量相同的 M 脉冲可能会产生显着增强的 PF，从而导致 THz 产量高出几个数量级。通过明智地选择低频与高频比率，M 脉冲配置被证明是一种高效、相位可控的太赫兹辐射驱动器，并为通过定制的两色激光-等离子体相互作用来优化太赫兹源设计提供了一条有前途的途径。使用有限尺寸等离子体进行的细胞内颗粒模拟证实了分析模型的主要发现。</w:t>
      </w:r>
    </w:p>
    <w:p>
      <w:pPr>
        <w:spacing w:before="120"/>
      </w:pPr>
      <w:r>
        <w:rPr>
          <w:rFonts w:ascii="Times New Roman" w:hAnsi="Times New Roman" w:eastAsia="宋体"/>
          <w:b/>
          <w:sz w:val="21"/>
        </w:rPr>
        <w:t>English Abstract:</w:t>
      </w:r>
    </w:p>
    <w:p>
      <w:r>
        <w:rPr>
          <w:rFonts w:ascii="Times New Roman" w:hAnsi="Times New Roman" w:eastAsia="宋体"/>
          <w:sz w:val="21"/>
        </w:rPr>
        <w:t>We investigate terahertz (THz) radiation generation at the vacuum-plasma interface driven by the oblique incidence of s-polarized Gaussian laser pulse(s) on a semi-infinite underdense plasma. Extending beyond the conventional single-frequency bipolar pulse (B-pulse), this work focuses on leveraging two-color mixed-frequency pulse– (M-pulse) excitation to enhance THz performance in terms of strength and broadening that can be tuned through controlled amplitude and phase of the constituent pulses of the M-pulse. A new expression for the ponderomotive force (PF)—which acts as the main driver of THz radiation at the vacuum-plasma boundary—is derived to capture the hitherto unexplored effects of phase asymmetry intrinsic to the M-pulse, in contrast to a single B-pulse where its phase is irrelevant. This PF formulation captures the underlying cycle-to-cycle symmetry-breaking for the M-pulse field, responsible for efficient THz emission. We demonstrate analytically that such M-pulses of the same total energy as a B-pulse may generate significantly enhanced PF, leading to THz yields several orders of magnitude higher. With a judicious choice of low-frequency to high-frequency ratio, the M-pulse configuration is shown to emerge as a highly efficient, phase-controllable driver of THz radiation and offers a promising route for optimizing THz source design via tailored two-color laser-plasma interactions. Particle-in-cell simulations performed with a finite-size plasma corroborate the main findings of the analytical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阿马齐格时期人类适应加那利群岛岛屿环境的同位素证据</w:t>
      </w:r>
    </w:p>
    <w:p>
      <w:r>
        <w:rPr>
          <w:rFonts w:ascii="Times New Roman" w:hAnsi="Times New Roman" w:eastAsia="宋体"/>
          <w:b/>
          <w:color w:val="003264"/>
          <w:sz w:val="24"/>
        </w:rPr>
        <w:t>Isotopic evidence for human adaptation to island environments in the Canary Islands during the Amazigh period</w:t>
      </w:r>
    </w:p>
    <w:p>
      <w:r>
        <w:rPr>
          <w:rFonts w:ascii="Times New Roman" w:hAnsi="Times New Roman" w:eastAsia="宋体"/>
          <w:sz w:val="21"/>
        </w:rPr>
        <w:t>作者: Elías Sánchez-Cañadillas, Aarón Morquecho Izquier, Colin Smith, Eneko Iriarte, Jonathan Santana</w:t>
        <w:br/>
      </w:r>
      <w:r>
        <w:rPr>
          <w:rFonts w:ascii="Times New Roman" w:hAnsi="Times New Roman" w:eastAsia="宋体"/>
          <w:sz w:val="21"/>
        </w:rPr>
        <w:t xml:space="preserve">时间: 2026-02-14 | </w:t>
      </w:r>
      <w:r>
        <w:t xml:space="preserve">链接: </w:t>
      </w:r>
      <w:hyperlink r:id="rId115">
        <w:r>
          <w:rPr>
            <w:rFonts w:ascii="Times New Roman" w:hAnsi="Times New Roman" w:eastAsia="宋体"/>
            <w:color w:val="0000FF"/>
            <w:sz w:val="21"/>
            <w:u w:val="single"/>
          </w:rPr>
          <w:t>https://doi.org/10.1038/s41598-026-39695-x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本研究采用人骨胶原蛋白的稳定碳 (δ13C) 和氮 (δ15N) 同位素分析，调查了公元 1 世纪至 15 世纪加那利群岛土著居民的生存策略和生态适应。在基于 155 个放射性碳日期和贝叶斯模型的强大年代框架的支持下，对来自群岛所有七个主要岛屿的总共 457 个同位素数据点进行了分析。结果揭示了受生态条件影响的独特饮食模式：西部岛屿（拉帕尔马岛、拉戈梅拉岛和耶罗岛）的居民表现出主要依赖 C3 植物和野生陆地资源的饮食，有证据表明在农业压力期间加强了对野生植物的利用。相比之下，中部岛屿（特内里费岛和大加那利岛）的同位素变异较小，表明农业生产稳定，并辅以不同程度的海洋资源开发。类似沙漠的东部岛屿（兰萨罗特岛和富埃特文图拉岛）表现出的同位素特征表明饮食受到高营养级海洋食物的严重影响，可能因干旱和海洋气溶胶影响而变得复杂。此外，时间分析表明同位素值与气候波动密切相关，特别是罗马温暖时期和中世纪气候异常期间较温暖和干燥的条件，以及小冰河时期较凉爽、较潮湿的条件。随着时间的推移，这些环境变化似乎推动了微妙的饮食适应。总体而言，研究结果强调了土著居民应对岛屿生态变异和气候变化的恢复力和适应能力，强调了定制同位素基线对于不同海洋岛屿环境中准确饮食重建的重要性。</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subsistence strategies and ecological adaptations among the Indigenous populations of the Canary Islands from the 1st to the 15th centuries CE, employing stable carbon (δ13C) and nitrogen (δ15N) isotope analyses of human bone collagen. A total of 457 isotopic data points from all seven main islands of the archipelago were analyzed, supported by a robust chronological framework based on 155 radiocarbon dates and Bayesian modeling. Results reveal distinct dietary patterns shaped by ecological conditions: populations on the western islands (La Palma, La Gomera, and El Hierro) exhibited a diet predominantly reliant on C3 plants and wild terrestrial resources, with evidence for intensified wild plant utilization during periods of agricultural stress. In contrast, central islands (Tenerife and Gran Canaria) showed narrower isotopic variance, indicating stable agricultural production complemented by varying degrees of marine resource exploitation. The desert-like eastern islands (Lanzarote and Fuerteventura) demonstrated isotopic signatures indicative of diets heavily influenced by high-trophic-level marine foods, likely complicated by aridity and marine aerosol effects. Additionally, temporal analysis indicates isotopic values correspond closely with climatic fluctuations, notably warmer and drier conditions during the Roman Warm Period and Medieval Climate Anomaly, and cooler, moister conditions during the Little Ice Age. These environmental shifts appear to have driven subtle dietary adaptations over time. Overall, the findings highlight the Indigenous populations’ resilience and adaptive capacity in response to insular ecological variability and climatic change, underscoring the importance of tailored isotopic baselines for accurate dietary reconstructions in diverse oceanic island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探索咪唑并[1,2-a]吡啶杂化物在癌症治疗中的应用：ADMET 分析、分子对接、MD 模拟和 DFT 计算</w:t>
      </w:r>
    </w:p>
    <w:p>
      <w:r>
        <w:rPr>
          <w:rFonts w:ascii="Times New Roman" w:hAnsi="Times New Roman" w:eastAsia="宋体"/>
          <w:b/>
          <w:color w:val="003264"/>
          <w:sz w:val="24"/>
        </w:rPr>
        <w:t>Exploring imidazo[1,2-a]pyridine hybrids in cancer therapy: ADMET profiling, molecular docking, MD simulations and DFT calculations</w:t>
      </w:r>
    </w:p>
    <w:p>
      <w:r>
        <w:rPr>
          <w:rFonts w:ascii="Times New Roman" w:hAnsi="Times New Roman" w:eastAsia="宋体"/>
          <w:sz w:val="21"/>
        </w:rPr>
        <w:t>作者: Drashti Shah, Afzal Nagani, Moksh Shah, Ashish Patel</w:t>
        <w:br/>
      </w:r>
      <w:r>
        <w:rPr>
          <w:rFonts w:ascii="Times New Roman" w:hAnsi="Times New Roman" w:eastAsia="宋体"/>
          <w:sz w:val="21"/>
        </w:rPr>
        <w:t xml:space="preserve">时间: 2026-02-14 | </w:t>
      </w:r>
      <w:r>
        <w:t xml:space="preserve">链接: </w:t>
      </w:r>
      <w:hyperlink r:id="rId116">
        <w:r>
          <w:rPr>
            <w:rFonts w:ascii="Times New Roman" w:hAnsi="Times New Roman" w:eastAsia="宋体"/>
            <w:color w:val="0000FF"/>
            <w:sz w:val="21"/>
            <w:u w:val="single"/>
          </w:rPr>
          <w:t>https://doi.org/10.1038/s41598-026-39575-4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细胞周期蛋白依赖性激酶 2 (CDK2) 是细胞周期进展的关键调节因子，也是癌症治疗中的重要治疗靶点。在这项研究中，使用集成的计算机框架通过计算探索了咪唑并[1,2-a]吡啶-喹唑啉杂化物作为潜在的CDK2抑制剂。虚拟筛选能够优先考虑与 CDK2 活性位点（尤其是通过铰链区残基）表现出良好相互作用的化合物。在筛选的文库中，根据结合亲和力和预测药代动力学适用性的共识评估，两种化合物 AD20 和 AD28 名列前茅。这些化合物表现出稳定的结合行为、良好的药物相似性以及支持分子稳定性和反应性的电子特征。重要的是，这些发现代表了计算优先级而不是实验验证。总体而言，本研究强调咪唑并[1,2-a]吡啶杂化物作为进一步优化的有前途的支架，并为未来 CDK2 靶向抗癌药物开发的实验评估提供了合理的基础。</w:t>
      </w:r>
    </w:p>
    <w:p>
      <w:pPr>
        <w:spacing w:before="120"/>
      </w:pPr>
      <w:r>
        <w:rPr>
          <w:rFonts w:ascii="Times New Roman" w:hAnsi="Times New Roman" w:eastAsia="宋体"/>
          <w:b/>
          <w:sz w:val="21"/>
        </w:rPr>
        <w:t>English Abstract:</w:t>
      </w:r>
    </w:p>
    <w:p>
      <w:r>
        <w:rPr>
          <w:rFonts w:ascii="Times New Roman" w:hAnsi="Times New Roman" w:eastAsia="宋体"/>
          <w:sz w:val="21"/>
        </w:rPr>
        <w:t>Cyclin dependent kinase 2 (CDK2) is a critical regulator of cell cycle progression and an important therapeutic target in cancer treatment. In this study, imidazo[1,2-a]pyridine-quinazoline hybrids were computationally explored as potential CDK2 inhibitors using an integrated in silico framework. Virtual screening enabled the prioritization of compounds exhibiting favourable interactions with the CDK2 active site particularly through hinge region residues. Among the screened library, two compounds AD20 and AD28 emerged as top ranked based on a consensus assessment of binding affinity and predicted pharmacokinetic suitability. These compounds demonstrated stable binding behaviour, favourable drug likeness, and electronic features supportive of molecular stability and reactivity. Importantly, the findings represent computational prioritization rather than experimental validation. Overall, this study highlights imidazo[1,2-a]pyridine hybrids as promising scaffolds for further optimization and provides a rational basis for future experimental evaluation toward CDK2 targeted anticancer drug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基于QFD的用于选择最佳电极的工业集成框架</w:t>
      </w:r>
    </w:p>
    <w:p>
      <w:r>
        <w:rPr>
          <w:rFonts w:ascii="Times New Roman" w:hAnsi="Times New Roman" w:eastAsia="宋体"/>
          <w:b/>
          <w:color w:val="003264"/>
          <w:sz w:val="24"/>
        </w:rPr>
        <w:t>An industrial integration framework based on QFD for selecting the optimal electrical poles</w:t>
      </w:r>
    </w:p>
    <w:p>
      <w:r>
        <w:rPr>
          <w:rFonts w:ascii="Times New Roman" w:hAnsi="Times New Roman" w:eastAsia="宋体"/>
          <w:sz w:val="21"/>
        </w:rPr>
        <w:t>作者: Youssef Ahmed Awad, Ahmed M. EL-Fiky, Hosam Hegazy, Mahmoud Galal, Ibrahim Abdel-Latif Yousef, Ahmed M. Ebid, Mohamed A. Khalaf</w:t>
        <w:br/>
      </w:r>
      <w:r>
        <w:rPr>
          <w:rFonts w:ascii="Times New Roman" w:hAnsi="Times New Roman" w:eastAsia="宋体"/>
          <w:sz w:val="21"/>
        </w:rPr>
        <w:t xml:space="preserve">时间: 2026-02-14 | </w:t>
      </w:r>
      <w:r>
        <w:t xml:space="preserve">链接: </w:t>
      </w:r>
      <w:hyperlink r:id="rId119">
        <w:r>
          <w:rPr>
            <w:rFonts w:ascii="Times New Roman" w:hAnsi="Times New Roman" w:eastAsia="宋体"/>
            <w:color w:val="0000FF"/>
            <w:sz w:val="21"/>
            <w:u w:val="single"/>
          </w:rPr>
          <w:t>https://doi.org/10.1038/s41598-025-12510-9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电线杆对于支持各种电力和通信基础设施系统至关重要，包括输电线路、路灯、电话网络和电缆服务。每种类型的杆，无论是钢、铝还是纤维增强聚合物 (FRP)，在设计时都考虑到了特定的应用和性能特征。本研究提出了一个专为工业应用量身定制的质量功能部署（QFD）框架，重点是加强信息集成，以指导选择最合适的杆类型。该研究考察了过去二十年来电线杆技术和管理实践的进步。通过市场调查、焦点小组讨论和个人访谈，确定了十个关键绩效指标：使用寿命、安全性能、总体成本、保色性、导电性、重量、生产工期、运输性、安装方式和抗风性。根据这些 KPI，决策者概述了九项功能要求，如果满足这些要求，将提高用户满意度。开发所提出的框架是为了通过将客户需求与技术规范相结合来支持分析评估和最佳杆类型的选择。使用 QFD 方法，FRP 杆成为表现最好的替代方案，得分为 4.12（满分 5）。该框架为决策者提供了一种结构化方法，可以根据项目特定标准评估电线杆选项，从而在早期设计阶段实现明智且以客户为中心的选择。</w:t>
      </w:r>
    </w:p>
    <w:p>
      <w:pPr>
        <w:spacing w:before="120"/>
      </w:pPr>
      <w:r>
        <w:rPr>
          <w:rFonts w:ascii="Times New Roman" w:hAnsi="Times New Roman" w:eastAsia="宋体"/>
          <w:b/>
          <w:sz w:val="21"/>
        </w:rPr>
        <w:t>English Abstract:</w:t>
      </w:r>
    </w:p>
    <w:p>
      <w:r>
        <w:rPr>
          <w:rFonts w:ascii="Times New Roman" w:hAnsi="Times New Roman" w:eastAsia="宋体"/>
          <w:sz w:val="21"/>
        </w:rPr>
        <w:t>Utility poles are critical in supporting various electrical and communication infrastructure systems, including power transmission lines, streetlights, telephone networks, and cable services. Each type of pole whether steel, aluminum, or fiber-reinforced polymer (FRP) is designed with specific applications and performance characteristics in mind. This study presents a Quality Function Deployment (QFD) framework tailored for industrial applications, focusing on enhancing information integration to guide the selection of the most suitable pole type. The research examines advancements in utility pole technologies and management practices over the past two decades. Through market surveys, focus group discussions and individual interviews, ten KPIs were identified: service life, safety performance, overall cost, color retention, conductivity resistance, weight, production duration, transportability, installation approach, and wind resistance. Based on these KPIs, decision-makers outlined nine functional requirements that, when met, would enhance user satisfaction. The proposed framework was developed to support analytical evaluation and selection of the optimal pole type by aligning client needs with technical specifications. Using the QFD approach, the FRP pole emerged as the top-performing alternative, receiving a score of 4.12 out of 5. This framework provides a structured method for decision-makers to evaluate electrical pole options based on project-specific criteria, enabling informed and client-focused choices in early design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基于震源机制和应力反演的埃及阿布达巴地震构造框架更新</w:t>
      </w:r>
    </w:p>
    <w:p>
      <w:r>
        <w:rPr>
          <w:rFonts w:ascii="Times New Roman" w:hAnsi="Times New Roman" w:eastAsia="宋体"/>
          <w:b/>
          <w:color w:val="003264"/>
          <w:sz w:val="24"/>
        </w:rPr>
        <w:t>Updated seismotectonic framework of Abu Dabbab Egypt based on focal mechanisms and stress inversion</w:t>
      </w:r>
    </w:p>
    <w:p>
      <w:r>
        <w:rPr>
          <w:rFonts w:ascii="Times New Roman" w:hAnsi="Times New Roman" w:eastAsia="宋体"/>
          <w:sz w:val="21"/>
        </w:rPr>
        <w:t>作者: Mona Abdelazim, Salah Elhadidy Youssef, Hanan Gaber, Gad-Elkareem A. Mohamed, M. Sami Soliman, Mohamed H. Yassien, Mona Hamada, Shimaa H. Elkhouly</w:t>
        <w:br/>
      </w:r>
      <w:r>
        <w:rPr>
          <w:rFonts w:ascii="Times New Roman" w:hAnsi="Times New Roman" w:eastAsia="宋体"/>
          <w:sz w:val="21"/>
        </w:rPr>
        <w:t xml:space="preserve">时间: 2026-02-14 | </w:t>
      </w:r>
      <w:r>
        <w:t xml:space="preserve">链接: </w:t>
      </w:r>
      <w:hyperlink r:id="rId120">
        <w:r>
          <w:rPr>
            <w:rFonts w:ascii="Times New Roman" w:hAnsi="Times New Roman" w:eastAsia="宋体"/>
            <w:color w:val="0000FF"/>
            <w:sz w:val="21"/>
            <w:u w:val="single"/>
          </w:rPr>
          <w:t>https://doi.org/10.1038/s41598-026-36922-3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阿布达巴地震带位于埃及红海边缘，是东部沙漠地震最活跃的地区之一。其特点是微震频繁、群活动频繁、历史事件显着。为了加深对其构造框架的了解，利用来自由 10 个垂直短周期地震仪组成的临时本地地震网络的数字波形数据，对 2004 年记录的 408 次地震（Ml 0.7-3.0）进行了分析。震源机制是根据 P 波第一运动极性确定的，并使用三元图进行分类。分析揭示了正断层、走滑断层、逆断层和斜断层等多种断层类型，具有明显的深度依赖性模式。浅层事件（0-5公里）以正断层和走滑断层为主，中层深度（5-10公里）显示反向和倾斜成分增加，而较深事件（&gt;10公里）主要是正断层。三个深度区间的应力张量反演表明存在多相应力状态：浅层由于局部应力变化而表现出交替的断层样式；中间深度揭示了具有混合断层机制的不均匀应力场；更深层次显示出占主导​​地位的正断层构造，与红海裂谷的伸展构造一致。总体而言，应力场由NE-SW挤压和SE-NW伸展形成，变形集中在NW-SE和NE-SW走向的断层上。这些发现强调了与区域裂谷相关的延伸和岩浆侵入和地壳异质性等当地因素对阿布达巴地震活动的综合影响。这项研究对深度相关应力模式和活动断层产生了重要见解，增强了地震灾害评估，并强调了该地区作为构造动态环境中可持续地热能源的潜力。</w:t>
      </w:r>
    </w:p>
    <w:p>
      <w:pPr>
        <w:spacing w:before="120"/>
      </w:pPr>
      <w:r>
        <w:rPr>
          <w:rFonts w:ascii="Times New Roman" w:hAnsi="Times New Roman" w:eastAsia="宋体"/>
          <w:b/>
          <w:sz w:val="21"/>
        </w:rPr>
        <w:t>English Abstract:</w:t>
      </w:r>
    </w:p>
    <w:p>
      <w:r>
        <w:rPr>
          <w:rFonts w:ascii="Times New Roman" w:hAnsi="Times New Roman" w:eastAsia="宋体"/>
          <w:sz w:val="21"/>
        </w:rPr>
        <w:t>Abstract The Abu Dabbab seismic zone is located along Egypt’s Red Sea margin, stands out as one of the most active seismic regions in the Eastern Desert. Characterized by frequent micro earthquakes, swarm like activity, and notable historical events. To enhance understanding of its tectonic framework, 408 earthquakes (Ml 0.7–3.0) recorded in 2004 were analyzed using digital waveform data from a temporary local seismic network consisting of ten vertical short period seismometers. Focal mechanisms were determined from P-wave first-motion polarities and classified using ternary plots. The analysis revealed a diverse range of faulting styles normal, strike slip, reverse, and oblique with clear depth dependent patterns. Shallow events (0–5 km) were dominated by normal and strike slip faulting, intermediate depths (5–10 km) showed increased reverse and oblique components, while deeper events (&gt; 10 km) were primarily normal faulting. Stress tensor inversion across three depth intervals indicated a multiphase stress regime: shallow depths exhibited alternating faulting styles due to localized stress variations; intermediate depths revealed a heterogeneous stress field with mixed faulting regimes; and deeper levels showed a dominant normal faulting regime, consistent with the extensional tectonics of the Red Sea Rift. Overall, the stress field is shaped by NE–SW compression and SE–NW extension, with deformation concentrated along NW–SE and NE–SW trending faults. These findings underscore the combined influence of regional rift-related extension and local factors such as magmatic intrusions and crustal heterogeneity in driving seismicity at Abu Dabbab. This study yields important insights into depth dependent stress patterns and active faulting, enhancing seismic hazard assessments and highlighting the region’s potential as a sustainable geothermal energy source within a tectonically dynamic environment.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ATR-FTIR 对乳腺癌、良性乳腺疾病和健康对照者的血液和唾液进行比较光谱分析</w:t>
      </w:r>
    </w:p>
    <w:p>
      <w:r>
        <w:rPr>
          <w:rFonts w:ascii="Times New Roman" w:hAnsi="Times New Roman" w:eastAsia="宋体"/>
          <w:b/>
          <w:color w:val="003264"/>
          <w:sz w:val="24"/>
        </w:rPr>
        <w:t>Comparative spectral analysis of blood and saliva in breast cancer, benign breast disease and healthy controls using ATR-FTIR</w:t>
      </w:r>
    </w:p>
    <w:p>
      <w:r>
        <w:rPr>
          <w:rFonts w:ascii="Times New Roman" w:hAnsi="Times New Roman" w:eastAsia="宋体"/>
          <w:sz w:val="21"/>
        </w:rPr>
        <w:t>作者: Lara de Andrade Marques, Alinne Tatiane Faria Silva, Izabella Cristina Costa Ferreira, Letícia Lopes Dantas Santos, Juliana Carvalho Penha Pereira, Donizeti William Santos, Carlos Eduardo Paiva, Yara Cristina de Paiva Maia</w:t>
        <w:br/>
      </w:r>
      <w:r>
        <w:rPr>
          <w:rFonts w:ascii="Times New Roman" w:hAnsi="Times New Roman" w:eastAsia="宋体"/>
          <w:sz w:val="21"/>
        </w:rPr>
        <w:t xml:space="preserve">时间: 2026-02-14 | </w:t>
      </w:r>
      <w:r>
        <w:t xml:space="preserve">链接: </w:t>
      </w:r>
      <w:hyperlink r:id="rId121">
        <w:r>
          <w:rPr>
            <w:rFonts w:ascii="Times New Roman" w:hAnsi="Times New Roman" w:eastAsia="宋体"/>
            <w:color w:val="0000FF"/>
            <w:sz w:val="21"/>
            <w:u w:val="single"/>
          </w:rPr>
          <w:t>https://doi.org/10.1038/s41598-026-39097-z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乳腺癌 (BC) 是影响女性最常见的肿瘤之一。本研究探讨了衰减全反射红外光谱 (ATR-FTIR) 识别 BC 患者、良性乳腺疾病 (BBD) 患者和健康个体体液（例如血清和唾液）中发现的不同生化元素的能力。对 73 名参与者（其中 31 名 BC、18 名 BBD 和 24 名健康受试者）的样本进行了横断面分析，以检查各组之间的生化差异。研究结果表明，不同体液中生化元素核酸、蛋白质、脂质和糖原的水平存在显着差异。具体来说，唾液中 2930 cm−1 的波数能够在统计学上区分 BC 患者、BBD 患者和健康对照。在血清样本中，在 1295 cm−1 处观察到显着差异（p = 0.0014）。然而，血清采集具有一些缺点，例如侵入性和需要经过培训的人员。唾液中的波数已成为潜在的乳腺癌生物标志物，这表明这种方法可以作为乳腺癌筛查的一种有价值的、非侵入性的方法和现成的选择。 ATR-FTIR 光谱有可能为研究更有效、侵入性更小的临床诊断方法铺平道路。</w:t>
      </w:r>
    </w:p>
    <w:p>
      <w:pPr>
        <w:spacing w:before="120"/>
      </w:pPr>
      <w:r>
        <w:rPr>
          <w:rFonts w:ascii="Times New Roman" w:hAnsi="Times New Roman" w:eastAsia="宋体"/>
          <w:b/>
          <w:sz w:val="21"/>
        </w:rPr>
        <w:t>English Abstract:</w:t>
      </w:r>
    </w:p>
    <w:p>
      <w:r>
        <w:rPr>
          <w:rFonts w:ascii="Times New Roman" w:hAnsi="Times New Roman" w:eastAsia="宋体"/>
          <w:sz w:val="21"/>
        </w:rPr>
        <w:t>Breast cancer (BC) ranks among the most prevalent tumors affecting women. This research explores the ability of Attenuated Total Reflection Infrared Spectroscopy (ATR-FTIR) to identify different biochemical elements found in bodily fluids such as serum and saliva from individuals with BC, individuals with benign breast disease (BBD), and healthy individuals. A cross-sectional analysis was performed on samples from 73 participants, comprising 31 with BC, 18 with BBD, and 24 healthy subjects, to examine biochemical differences across the groups. The findings indicated that the levels of the biochemical elements nucleic acids, proteins, lipids and glycogen significantly differed among the fluids. Specifically, the wavenumber of 2930 cm− 1 in saliva was capable of statistically differentiating BC patients from BBD patients and healthy controls. In the serum samples, a significant difference was observed at 1295 cm− 1 (p = 0.0014). However, serum collection has some disadvantages such as invasiveness and the need for trained personnel. Wavenumbers in saliva have emerged as potential breast cancer biomarkers, suggesting that this approach could serve as a valuable, noninvasive method and readily available option for breast cancer screening. ATR-FTIR spectroscopy has the potential to pave the way for the investigation of more efficient and less invasive clinical diagnostic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埃及努比亚地盾 Wadi El-Nabi 矿区花岗岩的 226Ra、232Th、40K 伽马活度浓度及健康危害评估</w:t>
      </w:r>
    </w:p>
    <w:p>
      <w:r>
        <w:rPr>
          <w:rFonts w:ascii="Times New Roman" w:hAnsi="Times New Roman" w:eastAsia="宋体"/>
          <w:b/>
          <w:color w:val="003264"/>
          <w:sz w:val="24"/>
        </w:rPr>
        <w:t>Gamma activity concentrations of 226Ra, 232Th, 40K, and health hazard assessments of granites from Wadi El-Nabi’ mining area, Egyptian Nubian Shield</w:t>
      </w:r>
    </w:p>
    <w:p>
      <w:r>
        <w:rPr>
          <w:rFonts w:ascii="Times New Roman" w:hAnsi="Times New Roman" w:eastAsia="宋体"/>
          <w:sz w:val="21"/>
        </w:rPr>
        <w:t>作者: Aya S. Shereif, Mohamed Th. S. Heikal, Abdel Salam Abu El Ela, Ahmed El Shabasy, Ahmed E. Masoud, Árpád Csámer</w:t>
        <w:br/>
      </w:r>
      <w:r>
        <w:rPr>
          <w:rFonts w:ascii="Times New Roman" w:hAnsi="Times New Roman" w:eastAsia="宋体"/>
          <w:sz w:val="21"/>
        </w:rPr>
        <w:t xml:space="preserve">时间: 2026-02-14 | </w:t>
      </w:r>
      <w:r>
        <w:t xml:space="preserve">链接: </w:t>
      </w:r>
      <w:hyperlink r:id="rId122">
        <w:r>
          <w:rPr>
            <w:rFonts w:ascii="Times New Roman" w:hAnsi="Times New Roman" w:eastAsia="宋体"/>
            <w:color w:val="0000FF"/>
            <w:sz w:val="21"/>
            <w:u w:val="single"/>
          </w:rPr>
          <w:t>https://doi.org/10.1038/s41598-026-39664-4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花岗岩是最普遍且具有经济意义的岩性之一，由于其丰富性、机械耐久性和审美吸引力，这使得它们非常适合作为建筑和建筑应用中的装饰石材。近年来，广泛的研究工作致力于量化这些岩石中天然存在的放射性物质所造成的放射性危害，涉及它们在建筑材料中使用时对人类健康和环境安全的潜在影响。在本研究中，对 Wadi El-Nabi 矿区的 35 个花岗岩样品（特别是 El-Igl El-Ahmer 二元正花岗岩）进行了全面的辐射调查，以利用高纯锗 (HPGe) 探测器的伽玛能谱法量化主要放射性核素的活度浓度，包括 22 6 Ra、232 Th 和 4 0 K。此外，系统地计算了一系列放射性危害指数，以评估与这些花岗岩样本相关的潜在放射性风险。我们的研究结果表明，二长花岗岩样品中 226 Ra、232 Th 和 40 K 的平均活度浓度分别为 29 (± 6)、34 (± 6) 和 883 (± 49) Bq/kg。相比之下，正长花岗岩样品的相应放射性核素平均值略有升高，测量值分别为 31 (± 5)、35 (± 4) 和 890 (± 9) Bq/kg，反映出正长花岗岩岩性内放射性适度富集。在放射学参数方面，结果表明二长花岗岩和正长花岗岩样品的D out 、D in 、AEDE in 、ELCR out 、ELCR in 、I γ 和AGDE均超过国际推荐的参考水平。相反，Ra eq 、AEDE out 、H ex 和 H in 保持在可接受的全局阈值内。二长花岗岩和正长花岗岩样品的 232 Th/ 226 Ra ( 238 U) 比率范围分别为 0.88 至 1.39（平均值 1.15 ± 0.14）和 0.88 至 1.41（平均值 1.14 ± 0.16）。这些值明显低于典型的地壳 Th/Ra 比率（约 3.5），表明岩浆后热液蚀变和宿主花岗岩内选择性铀富集。遥感观测强化了这一放射学证据，遥感观测揭示了特征蚀变模式，包括高岭土化、绢云母化、萤石化和硅化带，这些带在空间上与二元正长花岗岩单元相关，特别是在缓冲区位置。因此，某些局部区域的花岗岩，特别是放射性核素浓度或放射性危害指数超过典型阈值的区域，可能被认为不适合用作建筑材料。</w:t>
      </w:r>
    </w:p>
    <w:p>
      <w:pPr>
        <w:spacing w:before="120"/>
      </w:pPr>
      <w:r>
        <w:rPr>
          <w:rFonts w:ascii="Times New Roman" w:hAnsi="Times New Roman" w:eastAsia="宋体"/>
          <w:b/>
          <w:sz w:val="21"/>
        </w:rPr>
        <w:t>English Abstract:</w:t>
      </w:r>
    </w:p>
    <w:p>
      <w:r>
        <w:rPr>
          <w:rFonts w:ascii="Times New Roman" w:hAnsi="Times New Roman" w:eastAsia="宋体"/>
          <w:sz w:val="21"/>
        </w:rPr>
        <w:t>Abstract Granitic rocks constitute one of the most prevalent and economically significant lithologies, owing to their abundance, mechanical durability, and aesthetic appeal, which render them highly suitable as ornamental stones in architectural and construction applications. In recent years, extensive research efforts have been directed toward quantifying the radiological hazards posed by naturally occurring radioactive materials within these rocks, concerning their potential implications for human health and environmental safety when utilized in building materials. In the present study, a comprehensive radiometric investigation was conducted on 35 granitic rock samples of Wadi El-Nabi’ mining area, specifically El-Igl El-Ahmer monzo-syenogranites, to quantify the activity concentrations of principal radionuclides, including 22 6 Ra, 232 Th, and 4 0 K, utilizing gamma spectrometry with a high-purity germanium (HPGe) detector. Furthermore, an array of radiological hazard indices was systematically calculated to evaluate the potential radiological risks associated with these granitoid specimens. Our findings indicate that the mean activity concentrations of 226 Ra, 232 Th, and 40 K in the monzogranite samples were 29 (± 6), 34 (± 6), and 883 (± 49) Bq/kg, respectively. In comparison, the syenogranite samples exhibited slightly elevated average values, measured at 31 (± 5), 35 (± 4), and 890 (± 9) Bq/kg for the corresponding radionuclides, reflecting a modest enrichment in radioactivity within the syenogranitic lithology. With respect to the radiological parameters, the results indicate that D out , D in , AEDE in , ELCR out , ELCR in , I γ , and AGDE for both monzogranite and syenogranite samples exceed the internationally recommended reference levels. Conversely, Ra eq , AEDE out , H ex , and H in remain within acceptable global thresholds. 232 Th/ 226 Ra ( 238 U) ratios for the monzogranite and syenogranite samples range from 0.88 to 1.39 (mean 1.15 ± 0.14) and 0.88 to 1.41 (mean 1.14 ± 0.16), respectively. These values are markedly lower than the canonical crustal Th/Ra ratio of ~ 3.5, indicating post-magmatic hydrothermal alteration and selective uranium enrichment within the host granitoids. This radiological evidence is reinforced by remote sensing observations, which reveal characteristic alteration patterns, including kaolinization, sericitization, fluoritization, and silicification zones, that are spatially associated with the monzo-syenogranitic units, especially in the buffer location. Consequently, the granitic rocks in certain localized areas, particularly where radionuclide concentrations or radiological hazard indices exceed typical thresholds, may be considered unsuitable for use as construction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微波预处理对巴希枣干燥过程动力学、传质及热力学特性的影响</w:t>
      </w:r>
    </w:p>
    <w:p>
      <w:r>
        <w:rPr>
          <w:rFonts w:ascii="Times New Roman" w:hAnsi="Times New Roman" w:eastAsia="宋体"/>
          <w:b/>
          <w:color w:val="003264"/>
          <w:sz w:val="24"/>
        </w:rPr>
        <w:t>Impact of microwave pretreatment on drying kinetics, mass transfer and thermodynamic characteristics of Barhi dates during drying process</w:t>
      </w:r>
    </w:p>
    <w:p>
      <w:r>
        <w:rPr>
          <w:rFonts w:ascii="Times New Roman" w:hAnsi="Times New Roman" w:eastAsia="宋体"/>
          <w:sz w:val="21"/>
        </w:rPr>
        <w:t>作者: Nashi Alqahtani, Mohammad Fikry</w:t>
        <w:br/>
      </w:r>
      <w:r>
        <w:rPr>
          <w:rFonts w:ascii="Times New Roman" w:hAnsi="Times New Roman" w:eastAsia="宋体"/>
          <w:sz w:val="21"/>
        </w:rPr>
        <w:t xml:space="preserve">时间: 2026-02-14 | </w:t>
      </w:r>
      <w:r>
        <w:t xml:space="preserve">链接: </w:t>
      </w:r>
      <w:hyperlink r:id="rId123">
        <w:r>
          <w:rPr>
            <w:rFonts w:ascii="Times New Roman" w:hAnsi="Times New Roman" w:eastAsia="宋体"/>
            <w:color w:val="0000FF"/>
            <w:sz w:val="21"/>
            <w:u w:val="single"/>
          </w:rPr>
          <w:t>https://doi.org/10.1038/s41598-026-39727-6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微波预处理对不同干燥温度和风速下未经处理的巴希枣（UBD）和微波预处理的巴希枣（MBD）的干燥行为、水分传输和热力学性质的影响。此外，还评估了薄层干燥模型，以确定最合适的预测模型。结果表明，微波预处理显着提高了干燥效率，将干燥时间缩短了 21%，并加速了内部水分转移，特别是在初始干燥阶段。在评估的模型中，对数模型提供了最准确的含水率预测。微波预处理提高了参数一致性并略微提高了模型精度，表明水果内的水分重新分布更加均匀。有效湿气扩散率 (Deff) 和对流传质系数 (hm) 都随着温度和空气速度的增加而增加，MBD 的 Deff 比 UBD 高出约 367%，hm 高出约 359%。 Biot 数随着温度的增加而增加（约每 10 °C 20–23%），但随着空气流速的增加而减少，而 Dicer 数则急剧下降（约每 10 °C 36–42%）。热力学分析证实干燥过程是吸热且非自发的。与 UBD 相比，MBD 表现出略高的活化能和热函，但吉布斯自由能较低，反映出水分流动性增强和能量效率提高。总体而言，微波预处理改善了干燥动力学、水分均匀性和模型可预测性，为工业规模优化巴希枣薄层干燥提供了稳健的框架。</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investigated the effects of microwave pretreatment on drying behavior, moisture transport, and thermodynamic properties of untreated Barhi dates (UBD) and microwave-pretreated Barhi dates (MBD) under different drying temperatures and air velocities. In addition, thin-layer drying models were evaluated to identify the most suitable predictive model. The results demonstrated that microwave pretreatment significantly enhanced drying efficiency, reducing drying time by up to 21% and accelerating internal moisture transfer, particularly during the initial drying stage. Among the evaluated models, the Logarithmic model provided the most accurate prediction of moisture ratio. Microwave pretreatment improved parameter consistency and slightly enhanced model accuracy, indicating more uniform moisture redistribution within the fruit. Both effective moisture diffusivity (Deff) and the convective mass transfer coefficient (hm) increased with temperature and air velocity, with MBD exhibiting up to approximately 367% higher Deff and 359% higher hm than UBD. Biot numbers increased with temperature (≈ 20–23% per 10 °C) but decreased with increasing air velocity, whereas Dincer numbers declined sharply (≈ 36–42% per 10 °C). Thermodynamic analysis confirmed that the drying process was endothermic and non-spontaneous. Compared with UBD, MBD exhibited slightly higher activation energy and enthalpy but lower Gibbs free energy, reflecting enhanced moisture mobility and improved energy efficiency. Overall, microwave pretreatment improved drying kinetics, moisture uniformity, and model predictability, providing a robust framework for optimizing thin-layer drying of Barhi dates at the industrial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在利益冲突中促进正义的神经机制</w:t>
      </w:r>
    </w:p>
    <w:p>
      <w:r>
        <w:rPr>
          <w:rFonts w:ascii="Times New Roman" w:hAnsi="Times New Roman" w:eastAsia="宋体"/>
          <w:b/>
          <w:color w:val="003264"/>
          <w:sz w:val="24"/>
        </w:rPr>
        <w:t>Neural mechanisms promoting righteousness in conflicts of interest</w:t>
      </w:r>
    </w:p>
    <w:p>
      <w:r>
        <w:rPr>
          <w:rFonts w:ascii="Times New Roman" w:hAnsi="Times New Roman" w:eastAsia="宋体"/>
          <w:sz w:val="21"/>
        </w:rPr>
        <w:t>作者: Crystal Reeck, Rita M. Ludwig, Malia F. Mason</w:t>
        <w:br/>
      </w:r>
      <w:r>
        <w:rPr>
          <w:rFonts w:ascii="Times New Roman" w:hAnsi="Times New Roman" w:eastAsia="宋体"/>
          <w:sz w:val="21"/>
        </w:rPr>
        <w:t xml:space="preserve">时间: 2026-02-14 | </w:t>
      </w:r>
      <w:r>
        <w:t xml:space="preserve">链接: </w:t>
      </w:r>
      <w:hyperlink r:id="rId124">
        <w:r>
          <w:rPr>
            <w:rFonts w:ascii="Times New Roman" w:hAnsi="Times New Roman" w:eastAsia="宋体"/>
            <w:color w:val="0000FF"/>
            <w:sz w:val="21"/>
            <w:u w:val="single"/>
          </w:rPr>
          <w:t>https://doi.org/10.1038/s41598-026-39572-7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益冲突对社会和谐运转构成挑战，并可能破坏消费市场。然而，有些人会回避那些能带来个人利益的行为，即使（对他们和其他人来说）不明确这些行为是不适当的，甚至在没有潜在的声誉损害或公众赞扬的情况下。在四项研究中，我们提供了这种正义存在的证据，并在相互竞争的心理机制之间做出了裁决。与正义行为本质上会带来回报的观点相反，功能性神经影像学结果表明，与自我控制相关的大脑区域网络中的活动，而不是奖励，追踪正义的差异。这种关系特定于正确行动方针不明确的情况，这是许多利益冲突环境的共同特征。我们在这些发现的基础上，通过测试预先承诺作为一种行为干预措施，可以减轻模糊利益冲突情况的负面后果。这些结果增进了我们对在利益冲突中塑造公正行为的心理过程的理解，倡导自我控制在促进正义行为中的核心作用，并为潜在的政策干预提供信息，以防止冲突破坏消费者市场。</w:t>
      </w:r>
    </w:p>
    <w:p>
      <w:pPr>
        <w:spacing w:before="120"/>
      </w:pPr>
      <w:r>
        <w:rPr>
          <w:rFonts w:ascii="Times New Roman" w:hAnsi="Times New Roman" w:eastAsia="宋体"/>
          <w:b/>
          <w:sz w:val="21"/>
        </w:rPr>
        <w:t>English Abstract:</w:t>
      </w:r>
    </w:p>
    <w:p>
      <w:r>
        <w:rPr>
          <w:rFonts w:ascii="Times New Roman" w:hAnsi="Times New Roman" w:eastAsia="宋体"/>
          <w:sz w:val="21"/>
        </w:rPr>
        <w:t>Competing interests pose a challenge to harmonious social functioning and can undermine consumer markets. However, some individuals eschew actions that yield personal gain even when it is ambiguous (to them and others) that they are inappropriate, and even in the absence of potential reputational damages or public praise. Across four studies, we provide evidence for the existence for such righteousness and adjudicate between competing psychological mechanisms. Contrary to the idea that righteous behavior is inherently rewarding, functional neuroimaging results show that activity in a network of brain regions associated with self-control, rather than reward, tracks differences in righteousness. This relationship is specific to circumstances in which the proper course of action is ambiguous, a common feature of many conflict-of-interest settings. We build on these findings by testing pre-commitment as a behavioral intervention that might mitigate the negative consequences of ambiguous conflict of interest situations. These results advance our understanding of the psychological processes that shape unbiased behavior in conflicts of interest, advocating a central role for self-control in promoting righteous behaviors and informing potential policy interventions to prevent conflicts from undermining consumer markets.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同理心和心智化作为童年虐待与成年社会决策之间的中介</w:t>
      </w:r>
    </w:p>
    <w:p>
      <w:r>
        <w:rPr>
          <w:rFonts w:ascii="Times New Roman" w:hAnsi="Times New Roman" w:eastAsia="宋体"/>
          <w:b/>
          <w:color w:val="003264"/>
          <w:sz w:val="24"/>
        </w:rPr>
        <w:t>Empathy and mentalization as mediators between childhood maltreatment and social decision-making during adulthood</w:t>
      </w:r>
    </w:p>
    <w:p>
      <w:r>
        <w:rPr>
          <w:rFonts w:ascii="Times New Roman" w:hAnsi="Times New Roman" w:eastAsia="宋体"/>
          <w:sz w:val="21"/>
        </w:rPr>
        <w:t>作者: Steffi Benoit, Julie Maheux, Dominick Gamache, Sébastien Hétu</w:t>
        <w:br/>
      </w:r>
      <w:r>
        <w:rPr>
          <w:rFonts w:ascii="Times New Roman" w:hAnsi="Times New Roman" w:eastAsia="宋体"/>
          <w:sz w:val="21"/>
        </w:rPr>
        <w:t xml:space="preserve">时间: 2026-02-14 | </w:t>
      </w:r>
      <w:r>
        <w:t xml:space="preserve">链接: </w:t>
      </w:r>
      <w:hyperlink r:id="rId127">
        <w:r>
          <w:rPr>
            <w:rFonts w:ascii="Times New Roman" w:hAnsi="Times New Roman" w:eastAsia="宋体"/>
            <w:color w:val="0000FF"/>
            <w:sz w:val="21"/>
            <w:u w:val="single"/>
          </w:rPr>
          <w:t>https://doi.org/10.1038/s41598-026-37273-9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童年虐待是一种非常普遍的早期逆境形式，对社会和情感功能产生长期影响。虽然之前的研究已经建立了虐待、同理心和心理化之间的联系，但人们对这些过程如何影响成人社会决策却知之甚少。在这项研究中，327 名成年人完成了关于儿童虐待、同理心和心智化的经过验证的自我报告测量，以及一系列旨在评估合作和惩罚的经济游戏。我们发现，儿童虐待的严重程度选择性地与两种决策模式相关：在第三方观察时减少合作，以及增加对合作伙伴的惩罚，这是一种被称为反社会惩罚的矛盾行为。中介分析表明，这些关联可以通过同理心的情感成分来解释。具体来说，情感共鸣（一致的情绪反应）的减弱介导了虐待和合作减少之间的联系，而情感不和谐（不一致的情绪反应）的增强介导了虐待和反社会惩罚之间的联系。当与同理心一起考虑时，心智化并不能唯一地调解这些关系。这些发现强调，同理心破坏是早期逆境可能塑造成人社会行为的关键途径。通过确定具体的情感机制，这项工作指出了旨在改善有虐待史的个人的社会功能的干预措施的潜在目标。</w:t>
      </w:r>
    </w:p>
    <w:p>
      <w:pPr>
        <w:spacing w:before="120"/>
      </w:pPr>
      <w:r>
        <w:rPr>
          <w:rFonts w:ascii="Times New Roman" w:hAnsi="Times New Roman" w:eastAsia="宋体"/>
          <w:b/>
          <w:sz w:val="21"/>
        </w:rPr>
        <w:t>English Abstract:</w:t>
      </w:r>
    </w:p>
    <w:p>
      <w:r>
        <w:rPr>
          <w:rFonts w:ascii="Times New Roman" w:hAnsi="Times New Roman" w:eastAsia="宋体"/>
          <w:sz w:val="21"/>
        </w:rPr>
        <w:t>Childhood maltreatment is a highly prevalent form of early adversity with long-lasting consequences for social and emotional functioning. While previous work has established links between maltreatment, empathy, and mentalization, little is known about how these processes shape adult social decision-making. In this study, 327 adults completed validated self-report measures of childhood maltreatment, empathy, and mentalization, along with a series of economic games designed to assess cooperation and punishment. We found that greater severity of childhood maltreatment was selectively associated with two decision-making patterns: reduced cooperation when observed by a third party and increased punishment of cooperative partners, a paradoxical behavior known as antisocial punishment. Mediation analyses revealed that these associations were explained by affective components of empathy. Specifically, diminished affective resonance (congruent emotional responses) mediated the link between maltreatment and reduced cooperation, while heightened affective dissonance (incongruent emotional responses) mediated the link between maltreatment and antisocial punishment. Mentalization did not uniquely mediate these relationships when considered alongside empathy. These findings highlight empathy disruptions as a key pathway through which early adversity may shape adult social behavior. By identifying specific affective mechanisms, this work points to potential targets for interventions aimed at improving social functioning in individuals with histories of maltreatment.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手性掺杂剂对液晶中外部场引起的磁滞现象的影响</w:t>
      </w:r>
    </w:p>
    <w:p>
      <w:r>
        <w:rPr>
          <w:rFonts w:ascii="Times New Roman" w:hAnsi="Times New Roman" w:eastAsia="宋体"/>
          <w:b/>
          <w:color w:val="003264"/>
          <w:sz w:val="24"/>
        </w:rPr>
        <w:t>Effect of a chiral dopant on hysteresis phenomena induced by external fields in liquid crystals</w:t>
      </w:r>
    </w:p>
    <w:p>
      <w:r>
        <w:rPr>
          <w:rFonts w:ascii="Times New Roman" w:hAnsi="Times New Roman" w:eastAsia="宋体"/>
          <w:sz w:val="21"/>
        </w:rPr>
        <w:t>作者: Veronika Lacková, Dmitriy V. Makarov, Danil A. Petrov, Tibor Tóth-Katona, Katarína Kónyová, Peter Kopčanský, Natália Tomašovičová</w:t>
        <w:br/>
      </w:r>
      <w:r>
        <w:rPr>
          <w:rFonts w:ascii="Times New Roman" w:hAnsi="Times New Roman" w:eastAsia="宋体"/>
          <w:sz w:val="21"/>
        </w:rPr>
        <w:t xml:space="preserve">时间: 2026-02-14 | </w:t>
      </w:r>
      <w:r>
        <w:t xml:space="preserve">链接: </w:t>
      </w:r>
      <w:hyperlink r:id="rId128">
        <w:r>
          <w:rPr>
            <w:rFonts w:ascii="Times New Roman" w:hAnsi="Times New Roman" w:eastAsia="宋体"/>
            <w:color w:val="0000FF"/>
            <w:sz w:val="21"/>
            <w:u w:val="single"/>
          </w:rPr>
          <w:t>https://doi.org/10.1038/s41598-026-40009-4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功能性自组装软物质结构的设计和开发，特别是能够响应多种刺激的液晶，对于基础科学研究和先进技术应用至关重要。这项工作研究了手性掺杂剂浓度如何控制限制在垂直单元中的胆甾型液晶（掺杂 CB15 的 E7 液晶混合物）的场诱导解旋和滞后行为。该研究测量了电压驱动和磁场驱动的解绕中的离散节距跳跃和明显的磁滞回线与掺杂剂浓度的函数关系，为薄层几何形状中成分控制的相变提供了实验见解。确定了一个临界掺杂剂浓度，低于该浓度时，由于表面锚定效应，胆甾醇螺旋不会形成。临界场随着掺杂剂浓度的增加而增加，并且证明了磁阈值对浓度的线性依赖性。将实验观察结果与无限系统的理论模型进行比较，重点是离散切换现象和阈值行为。这些结果为设计具有可控、逐步切换的响应性胆甾型软材料和电光和磁光器件提供了新的指导方针。</w:t>
      </w:r>
    </w:p>
    <w:p>
      <w:pPr>
        <w:spacing w:before="120"/>
      </w:pPr>
      <w:r>
        <w:rPr>
          <w:rFonts w:ascii="Times New Roman" w:hAnsi="Times New Roman" w:eastAsia="宋体"/>
          <w:b/>
          <w:sz w:val="21"/>
        </w:rPr>
        <w:t>English Abstract:</w:t>
      </w:r>
    </w:p>
    <w:p>
      <w:r>
        <w:rPr>
          <w:rFonts w:ascii="Times New Roman" w:hAnsi="Times New Roman" w:eastAsia="宋体"/>
          <w:sz w:val="21"/>
        </w:rPr>
        <w:t>The design and development of functional self-assembled soft matter structures, particularly liquid crystals that adapt responsively to multiple stimuli, are essential for both fundamental scientific research and advanced technological applications. This work investigates how chiral dopant concentration governs the field-induced unwinding and hysteresis behavior of cholesteric liquid crystals (E7 liquid crystal mixture doped with CB15) confined in homeotropic cells. The study measures discrete pitch jumps and pronounced hysteresis loops as a function of dopant concentration in both voltage- and magnetic-field-driven unwinding, providing experimental insight into composition-controlled phase transitions in thin-layer geometries. A critical dopant concentration was identified below which the cholesteric helix does not form due to surface anchoring effects. The critical fields increase with the increase of dopant concentration, and a linear dependence of the magnetic threshold on concentration is demonstrated. Experimental observations are compared with theoretical models for infinite systems, with an emphasis on discrete switching phenomena and threshold behaviors. These results provide new guidelines for designing responsive cholesteric soft materials and electro- and magneto-optical devices that exhibit controllable, stepwise switching.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利用智能诱捕器技术揭示城市媒介蚊子的活动节奏</w:t>
      </w:r>
    </w:p>
    <w:p>
      <w:r>
        <w:rPr>
          <w:rFonts w:ascii="Times New Roman" w:hAnsi="Times New Roman" w:eastAsia="宋体"/>
          <w:b/>
          <w:color w:val="003264"/>
          <w:sz w:val="24"/>
        </w:rPr>
        <w:t>Unravelling the activity rhythms of urban vector mosquitoes with smart-trap technology</w:t>
      </w:r>
    </w:p>
    <w:p>
      <w:r>
        <w:rPr>
          <w:rFonts w:ascii="Times New Roman" w:hAnsi="Times New Roman" w:eastAsia="宋体"/>
          <w:sz w:val="21"/>
        </w:rPr>
        <w:t>作者: María I. González-Pérez, Catuxa Cerecedo-Iglesias, Alex Richter-Boix, Laura Barahona, Tomás Montalvo, John R. B. Palmer, Frederic Bartumeus</w:t>
        <w:br/>
      </w:r>
      <w:r>
        <w:rPr>
          <w:rFonts w:ascii="Times New Roman" w:hAnsi="Times New Roman" w:eastAsia="宋体"/>
          <w:sz w:val="21"/>
        </w:rPr>
        <w:t xml:space="preserve">时间: 2026-02-14 | </w:t>
      </w:r>
      <w:r>
        <w:t xml:space="preserve">链接: </w:t>
      </w:r>
      <w:hyperlink r:id="rId131">
        <w:r>
          <w:rPr>
            <w:rFonts w:ascii="Times New Roman" w:hAnsi="Times New Roman" w:eastAsia="宋体"/>
            <w:color w:val="0000FF"/>
            <w:sz w:val="21"/>
            <w:u w:val="single"/>
          </w:rPr>
          <w:t>https://doi.org/10.1038/s41598-026-38795-y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摘要：了解人口稠密城市地区的蚊子活动对于评估人类暴露于滋扰和健康风险至关重要。我们分析了 2021 年至 2024 年在巴塞罗那（西班牙东北部）运行的四个智能诱捕器的实时蚊子数据，重点关注两种主要城市媒介物种白纹伊蚊和淡色库蚊的精细尺度时间动态。两个物种都表现出与日出和日落一致的双峰昼夜活动模式，在峰值强度和时间以及季节性波动方面存在物种特异性差异。使用随机森林框架，我们确定了与光相关的线索是蚊子寻找宿主活动的主要激活因素；光信号、温度和降雨量也充当活动调节剂，其作用因物种和时间尺度而异。这种激活剂-调节剂的观点说明了内在昼夜节律如何与外在环境驱动因素相互作用，以确定蚊子在时间尺度上的活动。我们的研究结果强调了高分辨率监测的生态价值以及下一代监测工具在智慧城市背景下支持早期预警系统和基于证据的病媒控制的潜力。</w:t>
      </w:r>
    </w:p>
    <w:p>
      <w:pPr>
        <w:spacing w:before="120"/>
      </w:pPr>
      <w:r>
        <w:rPr>
          <w:rFonts w:ascii="Times New Roman" w:hAnsi="Times New Roman" w:eastAsia="宋体"/>
          <w:b/>
          <w:sz w:val="21"/>
        </w:rPr>
        <w:t>English Abstract:</w:t>
      </w:r>
    </w:p>
    <w:p>
      <w:r>
        <w:rPr>
          <w:rFonts w:ascii="Times New Roman" w:hAnsi="Times New Roman" w:eastAsia="宋体"/>
          <w:sz w:val="21"/>
        </w:rPr>
        <w:t>Abstract Understanding mosquito activity in dense urban areas is essential to assess human exposure to nuisance and health risks. We analyzed real-time mosquito data from four smart traps operating between 2021 and 2024 in Barcelona (NE Spain), focusing on the fine-scale temporal dynamics of two major urban vector species, Aedes albopictus and Culex pipiens . Both species exhibited consistent bimodal diel activity patterns aligned with sunrise and sunset, with species-specific differences in peak intensity and timing as well as seasonal fluctuations. Using a random forest framework, we identified light-related cues as primary activators of mosquito host-seeking activity; and light cues, temperature and rainfall also acting as modulators of activity, roles varying by species and temporal scale. This activator–modulator perspective illustrates how intrinsic circadian rhythms interact with extrinsic environmental drivers to determine mosquito activity across temporal scales. Our findings highlight the ecological value of high-resolution monitoring and the potential of next-generation surveillance tools to support early warning systems and evidence-based vector control in the context of smart cities.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使用具有抗菌活性的巴西无刺蜂细菌上清液微生物合成银纳米颗粒</w:t>
      </w:r>
    </w:p>
    <w:p>
      <w:r>
        <w:rPr>
          <w:rFonts w:ascii="Times New Roman" w:hAnsi="Times New Roman" w:eastAsia="宋体"/>
          <w:b/>
          <w:color w:val="003264"/>
          <w:sz w:val="24"/>
        </w:rPr>
        <w:t>Microbial synthesis of silver nanoparticles using bacterial supernatants from Brazilian stingless bees with antimicrobial activity</w:t>
      </w:r>
    </w:p>
    <w:p>
      <w:r>
        <w:rPr>
          <w:rFonts w:ascii="Times New Roman" w:hAnsi="Times New Roman" w:eastAsia="宋体"/>
          <w:sz w:val="21"/>
        </w:rPr>
        <w:t>作者: Ana Carolina Costa Santos, Joberth Lee Corrêa, Rafaela Cavalcante Cerqueira, Gabriela Carvalho Batista, Tamiris Sabrina Rodrigues, Lucas Matos Martins Bernardes, Rener Mateus Duarte, Foued Salmen Spindola, Luciana Machado Bastos, Mário Machado Martins, Murillo Néia Thomaz da Silva, Fernanda Naves Araújo do Prado Mascarenhas, Renata Graciele Zanon, Jonder Morais, Fernando Juarez Choque, Ana Maria Bonetti, Carlos Ueira-Vieira</w:t>
        <w:br/>
      </w:r>
      <w:r>
        <w:rPr>
          <w:rFonts w:ascii="Times New Roman" w:hAnsi="Times New Roman" w:eastAsia="宋体"/>
          <w:sz w:val="21"/>
        </w:rPr>
        <w:t xml:space="preserve">时间: 2026-02-14 | </w:t>
      </w:r>
      <w:r>
        <w:t xml:space="preserve">链接: </w:t>
      </w:r>
      <w:hyperlink r:id="rId132">
        <w:r>
          <w:rPr>
            <w:rFonts w:ascii="Times New Roman" w:hAnsi="Times New Roman" w:eastAsia="宋体"/>
            <w:color w:val="0000FF"/>
            <w:sz w:val="21"/>
            <w:u w:val="single"/>
          </w:rPr>
          <w:t>https://doi.org/10.1038/s41598-026-40296-x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抗生素耐药性细菌的日益流行对全球公共卫生构成了重大挑战，特别是金黄色葡萄球菌和大肠杆菌等多重耐药病原体。在这种背景下，银纳米颗粒（AgNP）因其独特的理化性质而作为有前途的替代抗菌材料而受到关注。在这项研究中，我们利用来自巴西无刺蜂幼虫食物的细菌上清液研究了纳米银颗粒的绿色合成，巴西无刺蜂幼虫食物是一种生物丰富且尚未开发的功能代谢物来源。使用雷氏普罗威登斯菌和奇异变形杆菌的上清液，通过传统方法和微波辅助方法合成银纳米粒子，后者促进更快的纳米颗粒形成并改善胶体均匀性。两种 AgNP 制剂（AgNPs-1B 和 AgNPs-54B）因其独特的合成曲线而被选择，通过紫外可见光谱、动态光散射、扫描电子显微镜 (SEM)、能量色散 X 射线光谱 (EDX) 和透射电子显微镜 (TEM) 进行表征。 TEM 分析显示主要为球形纳米颗粒，AgNPs-1B 的平均直径为 24.2 ± 27.4 nm，AgNPs-54B 的平均直径为 8.5–25.2 nm，证实纳米级合成成功。两种 AgNP 对多重耐药大肠杆菌和金黄色葡萄球菌均表现出显着的抗菌活性。当掺入海藻酸盐膜中时，纳米颗粒保留了其抗菌功效，特别是通过接触依赖性抑制细菌生长。使用果蝇和人类神经元培养物进行的毒性测定表明，在评估的生物模型中毒性较低。这些发现证明了生物合成的纳米银颗粒作为可持续抗菌材料的潜力，将独特的微生物来源与微波辅助加工以及相关的生物医学和环境适用性相结合。</w:t>
      </w:r>
    </w:p>
    <w:p>
      <w:pPr>
        <w:spacing w:before="120"/>
      </w:pPr>
      <w:r>
        <w:rPr>
          <w:rFonts w:ascii="Times New Roman" w:hAnsi="Times New Roman" w:eastAsia="宋体"/>
          <w:b/>
          <w:sz w:val="21"/>
        </w:rPr>
        <w:t>English Abstract:</w:t>
      </w:r>
    </w:p>
    <w:p>
      <w:r>
        <w:rPr>
          <w:rFonts w:ascii="Times New Roman" w:hAnsi="Times New Roman" w:eastAsia="宋体"/>
          <w:sz w:val="21"/>
        </w:rPr>
        <w:t>The increasing prevalence of antibiotic-resistant bacteria poses a significant global public health challenge, particularly with multidrug-resistant pathogens such as Staphylococcus aureus and Escherichia coli. In this context, silver nanoparticles (AgNPs) have garnered attention as promising alternative antimicrobial materials due to their unique physicochemical properties. In this study, we investigated the green synthesis of AgNPs using bacterial supernatants derived from the larval food of Brazilian stingless bees, a biologically rich and underexplored source of functional metabolites. Using supernatants of Providencia rettgeri and Proteus mirabilis, AgNPs were synthesized via both traditional and microwave-assisted methods, with the latter promoting faster nanoparticle formation and improved colloidal homogeneity. Two AgNP formulations (AgNPs-1B and AgNPs-54B), selected for their distinct synthesis profiles, were characterized by UV–visible spectroscopy, dynamic light scattering, scanning electron microscopy (SEM), energy-dispersive X-ray spectroscopy (EDX), and transmission electron microscopy (TEM). TEM analysis revealed predominantly spherical nanoparticles, with average diameters of 24.2 ± 27.4 nm for AgNPs-1B and 8.5–25.2 nm for AgNPs-54B, confirming successful nanoscale synthesis. Both AgNPs exhibited significant antimicrobial activity against multidrug-resistant E. coli and S. aureus. When incorporated into alginate-based membranes, the nanoparticles retained their antimicrobial efficacy, particularly through contact-dependent inhibition of bacterial growth. Toxicity assays using Drosophila melanogaster and human neuron cultures indicated low toxicity in the evaluated biological models. These findings demonstrate the potential of biologically synthesized AgNPs as sustainable antimicrobial materials, combining a unique microbial source with microwave-assisted processing and relevant biomedical and environmental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特定波长的光调节蜜蜂的运动活动</w:t>
      </w:r>
    </w:p>
    <w:p>
      <w:r>
        <w:rPr>
          <w:rFonts w:ascii="Times New Roman" w:hAnsi="Times New Roman" w:eastAsia="宋体"/>
          <w:b/>
          <w:color w:val="003264"/>
          <w:sz w:val="24"/>
        </w:rPr>
        <w:t>Specific wavelengths of light modulate honey bee locomotor activity</w:t>
      </w:r>
    </w:p>
    <w:p>
      <w:r>
        <w:rPr>
          <w:rFonts w:ascii="Times New Roman" w:hAnsi="Times New Roman" w:eastAsia="宋体"/>
          <w:sz w:val="21"/>
        </w:rPr>
        <w:t>作者: Babur Erdem, Iremnur Fidan, Ali Emre Turgut, Erol Sahin, Ayse Gul Gozen, Hande Alemdar</w:t>
        <w:br/>
      </w:r>
      <w:r>
        <w:rPr>
          <w:rFonts w:ascii="Times New Roman" w:hAnsi="Times New Roman" w:eastAsia="宋体"/>
          <w:sz w:val="21"/>
        </w:rPr>
        <w:t xml:space="preserve">时间: 2026-02-14 | </w:t>
      </w:r>
      <w:r>
        <w:t xml:space="preserve">链接: </w:t>
      </w:r>
      <w:hyperlink r:id="rId133">
        <w:r>
          <w:rPr>
            <w:rFonts w:ascii="Times New Roman" w:hAnsi="Times New Roman" w:eastAsia="宋体"/>
            <w:color w:val="0000FF"/>
            <w:sz w:val="21"/>
            <w:u w:val="single"/>
          </w:rPr>
          <w:t>https://doi.org/10.1038/s41598-025-34255-1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光通过影响觅食、导航和运动活动 (LMA)，在蜜蜂 (Apis mellifera) 行为中发挥着至关重要的作用。虽然光对 LMA 的影响先前已被记录，但不同波长的具体作用仍然未知。在本研究中，我们研究了特定红外（IR，849 nm）、绿光（528 nm）、蓝光（447 nm）和紫外（UV，372 nm）波长及其组合的暴露如何影响 LMA。具体来说，我们使用定制的照明设置和 Api-TRACE 视频跟踪系统，监测和分析了均匀照明环境中的蜜蜂运动。我们的分析揭示了 LMA 的显着差异，具体取决于蜜蜂所暴露的波长。这项研究表明绿光促进了 LMA。另一方面，紫外线抑制了蜜蜂的LMA。当紫外线与蓝光结合时，抑制作用甚至更大。此外，还检查了活动模式的相似性，发现仅绿色、仅蓝色和仅红外条件产生了高度相似的日常活动模式，而富含紫外线的光谱，特别是蓝色-UV和蓝-绿-UV，产生了最独特的时间曲线。这些信息可应用于实验标准化、飞行室环境设计以及人工照明下菌落的管理。</w:t>
      </w:r>
    </w:p>
    <w:p>
      <w:pPr>
        <w:spacing w:before="120"/>
      </w:pPr>
      <w:r>
        <w:rPr>
          <w:rFonts w:ascii="Times New Roman" w:hAnsi="Times New Roman" w:eastAsia="宋体"/>
          <w:b/>
          <w:sz w:val="21"/>
        </w:rPr>
        <w:t>English Abstract:</w:t>
      </w:r>
    </w:p>
    <w:p>
      <w:r>
        <w:rPr>
          <w:rFonts w:ascii="Times New Roman" w:hAnsi="Times New Roman" w:eastAsia="宋体"/>
          <w:sz w:val="21"/>
        </w:rPr>
        <w:t>Light plays a crucial role in honey bee (Apis mellifera) behavior by influencing foraging, navigation, and locomotor activity (LMA). While the effects of light on LMA have been previously documented, the specific roles of different wavelengths have remained unknown. In this study, we investigated how exposure to specific infrared (IR, 849 nm), green (528 nm), blue (447 nm), and ultraviolet (UV, 372 nm) wavelengths, as well as their combinations, affected LMA. Specifically, using a custom-built illumination setup and the Api-TRACE video tracking system, we monitored and analyzed bee movement in a homogeneously illuminated environment. Our analysis revealed significant differences in LMA depending on the wavelength to which the bees were exposed. This study demonstrated that the green light promoted LMA. On the other hand, UV light suppressed the LMA of honey bees. The suppression was even greater when the UV light was combined with the blue light. Additionally, similarities in activity patterns were examined, and it was found that only-green, only-blue and only-IR conditions produced highly similar daily activity patterns, whereas UV-enriched spectra, particularly blue–UV and blue–green–UV, generated the most distinct temporal profiles. That information can be applied to experimental standardization, the design of flight-room environments, and the management of colonies under artificial illumination.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00:29 ---</w:t>
      </w:r>
    </w:p>
    <w:p>
      <w:pPr>
        <w:pStyle w:val="Heading2"/>
      </w:pPr>
      <w:r/>
      <w:r>
        <w:rPr>
          <w:rFonts w:ascii="Times New Roman" w:hAnsi="Times New Roman" w:eastAsia="宋体"/>
          <w:b/>
          <w:color w:val="000000"/>
          <w:sz w:val="24"/>
        </w:rPr>
        <w:t>半导体微腔中的量子光滴</w:t>
      </w:r>
    </w:p>
    <w:p>
      <w:r>
        <w:rPr>
          <w:rFonts w:ascii="Times New Roman" w:hAnsi="Times New Roman" w:eastAsia="宋体"/>
          <w:b/>
          <w:color w:val="003264"/>
          <w:sz w:val="24"/>
        </w:rPr>
        <w:t>Quantum droplets of light in semiconductor microcavities</w:t>
      </w:r>
    </w:p>
    <w:p>
      <w:r>
        <w:rPr>
          <w:rFonts w:ascii="Times New Roman" w:hAnsi="Times New Roman" w:eastAsia="宋体"/>
          <w:sz w:val="21"/>
        </w:rPr>
        <w:t>作者: Anonymous</w:t>
        <w:br/>
      </w:r>
      <w:r>
        <w:rPr>
          <w:rFonts w:ascii="Times New Roman" w:hAnsi="Times New Roman" w:eastAsia="宋体"/>
          <w:sz w:val="21"/>
        </w:rPr>
        <w:t xml:space="preserve">时间: 2026-02-13 | </w:t>
      </w:r>
      <w:r>
        <w:t xml:space="preserve">链接: </w:t>
      </w:r>
      <w:hyperlink r:id="rId33">
        <w:r>
          <w:rPr>
            <w:rFonts w:ascii="Times New Roman" w:hAnsi="Times New Roman" w:eastAsia="宋体"/>
            <w:color w:val="0000FF"/>
            <w:sz w:val="21"/>
            <w:u w:val="single"/>
          </w:rPr>
          <w:t>https://doi.org/10.1103/qbz5-df6g</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通过抑制三声子散射，富集立方砷化硼具有出色的光学声子相干性</w:t>
      </w:r>
    </w:p>
    <w:p>
      <w:r>
        <w:rPr>
          <w:rFonts w:ascii="Times New Roman" w:hAnsi="Times New Roman" w:eastAsia="宋体"/>
          <w:b/>
          <w:color w:val="003264"/>
          <w:sz w:val="24"/>
        </w:rPr>
        <w:t>Exceptional optical phonon coherence in enriched cubic boron arsenide via suppression of three-phonon scattering</w:t>
      </w:r>
    </w:p>
    <w:p>
      <w:r>
        <w:rPr>
          <w:rFonts w:ascii="Times New Roman" w:hAnsi="Times New Roman" w:eastAsia="宋体"/>
          <w:sz w:val="21"/>
        </w:rPr>
        <w:t>作者: Anonymous</w:t>
        <w:br/>
      </w:r>
      <w:r>
        <w:rPr>
          <w:rFonts w:ascii="Times New Roman" w:hAnsi="Times New Roman" w:eastAsia="宋体"/>
          <w:sz w:val="21"/>
        </w:rPr>
        <w:t xml:space="preserve">时间: 2026-02-13 | </w:t>
      </w:r>
      <w:r>
        <w:t xml:space="preserve">链接: </w:t>
      </w:r>
      <w:hyperlink r:id="rId34">
        <w:r>
          <w:rPr>
            <w:rFonts w:ascii="Times New Roman" w:hAnsi="Times New Roman" w:eastAsia="宋体"/>
            <w:color w:val="0000FF"/>
            <w:sz w:val="21"/>
            <w:u w:val="single"/>
          </w:rPr>
          <w:t>https://doi.org/10.1103/qysd-d6rn</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超冷气体中空腔诱导密度波排序的显微镜</w:t>
      </w:r>
    </w:p>
    <w:p>
      <w:r>
        <w:rPr>
          <w:rFonts w:ascii="Times New Roman" w:hAnsi="Times New Roman" w:eastAsia="宋体"/>
          <w:b/>
          <w:color w:val="003264"/>
          <w:sz w:val="24"/>
        </w:rPr>
        <w:t>Microscopy of cavity-induced density-wave ordering in ultracold gases</w:t>
      </w:r>
    </w:p>
    <w:p>
      <w:r>
        <w:rPr>
          <w:rFonts w:ascii="Times New Roman" w:hAnsi="Times New Roman" w:eastAsia="宋体"/>
          <w:sz w:val="21"/>
        </w:rPr>
        <w:t>作者: Anonymous</w:t>
        <w:br/>
      </w:r>
      <w:r>
        <w:rPr>
          <w:rFonts w:ascii="Times New Roman" w:hAnsi="Times New Roman" w:eastAsia="宋体"/>
          <w:sz w:val="21"/>
        </w:rPr>
        <w:t xml:space="preserve">时间: 2026-02-13 | </w:t>
      </w:r>
      <w:r>
        <w:t xml:space="preserve">链接: </w:t>
      </w:r>
      <w:hyperlink r:id="rId87">
        <w:r>
          <w:rPr>
            <w:rFonts w:ascii="Times New Roman" w:hAnsi="Times New Roman" w:eastAsia="宋体"/>
            <w:color w:val="0000FF"/>
            <w:sz w:val="21"/>
            <w:u w:val="single"/>
          </w:rPr>
          <w:t>https://doi.org/10.1103/h3zm-rnnx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00:29 ---</w:t>
      </w:r>
    </w:p>
    <w:p>
      <w:pPr>
        <w:pStyle w:val="Heading2"/>
      </w:pPr>
      <w:r/>
      <w:r>
        <w:rPr>
          <w:rFonts w:ascii="Times New Roman" w:hAnsi="Times New Roman" w:eastAsia="宋体"/>
          <w:b/>
          <w:color w:val="000000"/>
          <w:sz w:val="24"/>
        </w:rPr>
        <w:t>基于双改进萨格纳克光栅干涉仪的宽带快照全偏振成像</w:t>
      </w:r>
    </w:p>
    <w:p>
      <w:r>
        <w:rPr>
          <w:rFonts w:ascii="Times New Roman" w:hAnsi="Times New Roman" w:eastAsia="宋体"/>
          <w:b/>
          <w:color w:val="003264"/>
          <w:sz w:val="24"/>
        </w:rPr>
        <w:t>Broadband snapshot complete polarization imaging based on dual modified Sagnac-grating interferometers</w:t>
      </w:r>
    </w:p>
    <w:p>
      <w:r>
        <w:rPr>
          <w:rFonts w:ascii="Times New Roman" w:hAnsi="Times New Roman" w:eastAsia="宋体"/>
          <w:sz w:val="21"/>
        </w:rPr>
        <w:t>作者: Haitao Wang, Fengqi Guo, Jingping Zhu, Kang Zong, Xiangzhe Zhang, Xizhen Luo, Huilin Jiang</w:t>
        <w:br/>
      </w:r>
      <w:r>
        <w:rPr>
          <w:rFonts w:ascii="Times New Roman" w:hAnsi="Times New Roman" w:eastAsia="宋体"/>
          <w:sz w:val="21"/>
        </w:rPr>
        <w:t xml:space="preserve">时间: 2026-06-01 | </w:t>
      </w:r>
      <w:r>
        <w:t xml:space="preserve">链接: </w:t>
      </w:r>
      <w:hyperlink r:id="rId35">
        <w:r>
          <w:rPr>
            <w:rFonts w:ascii="Times New Roman" w:hAnsi="Times New Roman" w:eastAsia="宋体"/>
            <w:color w:val="0000FF"/>
            <w:sz w:val="21"/>
            <w:u w:val="single"/>
          </w:rPr>
          <w:t>https://doi.org/10.1016/j.optlaseng.2026.109643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集成交叉接收器校准和姿态鲁棒性的可见光定位系统</w:t>
      </w:r>
    </w:p>
    <w:p>
      <w:r>
        <w:rPr>
          <w:rFonts w:ascii="Times New Roman" w:hAnsi="Times New Roman" w:eastAsia="宋体"/>
          <w:b/>
          <w:color w:val="003264"/>
          <w:sz w:val="24"/>
        </w:rPr>
        <w:t>A Visible Light Positioning System Integrating Cross-Receiver Calibration and Attitude Robustness</w:t>
      </w:r>
    </w:p>
    <w:p>
      <w:r>
        <w:rPr>
          <w:rFonts w:ascii="Times New Roman" w:hAnsi="Times New Roman" w:eastAsia="宋体"/>
          <w:sz w:val="21"/>
        </w:rPr>
        <w:t>作者: Li Zhao, Zuzheng Wang, Amna Urooj, Xiangyan Meng, Feng Zhang</w:t>
        <w:br/>
      </w:r>
      <w:r>
        <w:rPr>
          <w:rFonts w:ascii="Times New Roman" w:hAnsi="Times New Roman" w:eastAsia="宋体"/>
          <w:sz w:val="21"/>
        </w:rPr>
        <w:t xml:space="preserve">时间: 2026-02-01 | </w:t>
      </w:r>
      <w:r>
        <w:t xml:space="preserve">链接: </w:t>
      </w:r>
      <w:hyperlink r:id="rId36">
        <w:r>
          <w:rPr>
            <w:rFonts w:ascii="Times New Roman" w:hAnsi="Times New Roman" w:eastAsia="宋体"/>
            <w:color w:val="0000FF"/>
            <w:sz w:val="21"/>
            <w:u w:val="single"/>
          </w:rPr>
          <w:t>https://doi.org/10.1016/j.optcom.2026.133008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表面反射对航空观测天空偏振方向图的影响模型</w:t>
      </w:r>
    </w:p>
    <w:p>
      <w:r>
        <w:rPr>
          <w:rFonts w:ascii="Times New Roman" w:hAnsi="Times New Roman" w:eastAsia="宋体"/>
          <w:b/>
          <w:color w:val="003264"/>
          <w:sz w:val="24"/>
        </w:rPr>
        <w:t>The Influence Model of Surface Reflection on Sky Polarization Pattern for Aerial Observation</w:t>
      </w:r>
    </w:p>
    <w:p>
      <w:r>
        <w:rPr>
          <w:rFonts w:ascii="Times New Roman" w:hAnsi="Times New Roman" w:eastAsia="宋体"/>
          <w:sz w:val="21"/>
        </w:rPr>
        <w:t>作者: Yunzhao Zang, Hongyuan Wang, Zhiqiang Yan, Qianhao Ning, Zhen Liao, Yinxi Lu, Shuai Yao, Tengyu Li, Ziyang Liu</w:t>
        <w:br/>
      </w:r>
      <w:r>
        <w:rPr>
          <w:rFonts w:ascii="Times New Roman" w:hAnsi="Times New Roman" w:eastAsia="宋体"/>
          <w:sz w:val="21"/>
        </w:rPr>
        <w:t xml:space="preserve">时间: 2026-02-01 | </w:t>
      </w:r>
      <w:r>
        <w:t xml:space="preserve">链接: </w:t>
      </w:r>
      <w:hyperlink r:id="rId90">
        <w:r>
          <w:rPr>
            <w:rFonts w:ascii="Times New Roman" w:hAnsi="Times New Roman" w:eastAsia="宋体"/>
            <w:color w:val="0000FF"/>
            <w:sz w:val="21"/>
            <w:u w:val="single"/>
          </w:rPr>
          <w:t>https://doi.org/10.1016/j.optcom.2026.133012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00:29 ---</w:t>
      </w:r>
    </w:p>
    <w:p>
      <w:pPr>
        <w:pStyle w:val="Heading2"/>
      </w:pPr>
      <w:r/>
      <w:r>
        <w:rPr>
          <w:rFonts w:ascii="Times New Roman" w:hAnsi="Times New Roman" w:eastAsia="宋体"/>
          <w:b/>
          <w:color w:val="000000"/>
          <w:sz w:val="24"/>
        </w:rPr>
        <w:t>纤维熔合效应作为传热机制</w:t>
      </w:r>
    </w:p>
    <w:p>
      <w:r>
        <w:rPr>
          <w:rFonts w:ascii="Times New Roman" w:hAnsi="Times New Roman" w:eastAsia="宋体"/>
          <w:b/>
          <w:color w:val="003264"/>
          <w:sz w:val="24"/>
        </w:rPr>
        <w:t>Fiber fuse effect as a mechanism of heat transfer</w:t>
      </w:r>
    </w:p>
    <w:p>
      <w:r>
        <w:rPr>
          <w:rFonts w:ascii="Times New Roman" w:hAnsi="Times New Roman" w:eastAsia="宋体"/>
          <w:sz w:val="21"/>
        </w:rPr>
        <w:t>作者: John Seekins</w:t>
        <w:br/>
      </w:r>
      <w:r>
        <w:rPr>
          <w:rFonts w:ascii="Times New Roman" w:hAnsi="Times New Roman" w:eastAsia="宋体"/>
          <w:sz w:val="21"/>
        </w:rPr>
        <w:t xml:space="preserve">时间: 2026-02-11 | </w:t>
      </w:r>
      <w:r>
        <w:t xml:space="preserve">链接: </w:t>
      </w:r>
      <w:hyperlink r:id="rId37">
        <w:r>
          <w:rPr>
            <w:rFonts w:ascii="Times New Roman" w:hAnsi="Times New Roman" w:eastAsia="宋体"/>
            <w:color w:val="0000FF"/>
            <w:sz w:val="21"/>
            <w:u w:val="single"/>
          </w:rPr>
          <w:t>https://doi.org/10.1364/ao.584819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局部光纤加热引发时，光纤熔断效应在高功率激光辐射下在光纤芯中产生高温等离子体。这种等离子体将入射激光辐射吸收为纤芯中的热量，然后向各个方向传导，包括径向向外。黑体辐射也从高温区域发出，并且在向纤维外层的热传递中占有不可忽略的比例。有意触发的纤维熔丝可以充当向其嵌入的任何材料传递热量的机制。利用轴对称热方程的有限差分离散化对光纤熔丝进行数值模拟，并采用内部再辐射模型来捕捉高温区域黑体发射的影响。研究了光纤包层直径对嵌入材料界面温度的影响。此外，还对激活和未激活辐射模型时生成的结果进行了比较，以证明在模拟光纤熔断效应时捕捉这种物理现象的重要性。</w:t>
      </w:r>
    </w:p>
    <w:p>
      <w:pPr>
        <w:spacing w:before="120"/>
      </w:pPr>
      <w:r>
        <w:rPr>
          <w:rFonts w:ascii="Times New Roman" w:hAnsi="Times New Roman" w:eastAsia="宋体"/>
          <w:b/>
          <w:sz w:val="21"/>
        </w:rPr>
        <w:t>English Abstract:</w:t>
      </w:r>
    </w:p>
    <w:p>
      <w:r>
        <w:rPr>
          <w:rFonts w:ascii="Times New Roman" w:hAnsi="Times New Roman" w:eastAsia="宋体"/>
          <w:sz w:val="21"/>
        </w:rPr>
        <w:t>The fiber fuse effect generates high-temperature plasma in the core of optical fibers under high-power laser radiation when initiated by local fiber heating. This plasma absorbs incident laser radiation as heat in the fiber core, which then conducts in all directions, including radially outward. Blackbody radiation is also emitted from the high-temperature region and accounts for a non-negligible proportion of heat transfer to the outer layers of the fiber. An intentionally triggered fiber fuse can act as a mechanism of heat transfer to any material into which it is embedded. A numerical simulation of the fiber fuse is developed utilizing a finite difference discretization of the axisymmetric heat equation, and an internal reradiation model is implemented to capture the effects of blackbody emission from the high-temperature region. An investigation into the effects of fiber cladding diameter on embedded material interface temperatures is conducted. Additionally, comparisons are made between results generated with and without the radiation model activated to demonstrate the importance of capturing this physics in simulating the fiber fuse effect.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优化光热信号：模式不匹配 Z 扫描中探测器位置和针孔半径的影响</w:t>
      </w:r>
    </w:p>
    <w:p>
      <w:r>
        <w:rPr>
          <w:rFonts w:ascii="Times New Roman" w:hAnsi="Times New Roman" w:eastAsia="宋体"/>
          <w:b/>
          <w:color w:val="003264"/>
          <w:sz w:val="24"/>
        </w:rPr>
        <w:t>Optimizing the photothermal signal: effects of the detector position and pinhole radius in mode-mismatched Z -scan</w:t>
      </w:r>
    </w:p>
    <w:p>
      <w:r>
        <w:rPr>
          <w:rFonts w:ascii="Times New Roman" w:hAnsi="Times New Roman" w:eastAsia="宋体"/>
          <w:sz w:val="21"/>
        </w:rPr>
        <w:t>作者: Komna Fata, Komlan S. Gadedjisso-Tossou, Dam-Bé L. Douti, Basma Khammari, Kosi M. Novidzro, Messanh A. Mohou, Abdul Rahman, Khalid Hassan Ibnaouf, Riadh Hannachi, Humberto Cabrera</w:t>
        <w:br/>
      </w:r>
      <w:r>
        <w:rPr>
          <w:rFonts w:ascii="Times New Roman" w:hAnsi="Times New Roman" w:eastAsia="宋体"/>
          <w:sz w:val="21"/>
        </w:rPr>
        <w:t xml:space="preserve">时间: 2026-02-12 | </w:t>
      </w:r>
      <w:r>
        <w:t xml:space="preserve">链接: </w:t>
      </w:r>
      <w:hyperlink r:id="rId38">
        <w:r>
          <w:rPr>
            <w:rFonts w:ascii="Times New Roman" w:hAnsi="Times New Roman" w:eastAsia="宋体"/>
            <w:color w:val="0000FF"/>
            <w:sz w:val="21"/>
            <w:u w:val="single"/>
          </w:rPr>
          <w:t>https://doi.org/10.1364/ao.583195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泵浦探针模式失配热透镜Z扫描技术用于研究探测器位置(L)和针孔半径(ρ 0 )对热透镜(TL)信号的影响。理论分析表明，TL 信号对这两个参数都很敏感，在探测器距离 ∼20cm 和针孔半径 0.02 cm 时具有最佳性能。随着针孔半径的增加，TLS 峰值会移向更高的 L 值，并且信号幅度会减小。使用乙醇溶液对针孔半径为 0.02、0.05、0.075 和 0.1 cm 进行的实验测量与理论模型吻合良好，验证了其可靠性。实验优化验证了理论模型，揭示了孔径尺寸和探测器位置的显着影响。</w:t>
      </w:r>
    </w:p>
    <w:p>
      <w:pPr>
        <w:spacing w:before="120"/>
      </w:pPr>
      <w:r>
        <w:rPr>
          <w:rFonts w:ascii="Times New Roman" w:hAnsi="Times New Roman" w:eastAsia="宋体"/>
          <w:b/>
          <w:sz w:val="21"/>
        </w:rPr>
        <w:t>English Abstract:</w:t>
      </w:r>
    </w:p>
    <w:p>
      <w:r>
        <w:rPr>
          <w:rFonts w:ascii="Times New Roman" w:hAnsi="Times New Roman" w:eastAsia="宋体"/>
          <w:sz w:val="21"/>
        </w:rPr>
        <w:t>The pump-probe mode-mismatched thermal lens Z -scan technique is used to investigate the effects of detector position (L) and pinhole radius ( ρ 0 ) on the thermal lens (TL) signal. Theoretical analysis shows that the TL signal is sensitive to both parameters, with optimal performance at a detector distance of ∼20cm and a pinhole radius of 0.02 cm. As the pinhole radius increases, the TLS peak shifts to higher L values and the signal amplitude decreases. Experimental measurements with pinhole radii of 0.02, 0.05, 0.075, and 0.1 cm, using an ethanol solution, exhibit good agreement with the theoretical model, validating its reliability. Experimental optimization validated the theoretical model, revealing the significant influence of aperture size and detector position.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结合优化非局部均值滤波和变分图像分解模型的离轴数字全息术中的零阶抑制</w:t>
      </w:r>
    </w:p>
    <w:p>
      <w:r>
        <w:rPr>
          <w:rFonts w:ascii="Times New Roman" w:hAnsi="Times New Roman" w:eastAsia="宋体"/>
          <w:b/>
          <w:color w:val="003264"/>
          <w:sz w:val="24"/>
        </w:rPr>
        <w:t>Zero-order suppression in off-axis digital holography combining optimized non-local means filtering and a variational image decomposition model</w:t>
      </w:r>
    </w:p>
    <w:p>
      <w:r>
        <w:rPr>
          <w:rFonts w:ascii="Times New Roman" w:hAnsi="Times New Roman" w:eastAsia="宋体"/>
          <w:sz w:val="21"/>
        </w:rPr>
        <w:t>作者: Aoqun Liu, Hongyi Bai, Laijun Sun, Jia Chen, Suyi Men, Zhe Li</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https://doi.org/10.1364/ao.583692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离轴数字全息术中，相位重建通常涉及提取+1阶项频谱，其携带样本的相位信息。然而，零阶项引起的干扰会降低提取的准确性。据我们所知，本研究提出了一种新颖的变分图像分解模型，可以有效抑制零阶项。首先构造积分图像来存储像素差平方累积和，以提高非局部均值（NLM）滤波器去除随机噪声的计算效率。存储的值用于快速计算相邻窗口的相似度，避免重复求和操作，从而减少 NLM 滤波的计算时间。随后，采用优化的 NLM 滤波器去除全息图中的随机噪声。使用 TV-G 算法将去噪全息图分解为结构和纹理分量。结构分量对应于零阶项，而纹理分量保留干涉条纹。根据分解结果，有效抑制零阶项，并利用纹理分量进行相位重建。此外，还检索了水滴蒸发的动态波动相图，以证明该方法的实时能力。</w:t>
      </w:r>
    </w:p>
    <w:p>
      <w:pPr>
        <w:spacing w:before="120"/>
      </w:pPr>
      <w:r>
        <w:rPr>
          <w:rFonts w:ascii="Times New Roman" w:hAnsi="Times New Roman" w:eastAsia="宋体"/>
          <w:b/>
          <w:sz w:val="21"/>
        </w:rPr>
        <w:t>English Abstract:</w:t>
      </w:r>
    </w:p>
    <w:p>
      <w:r>
        <w:rPr>
          <w:rFonts w:ascii="Times New Roman" w:hAnsi="Times New Roman" w:eastAsia="宋体"/>
          <w:sz w:val="21"/>
        </w:rPr>
        <w:t>In off-axis digital holography, phase reconstruction typically involves extracting the +1-order term spectrum, which carries the phase information of the sample. However, interference caused by the zero-order term can reduce the accuracy of this extraction. This study proposes a novel variational image decomposition model, to our knowledge, that effectively suppresses the zero-order term. An integral image is first constructed to store the cumulative sum of squared pixel differences to improve the computational efficiency of the non-local means (NLM) filter in removing random noise. The stored values are used to rapidly compute the similarity of neighboring windows by avoiding repeated summation operations, which reduces the computation time of NLM filtering. Subsequently, the optimized NLM filter is employed to remove random noise from the hologram. The denoised hologram is decomposed into structural and textural components using the TV-G algorithm. The structural component corresponds to the zero-order term while the textural component retains the interference fringes. Based on the decomposition results, the zero-order term is effectively suppressed, and the textural component is used for phase reconstruction. Additionally, the dynamic fluctuation phase maps of water droplet evaporation were retrieved to demonstrate the real-time capability of the method.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00:30 ---</w:t>
      </w:r>
    </w:p>
    <w:p>
      <w:pPr>
        <w:pStyle w:val="Heading2"/>
      </w:pPr>
      <w:r/>
      <w:r>
        <w:rPr>
          <w:rFonts w:ascii="Times New Roman" w:hAnsi="Times New Roman" w:eastAsia="宋体"/>
          <w:b/>
          <w:color w:val="000000"/>
          <w:sz w:val="24"/>
        </w:rPr>
        <w:t>五能级原子系统中通过涡旋光束自发产生结构光</w:t>
      </w:r>
    </w:p>
    <w:p>
      <w:r>
        <w:rPr>
          <w:rFonts w:ascii="Times New Roman" w:hAnsi="Times New Roman" w:eastAsia="宋体"/>
          <w:b/>
          <w:color w:val="003264"/>
          <w:sz w:val="24"/>
        </w:rPr>
        <w:t>Spontaneously generated structured light via vortex beams in a five-level atomic system</w:t>
      </w:r>
    </w:p>
    <w:p>
      <w:r>
        <w:rPr>
          <w:rFonts w:ascii="Times New Roman" w:hAnsi="Times New Roman" w:eastAsia="宋体"/>
          <w:sz w:val="21"/>
        </w:rPr>
        <w:t>作者: Tong Zhang, Xu Deng, Kai-Kai Zhang, Tao Shui, Wen-Xing Yang</w:t>
        <w:br/>
      </w:r>
      <w:r>
        <w:rPr>
          <w:rFonts w:ascii="Times New Roman" w:hAnsi="Times New Roman" w:eastAsia="宋体"/>
          <w:sz w:val="21"/>
        </w:rPr>
        <w:t xml:space="preserve">时间: 2026-01-28 | </w:t>
      </w:r>
      <w:r>
        <w:t xml:space="preserve">链接: </w:t>
      </w:r>
      <w:hyperlink r:id="rId40">
        <w:r>
          <w:rPr>
            <w:rFonts w:ascii="Times New Roman" w:hAnsi="Times New Roman" w:eastAsia="宋体"/>
            <w:color w:val="0000FF"/>
            <w:sz w:val="21"/>
            <w:u w:val="single"/>
          </w:rPr>
          <w:t>https://doi.org/10.1364/oe.583721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有效的方案，在射频（RF）或微波场的辅助下，在相干驱动的冷五能级原子系统中使用携带轨道角动量（OAM）的光学涡旋来操纵自发发射光谱。使用实验可实现的参数，我们发现自发发射受到量子相消干涉的强烈影响。我们表明，探测场的结构光轮廓可以通过自发相干（SGC）转移到自发发射光谱。在 SGC 的帮助下，控制场和射频场的强度和失谐可用于定制涡流诱导自发发射光谱。当控制场和射频场配置为涡旋光束时，证明可以通过调整其拓扑电荷（TC）通过量子干涉来相干控制自发发射。此外，我们通过改变探针和控制场的 TC 来探索涡流诱导自发发射的有趣光学特性。这种连贯驱动的原子系统具有三个紧密间隔的水平，产生多个涡旋诱导的 SGC 路径。我们的方案为从光存储到光通信的结构光应用开辟了途径。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We propose an efficient scheme to manipulate spontaneous emission spectra using optical vortices carrying orbital angular momentum (OAM) in a coherently driven cold five-level atomic system assisted by a radio frequency (RF) or microwave field. Using experimentally achievable parameters, we find that the spontaneous emission is strongly influenced by quantum destructive interference. And we show that the structured light profile of the probe field can be transferred to the spontaneous emission spectrum via spontaneously generated coherence (SGC). With the aid of SGC, the intensities and detunings of the control and RF fields can be used to tailor the vortex-induced spontaneous emission spectra. When the control and RF fields are configured as vortex beams, it is demonstrated that the spontaneous emission can be coherently controlled through quantum interference by adjusting their topological charges (TCs). Furthermore, we explore intriguing optical properties of the vortex-induced spontaneous emission by varying the TCs of the probe and control fields. This coherently driven atomic system features three closely spaced levels, giving rise to multiple vortex-induced SGC pathways. Our scheme opens avenues for applications in structured light, ranging from optical storage to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从热光和偏振散斑的偏振矩阵构建斯托克斯概率云</w:t>
      </w:r>
    </w:p>
    <w:p>
      <w:r>
        <w:rPr>
          <w:rFonts w:ascii="Times New Roman" w:hAnsi="Times New Roman" w:eastAsia="宋体"/>
          <w:b/>
          <w:color w:val="003264"/>
          <w:sz w:val="24"/>
        </w:rPr>
        <w:t>Construction of Stokes probability clouds from the polarization matrices for thermal light and polarization speckle</w:t>
      </w:r>
    </w:p>
    <w:p>
      <w:r>
        <w:rPr>
          <w:rFonts w:ascii="Times New Roman" w:hAnsi="Times New Roman" w:eastAsia="宋体"/>
          <w:sz w:val="21"/>
        </w:rPr>
        <w:t>作者: Wei Wang, Mitsuo Takeda</w:t>
        <w:br/>
      </w:r>
      <w:r>
        <w:rPr>
          <w:rFonts w:ascii="Times New Roman" w:hAnsi="Times New Roman" w:eastAsia="宋体"/>
          <w:sz w:val="21"/>
        </w:rPr>
        <w:t xml:space="preserve">时间: 2026-02-11 | </w:t>
      </w:r>
      <w:r>
        <w:t xml:space="preserve">链接: </w:t>
      </w:r>
      <w:hyperlink r:id="rId41">
        <w:r>
          <w:rPr>
            <w:rFonts w:ascii="Times New Roman" w:hAnsi="Times New Roman" w:eastAsia="宋体"/>
            <w:color w:val="0000FF"/>
            <w:sz w:val="21"/>
            <w:u w:val="single"/>
          </w:rPr>
          <w:t>https://doi.org/10.1364/oe.587562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埃尔米特偏振矩阵的特征分解，我们提出了用于研究偏振散斑和部分偏振热光的几何框架。所提出的方法基于斯托克斯概率云的概念，它提供了瞬时（或空间局部）随机斯托克斯向量的联合概率分布的几何表示。除了指定斯托克斯概率云的形状和大小的特征值之外，我们还将找到定义斯托克斯概率云方向的相关特征向量。通过将斯托克斯概率云投影到三维希尔伯特空间的轴上来说明斯托克斯参数的联合概率密度和边际概率密度之间的关系。这种几何方法为光学中随机偏振现象所涉及的数学关系提供了直观的见解。</w:t>
      </w:r>
    </w:p>
    <w:p>
      <w:pPr>
        <w:spacing w:before="120"/>
      </w:pPr>
      <w:r>
        <w:rPr>
          <w:rFonts w:ascii="Times New Roman" w:hAnsi="Times New Roman" w:eastAsia="宋体"/>
          <w:b/>
          <w:sz w:val="21"/>
        </w:rPr>
        <w:t>English Abstract:</w:t>
      </w:r>
    </w:p>
    <w:p>
      <w:r>
        <w:rPr>
          <w:rFonts w:ascii="Times New Roman" w:hAnsi="Times New Roman" w:eastAsia="宋体"/>
          <w:sz w:val="21"/>
        </w:rPr>
        <w:t>Utilizing the eigendecomposition of the Hermitian polarization matrix, we present a geometric framework for the study of polarization speckles and partially polarized thermal light. The proposed methodology is founded on the concept of the Stokes probability cloud that provides a geometric representation of the joint probability distribution of instantaneous (or spatially localized) random Stokes vectors. In addition to the eigenvalues that specify the shape and size of the Stokes probability cloud, we will find the associated eigenvectors that define the orientation of the Stokes probability cloud. The relationship between the joint probability density and the marginal probability densities of the Stokes parameters is illustrated by projecting the Stokes probability cloud onto the axes in the three-dimensional Hilbert space. This geometrical approach provides intuitive insights into the involved mathematical relations of stochastic polarization phenomena in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事件遇上相移数字全息术：实际采集、理论和算法</w:t>
      </w:r>
    </w:p>
    <w:p>
      <w:r>
        <w:rPr>
          <w:rFonts w:ascii="Times New Roman" w:hAnsi="Times New Roman" w:eastAsia="宋体"/>
          <w:b/>
          <w:color w:val="003264"/>
          <w:sz w:val="24"/>
        </w:rPr>
        <w:t>Events meet phase-shifting digital holography: practical acquisition, theory, and algorithms</w:t>
      </w:r>
    </w:p>
    <w:p>
      <w:r>
        <w:rPr>
          <w:rFonts w:ascii="Times New Roman" w:hAnsi="Times New Roman" w:eastAsia="宋体"/>
          <w:sz w:val="21"/>
        </w:rPr>
        <w:t>作者: Ittetsu Uchiyama, Chihiro Tsutake, Keita Takahashi, Toshiaki Fujii</w:t>
        <w:br/>
      </w:r>
      <w:r>
        <w:rPr>
          <w:rFonts w:ascii="Times New Roman" w:hAnsi="Times New Roman" w:eastAsia="宋体"/>
          <w:sz w:val="21"/>
        </w:rPr>
        <w:t xml:space="preserve">时间: 2026-01-29 | </w:t>
      </w:r>
      <w:r>
        <w:t xml:space="preserve">链接: </w:t>
      </w:r>
      <w:hyperlink r:id="rId42">
        <w:r>
          <w:rPr>
            <w:rFonts w:ascii="Times New Roman" w:hAnsi="Times New Roman" w:eastAsia="宋体"/>
            <w:color w:val="0000FF"/>
            <w:sz w:val="21"/>
            <w:u w:val="single"/>
          </w:rPr>
          <w:t>https://doi.org/10.1364/oe.584341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我们介绍了一种我们认为是利用混合基于事件的视觉传感器 (EVS) 的新型相移数字全息 (PSDH) 方法。我们方法的关键思想是单次曝光期间的相移。混合 EVS 记录因相移而模糊的全息图，以及与模糊变化相对应的事件。我们提出了基于分析和优化的方法，理论上支持从模糊全息图和事件重建全复杂波前。实验结果表明，我们的方法实现了与传统 PSDH 方法相当的重建质量，同时提高了采集效率。</w:t>
      </w:r>
    </w:p>
    <w:p>
      <w:pPr>
        <w:spacing w:before="120"/>
      </w:pPr>
      <w:r>
        <w:rPr>
          <w:rFonts w:ascii="Times New Roman" w:hAnsi="Times New Roman" w:eastAsia="宋体"/>
          <w:b/>
          <w:sz w:val="21"/>
        </w:rPr>
        <w:t>English Abstract:</w:t>
      </w:r>
    </w:p>
    <w:p>
      <w:r>
        <w:rPr>
          <w:rFonts w:ascii="Times New Roman" w:hAnsi="Times New Roman" w:eastAsia="宋体"/>
          <w:sz w:val="21"/>
        </w:rPr>
        <w:t>We introduce what we believe to be a novel phase-shifting digital holography (PSDH) method leveraging a hybrid event-based vision sensor (EVS). The key idea of our method is the phase shift during a single exposure. The hybrid EVS records a hologram blurred by the phase shift, together with the events corresponding to blur variations. We present analytical and optimization-based methods that theoretically support the reconstruction of full-complex wavefronts from the blurred hologram and events. The experimental results demonstrate that our method achieves a reconstruction quality comparable to that of a conventional PSDH method while enhancing the acquisition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采用通用正交循环变换预编码的有效性能增强型 CS-NFDM 系统</w:t>
      </w:r>
    </w:p>
    <w:p>
      <w:r>
        <w:rPr>
          <w:rFonts w:ascii="Times New Roman" w:hAnsi="Times New Roman" w:eastAsia="宋体"/>
          <w:b/>
          <w:color w:val="003264"/>
          <w:sz w:val="24"/>
        </w:rPr>
        <w:t>Effective performance-enhanced CS-NFDM system employing general orthogonal circulant transform precoding</w:t>
      </w:r>
    </w:p>
    <w:p>
      <w:r>
        <w:rPr>
          <w:rFonts w:ascii="Times New Roman" w:hAnsi="Times New Roman" w:eastAsia="宋体"/>
          <w:sz w:val="21"/>
        </w:rPr>
        <w:t>作者: Zhihang Sun, Chenglin Bai, Yaozheng Yue, Shijie Hou, Shuzhan Liu, Xinkuo Yu, Tianchi Chen, Yuting Wu, Hengying Xu, Yining Zhang, Na Wu</w:t>
        <w:br/>
      </w:r>
      <w:r>
        <w:rPr>
          <w:rFonts w:ascii="Times New Roman" w:hAnsi="Times New Roman" w:eastAsia="宋体"/>
          <w:sz w:val="21"/>
        </w:rPr>
        <w:t xml:space="preserve">时间: 2026-01-30 | </w:t>
      </w:r>
      <w:r>
        <w:t xml:space="preserve">链接: </w:t>
      </w:r>
      <w:hyperlink r:id="rId43">
        <w:r>
          <w:rPr>
            <w:rFonts w:ascii="Times New Roman" w:hAnsi="Times New Roman" w:eastAsia="宋体"/>
            <w:color w:val="0000FF"/>
            <w:sz w:val="21"/>
            <w:u w:val="single"/>
          </w:rPr>
          <w:t>https://doi.org/10.1364/oe.583193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连续频谱非线性频分复用（CS-NFDM）系统中，码间干扰（ISI）和系统噪声在非线性频谱（NS）上表现出非均匀分布特征，导致位于频谱边缘的子载波的信号干扰噪声比（SINR）显着下降，严重影响系统的整体传输性能。本文改进了通用正交循环变换（GOCT）预编码技术，并将其首次应用于CS-NFDM系统，有效解决了上述问题，我们将这种新系统称为GOCT-NFDM系统。该系统采用GOCT矩阵对每个子载波进行线性预编码，将每个子载波上的信息传播到所有子载波上，从而实现不同NS分量上均匀的SINR分布，有效提高系统性能。通过搭建800 km传输的GOCT-NFDM仿真系统验证了该方案的有效性。与传统CS-NFDM系统相比，GOCT-NFDM系统在128个子载波、52GHz信号带宽的传输场景下，在最佳发射功率下实现了1.67dB的Q值增益，在256个子载波、72GHz信号带宽的传输场景下，最大Q值增益为2.05dB。为了进一步验证该方案在实际场景中的可行性，建立了806 km传输的GOCT-NFDM实验系统。与传统CS-NFDM系统相比，GOCT-NFDM系统在128个子载波、信号带宽40 GHz和48 GHz的最佳发射功率下分别实现了0.56 dB和0.74 dB的Q因子增益。就实现复杂度而言，所提出的方案引入的额外复杂度为 O ( N c log ⁡ N c )。考虑到它给 CS-NFDM 系统带来的显着性能改进，这种复杂性的轻微增加是可以接受的。</w:t>
      </w:r>
    </w:p>
    <w:p>
      <w:pPr>
        <w:spacing w:before="120"/>
      </w:pPr>
      <w:r>
        <w:rPr>
          <w:rFonts w:ascii="Times New Roman" w:hAnsi="Times New Roman" w:eastAsia="宋体"/>
          <w:b/>
          <w:sz w:val="21"/>
        </w:rPr>
        <w:t>English Abstract:</w:t>
      </w:r>
    </w:p>
    <w:p>
      <w:r>
        <w:rPr>
          <w:rFonts w:ascii="Times New Roman" w:hAnsi="Times New Roman" w:eastAsia="宋体"/>
          <w:sz w:val="21"/>
        </w:rPr>
        <w:t>In the continuous spectrum nonlinear frequency division multiplexing (CS-NFDM) system, inter-symbol interference (ISI) and system noise exhibit non-uniform distribution characteristics on the nonlinear spectrum (NS), resulting in a significant reduction in the signal-to-interference-and-noise ratio (SINR) of subcarriers located at the edge of the spectrum, which seriously impairs the overall transmission performance of the system. This paper improves the general orthogonal circulant transform (GOCT) precoding technology and applies it to the CS-NFDM system for what we believe to be the first time, which effectively addresses the above issues, and we refer to this new system as the GOCT-NFDM system. This system employs the GOCT matrix to perform linear precoding on each subcarrier, which spreads the information on each subcarrier to all subcarriers, thereby achieving uniform SINR distribution across different NS components and effectively improving the system performance. The effectiveness of the proposed scheme is validated by building a GOCT-NFDM simulation system for 800 km transmission. Compared with the traditional CS-NFDM system, the GOCT-NFDM system achieves a 1.67 dB Q-factor gain at the optimal launch power under the transmission scenario with 128 subcarriers and a signal bandwidth of 52 GHz, and delivers a maximum Q-factor gain of 2.05 dB with 256 subcarriers and a signal bandwidth of 72 GHz. To further validate the feasibility of the proposed scheme in practical scenarios, a GOCT-NFDM experimental system for 806 km transmission is established. Compared with the traditional CS-NFDM system, the GOCT-NFDM system achieves Q-factor gains of 0.56 dB and 0.74 dB at the optimal launch power with 128 subcarriers and signal bandwidths of 40 GHz and 48 GHz, respectively. In terms of implementation complexity, the additional complexity introduced by the proposed scheme is O ( N c log ⁡ N c ). Given the significant performance improvement it brings to the CS-NFDM system, this slight increase in complexity is acceptable.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激光加工的千瓦级包层光剥离器，剥离效率 &gt; 37 dB</w:t>
      </w:r>
    </w:p>
    <w:p>
      <w:r>
        <w:rPr>
          <w:rFonts w:ascii="Times New Roman" w:hAnsi="Times New Roman" w:eastAsia="宋体"/>
          <w:b/>
          <w:color w:val="003264"/>
          <w:sz w:val="24"/>
        </w:rPr>
        <w:t>Laser-machined, kilowatt-class cladding light strippers with stripping efficiencies &gt; 37 dB</w:t>
      </w:r>
    </w:p>
    <w:p>
      <w:r>
        <w:rPr>
          <w:rFonts w:ascii="Times New Roman" w:hAnsi="Times New Roman" w:eastAsia="宋体"/>
          <w:sz w:val="21"/>
        </w:rPr>
        <w:t>作者: Nils Haverland, Finn Salhoff, Fabian Kranert, Jörg Neumann, Dietmar Kracht</w:t>
        <w:br/>
      </w:r>
      <w:r>
        <w:rPr>
          <w:rFonts w:ascii="Times New Roman" w:hAnsi="Times New Roman" w:eastAsia="宋体"/>
          <w:sz w:val="21"/>
        </w:rPr>
        <w:t xml:space="preserve">时间: 2026-02-10 | </w:t>
      </w:r>
      <w:r>
        <w:t xml:space="preserve">链接: </w:t>
      </w:r>
      <w:hyperlink r:id="rId44">
        <w:r>
          <w:rPr>
            <w:rFonts w:ascii="Times New Roman" w:hAnsi="Times New Roman" w:eastAsia="宋体"/>
            <w:color w:val="0000FF"/>
            <w:sz w:val="21"/>
            <w:u w:val="single"/>
          </w:rPr>
          <w:t>https://doi.org/10.1364/oe.584671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包层光剥离器是基于光纤的激光和放大器系统的关键组件，可剥离有源光纤后面未吸收的泵浦光。在高功率包层光剥离器的生产中，激光加工是化学蚀刻的有效替代方案。在这里，我们展示了对激光加工的微结构熔覆光剥离器的改进，它在仅 60 毫米的长度上实现了高达 37.3 dB 的熔覆光衰减。我们测试了包层光剥离器的高功率剥离能力，实现了1.2kW的剥离包层光功率。结果受到可用功率的限制。包层光剥离器的设计利用光线追踪模拟来优化光纤的微观结构，以实现均匀剥离和增加包层光衰减。随后，最有希望的结果被转移到制造中并进行表征。高功率、高衰减微结构熔覆光剥离器的出现有助于改进未来的激光系统，甚至可能不需要化学蚀刻。</w:t>
      </w:r>
    </w:p>
    <w:p>
      <w:pPr>
        <w:spacing w:before="120"/>
      </w:pPr>
      <w:r>
        <w:rPr>
          <w:rFonts w:ascii="Times New Roman" w:hAnsi="Times New Roman" w:eastAsia="宋体"/>
          <w:b/>
          <w:sz w:val="21"/>
        </w:rPr>
        <w:t>English Abstract:</w:t>
      </w:r>
    </w:p>
    <w:p>
      <w:r>
        <w:rPr>
          <w:rFonts w:ascii="Times New Roman" w:hAnsi="Times New Roman" w:eastAsia="宋体"/>
          <w:sz w:val="21"/>
        </w:rPr>
        <w:t>Cladding light strippers are a crucial component for fiber-based laser and amplifier systems, stripping unabsorbed pump light behind the active fiber. Laser-machining presents an effective alternative to chemical etching in the production of high-power cladding light strippers. Here, we present improvements to laser-machined, microstructured cladding light strippers, which achieve cladding light attenuation up to 37.3 dB on a length of just 60 mm. We tested the high-power stripping capability of a cladding light stripper, achieving a stripped cladding light power of 1.2 kW. The result was limited by the available power. The cladding light strippers were designed by utilizing raytracing simulations to optimize the microstructure on the fiber towards homogenized stripping and increased cladding light attenuation. Afterwards, the most promising results were transferred to manufacturing and characterized. The availability of high-power, high attenuation microstructured cladding light strippers can help to improve future laser systems, possibly foregoing the need for chemical etching.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测量多模空心光纤引导的模式数量</w:t>
      </w:r>
    </w:p>
    <w:p>
      <w:r>
        <w:rPr>
          <w:rFonts w:ascii="Times New Roman" w:hAnsi="Times New Roman" w:eastAsia="宋体"/>
          <w:b/>
          <w:color w:val="003264"/>
          <w:sz w:val="24"/>
        </w:rPr>
        <w:t>Measuring the number of modes guided by multi-mode hollow core fibres</w:t>
      </w:r>
    </w:p>
    <w:p>
      <w:r>
        <w:rPr>
          <w:rFonts w:ascii="Times New Roman" w:hAnsi="Times New Roman" w:eastAsia="宋体"/>
          <w:sz w:val="21"/>
        </w:rPr>
        <w:t>作者: Robbie Mears, Kerrianne Harrington, William J. Wadsworth, David M. Bird, James M. Stone, Tim A. Birks</w:t>
        <w:br/>
      </w:r>
      <w:r>
        <w:rPr>
          <w:rFonts w:ascii="Times New Roman" w:hAnsi="Times New Roman" w:eastAsia="宋体"/>
          <w:sz w:val="21"/>
        </w:rPr>
        <w:t xml:space="preserve">时间: 2026-02-11 | </w:t>
      </w:r>
      <w:r>
        <w:t xml:space="preserve">链接: </w:t>
      </w:r>
      <w:hyperlink r:id="rId45">
        <w:r>
          <w:rPr>
            <w:rFonts w:ascii="Times New Roman" w:hAnsi="Times New Roman" w:eastAsia="宋体"/>
            <w:color w:val="0000FF"/>
            <w:sz w:val="21"/>
            <w:u w:val="single"/>
          </w:rPr>
          <w:t>https://doi.org/10.1364/oe.582711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我们报告了一种利用远场强度分布实验估计多模反谐振空心光纤引导的有效模式数量的方法。通过简单的实验装置和不相干照明，可以快速准确地测量任意数量的模式。</w:t>
      </w:r>
    </w:p>
    <w:p>
      <w:pPr>
        <w:spacing w:before="120"/>
      </w:pPr>
      <w:r>
        <w:rPr>
          <w:rFonts w:ascii="Times New Roman" w:hAnsi="Times New Roman" w:eastAsia="宋体"/>
          <w:b/>
          <w:sz w:val="21"/>
        </w:rPr>
        <w:t>English Abstract:</w:t>
      </w:r>
    </w:p>
    <w:p>
      <w:r>
        <w:rPr>
          <w:rFonts w:ascii="Times New Roman" w:hAnsi="Times New Roman" w:eastAsia="宋体"/>
          <w:sz w:val="21"/>
        </w:rPr>
        <w:t>We report a method to experimentally estimate the effective number of modes guided by multi-mode anti-resonant hollow core optical fibres using their far field intensity distributions. With a simple experimental setup and incoherent illumination, an arbitrary number of modes can be measured quickly and accurately.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ADEV结合EMD-WT的变频系统噪声分析方法</w:t>
      </w:r>
    </w:p>
    <w:p>
      <w:r>
        <w:rPr>
          <w:rFonts w:ascii="Times New Roman" w:hAnsi="Times New Roman" w:eastAsia="宋体"/>
          <w:b/>
          <w:color w:val="003264"/>
          <w:sz w:val="24"/>
        </w:rPr>
        <w:t>Noise analysis method for frequency transfer systems by using ADEV combined with EMD-WT</w:t>
      </w:r>
    </w:p>
    <w:p>
      <w:r>
        <w:rPr>
          <w:rFonts w:ascii="Times New Roman" w:hAnsi="Times New Roman" w:eastAsia="宋体"/>
          <w:sz w:val="21"/>
        </w:rPr>
        <w:t>作者: Xuan Yang, Junhui Li, Bin Luo, Ziyang Chen, Hong Guo</w:t>
        <w:br/>
      </w:r>
      <w:r>
        <w:rPr>
          <w:rFonts w:ascii="Times New Roman" w:hAnsi="Times New Roman" w:eastAsia="宋体"/>
          <w:sz w:val="21"/>
        </w:rPr>
        <w:t xml:space="preserve">时间: 2026-01-26 | </w:t>
      </w:r>
      <w:r>
        <w:t xml:space="preserve">链接: </w:t>
      </w:r>
      <w:hyperlink r:id="rId46">
        <w:r>
          <w:rPr>
            <w:rFonts w:ascii="Times New Roman" w:hAnsi="Times New Roman" w:eastAsia="宋体"/>
            <w:color w:val="0000FF"/>
            <w:sz w:val="21"/>
            <w:u w:val="single"/>
          </w:rPr>
          <w:t>https://doi.org/10.1364/oe.588469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精密频率传输系统中，对传输信号的相位稳定性提出了严格的要求。在整个传输过程中，长距离信号传播的固有挑战不可避免地引入多种噪声成分，包括但不限于热噪声、相位波动和环境干扰。系统倾向于使用常规的评价指标——阿伦偏差（ADEV）来反映系统的稳定性，以评价噪声水平。而ADEV只能提供数值表达，缺乏时频细节，因此系统需要一个完整的评估体系。在本文中，我们提出了 ADEV 和小波变换经验模态分解 (EMD-WT) 的突破性集成，建立了一种新颖的分析框架，可以同时表征噪声类型和时频域属性。这种协同方法在频率传输系统中的噪声辨别方面实现了前所未有的双域分辨率。</w:t>
      </w:r>
    </w:p>
    <w:p>
      <w:pPr>
        <w:spacing w:before="120"/>
      </w:pPr>
      <w:r>
        <w:rPr>
          <w:rFonts w:ascii="Times New Roman" w:hAnsi="Times New Roman" w:eastAsia="宋体"/>
          <w:b/>
          <w:sz w:val="21"/>
        </w:rPr>
        <w:t>English Abstract:</w:t>
      </w:r>
    </w:p>
    <w:p>
      <w:r>
        <w:rPr>
          <w:rFonts w:ascii="Times New Roman" w:hAnsi="Times New Roman" w:eastAsia="宋体"/>
          <w:sz w:val="21"/>
        </w:rPr>
        <w:t>In precision frequency transfer systems, stringent requirements are imposed on the phase stability of transmitted signals. Throughout the transmission process, the inherent challenges of long-haul signal propagation inevitably introduce multiple noise components, including, but not limited to, thermal noise, phase fluctuations, and environmental interference. The system is inclined to use the conventional evaluation index – Allan deviation (ADEV) to reflect the system stability in order to evaluate the noise level. Whereas, ADEV can only provide numerical expression and lacks the time-frequency details, a complete evaluation system is therefore required by the system. In this paper, we present a groundbreaking integration of ADEV and wavelet-transformed empirical mode decomposition (EMD-WT), establishing a novel analytical framework that enables simultaneous characterization of noise types and time-frequency domain properties. This synergistic approach achieves unprecedented dual-domain resolution in noise discrimination in frequency transfer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00:30 ---</w:t>
      </w:r>
    </w:p>
    <w:p>
      <w:pPr>
        <w:pStyle w:val="Heading2"/>
      </w:pPr>
      <w:r/>
      <w:r>
        <w:rPr>
          <w:rFonts w:ascii="Times New Roman" w:hAnsi="Times New Roman" w:eastAsia="宋体"/>
          <w:b/>
          <w:color w:val="000000"/>
          <w:sz w:val="24"/>
        </w:rPr>
        <w:t>角度相位匹配非线性晶体中下转换光子的高光谱成像</w:t>
      </w:r>
    </w:p>
    <w:p>
      <w:r>
        <w:rPr>
          <w:rFonts w:ascii="Times New Roman" w:hAnsi="Times New Roman" w:eastAsia="宋体"/>
          <w:b/>
          <w:color w:val="003264"/>
          <w:sz w:val="24"/>
        </w:rPr>
        <w:t>Hyperspectral imaging of downconverted photons in angle phase-matched nonlinear crystals</w:t>
      </w:r>
    </w:p>
    <w:p>
      <w:r>
        <w:rPr>
          <w:rFonts w:ascii="Times New Roman" w:hAnsi="Times New Roman" w:eastAsia="宋体"/>
          <w:sz w:val="21"/>
        </w:rPr>
        <w:t>作者: Evan J. Kumar, Lorenzo Uboldi, Cristian Manzoni, Giulio Cerullo, Ajay Ram Srimath Kandada</w:t>
        <w:br/>
      </w:r>
      <w:r>
        <w:rPr>
          <w:rFonts w:ascii="Times New Roman" w:hAnsi="Times New Roman" w:eastAsia="宋体"/>
          <w:sz w:val="21"/>
        </w:rPr>
        <w:t xml:space="preserve">时间: 2026-02-03 | </w:t>
      </w:r>
      <w:r>
        <w:t xml:space="preserve">链接: </w:t>
      </w:r>
      <w:hyperlink r:id="rId47">
        <w:r>
          <w:rPr>
            <w:rFonts w:ascii="Times New Roman" w:hAnsi="Times New Roman" w:eastAsia="宋体"/>
            <w:color w:val="0000FF"/>
            <w:sz w:val="21"/>
            <w:u w:val="single"/>
          </w:rPr>
          <w:t>https://doi.org/10.1364/ol.587889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自发参量下转换 (SPDC) 是生成用于量子光谱的宽带光谱纠缠光子的关键。在这里，我们使用共光路双折射干涉仪，通过高光谱 k 空间成像实验绘制 I 型和 II 型 β-硼酸钡晶体中 SPDC 的空间光谱分布。在宽带脉冲泵浦下，我们观察到光谱中强烈的空间变化，每种相位匹配类型具有独特的特征。基于双光子振幅和相位匹配条件的模拟与我们的结果定性匹配。这种空间光谱映射可以控制双光子纠缠熵，为优化材料光谱的量子光源铺平道路。</w:t>
      </w:r>
    </w:p>
    <w:p>
      <w:pPr>
        <w:spacing w:before="120"/>
      </w:pPr>
      <w:r>
        <w:rPr>
          <w:rFonts w:ascii="Times New Roman" w:hAnsi="Times New Roman" w:eastAsia="宋体"/>
          <w:b/>
          <w:sz w:val="21"/>
        </w:rPr>
        <w:t>English Abstract:</w:t>
      </w:r>
    </w:p>
    <w:p>
      <w:r>
        <w:rPr>
          <w:rFonts w:ascii="Times New Roman" w:hAnsi="Times New Roman" w:eastAsia="宋体"/>
          <w:sz w:val="21"/>
        </w:rPr>
        <w:t>Spontaneous Parametric Downconversion (SPDC) is key to generating broadband spectrally entangled photons for quantum optical spectroscopy. Here, we use a common-path birefringent interferometer to experimentally map the spatial-spectral distribution of SPDC in Type I and II β -barium borate crystals using hyperspectral k-space imaging. Under broadband pulsed pumping, we observe strong spatial variations in the spectra, with distinct features for each phase-matching type. Simulations based on biphoton amplitudes and phase-matching conditions qualitatively match our results. This spatial-spectral mapping enables control over biphoton entanglement entropy, paving the way for optimized quantum-light sources for material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用于高性能热光开关的人工规范场工程波导超晶格</w:t>
      </w:r>
    </w:p>
    <w:p>
      <w:r>
        <w:rPr>
          <w:rFonts w:ascii="Times New Roman" w:hAnsi="Times New Roman" w:eastAsia="宋体"/>
          <w:b/>
          <w:color w:val="003264"/>
          <w:sz w:val="24"/>
        </w:rPr>
        <w:t>Artificial gauge field engineered waveguide superlattices for high-performance thermo-optic switches</w:t>
      </w:r>
    </w:p>
    <w:p>
      <w:r>
        <w:rPr>
          <w:rFonts w:ascii="Times New Roman" w:hAnsi="Times New Roman" w:eastAsia="宋体"/>
          <w:sz w:val="21"/>
        </w:rPr>
        <w:t>作者: Xuelin Zhang, Jiangbing Du, Ke Xu, Zuyuan He</w:t>
        <w:br/>
      </w:r>
      <w:r>
        <w:rPr>
          <w:rFonts w:ascii="Times New Roman" w:hAnsi="Times New Roman" w:eastAsia="宋体"/>
          <w:sz w:val="21"/>
        </w:rPr>
        <w:t xml:space="preserve">时间: 2026-01-27 | </w:t>
      </w:r>
      <w:r>
        <w:t xml:space="preserve">链接: </w:t>
      </w:r>
      <w:hyperlink r:id="rId48">
        <w:r>
          <w:rPr>
            <w:rFonts w:ascii="Times New Roman" w:hAnsi="Times New Roman" w:eastAsia="宋体"/>
            <w:color w:val="0000FF"/>
            <w:sz w:val="21"/>
            <w:u w:val="single"/>
          </w:rPr>
          <w:t>https://doi.org/10.1364/ol.586535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由于高功率效率、高带宽密度和低成本，光子开关技术已成为电子开关的有竞争力的替代品。在此，提出了一种基于人工规范场工程波导超晶格的高性能 1 × 8 热光开关。该开关的平均插入损耗为 1.96 dB，并且在 60 nm 带宽内将串扰保持在 -20 dB 以下。通过利用拓扑优化，这种热光移相器无需复杂的空气沟槽或底切工艺，同时提供卓越的指标：低功耗 (2.52 mW/π)、低损耗 (0.4 dB)、用于 2 π 调谐的低于 1V 驱动电压、宽带操作 (60 nm) 和紧凑的占位面积 (245 μm × 15 μm)。</w:t>
      </w:r>
    </w:p>
    <w:p>
      <w:pPr>
        <w:spacing w:before="120"/>
      </w:pPr>
      <w:r>
        <w:rPr>
          <w:rFonts w:ascii="Times New Roman" w:hAnsi="Times New Roman" w:eastAsia="宋体"/>
          <w:b/>
          <w:sz w:val="21"/>
        </w:rPr>
        <w:t>English Abstract:</w:t>
      </w:r>
    </w:p>
    <w:p>
      <w:r>
        <w:rPr>
          <w:rFonts w:ascii="Times New Roman" w:hAnsi="Times New Roman" w:eastAsia="宋体"/>
          <w:sz w:val="21"/>
        </w:rPr>
        <w:t>Photonic switching technologies have been proffered as competitive replacements for electronic switches, due to high power efficiency, high bandwidth density, and low cost. Here, a high-performance 1 × 8 thermo-optic switch based on artificial gauge field engineered waveguide superlattices is proposed. This switch exhibits an average insertion loss of 1.96 dB and keeps crosstalk below −20 dB over a 60 nm bandwidth. By leveraging topology optimization, this thermo-optic phase shifter eliminates the need for intricate air-trench or undercut processes while delivering exceptional metrics: low power consumption (2.52 mW/ π ), low loss (0.4 dB), sub-1V driving voltage for 2 π tuning, wideband operation (60 nm), and a compact footprint (245 μm × 15 μm).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Nazir Khan, Rahul Jangid, Taras Stanislavchuk, Aaron Stein, Oleg Chubar, Andi Barbour, Andrei Sirenko, Valery Kiryukhin, Claudio Mazzoli</w:t>
        <w:br/>
      </w:r>
      <w:r>
        <w:rPr>
          <w:rFonts w:ascii="Times New Roman" w:hAnsi="Times New Roman" w:eastAsia="宋体"/>
          <w:sz w:val="21"/>
        </w:rPr>
        <w:t xml:space="preserve">时间: 2026-02-04 | </w:t>
      </w:r>
      <w:r>
        <w:t xml:space="preserve">链接: </w:t>
      </w:r>
      <w:hyperlink r:id="rId49">
        <w:r>
          <w:rPr>
            <w:rFonts w:ascii="Times New Roman" w:hAnsi="Times New Roman" w:eastAsia="宋体"/>
            <w:color w:val="0000FF"/>
            <w:sz w:val="21"/>
            <w:u w:val="single"/>
          </w:rPr>
          <w:t>https://doi.org/10.1364/ol.584139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射线范围内通过连续设备实际实现角动量控制开辟了新的实验机会，例如直接测量光束的 OAM，而无需求助于包括全息术在内的相敏技术。利用叉形光栅的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the beam’s OAM without resorting to phase-sensitive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基于具有并行 FBG 的可调谐迈克尔逊干涉仪的高精度 FBG 传感器解调</w:t>
      </w:r>
    </w:p>
    <w:p>
      <w:r>
        <w:rPr>
          <w:rFonts w:ascii="Times New Roman" w:hAnsi="Times New Roman" w:eastAsia="宋体"/>
          <w:b/>
          <w:color w:val="003264"/>
          <w:sz w:val="24"/>
        </w:rPr>
        <w:t>High-precision FBG sensor demodulation based on a tunable Michelson interferometer with parallel FBGs</w:t>
      </w:r>
    </w:p>
    <w:p>
      <w:r>
        <w:rPr>
          <w:rFonts w:ascii="Times New Roman" w:hAnsi="Times New Roman" w:eastAsia="宋体"/>
          <w:sz w:val="21"/>
        </w:rPr>
        <w:t>作者: Tingfeng Li, Shuo Wang, Fengyi Chen, Ruohui Wang, Xueguang Qiao</w:t>
        <w:br/>
      </w:r>
      <w:r>
        <w:rPr>
          <w:rFonts w:ascii="Times New Roman" w:hAnsi="Times New Roman" w:eastAsia="宋体"/>
          <w:sz w:val="21"/>
        </w:rPr>
        <w:t xml:space="preserve">时间: 2026-02-03 | </w:t>
      </w:r>
      <w:r>
        <w:t xml:space="preserve">链接: </w:t>
      </w:r>
      <w:hyperlink r:id="rId50">
        <w:r>
          <w:rPr>
            <w:rFonts w:ascii="Times New Roman" w:hAnsi="Times New Roman" w:eastAsia="宋体"/>
            <w:color w:val="0000FF"/>
            <w:sz w:val="21"/>
            <w:u w:val="single"/>
          </w:rPr>
          <w:t>https://doi.org/10.1364/ol.588506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提出了一种光纤布拉格光栅（FBG）高精度信号解调方案。该方案在迈克尔逊干涉仪 (MI) 的一个臂中利用压电换能器 (PZT) 调谐并置的多波长可调谐 FBG (CMWT-FBG)，调整其中心波长范围以完全覆盖传感 FBG 的波长偏移。该算法模块利用Savitzky-Golay（S-G）拟合算法精确定位干涉信号的包络峰值，从而准确地重建传感FBG中心波长的变化。实验结果表明，调制解调方案的温度精度为1.33×10 -6 °C，应变精度为1.04×10 -5 με。这些结果表明CMWT-FBGs-MI系统在高速、高精度信号测量方面具有竞争优势，为相关领域的进步提供了实验和理论支持。</w:t>
      </w:r>
    </w:p>
    <w:p>
      <w:pPr>
        <w:spacing w:before="120"/>
      </w:pPr>
      <w:r>
        <w:rPr>
          <w:rFonts w:ascii="Times New Roman" w:hAnsi="Times New Roman" w:eastAsia="宋体"/>
          <w:b/>
          <w:sz w:val="21"/>
        </w:rPr>
        <w:t>English Abstract:</w:t>
      </w:r>
    </w:p>
    <w:p>
      <w:r>
        <w:rPr>
          <w:rFonts w:ascii="Times New Roman" w:hAnsi="Times New Roman" w:eastAsia="宋体"/>
          <w:sz w:val="21"/>
        </w:rPr>
        <w:t>A high-precision signal demodulation scheme for fiber Bragg grating (FBG) is presented. The scheme utilizes a piezoelectric transducer (PZT) tuned co-located, multi-wavelength tunable FBGs (CMWT-FBGs) in one arm of the Michelson interferometer (MI), which adjusts its central-wavelength range to fully cover the wavelength shifts of the sensing FBG. The algorithm module utilizes a Savitzky-Golay (S-G) fitting algorithm to precisely locate the envelope peak of the interference signal, thereby accurately reconstructing the variations of the sensing FBG’s central wavelength. Experimental results demonstrate that the modulation-demodulation scheme achieves a temperature accuracy of 1.33×10 −6 °C and a strain accuracy of 1.04×10 −5 μ ε , respectively. These results show that the CMWT-FBGs-MI system offers a competitive advantage in high-speed and high-precision signal measurement, providing experimental and theoretical support for advancements in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非相干光源长基线干涉测量的相位稳定</w:t>
      </w:r>
    </w:p>
    <w:p>
      <w:r>
        <w:rPr>
          <w:rFonts w:ascii="Times New Roman" w:hAnsi="Times New Roman" w:eastAsia="宋体"/>
          <w:b/>
          <w:color w:val="003264"/>
          <w:sz w:val="24"/>
        </w:rPr>
        <w:t>Phase stabilization for long-baseline interferometry of incoherent optical sources</w:t>
      </w:r>
    </w:p>
    <w:p>
      <w:r>
        <w:rPr>
          <w:rFonts w:ascii="Times New Roman" w:hAnsi="Times New Roman" w:eastAsia="宋体"/>
          <w:sz w:val="21"/>
        </w:rPr>
        <w:t>作者: Joshua J. Collier, John S. Wallis, Benjamin P. Dix-Matthews, David R. Gozzard</w:t>
        <w:br/>
      </w:r>
      <w:r>
        <w:rPr>
          <w:rFonts w:ascii="Times New Roman" w:hAnsi="Times New Roman" w:eastAsia="宋体"/>
          <w:sz w:val="21"/>
        </w:rPr>
        <w:t xml:space="preserve">时间: 2026-02-04 | </w:t>
      </w:r>
      <w:r>
        <w:t xml:space="preserve">链接: </w:t>
      </w:r>
      <w:hyperlink r:id="rId51">
        <w:r>
          <w:rPr>
            <w:rFonts w:ascii="Times New Roman" w:hAnsi="Times New Roman" w:eastAsia="宋体"/>
            <w:color w:val="0000FF"/>
            <w:sz w:val="21"/>
            <w:u w:val="single"/>
          </w:rPr>
          <w:t>https://doi.org/10.1364/ol.586783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光学天文干涉仪的最大基线和分辨率受到孔径和光束组合器之间光路内的衰减和相位噪声以及构造长度超过数百米的光学延迟线的实际挑战的限制。我们在两条 85 公里长的光纤链路上实施带外相位稳定，创建了 170 公里的总基线。我们表明，该系统能够有效地稳定来自带宽为 11.2 nm 的非相干赝热源的信号。我们能够将 1 到 100 Hz 之间的相位噪声降低 4-5 个数量级，这样我们就可以通过连续测量解决每秒 0.16 个周期的应用相位差。我们表明，在相位稳定激活的情况下，干涉仪能够恢复一阶和二阶光子相关性。这些结果证明了该技术对于长基线光学和量子天文干涉仪的可行性。目前的结果受到光纤内色散的限制，可以使用色散补偿模块来减轻色散。</w:t>
      </w:r>
    </w:p>
    <w:p>
      <w:pPr>
        <w:spacing w:before="120"/>
      </w:pPr>
      <w:r>
        <w:rPr>
          <w:rFonts w:ascii="Times New Roman" w:hAnsi="Times New Roman" w:eastAsia="宋体"/>
          <w:b/>
          <w:sz w:val="21"/>
        </w:rPr>
        <w:t>English Abstract:</w:t>
      </w:r>
    </w:p>
    <w:p>
      <w:r>
        <w:rPr>
          <w:rFonts w:ascii="Times New Roman" w:hAnsi="Times New Roman" w:eastAsia="宋体"/>
          <w:sz w:val="21"/>
        </w:rPr>
        <w:t>The maximum baseline, and therefore resolution, of optical astronomical interferometers is limited by attenuation and phase noise within the optical path between the apertures and beam combiner, as well as the practical challenges of constructing optical delay lines more than a few hundred meters in length. We implement off-band phase stabilization on two fiber optic links of 85 km, creating a total baseline of 170 km. We show that the system is able to effectively phase stabilize signals from an incoherent pseudo-thermal source with a bandwidth of 11.2 nm. We are able to reduce the phase noise by 4–5 orders of magnitude between 1 and 100 Hz, such that we could resolve an applied phase difference of 0.16 cycles per second with continuous measurement. We show that, with phase stabilization active, the interferometer is able to recover both first-order and second-order photon correlations. These results demonstrate the feasibility of this technique for long-baseline optical and quantum astronomical interferometers. The present results are limited by chromatic dispersion within the fiber, which can be mitigated using dispersion-compensating modules.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通过联合算法-硬件校准实现高灵敏度和宽范围定量相位成像的增强型谱域相位显微镜</w:t>
      </w:r>
    </w:p>
    <w:p>
      <w:r>
        <w:rPr>
          <w:rFonts w:ascii="Times New Roman" w:hAnsi="Times New Roman" w:eastAsia="宋体"/>
          <w:b/>
          <w:color w:val="003264"/>
          <w:sz w:val="24"/>
        </w:rPr>
        <w:t>Enhanced spectral-domain phase microscopy for high-sensitivity and broad-range quantitative phase imaging via joint algorithm-hardware calibration</w:t>
      </w:r>
    </w:p>
    <w:p>
      <w:r>
        <w:rPr>
          <w:rFonts w:ascii="Times New Roman" w:hAnsi="Times New Roman" w:eastAsia="宋体"/>
          <w:sz w:val="21"/>
        </w:rPr>
        <w:t>作者: Jiayi Wang, Liuhang Zhao, Runnan Zhang, Zihao Zhou, Wei Yin, Xin Yuan, Ning Zhou, Chao Zuo</w:t>
        <w:br/>
      </w:r>
      <w:r>
        <w:rPr>
          <w:rFonts w:ascii="Times New Roman" w:hAnsi="Times New Roman" w:eastAsia="宋体"/>
          <w:sz w:val="21"/>
        </w:rPr>
        <w:t xml:space="preserve">时间: 2026-02-04 | </w:t>
      </w:r>
      <w:r>
        <w:t xml:space="preserve">链接: </w:t>
      </w:r>
      <w:hyperlink r:id="rId52">
        <w:r>
          <w:rPr>
            <w:rFonts w:ascii="Times New Roman" w:hAnsi="Times New Roman" w:eastAsia="宋体"/>
            <w:color w:val="0000FF"/>
            <w:sz w:val="21"/>
            <w:u w:val="single"/>
          </w:rPr>
          <w:t>https://doi.org/10.1364/ol.585468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谱域相位显微镜 (SDPM) 通过直接从干涉光谱中检索相位信息来实现高灵敏度定量相位成像，从而减轻离散傅里叶变换 (DFT) 中光谱泄漏造成的轴向分辨率损失。然而，传统的 SDPM 对突然的相位梯度和噪声仍然高度敏感，通常会导致环绕失配和全局偏差，从而限制其测量范围。在这封信中，我们提出了增强型 SDPM (eSDPM)，这是一种算法-硬件协同校准框架，可在扩展的测量范围内实现高精度、无偏差相位重建。在算法方面，我们明确地对光谱相位中的端点项进行建模，估计安全工作频带内的参考相位，并从源光谱的质心确定波数锚点。在硬件方面，受控光谱截断和边界波长校准可最大限度地减少端点偏差和波长未对准。对生物和工业样品的实验表明，eSDPM 在较宽的测量范围内实现了连续、无偏差和高精度的光程差重建，使其成为一种稳健且实用的宽范围定量相位成像方法。</w:t>
      </w:r>
    </w:p>
    <w:p>
      <w:pPr>
        <w:spacing w:before="120"/>
      </w:pPr>
      <w:r>
        <w:rPr>
          <w:rFonts w:ascii="Times New Roman" w:hAnsi="Times New Roman" w:eastAsia="宋体"/>
          <w:b/>
          <w:sz w:val="21"/>
        </w:rPr>
        <w:t>English Abstract:</w:t>
      </w:r>
    </w:p>
    <w:p>
      <w:r>
        <w:rPr>
          <w:rFonts w:ascii="Times New Roman" w:hAnsi="Times New Roman" w:eastAsia="宋体"/>
          <w:sz w:val="21"/>
        </w:rPr>
        <w:t>Spectral-domain phase microscopy (SDPM) enables high-sensitivity quantitative phase imaging by retrieving phase information directly from the interference spectrum, mitigating the axial-resolution penalty caused by spectral leakage in the discrete Fourier transform (DFT). However, conventional SDPM remains highly sensitive to abrupt phase gradients and noise, often leading to wrap mismatches and global bias that restrict its measurement range. In this Letter, we propose enhanced SDPM (eSDPM), an algorithm-hardware co-calibration framework that achieves high precision, bias-free phase reconstruction over an extended measurement range. On the algorithmic side, we explicitly model endpoint terms in the spectral phase, estimate a reference phase within a safe operating band, and determine a wavenumber anchor from the centroid of the source spectrum. On the hardware side, controlled spectral truncation and boundary-wavelength calibration minimize endpoint bias and wavelength misalignment. Experiments on biological and industrial samples demonstrate that eSDPM achieves continuous, bias-free, and high-accuracy optical path difference reconstruction over a broad measurement range, establishing it as a robust and practical approach for wide-range quantitative phase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通过光子分数傅里叶变换和低频检测对 LFM 微波信号进行高精度线性调频测量</w:t>
      </w:r>
    </w:p>
    <w:p>
      <w:r>
        <w:rPr>
          <w:rFonts w:ascii="Times New Roman" w:hAnsi="Times New Roman" w:eastAsia="宋体"/>
          <w:b/>
          <w:color w:val="003264"/>
          <w:sz w:val="24"/>
        </w:rPr>
        <w:t>High-precision chirp-rate measurement of LFM microwave signals via photonic fractional Fourier transform with low-frequency detection</w:t>
      </w:r>
    </w:p>
    <w:p>
      <w:r>
        <w:rPr>
          <w:rFonts w:ascii="Times New Roman" w:hAnsi="Times New Roman" w:eastAsia="宋体"/>
          <w:sz w:val="21"/>
        </w:rPr>
        <w:t>作者: Di Peng, Jingyi Zhang, Zewen Zhu, Ya Han, Heyun Tan, Songnian Fu, Shuoyang Qiu, Yuwen Qin</w:t>
        <w:br/>
      </w:r>
      <w:r>
        <w:rPr>
          <w:rFonts w:ascii="Times New Roman" w:hAnsi="Times New Roman" w:eastAsia="宋体"/>
          <w:sz w:val="21"/>
        </w:rPr>
        <w:t xml:space="preserve">时间: 2026-02-05 | </w:t>
      </w:r>
      <w:r>
        <w:t xml:space="preserve">链接: </w:t>
      </w:r>
      <w:hyperlink r:id="rId53">
        <w:r>
          <w:rPr>
            <w:rFonts w:ascii="Times New Roman" w:hAnsi="Times New Roman" w:eastAsia="宋体"/>
            <w:color w:val="0000FF"/>
            <w:sz w:val="21"/>
            <w:u w:val="single"/>
          </w:rPr>
          <w:t>https://doi.org/10.1364/ol.583187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我们提出并演示了一种线性调频 (LFM) 微波信号的高精度线性调频频率测量方法。通过利用光学频移环路中的可调谐分数傅立叶变换，该系统可以在光域中处理 LFM 微波信号，并通过低频检测提取其线性调频频率，从而无需使用高速电子设备。在实验中，实现了-1400 MHz/μs至800 MHz/μs范围内的线性调频脉冲测量，误差低于±0.2 MHz/μs。即使信噪比为-7.55 dB，在 5 GHz 至 40 GHz 的信号频率范围内也能保持这种高测量精度。此外，该方法能够测量多个频谱重叠的LFM微波信号的啁啾率。这些结果验证了所提出的方法是先进电子侦察应用中稳健且简化的线性调频频率测量解决方案。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and demonstrate a method for high-precision chirp-rate measurement of linear frequency-modulated (LFM) microwave signals. By leveraging tunable fractional Fourier transform within an optical frequency-shift loop, the system processes LFM microwave signals in the optical domain and extracts their chirp rates via low-frequency detection, avoiding the need for high-speed electronics. In the experiment, chirp-rate measurement across a range of −1400 MHz/µs to 800 MHz/µs is achieved, with errors below ±0.2 MHz/µs. This high measurement precision is maintained over a signal frequency range of 5 GHz to 40 GHz, even at a signal-to-noise ratio of −7.55 dB. Moreover, the method is capable of measuring the chirp rates of multiple spectrally overlapping LFM microwave signals. These results validate the proposed method as a robust and simplified chirp-rate measurement solution in advanced electronic reconnaissance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用于高分辨率类肤OLED的无损微图案弹性超薄膜</w:t>
      </w:r>
    </w:p>
    <w:p>
      <w:r>
        <w:rPr>
          <w:rFonts w:ascii="Times New Roman" w:hAnsi="Times New Roman" w:eastAsia="宋体"/>
          <w:b/>
          <w:color w:val="003264"/>
          <w:sz w:val="24"/>
        </w:rPr>
        <w:t>Non-destructive micro-patterned elastic ultra-thin films for high-resolution skin-like OLEDs</w:t>
      </w:r>
    </w:p>
    <w:p>
      <w:r>
        <w:rPr>
          <w:rFonts w:ascii="Times New Roman" w:hAnsi="Times New Roman" w:eastAsia="宋体"/>
          <w:sz w:val="21"/>
        </w:rPr>
        <w:t>作者: Juntong Li, Xiaoli Zhao, Hongyan Yu, Yao Fu, Peng Xue, Guodong Zhao, Mingxin Zhang, Yanhong Tong, Qingxin Tang, Yichun Liu</w:t>
        <w:br/>
      </w:r>
      <w:r>
        <w:rPr>
          <w:rFonts w:ascii="Times New Roman" w:hAnsi="Times New Roman" w:eastAsia="宋体"/>
          <w:sz w:val="21"/>
        </w:rPr>
        <w:t xml:space="preserve">时间: 2026-02-06 | </w:t>
      </w:r>
      <w:r>
        <w:t xml:space="preserve">链接: </w:t>
      </w:r>
      <w:hyperlink r:id="rId54">
        <w:r>
          <w:rPr>
            <w:rFonts w:ascii="Times New Roman" w:hAnsi="Times New Roman" w:eastAsia="宋体"/>
            <w:color w:val="0000FF"/>
            <w:sz w:val="21"/>
            <w:u w:val="single"/>
          </w:rPr>
          <w:t>https://doi.org/10.1364/ol.584678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类皮肤有机发光二极管 (OLED) 因其在可穿戴显示器、植入式电子产品和生物医学传感方面的潜力而受到关注。然而，制造高分辨率、机械稳定的 OLED 仍然具有挑战性。这项研究提出了一种简单的、非破坏性的图案化技术，以消除光刻胶和超薄弹性体薄膜之间的热膨胀失配。使用聚乙烯醇作为保护层，使弹性超薄膜能够形成 2 µm 以内的微图案，分辨率高达每英寸 6349 像素 (PPI)。这项工作增强了光学制造中微图案像素定义层（PDL）的稳定性，从而有助于高分辨率显示器的开发。</w:t>
      </w:r>
    </w:p>
    <w:p>
      <w:pPr>
        <w:spacing w:before="120"/>
      </w:pPr>
      <w:r>
        <w:rPr>
          <w:rFonts w:ascii="Times New Roman" w:hAnsi="Times New Roman" w:eastAsia="宋体"/>
          <w:b/>
          <w:sz w:val="21"/>
        </w:rPr>
        <w:t>English Abstract:</w:t>
      </w:r>
    </w:p>
    <w:p>
      <w:r>
        <w:rPr>
          <w:rFonts w:ascii="Times New Roman" w:hAnsi="Times New Roman" w:eastAsia="宋体"/>
          <w:sz w:val="21"/>
        </w:rPr>
        <w:t>Skin-like organic light-emitting diodes (OLEDs) have garnered attention for their potential in wearable displays, implantable electronics, and biomedical sensing. However, creating high-resolution, mechanically stable OLEDs remains challenging. This study proposes a simple, non-destructive patterning technique to eliminate the thermal expansion mismatch between photoresist and ultra-thin elastomer films. Polyvinyl alcohol is used as a protective layer to allow the elastic ultra-thin films to be micro-patterned to within 2 µm, giving a resolution of up to 6349 pixels per inch (PPI). This work enhances the stability of micro-patterned pixel-defining layers (PDL) in optical manufacturing, thereby contributing to the development of high-resolution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受限量子铁磁流体中涡旋晶格和磁致伸缩的光学控制</w:t>
      </w:r>
    </w:p>
    <w:p>
      <w:r>
        <w:rPr>
          <w:rFonts w:ascii="Times New Roman" w:hAnsi="Times New Roman" w:eastAsia="宋体"/>
          <w:b/>
          <w:color w:val="003264"/>
          <w:sz w:val="24"/>
        </w:rPr>
        <w:t>Optical control of vortex lattices and magnetostriction in a confined quantum ferrofluid</w:t>
      </w:r>
    </w:p>
    <w:p>
      <w:r>
        <w:rPr>
          <w:rFonts w:ascii="Times New Roman" w:hAnsi="Times New Roman" w:eastAsia="宋体"/>
          <w:sz w:val="21"/>
        </w:rPr>
        <w:t>作者: Biao Dong, Xiao-Fei Zhang, YongChang Zhang</w:t>
        <w:br/>
      </w:r>
      <w:r>
        <w:rPr>
          <w:rFonts w:ascii="Times New Roman" w:hAnsi="Times New Roman" w:eastAsia="宋体"/>
          <w:sz w:val="21"/>
        </w:rPr>
        <w:t xml:space="preserve">时间: 2026-02-05 | </w:t>
      </w:r>
      <w:r>
        <w:t xml:space="preserve">链接: </w:t>
      </w:r>
      <w:hyperlink r:id="rId55">
        <w:r>
          <w:rPr>
            <w:rFonts w:ascii="Times New Roman" w:hAnsi="Times New Roman" w:eastAsia="宋体"/>
            <w:color w:val="0000FF"/>
            <w:sz w:val="21"/>
            <w:u w:val="single"/>
          </w:rPr>
          <w:t>https://doi.org/10.1364/ol.581219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用光设计物质拓扑态的能力是量子光学的核心目标。我们证明，可通过光学费什巴赫共振调节的各向异性偶极-偶极相互作用（DDI）为控制量子铁磁流体中的量子化涡旋提供了强大的光学旋钮。我们证明，DDI 引起的磁致伸缩可以拉长原子云，起到有效的光学透镜效应的作用，可以减小横向凝聚体的尺寸。这极大地降低了涡旋成核的临界旋转频率，从而能够以以前因塌陷而无法达到的相互作用强度形成涡旋晶格。我们的工作建立了一个通用的全光学框架，用于雕刻磁性原子中的拓扑激发，对量子模拟和各向异性量子湍流的研究具有影响。</w:t>
      </w:r>
    </w:p>
    <w:p>
      <w:pPr>
        <w:spacing w:before="120"/>
      </w:pPr>
      <w:r>
        <w:rPr>
          <w:rFonts w:ascii="Times New Roman" w:hAnsi="Times New Roman" w:eastAsia="宋体"/>
          <w:b/>
          <w:sz w:val="21"/>
        </w:rPr>
        <w:t>English Abstract:</w:t>
      </w:r>
    </w:p>
    <w:p>
      <w:r>
        <w:rPr>
          <w:rFonts w:ascii="Times New Roman" w:hAnsi="Times New Roman" w:eastAsia="宋体"/>
          <w:sz w:val="21"/>
        </w:rPr>
        <w:t>The ability to engineer topological states of matter with light is a central goal of quantum optics. We demonstrate that the anisotropic dipole–dipole interaction (DDI), tunable via optical Feshbach resonances, provides a powerful optical knob for controlling quantized vortices in quantum ferrofluids. We show that DDI-induced magnetostriction, which elongates the atomic cloud, acts as an effective optical lensing effect that reduces the transverse condensate size. This dramatically lowers the critical rotation frequency for vortex nucleation, enabling the formation of vortex lattices at interaction strengths previously inaccessible due to collapse. Our work establishes a general all-optical framework for sculpting topological excitations in magnetic atoms, with implications for quantum simulation and the study of anisotropic quantum turbulence.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通过布居和发射光测量探测冷原子系综中的次辐射动力学</w:t>
      </w:r>
    </w:p>
    <w:p>
      <w:r>
        <w:rPr>
          <w:rFonts w:ascii="Times New Roman" w:hAnsi="Times New Roman" w:eastAsia="宋体"/>
          <w:b/>
          <w:color w:val="003264"/>
          <w:sz w:val="24"/>
        </w:rPr>
        <w:t>Probing subradiant dynamics in cold atomic ensembles via population and emitted light measurements</w:t>
      </w:r>
    </w:p>
    <w:p>
      <w:r>
        <w:rPr>
          <w:rFonts w:ascii="Times New Roman" w:hAnsi="Times New Roman" w:eastAsia="宋体"/>
          <w:sz w:val="21"/>
        </w:rPr>
        <w:t>作者: Antoine Glicenstein, Daniel Benedicto Orenes, Apoorva Apoorva, Raphaël Saint-Jalm, Robin Kaiser</w:t>
        <w:br/>
      </w:r>
      <w:r>
        <w:rPr>
          <w:rFonts w:ascii="Times New Roman" w:hAnsi="Times New Roman" w:eastAsia="宋体"/>
          <w:sz w:val="21"/>
        </w:rPr>
        <w:t xml:space="preserve">时间: 2026-01-21 | </w:t>
      </w:r>
      <w:r>
        <w:t xml:space="preserve">链接: </w:t>
      </w:r>
      <w:hyperlink r:id="rId56">
        <w:r>
          <w:rPr>
            <w:rFonts w:ascii="Times New Roman" w:hAnsi="Times New Roman" w:eastAsia="宋体"/>
            <w:color w:val="0000FF"/>
            <w:sz w:val="21"/>
            <w:u w:val="single"/>
          </w:rPr>
          <w:t>https://doi.org/10.1364/ol.573926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在这封信中，我们报告了 174Yb 原子超冷原子云中次辐射激发态布居的时间和空间分辨测量。我们使用耗尽成像技术，利用类碱土原子的V型内能结构来直接观察激发态布居的时间分辨空间分布。我们使用激发态布居和散射光强度来表征次辐射模式的衰变动力学，发现与两级原子系综模拟的数值预测具有良好的定量一致性。</w:t>
      </w:r>
    </w:p>
    <w:p>
      <w:pPr>
        <w:spacing w:before="120"/>
      </w:pPr>
      <w:r>
        <w:rPr>
          <w:rFonts w:ascii="Times New Roman" w:hAnsi="Times New Roman" w:eastAsia="宋体"/>
          <w:b/>
          <w:sz w:val="21"/>
        </w:rPr>
        <w:t>English Abstract:</w:t>
      </w:r>
    </w:p>
    <w:p>
      <w:r>
        <w:rPr>
          <w:rFonts w:ascii="Times New Roman" w:hAnsi="Times New Roman" w:eastAsia="宋体"/>
          <w:sz w:val="21"/>
        </w:rPr>
        <w:t>In this letter, we report on the time- and space-resolved measurement of subradiant excited state population in an ultra-cold atomic cloud of 174Yb atoms. We use a depletion imaging technique that exploits the V-type internal energy structure of alkaline-earth-like atoms to directly observe the time-resolved spatial distribution of excited state population. We characterize the decay dynamics of the subradiant modes using both the excited state population and scattered light intensity, finding good quantitative agreement with numerical predictions from simulations of two-level atomic ensembles.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在大芯空心毛细管光纤中产生多μJ少周期蓝色自压缩孤子脉冲</w:t>
      </w:r>
    </w:p>
    <w:p>
      <w:r>
        <w:rPr>
          <w:rFonts w:ascii="Times New Roman" w:hAnsi="Times New Roman" w:eastAsia="宋体"/>
          <w:b/>
          <w:color w:val="003264"/>
          <w:sz w:val="24"/>
        </w:rPr>
        <w:t>Generation of multi-μJ few-cycle blue self-compressed soliton pulses in large-core hollow-capillary fibers</w:t>
      </w:r>
    </w:p>
    <w:p>
      <w:r>
        <w:rPr>
          <w:rFonts w:ascii="Times New Roman" w:hAnsi="Times New Roman" w:eastAsia="宋体"/>
          <w:sz w:val="21"/>
        </w:rPr>
        <w:t>作者: Ziping Huang, Jiale Peng, Weitao He, Hongyu Chen, Chengbo Sun, Zhihao Wang, Shuangxi Peng, Lixin He, Zuofei Hong, Qingbin Zhang, Peixiang Lu</w:t>
        <w:br/>
      </w:r>
      <w:r>
        <w:rPr>
          <w:rFonts w:ascii="Times New Roman" w:hAnsi="Times New Roman" w:eastAsia="宋体"/>
          <w:sz w:val="21"/>
        </w:rPr>
        <w:t xml:space="preserve">时间: 2026-02-05 | </w:t>
      </w:r>
      <w:r>
        <w:t xml:space="preserve">链接: </w:t>
      </w:r>
      <w:hyperlink r:id="rId57">
        <w:r>
          <w:rPr>
            <w:rFonts w:ascii="Times New Roman" w:hAnsi="Times New Roman" w:eastAsia="宋体"/>
            <w:color w:val="0000FF"/>
            <w:sz w:val="21"/>
            <w:u w:val="single"/>
          </w:rPr>
          <w:t>https://doi.org/10.1364/ol.582850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在这项工作中，通过将高效的宽带倍频、多板连续谱 (MPC) 生成与氦填充空心毛细管纤维 (HCF) 中的蓝色脉冲自压缩相结合，生成了 7.63 μJ 少周期蓝色自压缩孤子脉冲。多级预压缩设置为 HCF 中的自压缩创造了最佳条件。通过利用大芯 HCF 代替微结构光纤，我们实现了 7.63 μJ 的脉冲能量。色散分析揭示了近 4.4 fs 蓝色孤子的生成。数值研究揭示了我们的方案在高阶色散扰动下的鲁棒性，并强调了其能量缩放的潜力。此外，我们的方案消除了后压缩方案中最后光谱展宽阶段的色散管理组件。这项工作为产生高能超短蓝色脉冲铺平了道路，该脉冲在众多强场和超快应用中显示出重要价值。</w:t>
      </w:r>
    </w:p>
    <w:p>
      <w:pPr>
        <w:spacing w:before="120"/>
      </w:pPr>
      <w:r>
        <w:rPr>
          <w:rFonts w:ascii="Times New Roman" w:hAnsi="Times New Roman" w:eastAsia="宋体"/>
          <w:b/>
          <w:sz w:val="21"/>
        </w:rPr>
        <w:t>English Abstract:</w:t>
      </w:r>
    </w:p>
    <w:p>
      <w:r>
        <w:rPr>
          <w:rFonts w:ascii="Times New Roman" w:hAnsi="Times New Roman" w:eastAsia="宋体"/>
          <w:sz w:val="21"/>
        </w:rPr>
        <w:t>In this work, 7.63 μJ few-cycle blue self-compressed soliton pulses are generated by combining efficient broadband frequency doubling, multiplate continuum (MPC) generation with blue pulse self-compression in He-filled hollow-capillary fibers (HCF). The multi-stage pre-compression setup creates optimal conditions for self-compression in HCF. By utilizing large-core HCFs instead of micro-structured fibers, we achieve a 7.63 μJ pulse energy. Dispersion analysis reveals the generation of a near-4.4 fs blue soliton. Numerical studies reveal our scheme’s robustness under the perturbation of high-order dispersion and highlight its potential for energy scaling. Moreover, our scheme eliminates the dispersion management components for the final spectral broadening stage in post-compression schemes. This work paves the way for generating energetic ultrashort blue pulses, which show significant value in numerous strong-field and ultrafast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使用散斑照明和压缩传感通过 GRIN 光纤进行高分辨率无像差成像</w:t>
      </w:r>
    </w:p>
    <w:p>
      <w:r>
        <w:rPr>
          <w:rFonts w:ascii="Times New Roman" w:hAnsi="Times New Roman" w:eastAsia="宋体"/>
          <w:b/>
          <w:color w:val="003264"/>
          <w:sz w:val="24"/>
        </w:rPr>
        <w:t>High-resolution aberration-free imaging through GRIN fiber using speckle illumination and compressive sensing</w:t>
      </w:r>
    </w:p>
    <w:p>
      <w:r>
        <w:rPr>
          <w:rFonts w:ascii="Times New Roman" w:hAnsi="Times New Roman" w:eastAsia="宋体"/>
          <w:sz w:val="21"/>
        </w:rPr>
        <w:t>作者: M. S. Pochechuev, A. Dharmasiri, T. I. Rajib, A. M. Zheltikov</w:t>
        <w:br/>
      </w:r>
      <w:r>
        <w:rPr>
          <w:rFonts w:ascii="Times New Roman" w:hAnsi="Times New Roman" w:eastAsia="宋体"/>
          <w:sz w:val="21"/>
        </w:rPr>
        <w:t xml:space="preserve">时间: 2026-02-06 | </w:t>
      </w:r>
      <w:r>
        <w:t xml:space="preserve">链接: </w:t>
      </w:r>
      <w:hyperlink r:id="rId58">
        <w:r>
          <w:rPr>
            <w:rFonts w:ascii="Times New Roman" w:hAnsi="Times New Roman" w:eastAsia="宋体"/>
            <w:color w:val="0000FF"/>
            <w:sz w:val="21"/>
            <w:u w:val="single"/>
          </w:rPr>
          <w:t>https://doi.org/10.1364/ol.585272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渐变折射率 (GRIN) 镜片对于体内成像和内窥镜检查至关重要。由短段标准 GRIN 光纤制成的植入式探头比商用 GRIN 透镜具有重要优势；然而，他们却在与畸变作斗争。这项研究引入了一种将结构化散斑照明与压缩传感 (CS) 相结合的技术，以利用基于 GRIN 光纤的探头实现无像差成像。我们开发了一种波光模式扩展模型来模拟像差 GRIN 探针中相干照明和非相干荧光响应的传播。通过涉及顺序散斑照明和图像重建的 CS 的数值实验，我们在整个视场 (FOV) 内实现了高分辨率、无像差成像。与标准显微镜方法相比，重建图像质量与纤维长度无关。所提出的方法为微创单位点和多位点深部脑显微镜检查开辟了途径。</w:t>
      </w:r>
    </w:p>
    <w:p>
      <w:pPr>
        <w:spacing w:before="120"/>
      </w:pPr>
      <w:r>
        <w:rPr>
          <w:rFonts w:ascii="Times New Roman" w:hAnsi="Times New Roman" w:eastAsia="宋体"/>
          <w:b/>
          <w:sz w:val="21"/>
        </w:rPr>
        <w:t>English Abstract:</w:t>
      </w:r>
    </w:p>
    <w:p>
      <w:r>
        <w:rPr>
          <w:rFonts w:ascii="Times New Roman" w:hAnsi="Times New Roman" w:eastAsia="宋体"/>
          <w:sz w:val="21"/>
        </w:rPr>
        <w:t>Graded index (GRIN) lenses are essential for in vivo imaging and endoscopy. Implantable probes made from short segments of standard GRIN fiber offer important benefits over commercial GRIN lenses; however, they struggle with aberrations. This study introduces a technique that combines structured speckle illumination with compressive sensing (CS) to enable aberration-free imaging with GRIN fiber-based probes. We develop a wave-optic mode-expansion model to simulate the propagation of coherent illumination and incoherent fluorescence response in an aberrated GRIN probe. Through numerical experiments involving sequential speckle illumination and CS for image reconstruction, we achieve high-resolution, aberration-free imaging throughout the entire field of view (FOV). In contrast to standard microscopy methods, the reconstructed image quality is independent of the fiber length. The proposed method opens avenues to minimally invasive single- and multisite deep brain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轴向切割 β-BBO 晶体的高场多周期太赫兹发射达到数百 kV/cm</w:t>
      </w:r>
    </w:p>
    <w:p>
      <w:r>
        <w:rPr>
          <w:rFonts w:ascii="Times New Roman" w:hAnsi="Times New Roman" w:eastAsia="宋体"/>
          <w:b/>
          <w:color w:val="003264"/>
          <w:sz w:val="24"/>
        </w:rPr>
        <w:t>High-field multi-cycle terahertz emission from axially cut β-BBO crystals reaching several hundred kV/cm</w:t>
      </w:r>
    </w:p>
    <w:p>
      <w:r>
        <w:rPr>
          <w:rFonts w:ascii="Times New Roman" w:hAnsi="Times New Roman" w:eastAsia="宋体"/>
          <w:sz w:val="21"/>
        </w:rPr>
        <w:t>作者: Xianghe Feng, Alexander H. Ohrt, Long Cheng, Oliver Nagy, Guochun Zhang, Peter Uhd Jepsen, Rukang Li, Binbin Zhou</w:t>
        <w:br/>
      </w:r>
      <w:r>
        <w:rPr>
          <w:rFonts w:ascii="Times New Roman" w:hAnsi="Times New Roman" w:eastAsia="宋体"/>
          <w:sz w:val="21"/>
        </w:rPr>
        <w:t xml:space="preserve">时间: 2026-02-06 | </w:t>
      </w:r>
      <w:r>
        <w:t xml:space="preserve">链接: </w:t>
      </w:r>
      <w:hyperlink r:id="rId59">
        <w:r>
          <w:rPr>
            <w:rFonts w:ascii="Times New Roman" w:hAnsi="Times New Roman" w:eastAsia="宋体"/>
            <w:color w:val="0000FF"/>
            <w:sz w:val="21"/>
            <w:u w:val="single"/>
          </w:rPr>
          <w:t>https://doi.org/10.1364/ol.584800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我们报告了由 800 nm 飞秒激光器驱动的轴向切割 β-硼酸钡 (β-BBO) 晶体中的光学整流 (OR) 有效产生高场多周期太赫兹 (THz) 辐射。 b 切和 c 切晶体都会产生相干太赫兹波形，具有两个以 10 太赫兹和 14 太赫兹为中心的窄带分量，较弱的边带延伸至 25 太赫兹。在泵浦功率为 3.95 W 时，b 切割晶体可提供 34 µW 太赫兹功率和 355 kV/cm 的聚焦峰值场，而更薄的 c 切割晶体可实现相当的输出和 390 kV/cm 的更高峰值场。高场强、实验简单性和高可扩展性潜力使轴向切割 β-BBO 成为紧凑而坚固的固态源，用于驱动 5-15 THz 范围内的强场动力学和基本激励。</w:t>
      </w:r>
    </w:p>
    <w:p>
      <w:pPr>
        <w:spacing w:before="120"/>
      </w:pPr>
      <w:r>
        <w:rPr>
          <w:rFonts w:ascii="Times New Roman" w:hAnsi="Times New Roman" w:eastAsia="宋体"/>
          <w:b/>
          <w:sz w:val="21"/>
        </w:rPr>
        <w:t>English Abstract:</w:t>
      </w:r>
    </w:p>
    <w:p>
      <w:r>
        <w:rPr>
          <w:rFonts w:ascii="Times New Roman" w:hAnsi="Times New Roman" w:eastAsia="宋体"/>
          <w:sz w:val="21"/>
        </w:rPr>
        <w:t>We report efficient generation of high-field multi-cycle terahertz (THz) radiation from optical rectification (OR) in axially cut β-barium borate (β-BBO) crystals driven by an 800 nm femtosecond laser. Both b-cut and c-cut crystals produce coherent THz waveforms featuring two narrowband components centered near 10 THz and 14 THz, with weaker sidebands extending up to 25 THz. At a pump power of 3.95 W, the b-cut crystal delivers 34 µW of THz power and a focused peak field of 355 kV/cm, while the thinner c-cut crystal achieves comparable output and a higher peak field of 390 kV/cm. The high-field strength, experimental simplicity, and high scalability potential make axially cut β-BBO a compact and robust solid-state source for driving strong-field dynamics and fundamental excitations in the 5–15 THz range.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00:30 ---</w:t>
      </w:r>
    </w:p>
    <w:p>
      <w:pPr>
        <w:pStyle w:val="Heading2"/>
      </w:pPr>
      <w:r/>
      <w:r>
        <w:rPr>
          <w:rFonts w:ascii="Times New Roman" w:hAnsi="Times New Roman" w:eastAsia="宋体"/>
          <w:b/>
          <w:color w:val="000000"/>
          <w:sz w:val="24"/>
        </w:rPr>
        <w:t>无掩模片上 LED 阵列显微镜，具有用于厘米级相位成像的空间变化角度校准</w:t>
      </w:r>
    </w:p>
    <w:p>
      <w:r>
        <w:rPr>
          <w:rFonts w:ascii="Times New Roman" w:hAnsi="Times New Roman" w:eastAsia="宋体"/>
          <w:b/>
          <w:color w:val="003264"/>
          <w:sz w:val="24"/>
        </w:rPr>
        <w:t>Maskless and on-chip LED-array microscope with spatially varying angle calibration for centimeter-scale phase imaging</w:t>
      </w:r>
    </w:p>
    <w:p>
      <w:r>
        <w:rPr>
          <w:rFonts w:ascii="Times New Roman" w:hAnsi="Times New Roman" w:eastAsia="宋体"/>
          <w:sz w:val="21"/>
        </w:rPr>
        <w:t>作者: Sibi Chakravarthy Shanmugavel, Vindya Senanayake, Donghwa Suh, Jeffrey M. Gross, Shwetadwip Chowdhury</w:t>
        <w:br/>
      </w:r>
      <w:r>
        <w:rPr>
          <w:rFonts w:ascii="Times New Roman" w:hAnsi="Times New Roman" w:eastAsia="宋体"/>
          <w:sz w:val="21"/>
        </w:rPr>
        <w:t xml:space="preserve">时间: 2026-02-03 | </w:t>
      </w:r>
      <w:r>
        <w:t xml:space="preserve">链接: </w:t>
      </w:r>
      <w:hyperlink r:id="rId60">
        <w:r>
          <w:rPr>
            <w:rFonts w:ascii="Times New Roman" w:hAnsi="Times New Roman" w:eastAsia="宋体"/>
            <w:color w:val="0000FF"/>
            <w:sz w:val="21"/>
            <w:u w:val="single"/>
          </w:rPr>
          <w:t>https://doi.org/10.1364/optica.578136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传统的基于镜头的显微镜受到分辨率和视场 (FOV) 之间权衡的限制，这限制了整体成像吞吐量。最近的研究表明，采用基于 LED 阵列的照明的片上成像系统为大视场相位成像提供了一种经济有效的方法。然而，该策略面临两个主要挑战：（1）双图像模糊性会降低相位重建。虽然基于掩模的调制可以提供帮助，但由于制造和对准要求，它增加了系统的复杂性； (2) 每个 LED 的照明角度在大视场范围内会有所不同，并且会在没有校准的情况下降低厘米级相位重建的性能。在这里，我们提出了一个计算框架，以共同实现无掩模片上相位成像和空间变化照明角度的自适应校准。传感器 FOV 分为多个子区域，每个子区域内的 LED 照明近似为平面。每个子区域的 LED 照明角度均以几何方式初始化。然后通过先用软光学透明度约束重建，同时细化角度估计，在每个子区域内执行相位恢复。重建的相位图被合并以产生高质量、大视场的相位图像。我们通过在各种生物组织切片上实现具有微米级分辨率的厘米级片上相位成像（高达 2.7×1.7cm 2 ）来演示这种方法。这种方法为大视场和无标记成像提供了一种简单、低成本且可扩展的解决方案。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2.7×1.7cm 2 ) with micron-scale resolution across various biological tissue sections. This approach provides a simple, low-cost, and scalable solution for large-FOV and label-free imaging.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00:30 ---</w:t>
      </w:r>
    </w:p>
    <w:p>
      <w:pPr>
        <w:pStyle w:val="Heading2"/>
      </w:pPr>
      <w:r/>
      <w:r>
        <w:rPr>
          <w:rFonts w:ascii="Times New Roman" w:hAnsi="Times New Roman" w:eastAsia="宋体"/>
          <w:b/>
          <w:color w:val="000000"/>
          <w:sz w:val="24"/>
        </w:rPr>
        <w:t>使用快速傅里叶变换生成用于大气波光学模拟的多波长相位屏幕</w:t>
      </w:r>
    </w:p>
    <w:p>
      <w:r>
        <w:rPr>
          <w:rFonts w:ascii="Times New Roman" w:hAnsi="Times New Roman" w:eastAsia="宋体"/>
          <w:b/>
          <w:color w:val="003264"/>
          <w:sz w:val="24"/>
        </w:rPr>
        <w:t>Generating multi-wavelength phase screens for atmospheric wave optics simulations using fast Fourier transforms</w:t>
      </w:r>
    </w:p>
    <w:p>
      <w:r>
        <w:rPr>
          <w:rFonts w:ascii="Times New Roman" w:hAnsi="Times New Roman" w:eastAsia="宋体"/>
          <w:sz w:val="21"/>
        </w:rPr>
        <w:t>作者: Milo Hyde, Mark Spencer, Matthew Kalensky</w:t>
        <w:br/>
      </w:r>
      <w:r>
        <w:rPr>
          <w:rFonts w:ascii="Times New Roman" w:hAnsi="Times New Roman" w:eastAsia="宋体"/>
          <w:sz w:val="21"/>
        </w:rPr>
        <w:t xml:space="preserve">时间: 2026-01-29 | </w:t>
      </w:r>
      <w:r>
        <w:t xml:space="preserve">链接: </w:t>
      </w:r>
      <w:hyperlink r:id="rId61">
        <w:r>
          <w:rPr>
            <w:rFonts w:ascii="Times New Roman" w:hAnsi="Times New Roman" w:eastAsia="宋体"/>
            <w:color w:val="0000FF"/>
            <w:sz w:val="21"/>
            <w:u w:val="single"/>
          </w:rPr>
          <w:t>https://doi.org/10.1364/josaa.586510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快速傅立叶变换来合成多波长大气波光学模拟的相位屏幕的方法。我们通过将理论双波长光路长度结构函数与模拟结果进行比较来验证我们的工作，我们发现两者非常一致。我们的相位屏幕合成方法将适用于强湍流或深度湍流中的双波长自适应光学模拟。</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to synthesize phase screens for multi-wavelength, atmospheric wave optics simulations using fast Fourier transforms. We validate our work by comparing the theoretical, two-wavelength optical path length structure function to simulated results, and we find the two to be in excellent agreement. Our phase screen synthesis method will be useful in two-wavelength adaptive optics simulations in strong or deep turbulence.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反对称穆勒发生器作为经典偏振和量子二能级系统中几何相位的普遍起源</w:t>
      </w:r>
    </w:p>
    <w:p>
      <w:r>
        <w:rPr>
          <w:rFonts w:ascii="Times New Roman" w:hAnsi="Times New Roman" w:eastAsia="宋体"/>
          <w:b/>
          <w:color w:val="003264"/>
          <w:sz w:val="24"/>
        </w:rPr>
        <w:t>Antisymmetric Mueller generator as the universal origin of geometric phase in classical polarization and quantum two-level systems</w:t>
      </w:r>
    </w:p>
    <w:p>
      <w:r>
        <w:rPr>
          <w:rFonts w:ascii="Times New Roman" w:hAnsi="Times New Roman" w:eastAsia="宋体"/>
          <w:sz w:val="21"/>
        </w:rPr>
        <w:t>作者: Jose Gil</w:t>
        <w:br/>
      </w:r>
      <w:r>
        <w:rPr>
          <w:rFonts w:ascii="Times New Roman" w:hAnsi="Times New Roman" w:eastAsia="宋体"/>
          <w:sz w:val="21"/>
        </w:rPr>
        <w:t xml:space="preserve">时间: 2026-01-30 | </w:t>
      </w:r>
      <w:r>
        <w:t xml:space="preserve">链接: </w:t>
      </w:r>
      <w:hyperlink r:id="rId62">
        <w:r>
          <w:rPr>
            <w:rFonts w:ascii="Times New Roman" w:hAnsi="Times New Roman" w:eastAsia="宋体"/>
            <w:color w:val="0000FF"/>
            <w:sz w:val="21"/>
            <w:u w:val="single"/>
          </w:rPr>
          <w:t>https://doi.org/10.1364/josaa.586965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我们证明反对称穆勒发生器为经典偏振光学和量子二能级系统中的几何相位提供了通用代数核。对于任何理想的延迟器，其 Mueller 矩阵的反对称 3x3 块（斯托克斯矢量上的伴随 SU(2) 作用的反对称生成器）对驱动庞加莱球上切向运动的角速度矢量进行编码，并完全确定 Pancharatnam-Berry 相位，而对称块在几何上是中性的。相同的反对称生成器控制着布洛赫球上纯量子位态的演化。这种统一的观点产生了操作标准，用于识别和控制来自测量的穆勒矩阵和量子位过程断层扫描的几何相位贡献。</w:t>
      </w:r>
    </w:p>
    <w:p>
      <w:pPr>
        <w:spacing w:before="120"/>
      </w:pPr>
      <w:r>
        <w:rPr>
          <w:rFonts w:ascii="Times New Roman" w:hAnsi="Times New Roman" w:eastAsia="宋体"/>
          <w:b/>
          <w:sz w:val="21"/>
        </w:rPr>
        <w:t>English Abstract:</w:t>
      </w:r>
    </w:p>
    <w:p>
      <w:r>
        <w:rPr>
          <w:rFonts w:ascii="Times New Roman" w:hAnsi="Times New Roman" w:eastAsia="宋体"/>
          <w:sz w:val="21"/>
        </w:rPr>
        <w:t>We show that the antisymmetric Mueller generator provides a universal algebraic kernel for geometric phase in classical polarization optics and in quantum two-level systems. For any ideal retarder, the antisymmetric 3x3 block of its Mueller matrix (the antisymmetric generator of the adjoint SU(2) action on the Stokes vector) encodes the angular-velocity vector that drives the tangential motion on the Poincar\'e sphere and fully determines the Pancharatnam-Berry phase, while the symmetric block is geometrically neutral. The same antisymmetric generator governs the evolution of pure qubit states on the Bloch sphere. This unified viewpoint yields operational criteria to identify and control geometric-phase contributions from measured Mueller matrices and from qubit process tomography.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00:30 ---</w:t>
      </w:r>
    </w:p>
    <w:p>
      <w:pPr>
        <w:pStyle w:val="Heading2"/>
      </w:pPr>
      <w:r/>
      <w:r>
        <w:rPr>
          <w:rFonts w:ascii="Times New Roman" w:hAnsi="Times New Roman" w:eastAsia="宋体"/>
          <w:b/>
          <w:color w:val="000000"/>
          <w:sz w:val="24"/>
        </w:rPr>
        <w:t>通过多种散射介质实现稳健的光子级单像素成像</w:t>
      </w:r>
    </w:p>
    <w:p>
      <w:r>
        <w:rPr>
          <w:rFonts w:ascii="Times New Roman" w:hAnsi="Times New Roman" w:eastAsia="宋体"/>
          <w:b/>
          <w:color w:val="003264"/>
          <w:sz w:val="24"/>
        </w:rPr>
        <w:t>Robust photon-level single-pixel imaging through diverse scattering media</w:t>
      </w:r>
    </w:p>
    <w:p>
      <w:r>
        <w:rPr>
          <w:rFonts w:ascii="Times New Roman" w:hAnsi="Times New Roman" w:eastAsia="宋体"/>
          <w:sz w:val="21"/>
        </w:rPr>
        <w:t>作者: Futong Zhang, Kai Song, Yaoxing Bian, Shijun Zhao, Hongrui Liu, Hongda Ge, Lei Han, Yichen Yu, Weifeng Zhang, Dong Wang, Liantuan Xiao</w:t>
        <w:br/>
      </w:r>
      <w:r>
        <w:rPr>
          <w:rFonts w:ascii="Times New Roman" w:hAnsi="Times New Roman" w:eastAsia="宋体"/>
          <w:sz w:val="21"/>
        </w:rPr>
        <w:t xml:space="preserve">时间: 2026-02-13 | </w:t>
      </w:r>
      <w:r>
        <w:t xml:space="preserve">链接: </w:t>
      </w:r>
      <w:hyperlink r:id="rId63">
        <w:r>
          <w:rPr>
            <w:rFonts w:ascii="Times New Roman" w:hAnsi="Times New Roman" w:eastAsia="宋体"/>
            <w:color w:val="0000FF"/>
            <w:sz w:val="21"/>
            <w:u w:val="single"/>
          </w:rPr>
          <w:t>https://doi.org/10.1117/1.apn.5.2.026007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成像在遥感、生物医学诊断和工业检测方面具有巨大的应用潜力。然而，传统的成像系统无法在不同的环境中保持鲁棒性和通用性。在这里，我们演示了一种光子级单像素成像系统，该系统利用数据域对齐来克服这一限制。通过将物理预处理模块与深度神经网络相结合，该系统将不同散射介质的散射引起的退化转化为统一的数据域，从而保留光学信息的基本结构。在自然雾和雨条件下，该方法清晰地重建了150 m距离处的精细目标细节，在散射介质上表现出很强的鲁棒性。单次测量中每个图案每个像素 0.088 个光子，可以很好地重建 256×256 动态成像。这些结果为不同散射介质中的光子级成像建立了一个可推广的框架，并强调了其在极端大气条件下实现稳健光学成像的前景。</w:t>
      </w:r>
    </w:p>
    <w:p>
      <w:pPr>
        <w:spacing w:before="120"/>
      </w:pPr>
      <w:r>
        <w:rPr>
          <w:rFonts w:ascii="Times New Roman" w:hAnsi="Times New Roman" w:eastAsia="宋体"/>
          <w:b/>
          <w:sz w:val="21"/>
        </w:rPr>
        <w:t>English Abstract:</w:t>
      </w:r>
    </w:p>
    <w:p>
      <w:r>
        <w:rPr>
          <w:rFonts w:ascii="Times New Roman" w:hAnsi="Times New Roman" w:eastAsia="宋体"/>
          <w:sz w:val="21"/>
        </w:rPr>
        <w:t>Imaging through scattering media holds significant application potential in remote sensing, biomedical diagnostics, and industrial detection. However, conventional imaging systems fail to maintain robustness and generalization across diverse environments. Here, we demonstrate a photon-level single-pixel imaging system that exploits data-domain alignment to overcome this limitation. By coupling a physical preprocessing module with a deep neural network, the system translates scattering-induced degradations from different scattering media into a unified data domain, preserving the essential structure of the optical information. Under natural fog and rain conditions, the proposed method clearly reconstructs the fine target details at a distance of 150 m, demonstrating strong robustness across the scattering medium. With 0.088 photons per pattern per pixel in a single measurement, the 256×256 dynamic imaging is well reconstructed. These results establish a generalizable framework for photon-level imaging in diverse scattering media and highlight its promise for robust optical imaging under extreme atmospheric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00:31 ---</w:t>
      </w:r>
    </w:p>
    <w:p>
      <w:pPr>
        <w:pStyle w:val="Heading2"/>
      </w:pPr>
      <w:r/>
      <w:r>
        <w:rPr>
          <w:rFonts w:ascii="Times New Roman" w:hAnsi="Times New Roman" w:eastAsia="宋体"/>
          <w:b/>
          <w:color w:val="000000"/>
          <w:sz w:val="24"/>
        </w:rPr>
        <w:t>通过单斜双钙钛矿中的 Fe 3+ ‐Ni 2+ 能量通道和晶体场调制增强 NIR-II/III 发光</w:t>
      </w:r>
    </w:p>
    <w:p>
      <w:r>
        <w:rPr>
          <w:rFonts w:ascii="Times New Roman" w:hAnsi="Times New Roman" w:eastAsia="宋体"/>
          <w:b/>
          <w:color w:val="003264"/>
          <w:sz w:val="24"/>
        </w:rPr>
        <w:t>Boosting NIR‐II/III Luminescence via Fe 3+ ‐Ni 2+ Energy Channels and Crystal Field Modulation in Monoclinic Double Perovskites</w:t>
      </w:r>
    </w:p>
    <w:p>
      <w:r>
        <w:rPr>
          <w:rFonts w:ascii="Times New Roman" w:hAnsi="Times New Roman" w:eastAsia="宋体"/>
          <w:sz w:val="21"/>
        </w:rPr>
        <w:t>作者: Xiaomeng Wang, Jiaren Du, Hengwei Lin</w:t>
        <w:br/>
      </w:r>
      <w:r>
        <w:rPr>
          <w:rFonts w:ascii="Times New Roman" w:hAnsi="Times New Roman" w:eastAsia="宋体"/>
          <w:sz w:val="21"/>
        </w:rPr>
        <w:t xml:space="preserve">时间: 2026-02-13 | </w:t>
      </w:r>
      <w:r>
        <w:t xml:space="preserve">链接: </w:t>
      </w:r>
      <w:hyperlink r:id="rId64">
        <w:r>
          <w:rPr>
            <w:rFonts w:ascii="Times New Roman" w:hAnsi="Times New Roman" w:eastAsia="宋体"/>
            <w:color w:val="0000FF"/>
            <w:sz w:val="21"/>
            <w:u w:val="single"/>
          </w:rPr>
          <w:t>https://doi.org/10.1002/lpor.202503148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摘要：蓝光激发近红外 (NIR) 发射材料在生物成像、无损检测和夜视领域作为紧凑型光源具有巨大的潜力。然而，由于激发-发射斯托克斯位移较大以及 f – f 或 d – d 跃迁的禁禁性质，在蓝色激发下实现高效的 NIR-II/III (1000–1800 nm) 发射仍然具有挑战性。在这项研究中，我们报道了Ni 2 + 掺杂的单斜晶双钙钛矿Ca 2 ScTaO 6 ，它表现出宽带NIR-II/III，半峰全宽为240 nm，在425 nm激发时光致发光量子产率约为21%。 Fe 3+ 离子的掺入通过从Fe 3+ 到Ni 2+ 的能量转移途径和晶体场调制将光致发光量子产率显着提高至约37%。结构和光谱研究表明，Fe 3+ 离子存在于不同的晶格位点，导致局部变形，促进 Ni 2+ 中 d – d 跃迁的弛豫。利用 Ca 2 ScTaO 6 :Fe 3+ , Ni 2+ 的原型近红外发光二极管表现出强烈的 NIR-II/III 发射，有助于可视化各种材料（包括水果、胶囊、肉类和硅片）的亚表面损伤。这项工作展示了通过协同能量转移和晶体场工程设计蓝光激发近红外材料的有效策略。</w:t>
      </w:r>
    </w:p>
    <w:p>
      <w:pPr>
        <w:spacing w:before="120"/>
      </w:pPr>
      <w:r>
        <w:rPr>
          <w:rFonts w:ascii="Times New Roman" w:hAnsi="Times New Roman" w:eastAsia="宋体"/>
          <w:b/>
          <w:sz w:val="21"/>
        </w:rPr>
        <w:t>English Abstract:</w:t>
      </w:r>
    </w:p>
    <w:p>
      <w:r>
        <w:rPr>
          <w:rFonts w:ascii="Times New Roman" w:hAnsi="Times New Roman" w:eastAsia="宋体"/>
          <w:sz w:val="21"/>
        </w:rPr>
        <w:t>ABSTRACT Blue‐light‐excitable near‐infrared (NIR) emitting materials exhibit significant potential for compact light sources in bioimaging, nondestructive detection, and night vision. However, achieving efficient NIR‐II/III (1000–1800 nm) emission under blue excitation remains challenging due to the large excitation–emission Stokes shift and the forbidden nature of f – f or d – d transitions. In this study, we report on the Ni 2 + ‐doped monoclinic double perovskite Ca 2 ScTaO 6 , which exhibits broadband NIR‐II/III with a full width at half maximum of 240 nm and a photoluminescence quantum yield of approximately 21% when excited at 425 nm. The incorporation of Fe 3+ ions significantly improves the photoluminescence quantum yield to approximately 37% through energy transfer pathways from Fe 3+ to Ni 2+ and crystal field modulation. Structural and spectroscopic investigations reveal the presence of Fe 3+ ions at various lattice sites, resulting in localized distortions that facilitate the relaxation of d – d transitions in Ni 2+ . A prototype NIR light‐emitting diode utilizing Ca 2 ScTaO 6 :Fe 3+ , Ni 2+ exhibits strong NIR‐II/III emission, facilitating the visualization of subsurface damage in various materials, including fruits, capsules, meat, and silicon wafers. This work demonstrates an effective strategy for designing blue‐light‐excitable NIR materials through synergistic energy transfer and crystal field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 3 + 激活钽酸盐中的超稳定、自恢复和宽带可调谐近红外机械发光</w:t>
      </w:r>
    </w:p>
    <w:p>
      <w:r>
        <w:rPr>
          <w:rFonts w:ascii="Times New Roman" w:hAnsi="Times New Roman" w:eastAsia="宋体"/>
          <w:b/>
          <w:color w:val="003264"/>
          <w:sz w:val="24"/>
        </w:rPr>
        <w:t>Ultrastable, Self‐Recoverable and Broadband‐Tunable NIR Mechanoluminescence in Cr 3 + ‐Activated Tantalates</w:t>
      </w:r>
    </w:p>
    <w:p>
      <w:r>
        <w:rPr>
          <w:rFonts w:ascii="Times New Roman" w:hAnsi="Times New Roman" w:eastAsia="宋体"/>
          <w:sz w:val="21"/>
        </w:rPr>
        <w:t>作者: Wei Liu, Zexiong Zhou, Lin Li, Yu Zhang, Guihua Li, Xiaoyu Yao, Xinxin Yang, Qianli Li, Junben Huang, Guanghui Rao, Hao Suo, Jingtai Zhao</w:t>
        <w:br/>
      </w:r>
      <w:r>
        <w:rPr>
          <w:rFonts w:ascii="Times New Roman" w:hAnsi="Times New Roman" w:eastAsia="宋体"/>
          <w:sz w:val="21"/>
        </w:rPr>
        <w:t xml:space="preserve">时间: 2026-02-13 | </w:t>
      </w:r>
      <w:r>
        <w:t xml:space="preserve">链接: </w:t>
      </w:r>
      <w:hyperlink r:id="rId65">
        <w:r>
          <w:rPr>
            <w:rFonts w:ascii="Times New Roman" w:hAnsi="Times New Roman" w:eastAsia="宋体"/>
            <w:color w:val="0000FF"/>
            <w:sz w:val="21"/>
            <w:u w:val="single"/>
          </w:rPr>
          <w:t>https://doi.org/10.1002/lpor.202502922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摘要：近红外机械发光（NIR ML）材料有望实现原位应力可视化和无损体内诊断，但大多数报道的系统都存在预辐照要求、发射带宽窄或环境稳定性差的问题。在此，我们报道了一系列 Cr 3+ 激活的双钙钛矿钽酸盐，它们通过成分工程克服了这些限制。通过控制局部晶体场，无需预照射的 NIR ML 可以在较宽的波长范围（782-844 nm）内连续调谐，达到 160 nm 的最大半峰全宽（FWHM）。机理研究表明，自恢复ML源于局部压电场驱动的载流子传输，而不是陷阱控制的过程。值得注意的是，即使直接浸泡超过 3000 小时，宽带 NIR ML 仍表现出优异的耐水和有机溶剂性能，性能也没有明显下降，优于最先进的 NIR-ML 材料（即 CaZnOS:Nd 3+ ）。因此，ML复合膜能够通过5毫米的猪肉组织进行实时、高分辨率的生物力学成像。这项工作引入了高性能自恢复近红外机器学习材料系统的稳健设计策略，为应力传感和无损体内诊断等高级应用建立了多功能平台。</w:t>
      </w:r>
    </w:p>
    <w:p>
      <w:pPr>
        <w:spacing w:before="120"/>
      </w:pPr>
      <w:r>
        <w:rPr>
          <w:rFonts w:ascii="Times New Roman" w:hAnsi="Times New Roman" w:eastAsia="宋体"/>
          <w:b/>
          <w:sz w:val="21"/>
        </w:rPr>
        <w:t>English Abstract:</w:t>
      </w:r>
    </w:p>
    <w:p>
      <w:r>
        <w:rPr>
          <w:rFonts w:ascii="Times New Roman" w:hAnsi="Times New Roman" w:eastAsia="宋体"/>
          <w:sz w:val="21"/>
        </w:rPr>
        <w:t>ABSTRACT Near‐infrared mechanoluminescence (NIR ML) materials hold promise for in situ stress visualization and non‐destructive in vivo diagnostics, but most reported systems suffer from pre‐irradiation requirements, narrow emission bandwidth, or poor environmental stability. Herein, we report a family of Cr 3+ ‐activated double perovskite tantalates that overcome these limitations via compositional engineering. Through controlling the local crystal‐field, the NIR ML without pre‐irradiation can be continuously tuned across a broad wavelength range (782–844 nm), reaching a maximum full width at half maximum (FWHM) of 160 nm. Mechanistic studies reveal that the self‐recoverable ML arises from local piezoelectric‐field‐driven carrier transportation, rather than the trap‐controlled process. Remarkably, the broadband NIR ML exhibits exceptional resistance to water and organic solvents without noticeable performance degradation even after over 3000 h of direct immersion, outperforming the state‐of‐the‐art NIR‐ML material (i.e., CaZnOS:Nd 3+ ). Accordingly, the ML composite film enabled real‐time and high‐resolution biomechanical imaging through 5 mm of pork tissue. This work introduces a robust design strategy for high‐performance self‐recoverable NIR ML material systems, establishing a versatile platform for advanced applications such as stress sensing and non‐destructive in vivo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用于辅助红绿色视觉缺陷的人工视觉突触</w:t>
      </w:r>
    </w:p>
    <w:p>
      <w:r>
        <w:rPr>
          <w:rFonts w:ascii="Times New Roman" w:hAnsi="Times New Roman" w:eastAsia="宋体"/>
          <w:b/>
          <w:color w:val="003264"/>
          <w:sz w:val="24"/>
        </w:rPr>
        <w:t>Artificial Visual Synapses for Assisting Red‐Green Color Vision Deficiency</w:t>
      </w:r>
    </w:p>
    <w:p>
      <w:r>
        <w:rPr>
          <w:rFonts w:ascii="Times New Roman" w:hAnsi="Times New Roman" w:eastAsia="宋体"/>
          <w:sz w:val="21"/>
        </w:rPr>
        <w:t>作者: Haohong Jiang, Yuanhong Hu, Tongzhou Wei, Lixiang Chen, Qiaoming Zhang, Yanlian Lei</w:t>
        <w:br/>
      </w:r>
      <w:r>
        <w:rPr>
          <w:rFonts w:ascii="Times New Roman" w:hAnsi="Times New Roman" w:eastAsia="宋体"/>
          <w:sz w:val="21"/>
        </w:rPr>
        <w:t xml:space="preserve">时间: 2026-02-13 | </w:t>
      </w:r>
      <w:r>
        <w:t xml:space="preserve">链接: </w:t>
      </w:r>
      <w:hyperlink r:id="rId66">
        <w:r>
          <w:rPr>
            <w:rFonts w:ascii="Times New Roman" w:hAnsi="Times New Roman" w:eastAsia="宋体"/>
            <w:color w:val="0000FF"/>
            <w:sz w:val="21"/>
            <w:u w:val="single"/>
          </w:rPr>
          <w:t>https://doi.org/10.1002/lpor.202502220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色觉对于人类感知至关重要，但红绿色视觉缺陷 (CVD) 影响了数百万人，并对色觉辨别提出了重大挑战。现有的辅助技术通常是静态的，并且会扭曲真实的色彩感知。在这项研究中，我们介绍了一种新型光突触装置，旨在通过将光子信号转换为数字突触电流来增强红绿 CVD 患者的色觉辨别能力。与模拟红绿色盲的控制设备相比，我们的设备利用基于聚（3-己基噻吩）（P3HT）的有机异质结，红光和绿光之间的波长辨别力提高了十倍。当与人工神经网络集成时，该设备在识别复杂的色彩模式方面表现出高达 92% 的准确率。我们的研究结果进一步证明了该设备具有增强色弱个体颜色识别能力的潜力，从而能够更有效地区分复杂的图案。这项工作为增强色彩感知提供了强大的解决方案，并为专注于感官恢复的下一代生物电子系统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Color vision is essential for human perception, yet red‐green color vision deficiency (CVD) affects millions and poses significant challenges for chromatic discrimination. Existing assistive technologies are often static and distort true color perception. In this study, we introduce a novel photo‐synaptic device designed to enhance chromatic discrimination for individuals with red‐green CVD by converting photonic signals into digital synaptic currents. Utilizing a poly(3‐hexylthiophene) (P3HT)‐based organic heterojunction, our device achieves a tenfold improvement in wavelength discrimination between red and green light compared to a control device that mimics red‐green color blindness. When integrated with artificial neural networks, the device demonstrates a remarkable 92% accuracy in recognizing complex chromatic patterns. Our findings further demonstrate the device's potential to enhance color recognition for individuals with color weakness, enabling more effective differentiation of intricate patterns. This work provides a robust solution for enhancing color perception and lays the groundwork for next‐generation bioelectronic systems focused on sensory restoration.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ACM Trans. Graphics (TOG)</w:t>
      </w:r>
    </w:p>
    <w:p>
      <w:pPr>
        <w:jc w:val="center"/>
      </w:pPr>
      <w:r>
        <w:t>--- 更新: 00:31 ---</w:t>
      </w:r>
    </w:p>
    <w:p>
      <w:pPr>
        <w:pStyle w:val="Heading2"/>
      </w:pPr>
      <w:r/>
      <w:r>
        <w:rPr>
          <w:rFonts w:ascii="Times New Roman" w:hAnsi="Times New Roman" w:eastAsia="宋体"/>
          <w:b/>
          <w:color w:val="000000"/>
          <w:sz w:val="24"/>
        </w:rPr>
        <w:t>准内侧距离场（Q-MDF）：一种近似和离散神经内侧轴的稳健方法</w:t>
      </w:r>
    </w:p>
    <w:p>
      <w:r>
        <w:rPr>
          <w:rFonts w:ascii="Times New Roman" w:hAnsi="Times New Roman" w:eastAsia="宋体"/>
          <w:b/>
          <w:color w:val="003264"/>
          <w:sz w:val="24"/>
        </w:rPr>
        <w:t>Quasi-Medial Distance Field (Q-MDF): A Robust Method for Approximating and Discretizing Neural Medial Axes</w:t>
      </w:r>
    </w:p>
    <w:p>
      <w:r>
        <w:rPr>
          <w:rFonts w:ascii="Times New Roman" w:hAnsi="Times New Roman" w:eastAsia="宋体"/>
          <w:sz w:val="21"/>
        </w:rPr>
        <w:t>作者: Jiayi Kong, Chen Zong, Jun Luo, Shiqing Xin, Fei Hou, Hanqing Jiang, Chen Qian, Ying He</w:t>
        <w:br/>
      </w:r>
      <w:r>
        <w:rPr>
          <w:rFonts w:ascii="Times New Roman" w:hAnsi="Times New Roman" w:eastAsia="宋体"/>
          <w:sz w:val="21"/>
        </w:rPr>
        <w:t xml:space="preserve">时间: 2026-02-13 | </w:t>
      </w:r>
      <w:r>
        <w:t xml:space="preserve">链接: </w:t>
      </w:r>
      <w:hyperlink r:id="rId67">
        <w:r>
          <w:rPr>
            <w:rFonts w:ascii="Times New Roman" w:hAnsi="Times New Roman" w:eastAsia="宋体"/>
            <w:color w:val="0000FF"/>
            <w:sz w:val="21"/>
            <w:u w:val="single"/>
          </w:rPr>
          <w:t>https://doi.org/10.1145/3795772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轴是一种捕捉形状外部结构的低维描述符，在数字几何处理中发挥着重要作用。尽管它很重要，但根据不同的输入（尤其是有缺陷的点云）稳健地计算中轴变换仍然是一个具有挑战性的问题。在本文中，我们提出了一种不同于传统显式中轴计算的新隐式方法。我们的关键技术见解是，实体形状的有符号距离场 (SDF) 和中间场 (MF) 之间的差异与形状中轴的无符号距离场 (UDF) 相关。这一观察结果使我们能够将中轴提取表示为隐式重建问题。通过采用改进的双重覆盖策略，我们将中轴恢复为 UDF 的零水平集。大量的实验表明，我们的方法在从具有挑战性的网格和点云学习紧凑中轴变换方面实现了更高的准确性和鲁棒性，优于现有方法。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The medial axis, a lower-dimensional descriptor that captures the extrinsic structure of a shape, plays an important role in digital geometry processing. Despite its importance, computing the medial axis transform robustly from diverse inputs, especially point clouds with defects, remains a challenging problem. In this paper, we propose a new implicit method that deviates from traditional explicit medial axis computation. Our key technical insight is that the difference between the signed distance field (SDF) and the medial field (MF) of a solid shape relates to the unsigned distance field (UDF) of the shape’s medial axis. This observation allows us to formulate medial axis extraction as an implicit reconstruction problem. By employing a modified double covering strategy, we recover the medial axis as the zero level-set of the UDF. Extensive experiments demonstrate that our method achieves higher accuracy and robustness in learning compact medial axis transforms from challenging meshes and point clouds, outperforming existing approaches.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06:27 ---</w:t>
      </w:r>
    </w:p>
    <w:p>
      <w:pPr>
        <w:pStyle w:val="Heading2"/>
      </w:pPr>
      <w:r/>
      <w:r>
        <w:rPr>
          <w:rFonts w:ascii="Times New Roman" w:hAnsi="Times New Roman" w:eastAsia="宋体"/>
          <w:b/>
          <w:color w:val="000000"/>
          <w:sz w:val="24"/>
        </w:rPr>
        <w:t>通过掺杂剂控制的化学气相沉积打破整个可见光谱范围内非晶硅的光损耗障碍</w:t>
      </w:r>
    </w:p>
    <w:p>
      <w:r>
        <w:rPr>
          <w:rFonts w:ascii="Times New Roman" w:hAnsi="Times New Roman" w:eastAsia="宋体"/>
          <w:b/>
          <w:color w:val="003264"/>
          <w:sz w:val="24"/>
        </w:rPr>
        <w:t>Breaking the optical loss barrier in amorphous silicon across the full visible spectrum via dopant-controlled chemical vapor deposition</w:t>
      </w:r>
    </w:p>
    <w:p>
      <w:r>
        <w:rPr>
          <w:rFonts w:ascii="Times New Roman" w:hAnsi="Times New Roman" w:eastAsia="宋体"/>
          <w:sz w:val="21"/>
        </w:rPr>
        <w:t>作者: Younghwan Yang, Hyeonae Im, Eunji Lee, Hyunjung Kang, Junhwa Seong, Yujin Park, Dohyun Kang, Jeong Woo Han, Junsuk Rho</w:t>
        <w:br/>
      </w:r>
      <w:r>
        <w:rPr>
          <w:rFonts w:ascii="Times New Roman" w:hAnsi="Times New Roman" w:eastAsia="宋体"/>
          <w:sz w:val="21"/>
        </w:rPr>
        <w:t xml:space="preserve">时间: 2026-02-13 | </w:t>
      </w:r>
      <w:r>
        <w:t xml:space="preserve">链接: </w:t>
      </w:r>
      <w:hyperlink r:id="rId70">
        <w:r>
          <w:rPr>
            <w:rFonts w:ascii="Times New Roman" w:hAnsi="Times New Roman" w:eastAsia="宋体"/>
            <w:color w:val="0000FF"/>
            <w:sz w:val="21"/>
            <w:u w:val="single"/>
          </w:rPr>
          <w:t>https://doi.org/10.1126/sciadv.ady0344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在纳米光子结构中的传播受组成材料的折射率和光学色散的控制。然而，电介质的选择通常受到透明度窗口的限制。我们介绍了用于超表面的硅基介电材料工艺的对象驱动工程：具有3.48高折射率的可见透明氢化非晶硅（a-Si:H）和表现出强色散（阿贝数&lt;10）的氧掺杂a-Si:H（a-SiO x :H）。这两种薄膜都是通过化学气相沉积制造的，精确控制原子键合和掺杂剂，揭示了光学特性和非晶硅网络之间的联系。我们证明了 a-Si:H 在超透镜中的有效性，在 450、532 和 635 纳米处的转换效率分别为 66.3、92.0 和 97.0%。此外，波长解耦的a-SiO x :H分束器在450和635纳米之间实现了3.67倍的转向强度对比度。这些材料拓宽了介电设计空间并增强了纳米光子器件在可见光谱范围内的性能。</w:t>
      </w:r>
    </w:p>
    <w:p>
      <w:pPr>
        <w:spacing w:before="120"/>
      </w:pPr>
      <w:r>
        <w:rPr>
          <w:rFonts w:ascii="Times New Roman" w:hAnsi="Times New Roman" w:eastAsia="宋体"/>
          <w:b/>
          <w:sz w:val="21"/>
        </w:rPr>
        <w:t>English Abstract:</w:t>
      </w:r>
    </w:p>
    <w:p>
      <w:r>
        <w:rPr>
          <w:rFonts w:ascii="Times New Roman" w:hAnsi="Times New Roman" w:eastAsia="宋体"/>
          <w:sz w:val="21"/>
        </w:rPr>
        <w:t>The propagation of light in nanophotonic structures is governed by the refractive index and optical dispersion of constituent materials. However, the choice of dielectrics is often restricted within the transparency window. We introduce object-driven engineering of the process of silicon-based dielectric materials for metasurfaces: visibly transparent hydrogenated amorphous silicon (a-Si:H) with a high refractive index of 3.48 and oxygen-doped a-Si:H (a-SiO x :H) exhibiting strong dispersion (Abbe number &lt; 10). Both films are fabricated via chemical vapor deposition with precise control over atomic bonding and dopants, revealing the link between optical properties and the amorphous silicon network. We demonstrate the effectiveness of a-Si:H in metalenses with conversion efficiencies of 66.3, 92.0, and 97.0% at 450, 532, and 635 nanometers, respectively. In addition, a wavelength-decoupled a-SiO x :H beam-splitter achieves a 3.67-fold steering intensity contrast between 450 and 635 nanometers. These materials broaden the dielectric design space and enhance the performance of nanophotonic devices across the visible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微管蛋白聚合动力学受到与自由基对机制一致的磁同位素效应的影响</w:t>
      </w:r>
    </w:p>
    <w:p>
      <w:r>
        <w:rPr>
          <w:rFonts w:ascii="Times New Roman" w:hAnsi="Times New Roman" w:eastAsia="宋体"/>
          <w:b/>
          <w:color w:val="003264"/>
          <w:sz w:val="24"/>
        </w:rPr>
        <w:t>Tubulin polymerization dynamics are influenced by magnetic isotope effects consistent with the radical pair mechanism</w:t>
      </w:r>
    </w:p>
    <w:p>
      <w:r>
        <w:rPr>
          <w:rFonts w:ascii="Times New Roman" w:hAnsi="Times New Roman" w:eastAsia="宋体"/>
          <w:sz w:val="21"/>
        </w:rPr>
        <w:t>作者: Hadi Zadeh-Haghighi, Caleb R. Siguenza, Robert P. Smith, Christoph Simon, Travis J. A. Craddock</w:t>
        <w:br/>
      </w:r>
      <w:r>
        <w:rPr>
          <w:rFonts w:ascii="Times New Roman" w:hAnsi="Times New Roman" w:eastAsia="宋体"/>
          <w:sz w:val="21"/>
        </w:rPr>
        <w:t xml:space="preserve">时间: 2026-02-13 | </w:t>
      </w:r>
      <w:r>
        <w:t xml:space="preserve">链接: </w:t>
      </w:r>
      <w:hyperlink r:id="rId71">
        <w:r>
          <w:rPr>
            <w:rFonts w:ascii="Times New Roman" w:hAnsi="Times New Roman" w:eastAsia="宋体"/>
            <w:color w:val="0000FF"/>
            <w:sz w:val="21"/>
            <w:u w:val="single"/>
          </w:rPr>
          <w:t>https://doi.org/10.1126/sciadv.ady8317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弱磁场已被证明会影响生物过程；然而，潜在的机制仍然未知，因为所涉及的能量远低于热能，这对经典解释提出了挑战。微管细胞骨架纤维由于其自组装能力、对磁场的敏感性及其在细胞过程中的核心作用，提供了测试弱磁场效应的理想系统。在这项研究中，我们结合实验和模拟，通过检查镁同位素取代和弱磁场之间的相互作用来探索核自旋动力学如何影响微管聚合。我们的实验揭示了由核自旋特性明确引起的同位素依赖性效应。这种核自旋驱动效应在施加的 3 毫特斯拉弱磁场下得到增强。我们的理论自由基对模型与我们的实验观察达到了定量一致。这些结果支持了量子自旋动力学和微管组装之间的联系，为弱磁场如何影响生物分子功能提供了进一步的见解。</w:t>
      </w:r>
    </w:p>
    <w:p>
      <w:pPr>
        <w:spacing w:before="120"/>
      </w:pPr>
      <w:r>
        <w:rPr>
          <w:rFonts w:ascii="Times New Roman" w:hAnsi="Times New Roman" w:eastAsia="宋体"/>
          <w:b/>
          <w:sz w:val="21"/>
        </w:rPr>
        <w:t>English Abstract:</w:t>
      </w:r>
    </w:p>
    <w:p>
      <w:r>
        <w:rPr>
          <w:rFonts w:ascii="Times New Roman" w:hAnsi="Times New Roman" w:eastAsia="宋体"/>
          <w:sz w:val="21"/>
        </w:rPr>
        <w:t>Weak magnetic fields have been shown to influence biological processes; however, the underlying mechanisms remain unknown as the energies involved are far below thermal energies challenging classical explanations. Microtubule cytoskeletal fibers offer an ideal system to test weak magnetic field effects due to their self-assembling capabilities, sensitivity to magnetic fields, and their central role in cellular processes. In this study, we use a combination of experiments and simulations to explore how nuclear spin dynamics affect microtubule polymerization by examining interactions between magnesium isotope substitution and weak magnetic fields. Our experiments reveal an isotope-dependent effect explicitly arising from nuclear spin properties. This nuclear spin-driven effect is enhanced under an applied weak 3-millitesla magnetic field. Our theoretical radical pair model achieves quantitative agreement with our experimental observations. These results support a connection between quantum spin dynamics and microtubule assembly, providing further insights into how weak magnetic fields may influence biomolecular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非典型变构激动剂揭示异聚甘氨酸受体结构域偶联的结构基础</w:t>
      </w:r>
    </w:p>
    <w:p>
      <w:r>
        <w:rPr>
          <w:rFonts w:ascii="Times New Roman" w:hAnsi="Times New Roman" w:eastAsia="宋体"/>
          <w:b/>
          <w:color w:val="003264"/>
          <w:sz w:val="24"/>
        </w:rPr>
        <w:t>Structural basis for domain coupling in heteromeric glycine receptors revealed by an atypical allosteric agonist</w:t>
      </w:r>
    </w:p>
    <w:p>
      <w:r>
        <w:rPr>
          <w:rFonts w:ascii="Times New Roman" w:hAnsi="Times New Roman" w:eastAsia="宋体"/>
          <w:sz w:val="21"/>
        </w:rPr>
        <w:t>作者: Eric Gibbs, Bjarne Feddersen, Kayla J. Kindig, David Seiferth, Philip C. Biggin, Sudha Chakrapani</w:t>
        <w:br/>
      </w:r>
      <w:r>
        <w:rPr>
          <w:rFonts w:ascii="Times New Roman" w:hAnsi="Times New Roman" w:eastAsia="宋体"/>
          <w:sz w:val="21"/>
        </w:rPr>
        <w:t xml:space="preserve">时间: 2026-02-13 | </w:t>
      </w:r>
      <w:r>
        <w:t xml:space="preserve">链接: </w:t>
      </w:r>
      <w:hyperlink r:id="rId72">
        <w:r>
          <w:rPr>
            <w:rFonts w:ascii="Times New Roman" w:hAnsi="Times New Roman" w:eastAsia="宋体"/>
            <w:color w:val="0000FF"/>
            <w:sz w:val="21"/>
            <w:u w:val="single"/>
          </w:rPr>
          <w:t>https://doi.org/10.1126/sciadv.aeb2036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甘氨酸受体 (GlyR)、五聚体配体门控离子通道 (pLGIC) 介导感觉和运动功能。 GlyR 功能状态已得到很好的表征；然而，国家之间过渡的结构细节仍未确定。在这里，我们确定了不同浓度的伊维菌素（一种跨膜结构域（TMD）变构激动剂）和饱和浓度的士的宁（一种细胞外结构域（ECD）竞争性拮抗剂）下GlyRα1β（带有gephyrin E结构域）的冷冻电子显微镜结构。电生理学表明，即使存在士的宁，伊维菌素也会激活 GlyR。具有两种配体的结构揭示了以脱敏TMD和封闭构象与脱敏构象之间的ECD为特征的中间状态，提供了对域协同性和配体功效的见解。分子动力学模拟显示伊维菌素如何影响士的宁动力学。这些数据支持这样一个模型：伊维菌素通过一致且近对称的 TMD 机制激活 GlyR，而变构 ECD 运动是分级的且空间异质的。这些发现揭示了 GlyR 门控的意外特征，并建立了适用于 pLGIC 的变构调节原理。</w:t>
      </w:r>
    </w:p>
    <w:p>
      <w:pPr>
        <w:spacing w:before="120"/>
      </w:pPr>
      <w:r>
        <w:rPr>
          <w:rFonts w:ascii="Times New Roman" w:hAnsi="Times New Roman" w:eastAsia="宋体"/>
          <w:b/>
          <w:sz w:val="21"/>
        </w:rPr>
        <w:t>English Abstract:</w:t>
      </w:r>
    </w:p>
    <w:p>
      <w:r>
        <w:rPr>
          <w:rFonts w:ascii="Times New Roman" w:hAnsi="Times New Roman" w:eastAsia="宋体"/>
          <w:sz w:val="21"/>
        </w:rPr>
        <w:t>Glycine receptors (GlyRs), pentameric ligand-gated ion channels (pLGICs), mediate sensory and motor functions. GlyR functional states are well characterized; however, structural details of transitions between states remain undefined. Here, we determined cryo–electron microscopy structures of GlyRα1β (with gephyrin E-domain) at varying concentrations of ivermectin, a transmembrane domain (TMD) allosteric agonist, and at saturating concentrations of strychnine, a competitive antagonist at the extracellular domain (ECD). Electrophysiology shows that ivermectin activates GlyR even with strychnine present. Structures with both ligands reveal intermediate states featuring a desensitized TMD and an ECD between closed and desensitized conformations, providing insights into domain cooperativity and ligand efficacy. Molecular dynamics simulations show how ivermectin affects strychnine dynamics. These data support a model where ivermectin activates GlyRs through a concerted and near-symmetric TMD mechanism, whereas allosteric ECD motions are graded and spatially heterogeneous. These findings reveal unanticipated features of GlyR gating and establish principles of allosteric modulation applicable to pLGICs.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用于微型投影仪的气相沉积碘化铜簇基发光二极管</w:t>
      </w:r>
    </w:p>
    <w:p>
      <w:r>
        <w:rPr>
          <w:rFonts w:ascii="Times New Roman" w:hAnsi="Times New Roman" w:eastAsia="宋体"/>
          <w:b/>
          <w:color w:val="003264"/>
          <w:sz w:val="24"/>
        </w:rPr>
        <w:t>Vapor-deposited copper iodide cluster–based light-emitting diodes for pico-projector</w:t>
      </w:r>
    </w:p>
    <w:p>
      <w:r>
        <w:rPr>
          <w:rFonts w:ascii="Times New Roman" w:hAnsi="Times New Roman" w:eastAsia="宋体"/>
          <w:sz w:val="21"/>
        </w:rPr>
        <w:t>作者: Yiqi Luo, Longbo Yang, Xiang Zhang, Jianfeng Ou, Fang Wang, Jiang Tang, Jiajun Luo</w:t>
        <w:br/>
      </w:r>
      <w:r>
        <w:rPr>
          <w:rFonts w:ascii="Times New Roman" w:hAnsi="Times New Roman" w:eastAsia="宋体"/>
          <w:sz w:val="21"/>
        </w:rPr>
        <w:t xml:space="preserve">时间: 2026-02-13 | </w:t>
      </w:r>
      <w:r>
        <w:t xml:space="preserve">链接: </w:t>
      </w:r>
      <w:hyperlink r:id="rId73">
        <w:r>
          <w:rPr>
            <w:rFonts w:ascii="Times New Roman" w:hAnsi="Times New Roman" w:eastAsia="宋体"/>
            <w:color w:val="0000FF"/>
            <w:sz w:val="21"/>
            <w:u w:val="single"/>
          </w:rPr>
          <w:t>https://doi.org/10.1126/sciadv.adz9942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气相沉积金属卤化物团簇已在下一代照明和显示应用中展现出巨大的潜力。然而，通过干反应技术在基底上直接合成高发射材料受到化学反应不充分和前驱体聚集的限制，导致与溶液处理的同类材料相比，器件性能较差。在这里，我们报告了通过设计有机配体的立体位阻，一步真空合成沉积碘化铜（I）簇，其光致发光量子产率接近一致。当碘化铜(I)和3,5-二(9H-咔唑-9-基)吡啶(35DCzPPy)共沉积时，吡啶基团附近空间位阻最小，[35DCzPPy] 4 Cu 2 I 2 簇均匀组装，没有铜-铜聚集。因此，基于团簇的发光二极管 (LED) 的峰值外量子效率为 19.4%，最大亮度为每平方米 34,232 坎德拉，并且在每平方米 100 坎德拉下的工作 T 50 寿命创纪录为 4186 小时。此外，我们将 LED 集成到有源矩阵 (AM) 集群 LED (CLED) 显示面板的背板驱动器上，从而实现了高动态范围微型投影仪的原型。我们的结果证明了气相沉积卤化铜簇在下一代照明和显示器中的潜力。</w:t>
      </w:r>
    </w:p>
    <w:p>
      <w:pPr>
        <w:spacing w:before="120"/>
      </w:pPr>
      <w:r>
        <w:rPr>
          <w:rFonts w:ascii="Times New Roman" w:hAnsi="Times New Roman" w:eastAsia="宋体"/>
          <w:b/>
          <w:sz w:val="21"/>
        </w:rPr>
        <w:t>English Abstract:</w:t>
      </w:r>
    </w:p>
    <w:p>
      <w:r>
        <w:rPr>
          <w:rFonts w:ascii="Times New Roman" w:hAnsi="Times New Roman" w:eastAsia="宋体"/>
          <w:sz w:val="21"/>
        </w:rPr>
        <w:t>Vapor-deposited metal halide clusters have demonstrated great potential for next-generation lighting and display applications. However, the direct synthesis-on-substrate of highly emissive materials via dry reaction technique is restricted by insufficient chemical reaction and precursor aggregation, leading to inferior device performance compared to their solution-processed counterparts. Here, we report a one-step vacuum synthesis deposition of copper(I) iodide clusters with near-unity photoluminescence quantum yields by engineering the stereohindrance of the organic ligand. When codeposited copper(I) iodide and 3,5-di(9H-carbazol-9-yl)pyridine (35DCzPPy) with minimal steric hindrance near the pyridine group, [35DCzPPy] 4 Cu 2 I 2 clusters are uniformly assembled without copper-copper aggregation. Consequently, light-emitting diodes (LEDs) based on clusters show a peak external quantum efficiency of 19.4%, a maximum luminance of 34,232 candelas per square meter, and a record operating T 50 lifetime of 4186 hours at 100 candelas per square meter. Moreover, we integrated the LEDs onto backplane drivers for active-matrix (AM) cluster LED (CLED) display panels, which enables the prototype of a high–dynamic-range pico-projector. Our results demonstrate the potential of vapor-deposited copper halide clusters for next-generation lighting and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正色散 x 切割铌酸锂微谐振器中的高效宽带克尔梳发生</w:t>
      </w:r>
    </w:p>
    <w:p>
      <w:r>
        <w:rPr>
          <w:rFonts w:ascii="Times New Roman" w:hAnsi="Times New Roman" w:eastAsia="宋体"/>
          <w:b/>
          <w:color w:val="003264"/>
          <w:sz w:val="24"/>
        </w:rPr>
        <w:t>High-efficiency and broadband Kerr comb generation in normal-dispersion x-cut lithium niobate microresonators</w:t>
      </w:r>
    </w:p>
    <w:p>
      <w:r>
        <w:rPr>
          <w:rFonts w:ascii="Times New Roman" w:hAnsi="Times New Roman" w:eastAsia="宋体"/>
          <w:sz w:val="21"/>
        </w:rPr>
        <w:t>作者: Yunxiang Song, Zongda Li, Xinrui Zhu, Norman Lippok, Miro Erkintalo, Marko Lončar</w:t>
        <w:br/>
      </w:r>
      <w:r>
        <w:rPr>
          <w:rFonts w:ascii="Times New Roman" w:hAnsi="Times New Roman" w:eastAsia="宋体"/>
          <w:sz w:val="21"/>
        </w:rPr>
        <w:t xml:space="preserve">时间: 2026-02-13 | </w:t>
      </w:r>
      <w:r>
        <w:t xml:space="preserve">链接: </w:t>
      </w:r>
      <w:hyperlink r:id="rId74">
        <w:r>
          <w:rPr>
            <w:rFonts w:ascii="Times New Roman" w:hAnsi="Times New Roman" w:eastAsia="宋体"/>
            <w:color w:val="0000FF"/>
            <w:sz w:val="21"/>
            <w:u w:val="single"/>
          </w:rPr>
          <w:t>https://doi.org/10.1126/sciadv.aeb5758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使用光子集成电路生成高效且相干的频率梳的能力为一系列应用提供了巨大的潜力。 X 切割薄膜铌酸锂 (TFLN) 有望用于开发下一代微梳驱动光子系统，通过组合 χ (3) 和电光效应提供多种功能。正色散克尔梳因其突出的优点而受到迫切需要，但这种色散机制在 x 切割 TFLN 上仍未得到探索。在这里，我们设计并演示了适合稳健生成正色散克尔梳的微谐振器。我们展示了克尔梳，其关键性能指标远远超过了 x 切 TFLN 上最先进的微梳，以及超宽频率梳，其存在受到法向色散克尔动力学和受激拉曼散射的支持。我们的工作将解锁高速、低能耗的光子电路，用于通过单片微梳技术实现通信和信号处理，同时也刺激对以前未知的非线性状态的研究，这些非线性状态可能会协同混合材料的非线性。</w:t>
      </w:r>
    </w:p>
    <w:p>
      <w:pPr>
        <w:spacing w:before="120"/>
      </w:pPr>
      <w:r>
        <w:rPr>
          <w:rFonts w:ascii="Times New Roman" w:hAnsi="Times New Roman" w:eastAsia="宋体"/>
          <w:b/>
          <w:sz w:val="21"/>
        </w:rPr>
        <w:t>English Abstract:</w:t>
      </w:r>
    </w:p>
    <w:p>
      <w:r>
        <w:rPr>
          <w:rFonts w:ascii="Times New Roman" w:hAnsi="Times New Roman" w:eastAsia="宋体"/>
          <w:sz w:val="21"/>
        </w:rPr>
        <w:t>The ability to generate efficient and coherent frequency combs using photonic integrated circuits offers tremendous potential for a range of applications. X-cut thin-film lithium niobate (TFLN) is promising for developing next-generation microcomb-driven photonic systems, providing a diversity of functionalities through combined χ ( 3 ) and electro-optic effects. Normal-dispersion Kerr combs are critically needed because of their standout advantages, yet this dispersion regime remains unexplored on x-cut TFLN. Here, we design and demonstrate microresonators suitable for the robust generation of normal-dispersion Kerr combs. We show Kerr combs that substantially surpass state-of-the-art microcombs on x-cut TFLN in key performance metrics and an ultrabroad frequency comb whose existence is underpinned by both normal-dispersion Kerr dynamics and stimulated Raman scattering. Our work will unlock high-speed and low-energy-consumption photonic circuits for communications and signal processing enabled by a monolithic microcomb technology while also stimulating investigations of previously unknown nonlinear states that may synergize hybrid material nonlinearities.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健康饮食模式、长寿基因和预期寿命：一项前瞻性队列研究</w:t>
      </w:r>
    </w:p>
    <w:p>
      <w:r>
        <w:rPr>
          <w:rFonts w:ascii="Times New Roman" w:hAnsi="Times New Roman" w:eastAsia="宋体"/>
          <w:b/>
          <w:color w:val="003264"/>
          <w:sz w:val="24"/>
        </w:rPr>
        <w:t>Healthy dietary patterns, longevity genes, and life expectancy: A prospective cohort study</w:t>
      </w:r>
    </w:p>
    <w:p>
      <w:r>
        <w:rPr>
          <w:rFonts w:ascii="Times New Roman" w:hAnsi="Times New Roman" w:eastAsia="宋体"/>
          <w:sz w:val="21"/>
        </w:rPr>
        <w:t>作者: Yanling Lv, Jing Song, Ding Ding, Mengyun Luo, Feng J. He, Changzheng Yuan, Graham A. MacGregor, Liegang Liu, Liangkai Chen</w:t>
        <w:br/>
      </w:r>
      <w:r>
        <w:rPr>
          <w:rFonts w:ascii="Times New Roman" w:hAnsi="Times New Roman" w:eastAsia="宋体"/>
          <w:sz w:val="21"/>
        </w:rPr>
        <w:t xml:space="preserve">时间: 2026-02-13 | </w:t>
      </w:r>
      <w:r>
        <w:t xml:space="preserve">链接: </w:t>
      </w:r>
      <w:hyperlink r:id="rId75">
        <w:r>
          <w:rPr>
            <w:rFonts w:ascii="Times New Roman" w:hAnsi="Times New Roman" w:eastAsia="宋体"/>
            <w:color w:val="0000FF"/>
            <w:sz w:val="21"/>
            <w:u w:val="single"/>
          </w:rPr>
          <w:t>https://doi.org/10.1126/sciadv.ads7559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健康饮食模式与预期寿命之间的关联仍不清楚。在这里，我们报告了 103,649 名英国生物银行参与者的五种饮食模式与死亡率和预期寿命的前瞻性关联。在 10.6 年的中位随访期内，记录了 4314 例死亡病例。替代健康饮食指数-2010、替代地中海饮食 (AMED)、健康植物性饮食指数 (hPDI)、控制高血压的饮食方法和降低糖尿病风险饮食 (DRRD) 与较低的全因死亡率和较长的预期寿命相关，其中 DRRD 的相关性略强于 hPDI。与排名最低的五分之一相比，达到最高五分之一的饮食分数与男性在 45 岁时的寿命延长 1.9 至 3.0 年有关，而女性则在 45 岁时寿命延长 1.5 至 2.3 年。男性 DRRD 和女性 AMED 获得的寿命最长。当考虑遗传易感性时，显着的关联仍然存在。我们的研究结果强调了健康饮食模式在延长预期寿命方面的优势，无论长寿基因如何。</w:t>
      </w:r>
    </w:p>
    <w:p>
      <w:pPr>
        <w:spacing w:before="120"/>
      </w:pPr>
      <w:r>
        <w:rPr>
          <w:rFonts w:ascii="Times New Roman" w:hAnsi="Times New Roman" w:eastAsia="宋体"/>
          <w:b/>
          <w:sz w:val="21"/>
        </w:rPr>
        <w:t>English Abstract:</w:t>
      </w:r>
    </w:p>
    <w:p>
      <w:r>
        <w:rPr>
          <w:rFonts w:ascii="Times New Roman" w:hAnsi="Times New Roman" w:eastAsia="宋体"/>
          <w:sz w:val="21"/>
        </w:rPr>
        <w:t>Associations between healthy dietary patterns and life expectancy remain unclear. Here, we reported the prospective associations of five dietary patterns with mortality and life expectancy in 103,649 UK Biobank participants. Over a median follow-up period of 10.6 years, 4314 total deaths were documented. Alternate Healthy Eating Index-2010, Alternate Mediterranean Diet (AMED), healthful Plant-based Diet Index (hPDI), Dietary Approaches to Stop Hypertension, and Diabetes Risk Reduction Diet (DRRD) were associated with lower all-cause mortality and longer life expectancy, with DRRD showing slightly stronger associations than hPDI. Compared with the bottom quintile, achieving the top quintile of dietary scores was associated with 1.9 to 3.0 years of life gained at 45 years in men and 1.5 to 2.3 years in women. The life gained was longest in DRRD for males and AMED for females. The significant associations remained when accounting for genetic susceptibility. Our findings underscore the advantages of healthy dietary patterns in prolonging life expectancy, regardless of longevity genes.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约瑟夫森连接链中的非平衡等离子体液体</w:t>
      </w:r>
    </w:p>
    <w:p>
      <w:r>
        <w:rPr>
          <w:rFonts w:ascii="Times New Roman" w:hAnsi="Times New Roman" w:eastAsia="宋体"/>
          <w:b/>
          <w:color w:val="003264"/>
          <w:sz w:val="24"/>
        </w:rPr>
        <w:t>Non-equilibrium plasmon liquid in a Josephson junction chain</w:t>
      </w:r>
    </w:p>
    <w:p>
      <w:r>
        <w:rPr>
          <w:rFonts w:ascii="Times New Roman" w:hAnsi="Times New Roman" w:eastAsia="宋体"/>
          <w:sz w:val="21"/>
        </w:rPr>
        <w:t>作者: Anton V. Bubis, Lucia Vigliotti, Maksym Serbyn, Andrew P. Higginbotham</w:t>
        <w:br/>
      </w:r>
      <w:r>
        <w:rPr>
          <w:rFonts w:ascii="Times New Roman" w:hAnsi="Times New Roman" w:eastAsia="宋体"/>
          <w:sz w:val="21"/>
        </w:rPr>
        <w:t xml:space="preserve">时间: 2026-02-13 | </w:t>
      </w:r>
      <w:r>
        <w:t xml:space="preserve">链接: </w:t>
      </w:r>
      <w:hyperlink r:id="rId76">
        <w:r>
          <w:rPr>
            <w:rFonts w:ascii="Times New Roman" w:hAnsi="Times New Roman" w:eastAsia="宋体"/>
            <w:color w:val="0000FF"/>
            <w:sz w:val="21"/>
            <w:u w:val="single"/>
          </w:rPr>
          <w:t>https://doi.org/10.1126/sciadv.ady7222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衡量子系统通常用弱相互作用简正模气体来描述。然而，使此类系统远离平衡可以极大地增强模式与模式之间的相互作用。理解由此产生的液体是量子统计力学的一个基本问题，也是工程驱动的量子设备的一个实际问题。为了解决这个问题，我们探讨了约瑟夫森结长链中一维等离子体激元的非平衡动力学。我们引入多模光谱来可控地研究平衡偏离，见证了从弱驱动下等离子体模式之间的成对耦合到强驱动下戏剧性的高阶级联耦合的演变。扩展到多模式驱动器，我们刺激数百种模式之间的相互作用，从而产生近连续的内部动态。对由此产生的非平衡等离子体激元群进行成像，然后我们解决了响应弱扰动时的能量非局域重新分布问题——这是对强相互作用、非平衡等离子体激元液体出现的明确验证。</w:t>
      </w:r>
    </w:p>
    <w:p>
      <w:pPr>
        <w:spacing w:before="120"/>
      </w:pPr>
      <w:r>
        <w:rPr>
          <w:rFonts w:ascii="Times New Roman" w:hAnsi="Times New Roman" w:eastAsia="宋体"/>
          <w:b/>
          <w:sz w:val="21"/>
        </w:rPr>
        <w:t>English Abstract:</w:t>
      </w:r>
    </w:p>
    <w:p>
      <w:r>
        <w:rPr>
          <w:rFonts w:ascii="Times New Roman" w:hAnsi="Times New Roman" w:eastAsia="宋体"/>
          <w:sz w:val="21"/>
        </w:rPr>
        <w:t>Equilibrium quantum systems are often described by a gas of weakly interacting normal modes. Bringing such systems far from equilibrium, however, can drastically enhance mode-to-mode interactions. Understanding the resulting liquid is a fundamental question for quantum statistical mechanics and a practical question for engineering driven quantum devices. To tackle this question, we probe the non-equilibrium kinetics of one-dimensional plasmons in a long chain of Josephson junctions. We introduce multimode spectroscopy to controllably study the departure from equilibrium, witnessing the evolution from pairwise coupling between plasma modes at weak driving to dramatic, high-order, cascaded couplings at strong driving. Scaling to many-mode drives, we stimulate interactions between hundreds of modes, resulting in near-continuum internal dynamics. Imaging the resulting non-equilibrium plasmon populations, we then resolve the nonlocal redistribution of energy in the response to a weak perturbation—an explicit verification of the emergence of a strongly interacting, non-equilibrium liquid of plasmons.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0.6V超低工作电压的纳米门铁电晶体管</w:t>
      </w:r>
    </w:p>
    <w:p>
      <w:r>
        <w:rPr>
          <w:rFonts w:ascii="Times New Roman" w:hAnsi="Times New Roman" w:eastAsia="宋体"/>
          <w:b/>
          <w:color w:val="003264"/>
          <w:sz w:val="24"/>
        </w:rPr>
        <w:t>Nanogate ferroelectric transistors with ultralow operation voltage of 0.6 V</w:t>
      </w:r>
    </w:p>
    <w:p>
      <w:r>
        <w:rPr>
          <w:rFonts w:ascii="Times New Roman" w:hAnsi="Times New Roman" w:eastAsia="宋体"/>
          <w:sz w:val="21"/>
        </w:rPr>
        <w:t>作者: Dehuan Meng, Xuezhou Ma, Zizhuo Shen, Lin Xu, Lian-Mao Peng, Chenguang Qiu</w:t>
        <w:br/>
      </w:r>
      <w:r>
        <w:rPr>
          <w:rFonts w:ascii="Times New Roman" w:hAnsi="Times New Roman" w:eastAsia="宋体"/>
          <w:sz w:val="21"/>
        </w:rPr>
        <w:t xml:space="preserve">时间: 2026-02-13 | </w:t>
      </w:r>
      <w:r>
        <w:t xml:space="preserve">链接: </w:t>
      </w:r>
      <w:hyperlink r:id="rId77">
        <w:r>
          <w:rPr>
            <w:rFonts w:ascii="Times New Roman" w:hAnsi="Times New Roman" w:eastAsia="宋体"/>
            <w:color w:val="0000FF"/>
            <w:sz w:val="21"/>
            <w:u w:val="single"/>
          </w:rPr>
          <w:t>https://doi.org/10.1126/sciadv.aea5020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铁电场效应晶体管（FeFET）作为电场驱动的非易失性存储器，具有极低的功耗和高速度。尽管付出了努力，FeFET 尚未成功缩小到 5 纳米以下节点技术，其工作电压超过 1.5 V，使其无法与单片逻辑核心相匹配。我们的研究使用金属单壁碳纳米管作为栅电极，将二硫化钼FeFET的栅极长度缩小到1纳米。这种纳米门方法会导致电场集中并增强铁电体与金属氧化物半导体的电容耦合，从而将工作电压降低 0.6 V，低于传统的铁电体矫顽电压。纳米栅二硫化钼 FeFET 表现出卓越的存储性能，具有 2 × 10 6 的大电流开/关比和 1.6 纳秒的快速编程速度。这项研究证明了纳米门 FeFET 对短沟道效应的免疫力，突显了铁电电子器件在亚 1 纳米节点芯片中实现卓越缩放、性能和能源效率的巨大潜力。</w:t>
      </w:r>
    </w:p>
    <w:p>
      <w:pPr>
        <w:spacing w:before="120"/>
      </w:pPr>
      <w:r>
        <w:rPr>
          <w:rFonts w:ascii="Times New Roman" w:hAnsi="Times New Roman" w:eastAsia="宋体"/>
          <w:b/>
          <w:sz w:val="21"/>
        </w:rPr>
        <w:t>English Abstract:</w:t>
      </w:r>
    </w:p>
    <w:p>
      <w:r>
        <w:rPr>
          <w:rFonts w:ascii="Times New Roman" w:hAnsi="Times New Roman" w:eastAsia="宋体"/>
          <w:sz w:val="21"/>
        </w:rPr>
        <w:t>Ferroelectric field-effect transistors (FeFETs), as an electric field–driven nonvolatile memory, offer extremely low power consumption and high speed. Despite efforts, FeFETs have not been successfully scaled down to sub–5-nanometer-node technology, with their operational voltage exceeding 1.5 V, making them unable to match monolithic logic cores. Our study used metallic single-walled carbon nanotubes as gate electrodes to shrink the gate length of molybdenum disulfide FeFET to 1 nanometer. This nanogate approach leads to an electric field concentration and enhanced ferroelectric–to–metal-oxide semiconductor capacitance coupling, resulting in a reduced operating voltage of 0.6 V, below the conventional ferroelectric coercive voltage. The nanogate molybdenum disulfide FeFETs exhibit superior memory performance, with a substantial current on/off ratio of 2 × 10 6 and a rapid programming speed of 1.6 nanoseconds. This study demonstrates the immunity of nanogate FeFETs to short-channel effects, highlighting the notable potential of ferroelectric electronics for enabling superior scaling, performance, and energy efficiency in sub–1-nanometer-node chips.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辅助 microRNA 副产物通过微处理器介导的裂解激活扩大 RNA 干扰</w:t>
      </w:r>
    </w:p>
    <w:p>
      <w:r>
        <w:rPr>
          <w:rFonts w:ascii="Times New Roman" w:hAnsi="Times New Roman" w:eastAsia="宋体"/>
          <w:b/>
          <w:color w:val="003264"/>
          <w:sz w:val="24"/>
        </w:rPr>
        <w:t>Accessory microRNA byproducts expand RNA interference via microprocessor-mediated cleavage activation</w:t>
      </w:r>
    </w:p>
    <w:p>
      <w:r>
        <w:rPr>
          <w:rFonts w:ascii="Times New Roman" w:hAnsi="Times New Roman" w:eastAsia="宋体"/>
          <w:sz w:val="21"/>
        </w:rPr>
        <w:t>作者: Debora Mazzetti, Michal O. Nowicki, Himanshu Soni, Joshua D. Bernstock, Maya Groff, Luisa Esposito, Diego A. Hernandez, Lucia Altucci, Anna Krichevsky, Geoffrey Fell, E. Antonio Chiocca, Hiroshi Nakashima, Marco Mineo, Pierpaolo Peruzzi</w:t>
        <w:br/>
      </w:r>
      <w:r>
        <w:rPr>
          <w:rFonts w:ascii="Times New Roman" w:hAnsi="Times New Roman" w:eastAsia="宋体"/>
          <w:sz w:val="21"/>
        </w:rPr>
        <w:t xml:space="preserve">时间: 2026-02-13 | </w:t>
      </w:r>
      <w:r>
        <w:t xml:space="preserve">链接: </w:t>
      </w:r>
      <w:hyperlink r:id="rId78">
        <w:r>
          <w:rPr>
            <w:rFonts w:ascii="Times New Roman" w:hAnsi="Times New Roman" w:eastAsia="宋体"/>
            <w:color w:val="0000FF"/>
            <w:sz w:val="21"/>
            <w:u w:val="single"/>
          </w:rPr>
          <w:t>https://doi.org/10.1126/sciadv.adz8331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RNA医学是现代医疗保健中一个充满希望的扩展领域，但其在癌症等遗传复杂疾病中的应用一直具有挑战性，主要是因为它们依赖于多种异常途径。在这里，我们描述了一个基于 microRNA 的平台，该平台利用了以前未识别的 microRNA 处理功能。利用微处理器依赖性的切割激活策略，该设计使我们能够通过同时上调和下调所需的 microRNA 来扩大生物学影响，同时将它们用作其他短非编码 RNA（例如适体）的结构推动者。我们在胶质母细胞瘤模型中展示了它的生物学潜力，其中五种最放松管制的 microRNA 的同时双向调节导致对肿瘤的临界质量干扰。与此同时，平台内 microRNA 介导的抗 p50 适配体的陪伴使我们能够选择性地阻断核因子 κB 通路，这是一个难以用药的靶点。这项工作强调了嵌合 microRNA 簇作为癌症和其他类似多因素疾病的新兴治疗概念的潜力。</w:t>
      </w:r>
    </w:p>
    <w:p>
      <w:pPr>
        <w:spacing w:before="120"/>
      </w:pPr>
      <w:r>
        <w:rPr>
          <w:rFonts w:ascii="Times New Roman" w:hAnsi="Times New Roman" w:eastAsia="宋体"/>
          <w:b/>
          <w:sz w:val="21"/>
        </w:rPr>
        <w:t>English Abstract:</w:t>
      </w:r>
    </w:p>
    <w:p>
      <w:r>
        <w:rPr>
          <w:rFonts w:ascii="Times New Roman" w:hAnsi="Times New Roman" w:eastAsia="宋体"/>
          <w:sz w:val="21"/>
        </w:rPr>
        <w:t>RNA medicine is a promisingly expanding field in modern health care, but its use in genetically complex diseases, like cancer, has been challenging, mainly due to their reliance on multiple abnormal pathways. Here, we describe a microRNA-based platform that exploits previously unrecognized features of microRNA processing. Leveraging a microprocessor-dependent, cleave-activation strategy, this design allows us to expand biological impact by simultaneously up- and down-regulating desired microRNAs, while using them as structural enablers for other short, noncoding RNAs, such as aptamers. We demonstrate its biological potential in a glioblastoma model, where the simultaneous bidirectional modulation of five among the most deregulated microRNAs results in critical mass interference against the tumor. In parallel, microRNA-mediated chaperoning of an anti-p50 aptamer within the platform allows us to selectively block the nuclear factor κB pathway, a difficult-to-drug target. This work highlights the potential of chimeric microRNA clusters as an emerging therapeutic concept for cancer and other similarly multifactorial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跨性状基因组模型揭示了 MASLD 的多基因结构和系统影响</w:t>
      </w:r>
    </w:p>
    <w:p>
      <w:r>
        <w:rPr>
          <w:rFonts w:ascii="Times New Roman" w:hAnsi="Times New Roman" w:eastAsia="宋体"/>
          <w:b/>
          <w:color w:val="003264"/>
          <w:sz w:val="24"/>
        </w:rPr>
        <w:t>Cross-trait genomic modeling reveals the polygenic architecture and systemic impact of MASLD</w:t>
      </w:r>
    </w:p>
    <w:p>
      <w:r>
        <w:rPr>
          <w:rFonts w:ascii="Times New Roman" w:hAnsi="Times New Roman" w:eastAsia="宋体"/>
          <w:sz w:val="21"/>
        </w:rPr>
        <w:t>作者: Mingyi Du, Huangbo Yuan, Tianhao Wu, Yanfeng Jiang, Chen Suo, Li Jin, Tiejun Zhang, Zhenqiu Liu, Xingdong Chen</w:t>
        <w:br/>
      </w:r>
      <w:r>
        <w:rPr>
          <w:rFonts w:ascii="Times New Roman" w:hAnsi="Times New Roman" w:eastAsia="宋体"/>
          <w:sz w:val="21"/>
        </w:rPr>
        <w:t xml:space="preserve">时间: 2026-02-13 | </w:t>
      </w:r>
      <w:r>
        <w:t xml:space="preserve">链接: </w:t>
      </w:r>
      <w:hyperlink r:id="rId79">
        <w:r>
          <w:rPr>
            <w:rFonts w:ascii="Times New Roman" w:hAnsi="Times New Roman" w:eastAsia="宋体"/>
            <w:color w:val="0000FF"/>
            <w:sz w:val="21"/>
            <w:u w:val="single"/>
          </w:rPr>
          <w:t>https://doi.org/10.1126/sciadv.aeb5665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代谢功能障碍相关的脂肪肝病（MASLD）是一种全球流行的疾病，但其遗传结构仍未完全表征。我们整合了来自总计近 300 万欧洲血统的多个队列的全基因组关联研究数据，并应用肝脂肪和七种心脏代谢特征的跨特征基因组模型来构建 MASLD 特异性多基因架构。我们在 100 个位点中确定了 128 个风险变异，并优先考虑了 55 个效应基因，包括已确定的（例如 PNPLA3 和 TM6SF2 ）和之前未报告的候选基因（例如 NRXN3 和 FRMD5 ）。 MASLD 多基因风险评分的全表组扫描揭示了跨越肝脏、心脏代谢、肾脏、内分泌和神经精神系统的广泛关联。通过对超过 4900 种血浆蛋白进行两步全蛋白质组孟德尔随机化，我们确定了将 MASLD 与疾病联系起来的潜在介质。基于人群的队列验证确定了 7 种蛋白质（例如 FURIN、乙醛脱氢酶 2 和载脂蛋白 M）介导了高达 50.6% 的 MASLD 心脏代谢风险。我们的研究结果描绘了 MASLD 的多基因结构，强调了其多系统后果，并指定了用于精准预防的转化生物标志物。</w:t>
      </w:r>
    </w:p>
    <w:p>
      <w:pPr>
        <w:spacing w:before="120"/>
      </w:pPr>
      <w:r>
        <w:rPr>
          <w:rFonts w:ascii="Times New Roman" w:hAnsi="Times New Roman" w:eastAsia="宋体"/>
          <w:b/>
          <w:sz w:val="21"/>
        </w:rPr>
        <w:t>English Abstract:</w:t>
      </w:r>
    </w:p>
    <w:p>
      <w:r>
        <w:rPr>
          <w:rFonts w:ascii="Times New Roman" w:hAnsi="Times New Roman" w:eastAsia="宋体"/>
          <w:sz w:val="21"/>
        </w:rPr>
        <w:t>Metabolic dysfunction–associated steatotic liver disease (MASLD) is a globally prevalent disease, yet its genetic architecture remains incompletely characterized. We integrated genome-wide association study data from multiple cohorts totaling nearly 3 million individuals of European ancestry and applied cross-trait genomic modeling of hepatic fat and seven cardiometabolic traits to construct an MASLD-specific polygenic architecture. We identified 128 risk variants across 100 loci and prioritized 55 effector genes, including established (e.g., PNPLA3 and TM6SF2 ) and previously unreported candidates (e.g., NRXN3 and FRMD5 ). A phenome-wide scan of the MASLD polygenic risk score revealed broad associations spanning hepatic, cardiometabolic, renal, endocrine, and neuropsychiatric systems. Using a two-step, proteome-wide Mendelian randomization across &gt;4900 plasma proteins, we identified potential mediators linking MASLD to disease. Validation in population-based cohort pinpointed seven proteins (e.g., FURIN, aldehyde dehydrogenase 2, and apolipoprotein M) mediating up to 50.6% of the cardiometabolic risk attributable to MASLD. Our findings delineate the polygenic architecture of MASLD, highlight its multisystem consequences, and nominate translational biomarkers for precision prevention.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机械负荷通过雷帕霉素不敏感机制诱导肌纤维纵向生长</w:t>
      </w:r>
    </w:p>
    <w:p>
      <w:r>
        <w:rPr>
          <w:rFonts w:ascii="Times New Roman" w:hAnsi="Times New Roman" w:eastAsia="宋体"/>
          <w:b/>
          <w:color w:val="003264"/>
          <w:sz w:val="24"/>
        </w:rPr>
        <w:t>Mechanical loading induces the longitudinal growth of muscle fibers via a rapamycin-insensitive mechanism</w:t>
      </w:r>
    </w:p>
    <w:p>
      <w:r>
        <w:rPr>
          <w:rFonts w:ascii="Times New Roman" w:hAnsi="Times New Roman" w:eastAsia="宋体"/>
          <w:sz w:val="21"/>
        </w:rPr>
        <w:t>作者: Jamie E. Hibbert, Kent W. Jorgenson, Ramy K.A. Sayed, Hector G. Paez, Marius Meinhold, Corey G.K. Flynn, Anthony N. Lange, Garrison T. Lindley, Philip M. Flejsierowicz, Troy A. Hornberger</w:t>
        <w:br/>
      </w:r>
      <w:r>
        <w:rPr>
          <w:rFonts w:ascii="Times New Roman" w:hAnsi="Times New Roman" w:eastAsia="宋体"/>
          <w:sz w:val="21"/>
        </w:rPr>
        <w:t xml:space="preserve">时间: 2026-02-13 | </w:t>
      </w:r>
      <w:r>
        <w:t xml:space="preserve">链接: </w:t>
      </w:r>
      <w:hyperlink r:id="rId80">
        <w:r>
          <w:rPr>
            <w:rFonts w:ascii="Times New Roman" w:hAnsi="Times New Roman" w:eastAsia="宋体"/>
            <w:color w:val="0000FF"/>
            <w:sz w:val="21"/>
            <w:u w:val="single"/>
          </w:rPr>
          <w:t>https://doi.org/10.1126/sciadv.aec5134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械负荷驱动骨骼肌生长，但调节这一过程的机制仍不清楚。在这里，我们表明机械负荷的增加通过两种不同的机制诱导肌纤维生长。径向生长（表现为纤维横截面积的增加）是通过雷帕霉素敏感的信号通路介导的，而纵向生长（以肌节的串联添加为标志）是通过雷帕霉素不敏感的信号通路介导的。为了进一步了解驱动纵向生长的事件，我们将基于 BONCAT 的合成蛋白标记与高分辨率成像相结合，并确定肌节的串联添加是由涉及预先存在的肌节的 Z 线横向分裂的过程介导的。总的来说，我们的发现不仅挑战了机械诱导生长统一由 mTORC1 控制的长期观点，而且还为修正对驱动这一过程的分子和结构事件的理解奠定了框架。</w:t>
      </w:r>
    </w:p>
    <w:p>
      <w:pPr>
        <w:spacing w:before="120"/>
      </w:pPr>
      <w:r>
        <w:rPr>
          <w:rFonts w:ascii="Times New Roman" w:hAnsi="Times New Roman" w:eastAsia="宋体"/>
          <w:b/>
          <w:sz w:val="21"/>
        </w:rPr>
        <w:t>English Abstract:</w:t>
      </w:r>
    </w:p>
    <w:p>
      <w:r>
        <w:rPr>
          <w:rFonts w:ascii="Times New Roman" w:hAnsi="Times New Roman" w:eastAsia="宋体"/>
          <w:sz w:val="21"/>
        </w:rPr>
        <w:t>Mechanical loading drives skeletal muscle growth, yet the mechanisms that regulate this process remain undefined. Here, we show that an increase in mechanical loading induces muscle fiber growth through two distinct mechanisms. Radial growth, reflected by an increase in fiber cross-sectional area, is mediated through a rapamycin-sensitive signaling pathway, whereas longitudinal growth, marked by the in-series addition of sarcomeres, is mediated through a rapamycin-insensitive signaling pathway. To gain further insight into the events that drive longitudinal growth, we combined BONCAT-based labeling of synthesized proteins with high-resolution imaging and determined that the in-series addition of sarcomeres is mediated by a process that involves transverse splitting at the Z-lines of preexisting sarcomeres. Collectively, our findings not only challenge the long-standing view that mechanically induced growth is uniformly governed by mTORC1 but also lay the framework for a revised understanding of the molecular and structural events that drive this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使用扫描进动电子衍射通过热振动表征进行纳米级温度测绘</w:t>
      </w:r>
    </w:p>
    <w:p>
      <w:r>
        <w:rPr>
          <w:rFonts w:ascii="Times New Roman" w:hAnsi="Times New Roman" w:eastAsia="宋体"/>
          <w:b/>
          <w:color w:val="003264"/>
          <w:sz w:val="24"/>
        </w:rPr>
        <w:t>Nanoscale temperature mapping through thermal vibration characterization using scanning precession electron diffraction</w:t>
      </w:r>
    </w:p>
    <w:p>
      <w:r>
        <w:rPr>
          <w:rFonts w:ascii="Times New Roman" w:hAnsi="Times New Roman" w:eastAsia="宋体"/>
          <w:sz w:val="21"/>
        </w:rPr>
        <w:t>作者: Kun Yang, Chao Zhang, Chengwei Wu, Qian Du, Bingzhi Li, Zhen Fang, Liang Li, Peng Wang, Wen Shang, Jianbo Wu, Tianru Wu, Hui Wang, Tao Deng, Wenpei Gao</w:t>
        <w:br/>
      </w:r>
      <w:r>
        <w:rPr>
          <w:rFonts w:ascii="Times New Roman" w:hAnsi="Times New Roman" w:eastAsia="宋体"/>
          <w:sz w:val="21"/>
        </w:rPr>
        <w:t xml:space="preserve">时间: 2026-02-13 | </w:t>
      </w:r>
      <w:r>
        <w:t xml:space="preserve">链接: </w:t>
      </w:r>
      <w:hyperlink r:id="rId81">
        <w:r>
          <w:rPr>
            <w:rFonts w:ascii="Times New Roman" w:hAnsi="Times New Roman" w:eastAsia="宋体"/>
            <w:color w:val="0000FF"/>
            <w:sz w:val="21"/>
            <w:u w:val="single"/>
          </w:rPr>
          <w:t>https://doi.org/10.1126/sciadv.aeb9234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空间分辨率的精确温度测量对于理解集成纳米级器件尤其是异质界面的热行为至关重要。然而，现有技术常常受到空间分辨率不足的限制。在这里，我们展示了使用透射电子显微镜以纳米空间分辨率进行直接和非接触式温度测量。实验探针是扫描纳米束与进动电子衍射的结合，它提供了纳米尺度局部区域的运动衍射强度的收集。通过预先计算的、基于样品和几何特定结构因子的校正，衍射强度的线性拟合可以确定德拜-沃勒因子，从而以每°C 10 -4 平方埃的精度确定温度。这项工作以石墨烯为模型材料，揭示了样品倾斜、晶格热膨胀和样品厚度对德拜-沃勒因子的影响，并为提高测量精度和空间分辨率提供了途径。该方法为低维和异质材料的纳米级测温建立了广泛适用的策略。</w:t>
      </w:r>
    </w:p>
    <w:p>
      <w:pPr>
        <w:spacing w:before="120"/>
      </w:pPr>
      <w:r>
        <w:rPr>
          <w:rFonts w:ascii="Times New Roman" w:hAnsi="Times New Roman" w:eastAsia="宋体"/>
          <w:b/>
          <w:sz w:val="21"/>
        </w:rPr>
        <w:t>English Abstract:</w:t>
      </w:r>
    </w:p>
    <w:p>
      <w:r>
        <w:rPr>
          <w:rFonts w:ascii="Times New Roman" w:hAnsi="Times New Roman" w:eastAsia="宋体"/>
          <w:sz w:val="21"/>
        </w:rPr>
        <w:t>Accurate temperature measurement with a high spatial resolution is essential for understanding thermal behavior in integrated nanoscale devices and especially at heterogeneous interfaces. However, existing techniques are often limited by insufficient spatial resolution. Here, we showcase the direct and noncontact temperature measurement with a nanometer spatial resolution using transmission electron microscopy. The experimental probe is the combination of a scanning nanobeam with precession electron diffraction, which offers the collection of kinematic diffraction intensity from a local area at the nanometer scale. With a precalculated, sample- and geometry-specific structure factor–based correction, the linear fitting of diffraction intensities allows the determination of the Debye-Waller factor and, thus, temperature with a precision of 10 −4 square angstrom per °C. Using graphene as a model material, this work reveals the influence of sample tilt, lattice thermal expansion, and sample thickness on Debye-Waller factor and offers a route to improving the measurement precision along with spatial resolution. The approach establishes a broadly applicable strategy for nanoscale thermometry in low-dimensional and heterogeneous materials.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06:28 ---</w:t>
      </w:r>
    </w:p>
    <w:p>
      <w:pPr>
        <w:pStyle w:val="Heading2"/>
      </w:pPr>
      <w:r/>
      <w:r>
        <w:rPr>
          <w:rFonts w:ascii="Times New Roman" w:hAnsi="Times New Roman" w:eastAsia="宋体"/>
          <w:b/>
          <w:color w:val="000000"/>
          <w:sz w:val="24"/>
        </w:rPr>
        <w:t>使用自混合干涉仪和腔内倍频固体激光器进行微振动测量</w:t>
      </w:r>
    </w:p>
    <w:p>
      <w:r>
        <w:rPr>
          <w:rFonts w:ascii="Times New Roman" w:hAnsi="Times New Roman" w:eastAsia="宋体"/>
          <w:b/>
          <w:color w:val="003264"/>
          <w:sz w:val="24"/>
        </w:rPr>
        <w:t>Micro-vibration measurement using self-mixing interferometry with an intracavity frequency-doubling solid-state laser</w:t>
      </w:r>
    </w:p>
    <w:p>
      <w:r>
        <w:rPr>
          <w:rFonts w:ascii="Times New Roman" w:hAnsi="Times New Roman" w:eastAsia="宋体"/>
          <w:sz w:val="21"/>
        </w:rPr>
        <w:t>作者: Yicong Feng, Yuning Wang, Jian Zhou, Xiaoming Nie, Shuo Sun, Jin Li, Bin Zhang</w:t>
        <w:br/>
      </w:r>
      <w:r>
        <w:rPr>
          <w:rFonts w:ascii="Times New Roman" w:hAnsi="Times New Roman" w:eastAsia="宋体"/>
          <w:sz w:val="21"/>
        </w:rPr>
        <w:t xml:space="preserve">时间: 2026-06-01 | </w:t>
      </w:r>
      <w:r>
        <w:t xml:space="preserve">链接: </w:t>
      </w:r>
      <w:hyperlink r:id="rId88">
        <w:r>
          <w:rPr>
            <w:rFonts w:ascii="Times New Roman" w:hAnsi="Times New Roman" w:eastAsia="宋体"/>
            <w:color w:val="0000FF"/>
            <w:sz w:val="21"/>
            <w:u w:val="single"/>
          </w:rPr>
          <w:t>https://doi.org/10.1016/j.optlastec.2025.114644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基于垂直注入偏振独立光栅耦合器的偏振切换和注入锁定VCSEL</w:t>
      </w:r>
    </w:p>
    <w:p>
      <w:r>
        <w:rPr>
          <w:rFonts w:ascii="Times New Roman" w:hAnsi="Times New Roman" w:eastAsia="宋体"/>
          <w:b/>
          <w:color w:val="003264"/>
          <w:sz w:val="24"/>
        </w:rPr>
        <w:t>Polarization switching and injection locking VCSEL based on vertical injection polarization independent grating coupler</w:t>
      </w:r>
    </w:p>
    <w:p>
      <w:r>
        <w:rPr>
          <w:rFonts w:ascii="Times New Roman" w:hAnsi="Times New Roman" w:eastAsia="宋体"/>
          <w:sz w:val="21"/>
        </w:rPr>
        <w:t>作者: Ning Cui, Weiyang Zhang, Dan Cao, Baolu Guan</w:t>
        <w:br/>
      </w:r>
      <w:r>
        <w:rPr>
          <w:rFonts w:ascii="Times New Roman" w:hAnsi="Times New Roman" w:eastAsia="宋体"/>
          <w:sz w:val="21"/>
        </w:rPr>
        <w:t xml:space="preserve">时间: 2026-06-01 | </w:t>
      </w:r>
      <w:r>
        <w:t xml:space="preserve">链接: </w:t>
      </w:r>
      <w:hyperlink r:id="rId89">
        <w:r>
          <w:rPr>
            <w:rFonts w:ascii="Times New Roman" w:hAnsi="Times New Roman" w:eastAsia="宋体"/>
            <w:color w:val="0000FF"/>
            <w:sz w:val="21"/>
            <w:u w:val="single"/>
          </w:rPr>
          <w:t>https://doi.org/10.1016/j.optlastec.2026.114922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Transformer 的无监督深度学习，用于数字图像相关性和数字体积相关性</w:t>
      </w:r>
    </w:p>
    <w:p>
      <w:r>
        <w:rPr>
          <w:rFonts w:ascii="Times New Roman" w:hAnsi="Times New Roman" w:eastAsia="宋体"/>
          <w:b/>
          <w:color w:val="003264"/>
          <w:sz w:val="24"/>
        </w:rPr>
        <w:t>Unsupervised Transformer-based deep learning for digital image correlation and digital volume correlation</w:t>
      </w:r>
    </w:p>
    <w:p>
      <w:r>
        <w:rPr>
          <w:rFonts w:ascii="Times New Roman" w:hAnsi="Times New Roman" w:eastAsia="宋体"/>
          <w:sz w:val="21"/>
        </w:rPr>
        <w:t>作者: Haoyang He, Yifei Zhou, Yajing Zhang, Yuqi Cai, Rui Li, Yiping Liu, Liqun Tang, Taolin Sun, Zhenyu Jiang</w:t>
        <w:br/>
      </w:r>
      <w:r>
        <w:rPr>
          <w:rFonts w:ascii="Times New Roman" w:hAnsi="Times New Roman" w:eastAsia="宋体"/>
          <w:sz w:val="21"/>
        </w:rPr>
        <w:t xml:space="preserve">时间: 2026-06-01 | </w:t>
      </w:r>
      <w:r>
        <w:t xml:space="preserve">链接: </w:t>
      </w:r>
      <w:hyperlink r:id="rId111">
        <w:r>
          <w:rPr>
            <w:rFonts w:ascii="Times New Roman" w:hAnsi="Times New Roman" w:eastAsia="宋体"/>
            <w:color w:val="0000FF"/>
            <w:sz w:val="21"/>
            <w:u w:val="single"/>
          </w:rPr>
          <w:t>https://doi.org/10.1016/j.optlastec.2026.114939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Mueller矩阵椭偏仪补偿器退偏效应建模及应用</w:t>
      </w:r>
    </w:p>
    <w:p>
      <w:r>
        <w:rPr>
          <w:rFonts w:ascii="Times New Roman" w:hAnsi="Times New Roman" w:eastAsia="宋体"/>
          <w:b/>
          <w:color w:val="003264"/>
          <w:sz w:val="24"/>
        </w:rPr>
        <w:t>Modeling and application of compensator depolarization effects in Mueller matrix ellipsometer</w:t>
      </w:r>
    </w:p>
    <w:p>
      <w:r>
        <w:rPr>
          <w:rFonts w:ascii="Times New Roman" w:hAnsi="Times New Roman" w:eastAsia="宋体"/>
          <w:sz w:val="21"/>
        </w:rPr>
        <w:t>作者: Yuying Kang, Zhen Zhang, Zhisong Li</w:t>
        <w:br/>
      </w:r>
      <w:r>
        <w:rPr>
          <w:rFonts w:ascii="Times New Roman" w:hAnsi="Times New Roman" w:eastAsia="宋体"/>
          <w:sz w:val="21"/>
        </w:rPr>
        <w:t xml:space="preserve">时间: 2026-06-01 | </w:t>
      </w:r>
      <w:r>
        <w:t xml:space="preserve">链接: </w:t>
      </w:r>
      <w:hyperlink r:id="rId125">
        <w:r>
          <w:rPr>
            <w:rFonts w:ascii="Times New Roman" w:hAnsi="Times New Roman" w:eastAsia="宋体"/>
            <w:color w:val="0000FF"/>
            <w:sz w:val="21"/>
            <w:u w:val="single"/>
          </w:rPr>
          <w:t>https://doi.org/10.1016/j.optlastec.2026.114940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06:29 ---</w:t>
      </w:r>
    </w:p>
    <w:p>
      <w:pPr>
        <w:pStyle w:val="Heading2"/>
      </w:pPr>
      <w:r/>
      <w:r>
        <w:rPr>
          <w:rFonts w:ascii="Times New Roman" w:hAnsi="Times New Roman" w:eastAsia="宋体"/>
          <w:b/>
          <w:color w:val="000000"/>
          <w:sz w:val="24"/>
        </w:rPr>
        <w:t>可切换的多模式超透镜可实现多功能明场和边缘增强成像</w:t>
      </w:r>
    </w:p>
    <w:p>
      <w:r>
        <w:rPr>
          <w:rFonts w:ascii="Times New Roman" w:hAnsi="Times New Roman" w:eastAsia="宋体"/>
          <w:b/>
          <w:color w:val="003264"/>
          <w:sz w:val="24"/>
        </w:rPr>
        <w:t>Switchable multi-mode metalens for versatile bright-field and edge-enhanced imaging</w:t>
      </w:r>
    </w:p>
    <w:p>
      <w:r>
        <w:rPr>
          <w:rFonts w:ascii="Times New Roman" w:hAnsi="Times New Roman" w:eastAsia="宋体"/>
          <w:sz w:val="21"/>
        </w:rPr>
        <w:t>作者: Aqib Raza Shah, Eunji Lee, Isma Javed, Muhammad Ashar Naveed, Yeseul Kim, Hyunjung Kang, Joohoon Kim, Bin Ni, Bin Xu, Xuefeng Liu, Jichuan Xiong, Muhammad Qasim Mehmood, Junsuk Rho</w:t>
        <w:br/>
      </w:r>
      <w:r>
        <w:rPr>
          <w:rFonts w:ascii="Times New Roman" w:hAnsi="Times New Roman" w:eastAsia="宋体"/>
          <w:sz w:val="21"/>
        </w:rPr>
        <w:t xml:space="preserve">时间: 2026-01-28 | </w:t>
      </w:r>
      <w:r>
        <w:t xml:space="preserve">链接: </w:t>
      </w:r>
      <w:hyperlink r:id="rId91">
        <w:r>
          <w:rPr>
            <w:rFonts w:ascii="Times New Roman" w:hAnsi="Times New Roman" w:eastAsia="宋体"/>
            <w:color w:val="0000FF"/>
            <w:sz w:val="21"/>
            <w:u w:val="single"/>
          </w:rPr>
          <w:t>https://doi.org/10.1364/prj.575235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紧凑型双模式显微镜系统将明场和边缘增强成像集成到单个可调谐设置中。该系统采用完全基于几何相位设计的双模超透镜，确保简单和高效。通过将液晶（LC）单元作为可调双折射层粘合到超表面上，通过改变入射光的自旋状态来实现成像模式之间的实时切换。超透镜将用于明场成像的双曲相位分布与用于各向同性边缘增强的螺旋相位分布相结合，在可见光谱范围内有效运行。在 635 nm 波长处，其左旋圆偏振光效率为 49.66%，右旋圆偏振光效率为 49.23%，在其他波长下性能更高。这一进步为生物医学成像、表面缺陷检测和便携式光学设备带来了潜力。</w:t>
      </w:r>
    </w:p>
    <w:p>
      <w:pPr>
        <w:spacing w:before="120"/>
      </w:pPr>
      <w:r>
        <w:rPr>
          <w:rFonts w:ascii="Times New Roman" w:hAnsi="Times New Roman" w:eastAsia="宋体"/>
          <w:b/>
          <w:sz w:val="21"/>
        </w:rPr>
        <w:t>English Abstract:</w:t>
      </w:r>
    </w:p>
    <w:p>
      <w:r>
        <w:rPr>
          <w:rFonts w:ascii="Times New Roman" w:hAnsi="Times New Roman" w:eastAsia="宋体"/>
          <w:sz w:val="21"/>
        </w:rPr>
        <w:t>A compact dual-mode microscopy system integrates bright-field and edge-enhanced imaging into a single, tunable setup. The system employs a dual-mode metalens designed solely based on the geometric phase, ensuring simplicity and efficiency. By bonding a liquid-crystal (LC) cell onto the metasurface as a tunable birefringent layer, real-time switching between imaging modes is achieved by altering the spin state of the incident light. The metalens combines a hyperbolic phase profile for bright-field imaging with a spiral phase profile for isotropic edge enhancement, operating effectively across the visible spectrum. At 635 nm, it achieves efficiencies of 49.66% for left-handed circularly polarized and 49.23% for right-handed circularly polarized light, with higher performance at other wavelengths. This advancement holds potential for biomedical imaging, surface defect detection, and portable optical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SERF 磁力计中的逆弱测量</w:t>
      </w:r>
    </w:p>
    <w:p>
      <w:r>
        <w:rPr>
          <w:rFonts w:ascii="Times New Roman" w:hAnsi="Times New Roman" w:eastAsia="宋体"/>
          <w:b/>
          <w:color w:val="003264"/>
          <w:sz w:val="24"/>
        </w:rPr>
        <w:t>Inverse weak measurement in a SERF magnetometer</w:t>
      </w:r>
    </w:p>
    <w:p>
      <w:r>
        <w:rPr>
          <w:rFonts w:ascii="Times New Roman" w:hAnsi="Times New Roman" w:eastAsia="宋体"/>
          <w:sz w:val="21"/>
        </w:rPr>
        <w:t>作者: Qian Cao, Liang Xu, Ziqian Yue, Jianqi Yang, Yueyang Zhai</w:t>
        <w:br/>
      </w:r>
      <w:r>
        <w:rPr>
          <w:rFonts w:ascii="Times New Roman" w:hAnsi="Times New Roman" w:eastAsia="宋体"/>
          <w:sz w:val="21"/>
        </w:rPr>
        <w:t xml:space="preserve">时间: 2026-01-30 | </w:t>
      </w:r>
      <w:r>
        <w:t xml:space="preserve">链接: </w:t>
      </w:r>
      <w:hyperlink r:id="rId92">
        <w:r>
          <w:rPr>
            <w:rFonts w:ascii="Times New Roman" w:hAnsi="Times New Roman" w:eastAsia="宋体"/>
            <w:color w:val="0000FF"/>
            <w:sz w:val="21"/>
            <w:u w:val="single"/>
          </w:rPr>
          <w:t>https://doi.org/10.1364/prj.573309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弱测量技术由于放大效应而被广泛应用于量子精密测量领域来检测超小信号。在这项工作中，我们提出了一种基于逆弱测量（IWM）框架的自旋交换无松弛（SERF）磁力计的光学检测系统。通过使用探测激光的空间图案作为测量指针，我们成功地探测到了超弱磁场。在我们的模型中，探测激光器的空间模式与其偏振态弱耦合，而偏振态对外部磁场敏感。通过光学偏振的后选择，超小磁场被显着放大，放大系数与耦合强度成反比，这反映在最终空间图案的测量位移中。通过分析探针激光位移对磁场的响应曲线，我们确定了最大灵敏度点，实现了182.8 fT / Hz 1/2 的磁场灵敏度。此外，在 IWM 方案中，检测到的信号仅取决于探测激光器的内部自由度，使得系统对激光功率波动具有鲁棒性。为了证明这一优势，我们计算了传统检测方法和 IWM 检测方法的输出信号的艾伦标准差。结果表明，基于 IWM 的方法将检测稳定性提高了一到两个数量级。据我们所知，这项工作提出了一种集成弱测量技术的新颖检测方法，显着增强了 SERF 磁力计的性能。</w:t>
      </w:r>
    </w:p>
    <w:p>
      <w:pPr>
        <w:spacing w:before="120"/>
      </w:pPr>
      <w:r>
        <w:rPr>
          <w:rFonts w:ascii="Times New Roman" w:hAnsi="Times New Roman" w:eastAsia="宋体"/>
          <w:b/>
          <w:sz w:val="21"/>
        </w:rPr>
        <w:t>English Abstract:</w:t>
      </w:r>
    </w:p>
    <w:p>
      <w:r>
        <w:rPr>
          <w:rFonts w:ascii="Times New Roman" w:hAnsi="Times New Roman" w:eastAsia="宋体"/>
          <w:sz w:val="21"/>
        </w:rPr>
        <w:t>Weak measurement techniques have been extensively applied in the field of quantum precision measurement to detect ultra-small signals due to the amplification effect. In this work, we propose an optical detection system for a spin-exchange relaxation-free (SERF) magnetometer based on the inverse weak measurement (IWM) framework. By using the spatial pattern of a probe laser as the measurement pointer, we successfully detect ultra-weak magnetic fields. In our model, the spatial pattern of the probe laser is weakly coupled to its polarization, which is sensitive to external magnetic fields. Through post-selection on the optical polarization, the ultra-small magnetic field is significantly amplified with the amplification factor inversely proportional to the coupling strength, as reflected in the measured displacement of the final spatial pattern. By analyzing the response curve of the probe laser displacement to the magnetic field, we identify the point of maximum sensitivity, achieving a magnetic field sensitivity of 182.8 fT / Hz 1/2 . Furthermore, in the IWM scheme, the detected signals depend only on the internal degrees of freedom of the probe laser, making the system robust against the fluctuations in laser power. To demonstrate this advantage, we compute the Allan standard deviation of the output signals for both conventional and IWM detection methods. The results indicate that the IWM-based method improves stability of detection by one to two orders of magnitude. This work presents, to our knowledge, a novel detection approach that integrates weak measurement techniques, offering a significant enhancement in the performance of SERF magnetometers.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通过相对频率学习解锁高频散斑细节，通过散射介质实现稳健成像</w:t>
      </w:r>
    </w:p>
    <w:p>
      <w:r>
        <w:rPr>
          <w:rFonts w:ascii="Times New Roman" w:hAnsi="Times New Roman" w:eastAsia="宋体"/>
          <w:b/>
          <w:color w:val="003264"/>
          <w:sz w:val="24"/>
        </w:rPr>
        <w:t>Unlocking high-frequency speckle details via relative frequency learning for robust imaging through scattering media</w:t>
      </w:r>
    </w:p>
    <w:p>
      <w:r>
        <w:rPr>
          <w:rFonts w:ascii="Times New Roman" w:hAnsi="Times New Roman" w:eastAsia="宋体"/>
          <w:sz w:val="21"/>
        </w:rPr>
        <w:t>作者: Chuncheng Zhang, Zhaoxuan Hu, Tianting Zhong, Haofan Huang, Ji Liang, Yu Wang, Tingting Liu, Zheyi Yao, Qian Chen, Puxiang Lai, Xiubao Sui</w:t>
        <w:br/>
      </w:r>
      <w:r>
        <w:rPr>
          <w:rFonts w:ascii="Times New Roman" w:hAnsi="Times New Roman" w:eastAsia="宋体"/>
          <w:sz w:val="21"/>
        </w:rPr>
        <w:t xml:space="preserve">时间: 2026-01-30 | </w:t>
      </w:r>
      <w:r>
        <w:t xml:space="preserve">链接: </w:t>
      </w:r>
      <w:hyperlink r:id="rId93">
        <w:r>
          <w:rPr>
            <w:rFonts w:ascii="Times New Roman" w:hAnsi="Times New Roman" w:eastAsia="宋体"/>
            <w:color w:val="0000FF"/>
            <w:sz w:val="21"/>
            <w:u w:val="single"/>
          </w:rPr>
          <w:t>https://doi.org/10.1364/prj.575821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成像面临着严峻的挑战：基于深度学习的方法本质上抑制了高频散斑信息，限制了精细纹理和边缘的恢复。为了克服这种频谱偏差，我们引入了相对散斑频域（RSFD）的概念，它通过频域分解将高频特征重新定义为可学习的自适应分量。我们证明，独立处理广义高频散斑分量使神经网络能够捕获以前在传统方法中模糊的潜在目标细节。利用这一原理，我们设计了 FDUnet，这是一个双分支网络，包括用于全局结构重建的低频子网（Lnet）和致力于增强纹理和边缘的相对高频子网（RHnet）。实验证实了 FDUnet 的优越性：在不同数据集（MNIST、Fashion-MNIST、FERET）中，它在视觉保真度和定量指标方面均优于最先进的方法，SSIM 提高了 5.9% 至 8.7%，PSNR 提高了 5.4 至 7.9 dB。这些增强转化为纹理和边缘保留的显着改进，特别是对多模光纤扰动表现出卓越的鲁棒性。这项工作弥合了物理先验和神经网络学习之间的差距，释放了高保真应用的新潜力，例如动态散射环境中的生物医学内窥镜成像。</w:t>
      </w:r>
    </w:p>
    <w:p>
      <w:pPr>
        <w:spacing w:before="120"/>
      </w:pPr>
      <w:r>
        <w:rPr>
          <w:rFonts w:ascii="Times New Roman" w:hAnsi="Times New Roman" w:eastAsia="宋体"/>
          <w:b/>
          <w:sz w:val="21"/>
        </w:rPr>
        <w:t>English Abstract:</w:t>
      </w:r>
    </w:p>
    <w:p>
      <w:r>
        <w:rPr>
          <w:rFonts w:ascii="Times New Roman" w:hAnsi="Times New Roman" w:eastAsia="宋体"/>
          <w:sz w:val="21"/>
        </w:rPr>
        <w:t>Imaging through scattering media faces a critical challenge: deep-learning-based methods inherently suppress high-frequency speckle information, limiting the recovery of fine textures and edges. To overcome this spectral bias, we introduce the concept of the relative speckle frequency domain (RSFD), which redefines high-frequency features as learnable, adaptive components via frequency-domain decomposition. We demonstrate that independently processing generalized high-frequency speckle components enables neural networks to capture latent target details previously obscured in conventional approaches. Leveraging this principle, we design FDUnet, a dual-branch network comprising a low-frequency sub-network (Lnet) for global structure reconstruction and a relative high-frequency sub-network (RHnet) dedicated to enhancing textures and edges. Experiments confirm FDUnet’s superiority: it outperforms state-of-the-art methods in both visual fidelity and quantitative metrics by +5.9% to 8.7% in SSIM and +5.4 to 7.9 dB in PSNR across diverse datasets (MNIST, Fashion-MNIST, FERET). These enhancements translate into notable improvements in the preservation of textures and edges, especially exhibiting exceptional robustness to multimode fiber perturbations. This work bridges the gap between physical priors and neural network learning, unlocking new potentials for high-fidelity applications, such as biomedical endoscopic imaging, in dynamic scattering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等离激元超表面：简单线性腔激光器中的中红外调Q锁模操作</w:t>
      </w:r>
    </w:p>
    <w:p>
      <w:r>
        <w:rPr>
          <w:rFonts w:ascii="Times New Roman" w:hAnsi="Times New Roman" w:eastAsia="宋体"/>
          <w:b/>
          <w:color w:val="003264"/>
          <w:sz w:val="24"/>
        </w:rPr>
        <w:t>Plasmonic metasurfaces: toward the mid-infrared Q -switched mode-locking operation in a simple linear-cavity laser</w:t>
      </w:r>
    </w:p>
    <w:p>
      <w:r>
        <w:rPr>
          <w:rFonts w:ascii="Times New Roman" w:hAnsi="Times New Roman" w:eastAsia="宋体"/>
          <w:sz w:val="21"/>
        </w:rPr>
        <w:t>作者: Jun Liu, Yushuo Bao, Chunxiang Zhang, Muhammad Sohail, Zhenhong Wang, Thomas Allsop, Rui Ma, Shuqing Chen, Feng Zhang, Kang Zhao, Jia Guo, Dianyuan Fan</w:t>
        <w:br/>
      </w:r>
      <w:r>
        <w:rPr>
          <w:rFonts w:ascii="Times New Roman" w:hAnsi="Times New Roman" w:eastAsia="宋体"/>
          <w:sz w:val="21"/>
        </w:rPr>
        <w:t xml:space="preserve">时间: 2026-01-30 | </w:t>
      </w:r>
      <w:r>
        <w:t xml:space="preserve">链接: </w:t>
      </w:r>
      <w:hyperlink r:id="rId94">
        <w:r>
          <w:rPr>
            <w:rFonts w:ascii="Times New Roman" w:hAnsi="Times New Roman" w:eastAsia="宋体"/>
            <w:color w:val="0000FF"/>
            <w:sz w:val="21"/>
            <w:u w:val="single"/>
          </w:rPr>
          <w:t>https://doi.org/10.1364/prj.572730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等离激元超表面具有宽带非线性光学响应和出色的光场操纵能力，有助于激光谐振腔作为可饱和吸收器（SA）的无源调Q和锁模操作，从而能够生成短脉冲和超短脉冲。据我们所知，我们首次在氟化物基底上成功制造了由金纳米结构组成的透射型中红外等离子体超表面SA，利用局部共振增强。其非线性光学 (NLO) 特性以自制的~2.78 μm 脉冲 Z 扫描系统为特征，表现出高达 30% 的显着调制深度。通过将等离子体超表面SA集成到简单的线性腔Er:ZBLAN光纤激光器中，实现了稳定的调Q锁模（QML）操作，在2.78 μm处的最大平均输出功率为224 mW。输出呈现出 768 ns 的 Q 开关包络，其中包含持续时间为 51.42 ps 的锁模脉冲，基本重复率为 24.5 MHz。这项工作通过利用其增强的非线性光学响应和定制的光谱特性，进一步将等离子体超表面SA的应用扩展到中红外波长区域，使其成为下一代中红外超快激光器的核心组件。</w:t>
      </w:r>
    </w:p>
    <w:p>
      <w:pPr>
        <w:spacing w:before="120"/>
      </w:pPr>
      <w:r>
        <w:rPr>
          <w:rFonts w:ascii="Times New Roman" w:hAnsi="Times New Roman" w:eastAsia="宋体"/>
          <w:b/>
          <w:sz w:val="21"/>
        </w:rPr>
        <w:t>English Abstract:</w:t>
      </w:r>
    </w:p>
    <w:p>
      <w:r>
        <w:rPr>
          <w:rFonts w:ascii="Times New Roman" w:hAnsi="Times New Roman" w:eastAsia="宋体"/>
          <w:sz w:val="21"/>
        </w:rPr>
        <w:t>Plasmonic metasurfaces, featuring broadband nonlinear optical responses and exceptional light-field manipulation capabilities, facilitate the passive Q -switching and mode-locking operation of a laser resonator as a saturable absorber (SA) and thus enable the generation of short- and ultrashort pulses. Here, for the first time, to our knowledge, we successfully fabricate a transmission-type mid-infrared plasmonic metasurface SA composed of gold nanostructures on the fluoride substrate, leveraging localized resonance enhancement. Its nonlinear optical (NLO) properties are characterized by a home-made ∼2.78 μm pulsed Z-scan system, demonstrating a remarkable modulation depth of up to 30%. By integrating the plasmonic metasurface SA into a simple linear-cavity Er:ZBLAN fiber laser, stable Q -switched mode-locking (QML) operation is achieved with a maximum average output power of 224 mW at 2.78 μm. The output exhibits a Q -switched envelope of 768 ns containing mode-locking pulses with 51.42 ps duration at the fundamental repetition rate of 24.5 MHz. This work further expands the application of plasmonic metasurface SAs to the mid-IR wavelength region, by utilizing their enhanced NLO responses and tailored spectral characteristics, enabling them as a core component for next-generation mid-IR ultrafast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使用宽带、频率稳定的 WGM 标准具提高 astrocomb 参考性能</w:t>
      </w:r>
    </w:p>
    <w:p>
      <w:r>
        <w:rPr>
          <w:rFonts w:ascii="Times New Roman" w:hAnsi="Times New Roman" w:eastAsia="宋体"/>
          <w:b/>
          <w:color w:val="003264"/>
          <w:sz w:val="24"/>
        </w:rPr>
        <w:t>Boosting astrocomb reference performance with a wideband, frequency-stabilized WGM etalon</w:t>
      </w:r>
    </w:p>
    <w:p>
      <w:r>
        <w:rPr>
          <w:rFonts w:ascii="Times New Roman" w:hAnsi="Times New Roman" w:eastAsia="宋体"/>
          <w:sz w:val="21"/>
        </w:rPr>
        <w:t>作者: Yu-Hung Lai, Danny Eliyahu, Miguel Maldonado, Abdelkrim El Amili, Anatoliy Savchenkov, Kayla Kulish, Scott Singer, Wei Zhang, Mahmood Bagheri, Dmitry V. Strekalov, Charles A. Beichman, Stephanie Leifer, Andrey B. Matsko, Gautam Vasisht, Lute Maleki</w:t>
        <w:br/>
      </w:r>
      <w:r>
        <w:rPr>
          <w:rFonts w:ascii="Times New Roman" w:hAnsi="Times New Roman" w:eastAsia="宋体"/>
          <w:sz w:val="21"/>
        </w:rPr>
        <w:t xml:space="preserve">时间: 2026-01-30 | </w:t>
      </w:r>
      <w:r>
        <w:t xml:space="preserve">链接: </w:t>
      </w:r>
      <w:hyperlink r:id="rId95">
        <w:r>
          <w:rPr>
            <w:rFonts w:ascii="Times New Roman" w:hAnsi="Times New Roman" w:eastAsia="宋体"/>
            <w:color w:val="0000FF"/>
            <w:sz w:val="21"/>
            <w:u w:val="single"/>
          </w:rPr>
          <w:t>https://doi.org/10.1364/prj.577677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Astrocombs 是用于天文摄谱仪校准的高精度光学参考系统，能够在广泛的光谱范围内准确、一致地测量恒星吸收线频率。通过将恒星的光谱与星梳光谱进行比较，可以检测到表明系外行星存在的微小径向速度变化。最高精度和准确度的星体梳是由激光频率梳产生的。然而，在可见光波段，由于超连续谱生成介质的退化，频率梳校准器具有严格的使用寿命限制，因此通常用于校准法布里-珀罗标准具，然后用于与目标恒星的同步观测。这项工作展示了一种专门设计的晶体回音壁模式谐振器（WGMR），用作星梳标准具，具有两个倍频程的耦合波长跨度和准单模系列。除了宽范围波长耦合之外，系统的紧凑设计还融入了多项创新，以实现频率稳定性。除了真空封装之外，其中还包括双模式测温频率稳定，可有效最大限度地减少热和压力引起的频率漂移。通过外差 RF 拍音测量的长期频率稳定性超过 2×10 -12 ，预计长期模态频率稳定性为 ≲10 -10 （相当于多普勒速度 3 cm/s）。这种水平的稳定性消除了与激光参考进行频繁交叉校准的需要，而其他星梳标准具则需要这样做。总体而言，WGMR 标准具的架构提供了一种新的强大功能，超越了之前基于微谐振器的标准具所实现的功能，作为紧凑的超宽带光谱参考，用于检测附近恒星长周期轨道上的小行星。它还为适合航天的低尺寸、低重量和低功率 (SWaP) 光谱参考提供了一条前进之路。</w:t>
      </w:r>
    </w:p>
    <w:p>
      <w:pPr>
        <w:spacing w:before="120"/>
      </w:pPr>
      <w:r>
        <w:rPr>
          <w:rFonts w:ascii="Times New Roman" w:hAnsi="Times New Roman" w:eastAsia="宋体"/>
          <w:b/>
          <w:sz w:val="21"/>
        </w:rPr>
        <w:t>English Abstract:</w:t>
      </w:r>
    </w:p>
    <w:p>
      <w:r>
        <w:rPr>
          <w:rFonts w:ascii="Times New Roman" w:hAnsi="Times New Roman" w:eastAsia="宋体"/>
          <w:sz w:val="21"/>
        </w:rPr>
        <w:t>Astrocombs are highly precise optical reference systems used for astronomical spectrograph calibration, enabling accurate and consistent measurement of stellar absorption line frequencies across a broad spectral range. By comparing a star’s spectrum to the astrocomb spectrum, minute radial velocity shifts indicative of an exoplanet’s presence can be detected. The highest precision and accuracy astrocombs are generated by laser frequency combs. However, in the visible band, frequency comb calibrators have stringent operational lifetime limitations due to degradation of the supercontinuum-generating medium, and are thus typically used to calibrate Fabry–Pérot etalons, which are then used for simultaneous observations with target stars. This work demonstrates a specially designed crystalline whispering-gallery-mode resonator (WGMR) that serves as an astrocomb etalon, featuring a coupling wavelength span of two octaves and a quasi-single-mode family. Several innovations have been incorporated into the system’s compact design to achieve frequency stability, in addition to wide-range wavelength coupling. These include dual-mode thermometric frequency stabilization, in addition to vacuum packaging, effectively minimizing thermal and pressure-induced frequency drift. Long-term frequency stability, measured via a heterodyne RF beat note, exceeds 2×10 −12 , with a projected long-term modal frequency stability of ≲10 −10 (equivalently 3 cm/s in Doppler velocity). This level of stability obviates the need for frequent cross-calibration with a laser reference, as was required with other astrocomb etalons. Overall, the architecture of the WGMR etalon provides a new and powerful capability, beyond what has previously been achieved by microresonator-based etalons, as a compact, ultra-wideband spectral reference for detecting small planets in long-period orbits around nearby stars. It also offers a path forward for a low size, weight, and power (SWaP) spectral reference appropriate for spaceflight.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06:29 ---</w:t>
      </w:r>
    </w:p>
    <w:p>
      <w:pPr>
        <w:pStyle w:val="Heading2"/>
      </w:pPr>
      <w:r/>
      <w:r>
        <w:rPr>
          <w:rFonts w:ascii="Times New Roman" w:hAnsi="Times New Roman" w:eastAsia="宋体"/>
          <w:b/>
          <w:color w:val="000000"/>
          <w:sz w:val="24"/>
        </w:rPr>
        <w:t>分层数据可视化中的比例聚合</w:t>
      </w:r>
    </w:p>
    <w:p>
      <w:r>
        <w:rPr>
          <w:rFonts w:ascii="Times New Roman" w:hAnsi="Times New Roman" w:eastAsia="宋体"/>
          <w:b/>
          <w:color w:val="003264"/>
          <w:sz w:val="24"/>
        </w:rPr>
        <w:t>Proportional Aggregation in Hierarchical Data Visualization</w:t>
      </w:r>
    </w:p>
    <w:p>
      <w:r>
        <w:rPr>
          <w:rFonts w:ascii="Times New Roman" w:hAnsi="Times New Roman" w:eastAsia="宋体"/>
          <w:sz w:val="21"/>
        </w:rPr>
        <w:t>作者: Antonia Schlieder, Jan Rummel, Filip Sadlo</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https://doi.org/10.1109/tvcg.2026.3664464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层次数据的可视化分析中，一个主要挑战是比较层次结构不同级别内部和之间的数据属性。此类任务通常使用聚合数据来解决，其中父节点的属性是根据其子节点的属性计算的。我们对隐式编码层次结构的可视化方法（例如冰柱图、树状图）的现有文献的回顾表明，大多数方法依赖于加法聚合。比例聚合（即为父级分配其子级值的加权平均值）尽管在实践中相关，但仍未得到探索。我们引入钟乳石图，这是一种显示比例聚合并支持视觉值比较的可视化技术。我们的实证评估（N=148，N=50）表明，通过一些解释，钟乳石图与已建立的分层数据可视化技术一样容易理解。此外，对于大型数据集，参与者使用我们的方法更快、更准确。</w:t>
      </w:r>
    </w:p>
    <w:p>
      <w:pPr>
        <w:spacing w:before="120"/>
      </w:pPr>
      <w:r>
        <w:rPr>
          <w:rFonts w:ascii="Times New Roman" w:hAnsi="Times New Roman" w:eastAsia="宋体"/>
          <w:b/>
          <w:sz w:val="21"/>
        </w:rPr>
        <w:t>English Abstract:</w:t>
      </w:r>
    </w:p>
    <w:p>
      <w:r>
        <w:rPr>
          <w:rFonts w:ascii="Times New Roman" w:hAnsi="Times New Roman" w:eastAsia="宋体"/>
          <w:sz w:val="21"/>
        </w:rPr>
        <w:t>In the visual analysis of hierarchical data, a main challenge is comparing data attributes both within and between different levels of the hierarchy. Such tasks are typically addressed using aggregated data, where the attribute of a parent node is calculated from the attributes of its children. Our review of existing literature on visualization methods that encode the hierarchy implicitly (e.g., icicle plots, treemaps) shows that most approaches rely on additive aggregation. Proportional aggregation, where a parent is assigned a weighted average of the values of its children, remains unexplored although relevant in practice. We introduce stalactite plots, a visualization technique that displays proportional aggregation and supports visual value comparison. Our empirical evaluation (N=148, N=50) shows that, with some explanation, stalactite plots are as easily understood as established visualization techniques for hierarchical data. Furthermore, for large datasets, participants are faster and more accurate using our approach.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06:29 ---</w:t>
      </w:r>
    </w:p>
    <w:p>
      <w:pPr>
        <w:pStyle w:val="Heading2"/>
      </w:pPr>
      <w:r/>
      <w:r>
        <w:rPr>
          <w:rFonts w:ascii="Times New Roman" w:hAnsi="Times New Roman" w:eastAsia="宋体"/>
          <w:b/>
          <w:color w:val="000000"/>
          <w:sz w:val="24"/>
        </w:rPr>
        <w:t>用于智能光学限制的 VO 2 薄膜中的热光协同相变动力学</w:t>
      </w:r>
    </w:p>
    <w:p>
      <w:r>
        <w:rPr>
          <w:rFonts w:ascii="Times New Roman" w:hAnsi="Times New Roman" w:eastAsia="宋体"/>
          <w:b/>
          <w:color w:val="003264"/>
          <w:sz w:val="24"/>
        </w:rPr>
        <w:t>Thermal-Optical Synergistic Phase Transition Dynamics in VO 2 Thin Film for Intelligent Optical Limiting</w:t>
      </w:r>
    </w:p>
    <w:p>
      <w:r>
        <w:rPr>
          <w:rFonts w:ascii="Times New Roman" w:hAnsi="Times New Roman" w:eastAsia="宋体"/>
          <w:sz w:val="21"/>
        </w:rPr>
        <w:t>作者: Jincheng Ji, Zhouyuan Yan, Sen Jin, Yan Wang, Weihao Yu, Ningning Dong, Jiajing He, Jun Wang</w:t>
        <w:br/>
      </w:r>
      <w:r>
        <w:rPr>
          <w:rFonts w:ascii="Times New Roman" w:hAnsi="Times New Roman" w:eastAsia="宋体"/>
          <w:sz w:val="21"/>
        </w:rPr>
        <w:t xml:space="preserve">时间: 2026-02-13 | </w:t>
      </w:r>
      <w:r>
        <w:t xml:space="preserve">链接: </w:t>
      </w:r>
      <w:hyperlink r:id="rId97">
        <w:r>
          <w:rPr>
            <w:rFonts w:ascii="Times New Roman" w:hAnsi="Times New Roman" w:eastAsia="宋体"/>
            <w:color w:val="0000FF"/>
            <w:sz w:val="21"/>
            <w:u w:val="single"/>
          </w:rPr>
          <w:t>https://doi.org/10.1021/acsphotonics.5c02863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与GaSb晶格匹配的Al x In 1– x As γ Sb 1- γ雪崩光电二极管中雪崩倍增和过量噪声的研究</w:t>
      </w:r>
    </w:p>
    <w:p>
      <w:r>
        <w:rPr>
          <w:rFonts w:ascii="Times New Roman" w:hAnsi="Times New Roman" w:eastAsia="宋体"/>
          <w:b/>
          <w:color w:val="003264"/>
          <w:sz w:val="24"/>
        </w:rPr>
        <w:t>A Study of the Avalanche Multiplication and Excess Noise in Al x In 1– x As γ Sb 1- γ Avalanche Photodiodes Lattice-Matched to GaSb</w:t>
      </w:r>
    </w:p>
    <w:p>
      <w:r>
        <w:rPr>
          <w:rFonts w:ascii="Times New Roman" w:hAnsi="Times New Roman" w:eastAsia="宋体"/>
          <w:sz w:val="21"/>
        </w:rPr>
        <w:t>作者: Xiao Jin, Wenguang Zhou, Yang Zhao, Qingyu Tian, Xin Yi, Xiaofeng Tao, Adam Craig, Mrudul Modak, Andrew Marshall, Yingqiang Xu, Guowei Wang, John P. R. David, Gerald S. Buller</w:t>
        <w:br/>
      </w:r>
      <w:r>
        <w:rPr>
          <w:rFonts w:ascii="Times New Roman" w:hAnsi="Times New Roman" w:eastAsia="宋体"/>
          <w:sz w:val="21"/>
        </w:rPr>
        <w:t xml:space="preserve">时间: 2026-02-13 | </w:t>
      </w:r>
      <w:r>
        <w:t xml:space="preserve">链接: </w:t>
      </w:r>
      <w:hyperlink r:id="rId98">
        <w:r>
          <w:rPr>
            <w:rFonts w:ascii="Times New Roman" w:hAnsi="Times New Roman" w:eastAsia="宋体"/>
            <w:color w:val="0000FF"/>
            <w:sz w:val="21"/>
            <w:u w:val="single"/>
          </w:rPr>
          <w:t>https://doi.org/10.1021/acsphotonics.5c02166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06:29 ---</w:t>
      </w:r>
    </w:p>
    <w:p>
      <w:pPr>
        <w:pStyle w:val="Heading2"/>
      </w:pPr>
      <w:r/>
      <w:r>
        <w:rPr>
          <w:rFonts w:ascii="Times New Roman" w:hAnsi="Times New Roman" w:eastAsia="宋体"/>
          <w:b/>
          <w:color w:val="000000"/>
          <w:sz w:val="24"/>
        </w:rPr>
        <w:t>具有混合先验的快速电阻抗断层扫描</w:t>
      </w:r>
    </w:p>
    <w:p>
      <w:r>
        <w:rPr>
          <w:rFonts w:ascii="Times New Roman" w:hAnsi="Times New Roman" w:eastAsia="宋体"/>
          <w:b/>
          <w:color w:val="003264"/>
          <w:sz w:val="24"/>
        </w:rPr>
        <w:t>Fast Electrical Impedance Tomography with Hybrid Priors</w:t>
      </w:r>
    </w:p>
    <w:p>
      <w:r>
        <w:rPr>
          <w:rFonts w:ascii="Times New Roman" w:hAnsi="Times New Roman" w:eastAsia="宋体"/>
          <w:sz w:val="21"/>
        </w:rPr>
        <w:t>作者: Shuaikai Shi, Ruiyuan Kang, Panos Liatsis</w:t>
        <w:br/>
      </w:r>
      <w:r>
        <w:rPr>
          <w:rFonts w:ascii="Times New Roman" w:hAnsi="Times New Roman" w:eastAsia="宋体"/>
          <w:sz w:val="21"/>
        </w:rPr>
        <w:t xml:space="preserve">时间: 2026 | </w:t>
      </w:r>
      <w:r>
        <w:t xml:space="preserve">链接: </w:t>
      </w:r>
      <w:hyperlink r:id="rId99">
        <w:r>
          <w:rPr>
            <w:rFonts w:ascii="Times New Roman" w:hAnsi="Times New Roman" w:eastAsia="宋体"/>
            <w:color w:val="0000FF"/>
            <w:sz w:val="21"/>
            <w:u w:val="single"/>
          </w:rPr>
          <w:t>https://doi.org/10.1109/tci.2026.3664753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电阻抗断层扫描 (EIT) 是一种非电离、非侵入性成像技术，可重建物体内的导电模式。由于其低成本、实时性和便携性，它在从医学成像到工业监控和地球科学的各种应用中很受欢迎。当注入电流时，EIT 通过边界电压测量揭示内部电导率分布。然而，由于稀疏边界电压测量和所需的高分辨率电导率图像之间存在显着差异，EIT 图像重建是一个不适定问题。传统和深度学习方法都是为了应对这一挑战而开发的，主要是通过空间正则化和图像回归技术。虽然采用正则化器的传统方法可以生成物理上合理的电导率分布，但它们的线性性质通常限制了重建精度。深度学习模型取得了优异的结果，但需要大量的训练数据集。在这项工作中，我们提出了一种新颖的 EIT 迭代电导率图像重建方法，称为 PnPEIT，它将手工制作和即插即用 (PnP) 先验集成到乘子交替方向法 (ADMM) 框架内。具体来说，PnPEIT 的目标函数包含电压重建误差和稀疏约束、图正则化以及电导率图像之前的 PnP。接下来，PnP 先验项由去噪算子优化，并通过块匹配和 3D 滤波 (BM3D) 或预训练的去噪网络来实现。通过交替迭代，算法快速收敛，得到所需的电导率图像。此外，我们提供了一个简单的证明，证明图拉普拉斯正则化不仅等效于非局部均值去噪算法，而且还加速了收敛。对合成数据集和真实数据集的实验强调了所提出的方法相对于传统和前沿 EIT 图像重建方法的优势。源代码可在 https://github.com/shuaikaishi/PnPEIT 获取。</w:t>
      </w:r>
    </w:p>
    <w:p>
      <w:pPr>
        <w:spacing w:before="120"/>
      </w:pPr>
      <w:r>
        <w:rPr>
          <w:rFonts w:ascii="Times New Roman" w:hAnsi="Times New Roman" w:eastAsia="宋体"/>
          <w:b/>
          <w:sz w:val="21"/>
        </w:rPr>
        <w:t>English Abstract:</w:t>
      </w:r>
    </w:p>
    <w:p>
      <w:r>
        <w:rPr>
          <w:rFonts w:ascii="Times New Roman" w:hAnsi="Times New Roman" w:eastAsia="宋体"/>
          <w:sz w:val="21"/>
        </w:rPr>
        <w:t>Electrical impedance tomography (EIT) is a non-ionizing and non-invasive imaging technique that reconstructs the electrical conductivity patterns within an object. Due to its low cost, real-time nature and portability, it is popular in a variety of applications ranging from medical imaging to industrial monitoring and geoscience. When electrical currents are injected, EIT reveals the internal conductivity distribution through boundary voltage measurements. However, EIT image reconstruction is an ill-posed problem due to the significant disparity between sparse boundary voltage measurements and the desired high-resolution conductivity images. Both conventional and deep learning approaches have been developed to address this challenge, primarily through spatial regularization and image regression techniques. While conventional methods employing regularizers can generate physically plausible conductivity distributions, their linear nature often limits reconstruction accuracy. Deep learning models achieve superior results but require substantial training datasets. In this work, we propose a novel iterative conductivity image reconstruction method for EIT, termed PnPEIT, which integrates both handcrafted and plug-and-play (PnP) priors within the alternating direction method of multipliers (ADMM) framework. Specifically, the objective function of PnPEIT contains the voltage reconstruction error and a sparse constraint, a graph regularization, and a PnP prior to the conductivity images. Next, the PnP prior term is optimized by a denoising operator and implemented by block-matching and 3D filtering (BM3D) or pre-trained denoising networks. Through alternating iterations, the algorithm converges rapidly and the desired conductivity image is obtained. Moreover, we provide a simple proof that the graph Laplacian regularization is not only equivalent to the non-local means denoising algorithm, but also accelerates convergence. Experiments on both synthetic and real-world datasets emphasize the advantage of the proposed method over traditional and cutting-edge EIT image reconstruction approaches. The source code is available at https://github.com/shuaikaishi/PnPEIT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通过互补先验进行快照压缩高光谱图像重建</w:t>
      </w:r>
    </w:p>
    <w:p>
      <w:r>
        <w:rPr>
          <w:rFonts w:ascii="Times New Roman" w:hAnsi="Times New Roman" w:eastAsia="宋体"/>
          <w:b/>
          <w:color w:val="003264"/>
          <w:sz w:val="24"/>
        </w:rPr>
        <w:t>Snapshot Compressive Hyperspectral Image Reconstruction via Complementary Priors</w:t>
      </w:r>
    </w:p>
    <w:p>
      <w:r>
        <w:rPr>
          <w:rFonts w:ascii="Times New Roman" w:hAnsi="Times New Roman" w:eastAsia="宋体"/>
          <w:sz w:val="21"/>
        </w:rPr>
        <w:t>作者: Yaning Zang, Min Huang, Lianru Gao, Lina Zhuang</w:t>
        <w:br/>
      </w:r>
      <w:r>
        <w:rPr>
          <w:rFonts w:ascii="Times New Roman" w:hAnsi="Times New Roman" w:eastAsia="宋体"/>
          <w:sz w:val="21"/>
        </w:rPr>
        <w:t xml:space="preserve">时间: 2026 | </w:t>
      </w:r>
      <w:r>
        <w:t xml:space="preserve">链接: </w:t>
      </w:r>
      <w:hyperlink r:id="rId100">
        <w:r>
          <w:rPr>
            <w:rFonts w:ascii="Times New Roman" w:hAnsi="Times New Roman" w:eastAsia="宋体"/>
            <w:color w:val="0000FF"/>
            <w:sz w:val="21"/>
            <w:u w:val="single"/>
          </w:rPr>
          <w:t>https://doi.org/10.1109/tci.2026.3664689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编码孔径快照光谱成像 (CASSI) 系统将 3D 高光谱数据压缩投影到 2D 测量上，提供高成像速度和数据效率。然而，由于高光谱压缩感知重建的不适定性质，现有的 CASSI 重建算法仍然存在重建质量不理想的问题，这需要有效的先验建模。本文提出了一种新颖的重建框架，集成了多个互补先验，联合建模光谱低秩、空间非局部自相似性和深度图像先验，以全面捕获跨光谱和空间域的高光谱图像的内在结构。通过结合基于模型和数据驱动先验的优点，所提出的方法实现了强大的泛化能力和表达能力。为了解决多个正则化项和参数带来的优化挑战，开发了一种高效的基于 ADMM 的求解器，它将问题分解为具有封闭形式解决方案的子问题或可通过即插即用降噪器解决的子问题。此外，引入自适应噪声估计机制来自动调整正则化参数，无需手动调整参数。大量的实验表明，所提出的方法在跨多个数据集的重建精度和鲁棒性方面始终优于最先进的方法。我们的代码可在 https://github.com/ETHAN-YA/PnP-Hybrid.git 获取。</w:t>
      </w:r>
    </w:p>
    <w:p>
      <w:pPr>
        <w:spacing w:before="120"/>
      </w:pPr>
      <w:r>
        <w:rPr>
          <w:rFonts w:ascii="Times New Roman" w:hAnsi="Times New Roman" w:eastAsia="宋体"/>
          <w:b/>
          <w:sz w:val="21"/>
        </w:rPr>
        <w:t>English Abstract:</w:t>
      </w:r>
    </w:p>
    <w:p>
      <w:r>
        <w:rPr>
          <w:rFonts w:ascii="Times New Roman" w:hAnsi="Times New Roman" w:eastAsia="宋体"/>
          <w:sz w:val="21"/>
        </w:rPr>
        <w:t>Coded aperture snapshot spectral imaging (CASSI) systems compressively project 3D hyperspectral data onto 2D measurements, offering high imaging speed and data efficiency. However, existing CASSI reconstruction algorithms still suffer from suboptimal reconstruction quality due to the ill-posed nature of hyperspectral compressive sensing reconstruction, which demands effective prior modeling. This paper proposes a novel reconstruction framework that integrates multiple complementary priors, jointly modeling spectral low-rankness, spatial nonlocal self-similarity, and deep image priors to comprehensively capture the intrinsic structure of hyperspectral images across spectral and spatial domains. By combining the strengths of model-based and data-driven priors, the proposed method achieves both strong generalization and expressive capacity. To tackle the optimization challenges posed by multiple regularization terms and parameters, an efficient ADMM-based solver is developed, which decomposes the problem into subproblems with closed-form solutions or those solvable via plug-and-play denoisers. In addition, an adaptive noise estimation mechanism is introduced to automatically tune the regularization parameters, eliminating the need for manual parameter adjustment. Extensive experiments demonstrate that the proposed method consistently outperforms state-of-the-art approaches in terms of reconstruction accuracy and robustness across multiple datasets. Our code is available at https://github.com/ETHAN-YA/PnP-Hybrid.git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06:29 ---</w:t>
      </w:r>
    </w:p>
    <w:p>
      <w:pPr>
        <w:pStyle w:val="Heading2"/>
      </w:pPr>
      <w:r/>
      <w:r>
        <w:rPr>
          <w:rFonts w:ascii="Times New Roman" w:hAnsi="Times New Roman" w:eastAsia="宋体"/>
          <w:b/>
          <w:color w:val="000000"/>
          <w:sz w:val="24"/>
        </w:rPr>
        <w:t>C-WOE：利用狂野异常值暴露进行分布外检测学习的聚类</w:t>
      </w:r>
    </w:p>
    <w:p>
      <w:r>
        <w:rPr>
          <w:rFonts w:ascii="Times New Roman" w:hAnsi="Times New Roman" w:eastAsia="宋体"/>
          <w:b/>
          <w:color w:val="003264"/>
          <w:sz w:val="24"/>
        </w:rPr>
        <w:t>C-WOE: Clustering for Out-of-Distribution Detection Learning with Wild Outlier Exposure</w:t>
      </w:r>
    </w:p>
    <w:p>
      <w:r>
        <w:rPr>
          <w:rFonts w:ascii="Times New Roman" w:hAnsi="Times New Roman" w:eastAsia="宋体"/>
          <w:sz w:val="21"/>
        </w:rPr>
        <w:t>作者: Long Lan, Zhaohui Hu, He Li, Tongliang Liu, Xinwang Liu</w:t>
        <w:br/>
      </w:r>
      <w:r>
        <w:rPr>
          <w:rFonts w:ascii="Times New Roman" w:hAnsi="Times New Roman" w:eastAsia="宋体"/>
          <w:sz w:val="21"/>
        </w:rPr>
        <w:t xml:space="preserve">时间: 2026 | </w:t>
      </w:r>
      <w:r>
        <w:t xml:space="preserve">链接: </w:t>
      </w:r>
      <w:hyperlink r:id="rId101">
        <w:r>
          <w:rPr>
            <w:rFonts w:ascii="Times New Roman" w:hAnsi="Times New Roman" w:eastAsia="宋体"/>
            <w:color w:val="0000FF"/>
            <w:sz w:val="21"/>
            <w:u w:val="single"/>
          </w:rPr>
          <w:t>https://doi.org/10.1109/tip.2026.3662593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检测作为计算机视觉系统中处理异常的机制发挥着至关重要的作用。在现有方法中，异常值暴露 (OE) 使用额外的辅助 OOD 数据集来训练模型，已表现出强大的有效性。然而，获取干净且精心策划的辅助 OOD 数据通常是不可行的，特别是在大型复杂系统中。另外，野生异常值（即直接在部署环境中收集的未标记样本）丰富且易于获取，最近的研究表明它们可以极大地有益于 OOD 检测学习。然而，异常值通常包含分布内 (ID) 和 OOD 样本的混合。直接使用它们作为辅助 OOD 数据不可避免地将模型暴露于由所包含的 ID 样本产生的不利监督信号中。然而，现有方法仍然缺乏一种有效的策略，可以充分利用野生异常值，同时抑制 ID 子集带来的负面影响。为此，我们提出了一种简单而有效的方法，名为“狂野异常值暴露聚类”(C-WOE)，该方法通过重新加权来减轻狂野异常值中包含的 ID 样本的不利影响。具体来说，C-WOE 为真实的 OOD 样本分配较高的权重，为 ID 样本分配较低的权重，并在训练期间动态更新这些权重。从理论上讲，我们为所提出的方法建立了坚实的保证。根据经验，对各种现实世界基准和模拟数据集进行的大量实验表明，与最先进的方法相比，C-WOE 显着实现了卓越的性能，验证了其在图像处理应用中的可靠性。</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plays a crucial role as a mechanism for handling anomalies in computer vision systems. Among existing approaches, outlier exposure (OE), which trains the model with an additional auxiliary OOD dataset, has demonstrated strong effectiveness. However, acquiring clean and well-curated auxiliary OOD data is often infeasible, particularly within large and complex systems. Alternatively, wild outliers , i.e., unlabeled samples collected directly in deployment environments, are abundant and easy to obtain, and recent studies have shown that they can substantially benefit OOD detection learning. Nevertheless, wild outliers typically contain a mixture of in-distribution (ID) and OOD samples. Directly using them as auxiliary OOD data unavoidably exposes the model to adverse supervision signals arising from the contained ID samples. Yet existing methods still lack an effective strategy that can fully leverage wild outliers while suppressing the negative influence introduced by their ID subset. To this end, we propose a simple yet effective method named Clustering for Wild Outlier Exposure (C-WOE), which alleviates the adverse effect of the ID samples contained within wild outliers by reweighting them. Specifically, C-WOE assigns higher weights to real OOD samples and lower weights to ID samples and dynamically updates these weights during training. Theoretically, we establish solid guarantees for the proposed method. Empirically, extensive experiments conducted on various real-world benchmarks and simulated datasets demonstrate that C-WOE notably achieves superior performance compared with state-of-the-art methods, validating its reliability in image processing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DeepGSR：用于解决图像逆问题的基于深度组的稀疏表示网络</w:t>
      </w:r>
    </w:p>
    <w:p>
      <w:r>
        <w:rPr>
          <w:rFonts w:ascii="Times New Roman" w:hAnsi="Times New Roman" w:eastAsia="宋体"/>
          <w:b/>
          <w:color w:val="003264"/>
          <w:sz w:val="24"/>
        </w:rPr>
        <w:t>DeepGSR: Deep group-based sparse representation network for solving image inverse problems</w:t>
      </w:r>
    </w:p>
    <w:p>
      <w:r>
        <w:rPr>
          <w:rFonts w:ascii="Times New Roman" w:hAnsi="Times New Roman" w:eastAsia="宋体"/>
          <w:sz w:val="21"/>
        </w:rPr>
        <w:t>作者: Ke Jiang, Xinya Ji, Baoshun Shi</w:t>
        <w:br/>
      </w:r>
      <w:r>
        <w:rPr>
          <w:rFonts w:ascii="Times New Roman" w:hAnsi="Times New Roman" w:eastAsia="宋体"/>
          <w:sz w:val="21"/>
        </w:rPr>
        <w:t xml:space="preserve">时间: 2026 | </w:t>
      </w:r>
      <w:r>
        <w:t xml:space="preserve">链接: </w:t>
      </w:r>
      <w:hyperlink r:id="rId102">
        <w:r>
          <w:rPr>
            <w:rFonts w:ascii="Times New Roman" w:hAnsi="Times New Roman" w:eastAsia="宋体"/>
            <w:color w:val="0000FF"/>
            <w:sz w:val="21"/>
            <w:u w:val="single"/>
          </w:rPr>
          <w:t>https://doi.org/10.1109/tip.2026.3662583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年中，基于组的稀疏表示（GSR）通过将模型驱动的可解释性与非局部自相似先验相结合，已成为图像逆问题的强大范例。然而，其实际用途受到计算成本昂贵的迭代过程的阻碍。深度学习（DL）方法可以避免这种缺陷，但它们通常缺乏模型可解释性。为了弥补这一差距，我们提出了一种新颖的基于深度组的稀疏表示框架，称为 DeepGSR，它将 GSR 方法和 DL 方法结合在一起。 DeepGSR 不仅规避了传统 GSR 的迭代瓶颈，还通过可学习的参数化保留了其模型的可解释性。具体来说，该网络建立在利用非局部自相似性的 GSR 模型之上，并集成了自适应补丁匹配和聚合机制来对潜在空间中复杂的组内关系进行建模。为了降低与传统的基于 SVD 的秩收缩相关的计算复杂性，我们引入了一种可学习的低秩收缩模块，该模块结合了低秩约束，同时增强了模型的可解释性和适应性。为了更好地利用特定频率的结构，该网络采用了移位小波域补丁划分策略，该策略分别对高频和低频分量进行建模，以进一步增强网络的表示能力。大量实验表明，当 DeepGSR 作为直接替换模块应用于各种图像反演问题（例如图像去噪、单图像去雨、金属伪影减少、稀疏视图计算机断层扫描重建、相位检索和一体化图像恢复）时，始终能够提供有效的性能，验证了所提出框架的有效性。源代码和数据集已在 https://github.com/shibaoshun/DeepGSR 上公开。</w:t>
      </w:r>
    </w:p>
    <w:p>
      <w:pPr>
        <w:spacing w:before="120"/>
      </w:pPr>
      <w:r>
        <w:rPr>
          <w:rFonts w:ascii="Times New Roman" w:hAnsi="Times New Roman" w:eastAsia="宋体"/>
          <w:b/>
          <w:sz w:val="21"/>
        </w:rPr>
        <w:t>English Abstract:</w:t>
      </w:r>
    </w:p>
    <w:p>
      <w:r>
        <w:rPr>
          <w:rFonts w:ascii="Times New Roman" w:hAnsi="Times New Roman" w:eastAsia="宋体"/>
          <w:sz w:val="21"/>
        </w:rPr>
        <w:t>In the past few years, group-based sparse representation (GSR) has emerged as a powerful paradigm for image inverse problems by synergizing model-driven interpretability with nonlocal self-similarity priors. Nevertheless, its practical utility is hindered by computationally expensive iterative processes. Deep learning (DL) methods can avoid this deficiency, but they often lack of model interpretability. To bridge this gap, we propose a novel deep group-based sparse representation framework, termed DeepGSR, which brings the GSR method and the DL approach together. DeepGSR not only circumvents the iterative bottlenecks of conventional GSR but also preserves its model interpretability through a learnable parameterization. Specifically, the network is built upon a GSR model that leverages nonlocal self-similarity, and it integrates adaptive patch matching and aggregation mechanisms to model complex intra-group relationships in the latent space. To reduce the computational complexity associated with traditional SVD-based rank shrinkage, we introduce a learnable low-rank shrinkage module that incorporates low-rank constraints while enhancing the interpretability and adaptability of the model. To better exploit frequency-specific structures, the network incorporates a shifting wavelet-domain patch partitioning strategy, which separately models high- and low-frequency components to further enhance the representation ability of the network. Extensive experiments demonstrate that DeepGSR, when applied as a drop-in replacement module to various image inverse problems such as image denoising, single-image deraining, metal artifact reduction, sparse-view computed tomography reconstruction, phase retrieval, and all-in-one image restoration consistently delivers effective performance, validating the effectiveness of the proposed framework. The source code and datasets have been made publicly available at https://github.com/shibaoshun/DeepGSR.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通过可学习的参数化深度降级投影实现光场中稳健的 2.5D 特征匹配</w:t>
      </w:r>
    </w:p>
    <w:p>
      <w:r>
        <w:rPr>
          <w:rFonts w:ascii="Times New Roman" w:hAnsi="Times New Roman" w:eastAsia="宋体"/>
          <w:b/>
          <w:color w:val="003264"/>
          <w:sz w:val="24"/>
        </w:rPr>
        <w:t>Robust 2.5D Feature Matching in Light Fields via A Learnable Parameterized Depth-Degraded Projection</w:t>
      </w:r>
    </w:p>
    <w:p>
      <w:r>
        <w:rPr>
          <w:rFonts w:ascii="Times New Roman" w:hAnsi="Times New Roman" w:eastAsia="宋体"/>
          <w:sz w:val="21"/>
        </w:rPr>
        <w:t>作者: Meng Zhang, Haiyan Jin, Zhaolin Xiao, Jinglei Shi, Xiaoran Jiang</w:t>
        <w:br/>
      </w:r>
      <w:r>
        <w:rPr>
          <w:rFonts w:ascii="Times New Roman" w:hAnsi="Times New Roman" w:eastAsia="宋体"/>
          <w:sz w:val="21"/>
        </w:rPr>
        <w:t xml:space="preserve">时间: 2026 | </w:t>
      </w:r>
      <w:r>
        <w:t xml:space="preserve">链接: </w:t>
      </w:r>
      <w:hyperlink r:id="rId103">
        <w:r>
          <w:rPr>
            <w:rFonts w:ascii="Times New Roman" w:hAnsi="Times New Roman" w:eastAsia="宋体"/>
            <w:color w:val="0000FF"/>
            <w:sz w:val="21"/>
            <w:u w:val="single"/>
          </w:rPr>
          <w:t>https://doi.org/10.1109/tip.2026.3662579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 3D 信息丢失，准确且稳健的 2D 图像特征匹配对于许多计算机视觉应用来说仍然具有挑战性。本文介绍了一种 2.5D 特征，该特征使用光场傅立叶视差层 (FDL) 的视差值作为场景深度的粗略代理。在没有显式深度估计的情况下，提出了参数化深度降级投影来构造两个光场之间配对特征的几何变换。然后，我们提出了一种参数化学习解决方案来计算深度降级投影。该解决方案使用非常简单的网络来估计全局常数基本矩阵、可变视差引导平移向量和深度补偿项。虽然FDL提供的0.5D相对视差并不能代表精确的深度，但它也可以显着减少特征匹配中的深度模糊性。因此，所提出的解决方案通过最小化所有匹配候选者的重投影误差之和来实现准确的特征匹配结果。在公共光场特征匹配数据集上，所提出的解决方案在匹配精度和鲁棒性方面优于现有的2D图像特征匹配解决方案和光场特征匹配算法。该代码可在线获取 1 。</w:t>
      </w:r>
    </w:p>
    <w:p>
      <w:pPr>
        <w:spacing w:before="120"/>
      </w:pPr>
      <w:r>
        <w:rPr>
          <w:rFonts w:ascii="Times New Roman" w:hAnsi="Times New Roman" w:eastAsia="宋体"/>
          <w:b/>
          <w:sz w:val="21"/>
        </w:rPr>
        <w:t>English Abstract:</w:t>
      </w:r>
    </w:p>
    <w:p>
      <w:r>
        <w:rPr>
          <w:rFonts w:ascii="Times New Roman" w:hAnsi="Times New Roman" w:eastAsia="宋体"/>
          <w:sz w:val="21"/>
        </w:rPr>
        <w:t>Due to the loss of 3D information, accurate and robust 2D image feature matching remains challenging for many computer vision applications. This paper introduces a 2.5D feature that uses the disparity value from the light field Fourier disparity layer (FDL) as a rough proxy of scene depth. Without explicit depth estimation, a parameterized depth-degraded projection is proposed to construct the geometric transformation of paired features between two light fields. Then, we propose a parameterized learning solution to calculate the depth-degraded projection. This solution estimates a global constant fundamental matrix, a variable disparity-guided translation vector, and a depth compensation term using a very simple network. Although the 0.5D relative disparity provided by the FDL does not represent precise depth, it can also significantly reduce the depth ambiguity in feature matching. Therefore, the proposed solution achieves accurate feature-matching results by minimizing the sum of reprojection errors across all matching candidates. On the public light field feature-matching dataset, the proposed solution outperforms existing 2D image feature-matching solutions and light field feature-matching algorithms in terms of matching accuracy and robustness. The code is available online 1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IMPRESS：通过运动恢复和结构语义融合进行不完整的人体运动预测</w:t>
      </w:r>
    </w:p>
    <w:p>
      <w:r>
        <w:rPr>
          <w:rFonts w:ascii="Times New Roman" w:hAnsi="Times New Roman" w:eastAsia="宋体"/>
          <w:b/>
          <w:color w:val="003264"/>
          <w:sz w:val="24"/>
        </w:rPr>
        <w:t>IMPRESS: Incomplete Human Motion Prediction via Motion Recovery and Structural-Semantic Fusion</w:t>
      </w:r>
    </w:p>
    <w:p>
      <w:r>
        <w:rPr>
          <w:rFonts w:ascii="Times New Roman" w:hAnsi="Times New Roman" w:eastAsia="宋体"/>
          <w:sz w:val="21"/>
        </w:rPr>
        <w:t>作者: Hao Deng, Jinkai Li, Jinxing Li, Jie Wen, Yong Xu</w:t>
        <w:br/>
      </w:r>
      <w:r>
        <w:rPr>
          <w:rFonts w:ascii="Times New Roman" w:hAnsi="Times New Roman" w:eastAsia="宋体"/>
          <w:sz w:val="21"/>
        </w:rPr>
        <w:t xml:space="preserve">时间: 2026 | </w:t>
      </w:r>
      <w:r>
        <w:t xml:space="preserve">链接: </w:t>
      </w:r>
      <w:hyperlink r:id="rId104">
        <w:r>
          <w:rPr>
            <w:rFonts w:ascii="Times New Roman" w:hAnsi="Times New Roman" w:eastAsia="宋体"/>
            <w:color w:val="0000FF"/>
            <w:sz w:val="21"/>
            <w:u w:val="single"/>
          </w:rPr>
          <w:t>https://doi.org/10.1109/tip.2026.3662597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人体运动预测是计算机视觉和人机交互中的一项关键任务，近年来备受关注。然而，现有的方法存在两个问题：（1）它们通常仅依赖于完整的数据，而忽视了现实世界的挑战，例如缺失的观察结果。 （2）最近的工作未能捕捉到不同动作类别中身体部位之间的不同关系，这限制了它们的预测性能。为了解决上述问题，我们提出了一种通过运动恢复和结构语义融合（IMPRESS）的新型不完整人体运动预测方法。具体来说，对于运动恢复，我们引入了基于小波的自注意力模块。它从高频特征中捕获运动细节，并从低频成分中提取全局趋势。为了增强不同身体部位之间的关系，我们设计了一种结构-语义融合图卷积网络。此外，我们采用双通道滑动窗口注意机制来捕获运动周期性，从而实现更平滑的预测。对两个基准数据集（Human3.6M、CMU-MoCap）的大量实验表明，IMPRESS 在完整和不完整观察下均实现了最先进的平均预测性能。</w:t>
      </w:r>
    </w:p>
    <w:p>
      <w:pPr>
        <w:spacing w:before="120"/>
      </w:pPr>
      <w:r>
        <w:rPr>
          <w:rFonts w:ascii="Times New Roman" w:hAnsi="Times New Roman" w:eastAsia="宋体"/>
          <w:b/>
          <w:sz w:val="21"/>
        </w:rPr>
        <w:t>English Abstract:</w:t>
      </w:r>
    </w:p>
    <w:p>
      <w:r>
        <w:rPr>
          <w:rFonts w:ascii="Times New Roman" w:hAnsi="Times New Roman" w:eastAsia="宋体"/>
          <w:sz w:val="21"/>
        </w:rPr>
        <w:t>Human motion prediction is a key task in computer vision and human-robot interaction, which has received much attention in recent years. However, existing approaches suffer from two issues: (1) They typically rely only on complete data and overlook real-world challenges such as missing observations. (2) Recent works fail to capture the diverse relations among body parts in different action categories, which limits their prediction performance. To address the above problems, we propose a novel Incomplete human Motion Prediction method through motion REcovery and Structure-Semantic fusion (IMPRESS). Specifically, for motion recovery, we introduce a wavelet-based self-attention module. It captures motion details from high-frequency features and extracts global trends from low-frequency components. To enhance the relations among different body parts, we design a structure-semantic fusion graph convolutional network. Moreover, we employ a dual-channel sliding window attention mechanism to capture motion periodicity, enabling smoother predictions. Extensive experiments on two benchmark datasets (Human3.6M, CMU-MoCap) demonstrate that IMPRESS achieves state-of-the-art average prediction performance under both complete and incomplete observations.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ASDTracker：采用注意力引导细化的自适应稀疏检测，可实现高效的多目标跟踪</w:t>
      </w:r>
    </w:p>
    <w:p>
      <w:r>
        <w:rPr>
          <w:rFonts w:ascii="Times New Roman" w:hAnsi="Times New Roman" w:eastAsia="宋体"/>
          <w:b/>
          <w:color w:val="003264"/>
          <w:sz w:val="24"/>
        </w:rPr>
        <w:t>ASDTracker: Adaptively Sparse Detection with Attention-Guided Refinement for Efficient Multi-Object Tracking</w:t>
      </w:r>
    </w:p>
    <w:p>
      <w:r>
        <w:rPr>
          <w:rFonts w:ascii="Times New Roman" w:hAnsi="Times New Roman" w:eastAsia="宋体"/>
          <w:sz w:val="21"/>
        </w:rPr>
        <w:t>作者: Yueying Wang, Chenyang Yan, Cairong Zhao, Weidong Zhang, Dan Zeng</w:t>
        <w:br/>
      </w:r>
      <w:r>
        <w:rPr>
          <w:rFonts w:ascii="Times New Roman" w:hAnsi="Times New Roman" w:eastAsia="宋体"/>
          <w:sz w:val="21"/>
        </w:rPr>
        <w:t xml:space="preserve">时间: 2026 | </w:t>
      </w:r>
      <w:r>
        <w:t xml:space="preserve">链接: </w:t>
      </w:r>
      <w:hyperlink r:id="rId105">
        <w:r>
          <w:rPr>
            <w:rFonts w:ascii="Times New Roman" w:hAnsi="Times New Roman" w:eastAsia="宋体"/>
            <w:color w:val="0000FF"/>
            <w:sz w:val="21"/>
            <w:u w:val="single"/>
          </w:rPr>
          <w:t>https://doi.org/10.1109/tip.2026.3662594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检测跟踪范例在通用多目标跟踪（MOT）中表现出色，但其紧凑的结构阻碍了实时应用。在这项工作中，我们将大量的计算负担归因于两个昂贵的组件，即检测和重新识别。基于自适应维持可接受的推理效率的原则，我们提出了具有注意力引导细化的自适应稀疏检测（ASDTracker）以实现高效跟踪。具体来说，我们的 ASDTracker 可以快速评估短期和长期遮挡，动态确定昂贵检测器的使用。对于非关键帧，我们从卡尔曼滤波器预测中有效地细化小尺寸作物，并引入噪声阴影标签来稳健地训练该细化网络。此外，我们用轻量级外观表示替代了重度 ReID 网络，从而在粗略量化的颜色空间中有效地提取足够的外观线索。对四个基准的大量实验表明，ASDTracker 在良好的推理速度下在泛化性和鲁棒性方面实现了具有竞争力的性能。此外，高效的跟踪部署进一步实现在现实场景中高精度、低延迟的无人地面车辆上。</w:t>
      </w:r>
    </w:p>
    <w:p>
      <w:pPr>
        <w:spacing w:before="120"/>
      </w:pPr>
      <w:r>
        <w:rPr>
          <w:rFonts w:ascii="Times New Roman" w:hAnsi="Times New Roman" w:eastAsia="宋体"/>
          <w:b/>
          <w:sz w:val="21"/>
        </w:rPr>
        <w:t>English Abstract:</w:t>
      </w:r>
    </w:p>
    <w:p>
      <w:r>
        <w:rPr>
          <w:rFonts w:ascii="Times New Roman" w:hAnsi="Times New Roman" w:eastAsia="宋体"/>
          <w:sz w:val="21"/>
        </w:rPr>
        <w:t>Tracking-by-Detection paradigms shine in generic multi-object tracking (MOT), while their compact construction hinders the real-time applications. In this work, we attribute the substantial computational burden to two expensive components, i.e. detection and re-identification. Building upon the principle of adaptively maintaining acceptable inference efficiency, we present Adaptively Sparse Detection with attention-guided refinement (ASDTracker) for efficient tracking. In specific, our ASDTracker rapidly assess the short-term and long-term occlusion, dynamically determining the usage of the expensive detector. For non-key frames, we efficiently refine small-size crops out of Kalman Filter predictions and introduce the noisy shadow labels to robustly train this refinement network. Additionally, we substitute the lightweight appearance representation for the heavy ReID network, which efficiently extracts sufficient appearance cues in the coarsely quantized color spaces. Extensive experiments on four benchmarks demonstrate that ASDTracker achieves competitive performance in generalization and robustness under favorable inference speed. Moreover, the efficient tracking deployment is further implemented to an unmanned surface vehicle with high accuracy and low latency in real-world scenarios.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06:29 ---</w:t>
      </w:r>
    </w:p>
    <w:p>
      <w:pPr>
        <w:pStyle w:val="Heading2"/>
      </w:pPr>
      <w:r/>
      <w:r>
        <w:rPr>
          <w:rFonts w:ascii="Times New Roman" w:hAnsi="Times New Roman" w:eastAsia="宋体"/>
          <w:b/>
          <w:color w:val="000000"/>
          <w:sz w:val="24"/>
        </w:rPr>
        <w:t>人工智能生成的图像检测中的小聪明和大笨</w:t>
      </w:r>
    </w:p>
    <w:p>
      <w:r>
        <w:rPr>
          <w:rFonts w:ascii="Times New Roman" w:hAnsi="Times New Roman" w:eastAsia="宋体"/>
          <w:b/>
          <w:color w:val="003264"/>
          <w:sz w:val="24"/>
        </w:rPr>
        <w:t>Penny-Wise and Pound-Foolish in AI-Generated Image Detection</w:t>
      </w:r>
    </w:p>
    <w:p>
      <w:r>
        <w:rPr>
          <w:rFonts w:ascii="Times New Roman" w:hAnsi="Times New Roman" w:eastAsia="宋体"/>
          <w:sz w:val="21"/>
        </w:rPr>
        <w:t>作者: Yabin Wang, Zhiwu Huang, Zhou Su, Adam Prugel-Bennett, Xiaopeng Hong</w:t>
        <w:br/>
      </w:r>
      <w:r>
        <w:rPr>
          <w:rFonts w:ascii="Times New Roman" w:hAnsi="Times New Roman" w:eastAsia="宋体"/>
          <w:sz w:val="21"/>
        </w:rPr>
        <w:t xml:space="preserve">时间: 2026 | </w:t>
      </w:r>
      <w:r>
        <w:t xml:space="preserve">链接: </w:t>
      </w:r>
      <w:hyperlink r:id="rId106">
        <w:r>
          <w:rPr>
            <w:rFonts w:ascii="Times New Roman" w:hAnsi="Times New Roman" w:eastAsia="宋体"/>
            <w:color w:val="0000FF"/>
            <w:sz w:val="21"/>
            <w:u w:val="single"/>
          </w:rPr>
          <w:t>https://doi.org/10.1109/tpami.2026.3664388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生成图像的兴起引发了人们对其在各个领域可能被滥用的严重担忧，从而迫切需要强大的检测方法。尽管取得了进步，但当前的许多方法都优先考虑短期收益，而牺牲了长期有效性。本文批评了为了在单个人工智能图像数据集上获得短期收益而对预训练模型进行微调的过于专业化的方法，同时忽视了实现泛化和知识保留的长期必要性。为了解决这个权衡问题，我们提出了一种新颖的学习框架（PoundNet），用于在预训练的视觉语言模型上泛化人工智能生成的图像检测。 PoundNet 结合了可学习的提示设计和平衡的目标，以保留上游任务（对象分类）的广泛知识，同时增强下游任务（人工智能生成的图像检测）的泛化。我们遵循文献中的常见做法，在单个标准 AI 图像数据集上训练 PoundNet。然后，我们使用 5 个主要评估指标在 10 个大型公共人工智能生成图像检测数据集上评估其性能，形成据我们所知用于评估人工智能生成图像检测模型泛化能力的最大基准测试集。综合基准​​评估表明，PoundNet 成功地平衡了泛化与知识保留，与最先进的方法相比，AI 生成的图像检测性能相对提高了 19%，同时在对象分类任务上保持了 63% 的强劲性能。源代码和数据可在 https://github.com/iamwangyabin/PoundNet 获取。</w:t>
      </w:r>
    </w:p>
    <w:p>
      <w:pPr>
        <w:spacing w:before="120"/>
      </w:pPr>
      <w:r>
        <w:rPr>
          <w:rFonts w:ascii="Times New Roman" w:hAnsi="Times New Roman" w:eastAsia="宋体"/>
          <w:b/>
          <w:sz w:val="21"/>
        </w:rPr>
        <w:t>English Abstract:</w:t>
      </w:r>
    </w:p>
    <w:p>
      <w:r>
        <w:rPr>
          <w:rFonts w:ascii="Times New Roman" w:hAnsi="Times New Roman" w:eastAsia="宋体"/>
          <w:sz w:val="21"/>
        </w:rPr>
        <w:t>The rise of AI-generated images has sparked serious concerns about their potential misuse across various domains, prompting the urgent need for robust detection methods. Despite advancements, many current approaches prioritize short-term gains at the expense of long-term effectiveness. This paper critiques the overly specialized approach of fine-tuning pre-trained models for short-term gains on a single AI image dataset, while disregarding the long-term imperative of achieving generalization and knowledge retention. To address this trade-off issue, we propose a novel learning framework (PoundNet) for the generalization of AI-generated image detection on a pre-trained vision-language model. PoundNet incorporates a learnable prompt design and a balanced objective to preserve broad knowledge from upstream tasks (object classification) while enhancing generalization for downstream tasks (AI-generated image detection). We train PoundNet on a single standard AI image dataset, following common practice in the literature. We then evaluate its performance across 10 large-scale public AI-generated image detection datasets with 5 main evaluation metrics, forming the largest benchmark test set for assessing the generalization ability of AI-generated image detection models, to our knowledge. The comprehensive benchmark evaluation demonstrates that PoundNet successfully balances generalization with knowledge retention, achieving a remarkable relative improvement of 19% in AI-generated image detection performance compared to state-of-the-art methods, while maintaining a strong performance of 63% on object classification tasks. The source code and data are available at https://github.com/iamwangyabin/PoundNet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图像文本检索的分布到点匹配</w:t>
      </w:r>
    </w:p>
    <w:p>
      <w:r>
        <w:rPr>
          <w:rFonts w:ascii="Times New Roman" w:hAnsi="Times New Roman" w:eastAsia="宋体"/>
          <w:b/>
          <w:color w:val="003264"/>
          <w:sz w:val="24"/>
        </w:rPr>
        <w:t>Distribution-to-Points Matching for Image Text Retrieval</w:t>
      </w:r>
    </w:p>
    <w:p>
      <w:r>
        <w:rPr>
          <w:rFonts w:ascii="Times New Roman" w:hAnsi="Times New Roman" w:eastAsia="宋体"/>
          <w:sz w:val="21"/>
        </w:rPr>
        <w:t>作者: Zheng Wang, Xing Xu, Lei Zhu, Jingkuan Song, Yang Yang, Heng Tao Shen</w:t>
        <w:br/>
      </w:r>
      <w:r>
        <w:rPr>
          <w:rFonts w:ascii="Times New Roman" w:hAnsi="Times New Roman" w:eastAsia="宋体"/>
          <w:sz w:val="21"/>
        </w:rPr>
        <w:t xml:space="preserve">时间: 2026 | </w:t>
      </w:r>
      <w:r>
        <w:t xml:space="preserve">链接: </w:t>
      </w:r>
      <w:hyperlink r:id="rId107">
        <w:r>
          <w:rPr>
            <w:rFonts w:ascii="Times New Roman" w:hAnsi="Times New Roman" w:eastAsia="宋体"/>
            <w:color w:val="0000FF"/>
            <w:sz w:val="21"/>
            <w:u w:val="single"/>
          </w:rPr>
          <w:t>https://doi.org/10.1109/tpami.2026.3664613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消除不同模态之间的语义差异是图像文本检索的最终目标。然而，大多数现有方法只关注真实实例的检索，而忽略了那些语义相似但未标记为正例的实例，这导致了一对多对应的现象。该研究的主流解决方案主要基于不确定性学习，一对多对应的探索虽然取得了显着进展，但仍然不足。因此，这项工作开发了一种新颖的分布到点（称为 D2P）匹配机制，用于图像文本检索，以通过超图建模捕获多个样本与给定查询之间的一对多对应关系。具体来说，给定的查询首先被映射为概率嵌入，以基于马氏距离学习其真实的语义分布。然后，小批量中的每个候选实例被视为具有平均语义的超图节点，而高斯查询被建模为超边，以捕获候选点和查询之间的对之外的语义相关性。此外，开发了基于能量的语义建模框架，以将所有相似的候选者（不仅是基本事实）拉近其查询，同时将那些不相似的候选者推远。最后，基于马哈拉诺比斯距离的相似性测量来学习分布到点的匹配，它考虑了语义方差以很好地执行多对一对应。在几个广泛使用的数据集和各种评估指标下的实验结果证实了我们在提高基线检索能力（包括图像文本检索的地面实况匹配和语义多重性）方面的优越性和有效性。</w:t>
      </w:r>
    </w:p>
    <w:p>
      <w:pPr>
        <w:spacing w:before="120"/>
      </w:pPr>
      <w:r>
        <w:rPr>
          <w:rFonts w:ascii="Times New Roman" w:hAnsi="Times New Roman" w:eastAsia="宋体"/>
          <w:b/>
          <w:sz w:val="21"/>
        </w:rPr>
        <w:t>English Abstract:</w:t>
      </w:r>
    </w:p>
    <w:p>
      <w:r>
        <w:rPr>
          <w:rFonts w:ascii="Times New Roman" w:hAnsi="Times New Roman" w:eastAsia="宋体"/>
          <w:sz w:val="21"/>
        </w:rPr>
        <w:t>Eliminating semantic discrepancy between different modalities is the ultimate goal of image text retrieval. However, most of the existing methods only focus on retrieval of the ground-truth instance while ignoring those semantically similar instances yet unlabeled as positives, which causes the phenomenon of one-to-many correspondence. The mainstream solutions of this research are mainly based on uncertainty learning and the exploration of one-to-many correspondence is still insufficient albeit their significant progress. Therefore, this work develops a novel D istribution-to- P oints (termed D2P ) matching mechanism for image-text retrieval to capture the one-to-many correspondence between multiple samples and a given query via hypergraph modeling. Specifically, a given query is first mapped as a probabilistic embedding to learn its true semantic distribution based on Mahalanobis distance. Then each candidate instance in a mini-batch is regarded as a hypergraph node with its mean semantics while a Gaussian query is modeled as a hyperedge to capture the semantic correlations beyond the pair between candidate points and the query. Moreover, an energy-based semantic modeling framework is developed to pull all similar candidates (not only the ground truth) close to their query while pushing those dissimilar ones far away. In the end, distribution-to-points matching is learned based on the similarity measurement over the Mahalanobis distance, which considers semantic variance to perform many-to-one correspondence well. Experimental results on several widely used datasets and under various evaluation metrics confirm our superiority and effectiveness in improving the retrieval ability of the baseline including ground-truth matching and semantic multiplicity for image text retrieval.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通过具有成本效益的景观扁平化增强对抗性可转移性</w:t>
      </w:r>
    </w:p>
    <w:p>
      <w:r>
        <w:rPr>
          <w:rFonts w:ascii="Times New Roman" w:hAnsi="Times New Roman" w:eastAsia="宋体"/>
          <w:b/>
          <w:color w:val="003264"/>
          <w:sz w:val="24"/>
        </w:rPr>
        <w:t>Enhancing Adversarial Transferability with Cost-efficient Landscape Flattening</w:t>
      </w:r>
    </w:p>
    <w:p>
      <w:r>
        <w:rPr>
          <w:rFonts w:ascii="Times New Roman" w:hAnsi="Times New Roman" w:eastAsia="宋体"/>
          <w:sz w:val="21"/>
        </w:rPr>
        <w:t>作者: Zhipeng Wei, Jingjing Chen, Feng Han, Yue Yu, Yu-Gang Jiang</w:t>
        <w:br/>
      </w:r>
      <w:r>
        <w:rPr>
          <w:rFonts w:ascii="Times New Roman" w:hAnsi="Times New Roman" w:eastAsia="宋体"/>
          <w:sz w:val="21"/>
        </w:rPr>
        <w:t xml:space="preserve">时间: 2026 | </w:t>
      </w:r>
      <w:r>
        <w:t xml:space="preserve">链接: </w:t>
      </w:r>
      <w:hyperlink r:id="rId108">
        <w:r>
          <w:rPr>
            <w:rFonts w:ascii="Times New Roman" w:hAnsi="Times New Roman" w:eastAsia="宋体"/>
            <w:color w:val="0000FF"/>
            <w:sz w:val="21"/>
            <w:u w:val="single"/>
          </w:rPr>
          <w:t>https://doi.org/10.1109/tpami.2026.3664421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样本跨不同模型的可迁移性最近引起了相当大的关注，特别是在有针对性的可迁移性方面。先前的研究经验表明，优化具有最高损失值的相邻点的对抗性扰动可以提高可转移性。虽然有效，但这种方法需要多次迭代才能达到局部最大值，并且忽略输入损失情况的局部最小值。在本文中，我们从理论上证明，可以通过平坦化输入损失景观来增强对抗性可转移性。这是通过局部最大值和最小值处的扰动优化来实现的。此外，我们提出了成本高效的 L andscap E F lattening (CLEF) 攻击，以成本有效的方式考虑当前输入周围的局部最大值和最小值，以平坦化损失景观并提高对抗性可转移性。具体来说，我们重用先前攻击步骤的梯度来帮助当前输入达到局部最大值，并采用概率建模来学习扰动的分布表示，以帮助当前输入达到局部最小值。这种概率建模可以在来自其他领域的数十张图像上进行预训练，使我们能够在攻击时直接从预训练的分布中采样这种类型的扰动。实验结果表明，将局部最大值和最小值集成到有针对性的可转移攻击中可以显着平坦化精心设计的对抗性示例的损失情况，从而提高对抗性可转移性。</w:t>
      </w:r>
    </w:p>
    <w:p>
      <w:pPr>
        <w:spacing w:before="120"/>
      </w:pPr>
      <w:r>
        <w:rPr>
          <w:rFonts w:ascii="Times New Roman" w:hAnsi="Times New Roman" w:eastAsia="宋体"/>
          <w:b/>
          <w:sz w:val="21"/>
        </w:rPr>
        <w:t>English Abstract:</w:t>
      </w:r>
    </w:p>
    <w:p>
      <w:r>
        <w:rPr>
          <w:rFonts w:ascii="Times New Roman" w:hAnsi="Times New Roman" w:eastAsia="宋体"/>
          <w:sz w:val="21"/>
        </w:rPr>
        <w:t>The transferability of adversarial examples across different models has drawn considerable attention recently, particularly in targeted transferability. Prior research has empirically shown that optimizing adversarial perturbations at neighboring points with the highest loss value improves transferability. While effective, such a method requires multiple iterations to reach the local maxima and disregards the local minima of the input loss landscape. In this paper, we theoretically show that enhancing adversarial transferability is attainable by flattening the input loss landscape. This is accomplished through the perturbation optimization at both local maxima and minima. Moreover, we propose the C ost-efficient L andscap E F lattening (CLEF) attack to consider local maxima and minima around current inputs in a cost-efficient way to flatten the loss landscape and improve adversarial transferability. Specifically, we reuse the gradients of the previous attack step to assist current inputs in reaching local maxima, and employ probabilistic modeling to learn the distributional representations of perturbations that assist current inputs in reaching local minima. This probabilistic modeling can be pre-trained on dozens of images from other domains, enabling us to directly sample this type of perturbation from the pre-trained distribution when attacking. Experimental results demonstrate that integrating local maxima and minima into targeted transferable attacks can significantly flatten the loss landscape of the crafted adversarial examples, resulting in improved adversarial transferability.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大规模数据集蒸馏的软标签剪枝和量化</w:t>
      </w:r>
    </w:p>
    <w:p>
      <w:r>
        <w:rPr>
          <w:rFonts w:ascii="Times New Roman" w:hAnsi="Times New Roman" w:eastAsia="宋体"/>
          <w:b/>
          <w:color w:val="003264"/>
          <w:sz w:val="24"/>
        </w:rPr>
        <w:t>Soft Label Pruning and Quantization for Large-Scale Dataset Distillation</w:t>
      </w:r>
    </w:p>
    <w:p>
      <w:r>
        <w:rPr>
          <w:rFonts w:ascii="Times New Roman" w:hAnsi="Times New Roman" w:eastAsia="宋体"/>
          <w:sz w:val="21"/>
        </w:rPr>
        <w:t>作者: Lingao Xiao, Yang He</w:t>
        <w:br/>
      </w:r>
      <w:r>
        <w:rPr>
          <w:rFonts w:ascii="Times New Roman" w:hAnsi="Times New Roman" w:eastAsia="宋体"/>
          <w:sz w:val="21"/>
        </w:rPr>
        <w:t xml:space="preserve">时间: 2026 | </w:t>
      </w:r>
      <w:r>
        <w:t xml:space="preserve">链接: </w:t>
      </w:r>
      <w:hyperlink r:id="rId109">
        <w:r>
          <w:rPr>
            <w:rFonts w:ascii="Times New Roman" w:hAnsi="Times New Roman" w:eastAsia="宋体"/>
            <w:color w:val="0000FF"/>
            <w:sz w:val="21"/>
            <w:u w:val="single"/>
          </w:rPr>
          <w:t>https://doi.org/10.1109/tpami.2026.3664488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大规模数据集蒸馏需要存储比压缩图像大 30-40 倍（ImageNet-1K）或 200 倍（ImageNet-21K）的辅助软标签，从而破坏了数据集压缩的目标。我们发现需要如此广泛的标签的两个基本问题：（1）图像多样性不足，合成图像中的类内相似性高，需要广泛的增强；（2）监督多样性不足，训练期间监督信号的多样性有限，导致高压缩率下的性能下降。为了应对这些挑战，我们提出了大规模蒸馏的标签修剪和量化（LPQLD）。我们在合成过程中通过类批处理和 BN 监督来增强图像多样性。对于监督多样性，我们引入了带有动态知识重用的标签修剪来增强每个增强标签的多样性，以及带有校准学生-教师对齐的标签量化来增强每个图像的增强多样性。我们的方法在 ImageNet-1K 上将软标签存储减少了 78 倍，在 ImageNet-21K 上减少了 500 倍，同时将准确率分别提高了 7.2% 和 2.8%。大量实验验证了 LPQLD 在不同网络架构和其他数据集蒸馏方法中的优越性。</w:t>
      </w:r>
    </w:p>
    <w:p>
      <w:pPr>
        <w:spacing w:before="120"/>
      </w:pPr>
      <w:r>
        <w:rPr>
          <w:rFonts w:ascii="Times New Roman" w:hAnsi="Times New Roman" w:eastAsia="宋体"/>
          <w:b/>
          <w:sz w:val="21"/>
        </w:rPr>
        <w:t>English Abstract:</w:t>
      </w:r>
    </w:p>
    <w:p>
      <w:r>
        <w:rPr>
          <w:rFonts w:ascii="Times New Roman" w:hAnsi="Times New Roman" w:eastAsia="宋体"/>
          <w:sz w:val="21"/>
        </w:rPr>
        <w:t>Large-scale dataset distillation requires storing auxiliary soft labels that can be 30-40× (ImageNet-1K) or 200× (ImageNet-21K) larger than the condensed images, undermining the goal of dataset compression. We identify two fundamental issues necessitating such extensive labels: (1) insufficient image diversity , where high within-class similarity in synthetic images requires extensive augmentation, and (2) insufficient supervision diversity , where limited variety in supervisory signals during training leads to performance degradation at high compression rates. To address these challenges, we propose Label Pruning and Quantization for Large-scale Distillation (LPQLD). We enhance image diversity via class-wise batching and BN supervision during synthesis. For supervision diversity , we introduce Label Pruning with Dynamic Knowledge Reuse to enhance label-per-augmentation diversity , and Label Quantization with Calibrated Student-Teacher Alignment to enhance augmentation-per-image diversity . Our approach reduces soft label storage by 78× on ImageNet-1K and 500× on ImageNet-21K while improving accuracy by up to 7.2% and 2.8%, respectively. Extensive experiments validate the superiority of LPQLD across different network architectures and other dataset distillation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自动人脸识别 50 年</w:t>
      </w:r>
    </w:p>
    <w:p>
      <w:r>
        <w:rPr>
          <w:rFonts w:ascii="Times New Roman" w:hAnsi="Times New Roman" w:eastAsia="宋体"/>
          <w:b/>
          <w:color w:val="003264"/>
          <w:sz w:val="24"/>
        </w:rPr>
        <w:t>50 Years of Automated Face Recognition</w:t>
      </w:r>
    </w:p>
    <w:p>
      <w:r>
        <w:rPr>
          <w:rFonts w:ascii="Times New Roman" w:hAnsi="Times New Roman" w:eastAsia="宋体"/>
          <w:sz w:val="21"/>
        </w:rPr>
        <w:t>作者: Minchul Kim, Anil Jain, Xiaoming Liu</w:t>
        <w:br/>
      </w:r>
      <w:r>
        <w:rPr>
          <w:rFonts w:ascii="Times New Roman" w:hAnsi="Times New Roman" w:eastAsia="宋体"/>
          <w:sz w:val="21"/>
        </w:rPr>
        <w:t xml:space="preserve">时间: 2026 | </w:t>
      </w:r>
      <w:r>
        <w:t xml:space="preserve">链接: </w:t>
      </w:r>
      <w:hyperlink r:id="rId110">
        <w:r>
          <w:rPr>
            <w:rFonts w:ascii="Times New Roman" w:hAnsi="Times New Roman" w:eastAsia="宋体"/>
            <w:color w:val="0000FF"/>
            <w:sz w:val="21"/>
            <w:u w:val="single"/>
          </w:rPr>
          <w:t>https://doi.org/10.1109/tpami.2026.3664269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在过去的五年里，自动人脸识别 (FR) 已经从手工制作的几何和统计方法发展到先进的深度学习架构，现在已经接近甚至在许多情况下超过了人类的表现。本文追溯了 FR 的历史和技术演变，涵盖早期的算法范式，一直到在广泛的真实和综合生成的数据集上训练的当代神经系统。我们研究了推动这一进步的关键创新，包括数据集构建、损失函数公式、网络架构设计和特征融合策略方面的进步。此外，我们分析了数据规模、多样性和模型泛化之间的关系，强调数据集扩展与基准性能增益之间的关系。最近的系统已经实现了近乎完美的大规模识别精度，最新的 NIST FRTE 1:N 基准中的领先算法报告，在超过 1000 万个身份的图库中，误报识别率 (FNIR) 为 0.15%，误报识别率 (FPIR) 为 0.001。较大的库会增加误报率，并且更大规模的部署会出现更高的错误率。我们描述了关键的开放问题和新兴方向，包括可扩展的训练、多模态融合、合成数据和可解释的识别框架。</w:t>
      </w:r>
    </w:p>
    <w:p>
      <w:pPr>
        <w:spacing w:before="120"/>
      </w:pPr>
      <w:r>
        <w:rPr>
          <w:rFonts w:ascii="Times New Roman" w:hAnsi="Times New Roman" w:eastAsia="宋体"/>
          <w:b/>
          <w:sz w:val="21"/>
        </w:rPr>
        <w:t>English Abstract:</w:t>
      </w:r>
    </w:p>
    <w:p>
      <w:r>
        <w:rPr>
          <w:rFonts w:ascii="Times New Roman" w:hAnsi="Times New Roman" w:eastAsia="宋体"/>
          <w:sz w:val="21"/>
        </w:rPr>
        <w:t>Over the past five decades, automated face recognition (FR) has progressed from handcrafted geometric and statistical approaches to advanced deep learning architectures that now approach, and in many cases exceed, human performance. This paper traces the historical and technological evolution of FR, encompassing early algorithmic paradigms through to contemporary neural systems trained on extensive real and synthetically generated datasets. We examine pivotal innovations that have driven this progression, including advances in dataset construction, loss function formulation, network architecture design, and feature fusion strategies. Furthermore, we analyze the relationship between data scale, diversity, and model generalization, highlighting how dataset expansion correlates with benchmark performance gains. Recent systems have achieved near-perfect large-scale identification accuracy, with the leading algorithm in the latest NIST FRTE 1:N benchmark reporting a False Negative Identification Rate (FNIR) of 0.15 percent at False Positive Identification Rate (FPIR) of 0.001 on a gallery of over 10 million identities . Larger galleries increase false positive rates and deployments at greater scales will see higher error rates. We delineate key open problems and emerging directions, including scalable training, multi-modal fusion, synthetic data, and interpretable recognition frameworks.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11:28 ---</w:t>
      </w:r>
    </w:p>
    <w:p>
      <w:pPr>
        <w:pStyle w:val="Heading2"/>
      </w:pPr>
      <w:r/>
      <w:r>
        <w:rPr>
          <w:rFonts w:ascii="Times New Roman" w:hAnsi="Times New Roman" w:eastAsia="宋体"/>
          <w:b/>
          <w:color w:val="000000"/>
          <w:sz w:val="24"/>
        </w:rPr>
        <w:t>所有喷墨印刷红色微量子点发光二极管 (QLED)：制造和性能</w:t>
      </w:r>
    </w:p>
    <w:p>
      <w:r>
        <w:rPr>
          <w:rFonts w:ascii="Times New Roman" w:hAnsi="Times New Roman" w:eastAsia="宋体"/>
          <w:b/>
          <w:color w:val="003264"/>
          <w:sz w:val="24"/>
        </w:rPr>
        <w:t>All Inkjet-Printed red Micro Quantum-Dots Light-Emitting diodes (QLEDs): Fabrication and performance</w:t>
      </w:r>
    </w:p>
    <w:p>
      <w:r>
        <w:rPr>
          <w:rFonts w:ascii="Times New Roman" w:hAnsi="Times New Roman" w:eastAsia="宋体"/>
          <w:sz w:val="21"/>
        </w:rPr>
        <w:t>作者: Qiwei Li, Yijian Zhou, Xinrui Huang, Caihong Yan, Shuaishuai Wang, Zongjie He, Chang Lin, Yang Li, Kaixin Zhang, Jie Sun, Qun Yan, Tailiang Guo</w:t>
        <w:br/>
      </w:r>
      <w:r>
        <w:rPr>
          <w:rFonts w:ascii="Times New Roman" w:hAnsi="Times New Roman" w:eastAsia="宋体"/>
          <w:sz w:val="21"/>
        </w:rPr>
        <w:t xml:space="preserve">时间: 2026-02-01 | </w:t>
      </w:r>
      <w:r>
        <w:t xml:space="preserve">链接: </w:t>
      </w:r>
      <w:hyperlink r:id="rId117">
        <w:r>
          <w:rPr>
            <w:rFonts w:ascii="Times New Roman" w:hAnsi="Times New Roman" w:eastAsia="宋体"/>
            <w:color w:val="0000FF"/>
            <w:sz w:val="21"/>
            <w:u w:val="single"/>
          </w:rPr>
          <w:t>https://doi.org/10.1016/j.displa.2026.103385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564-0" TargetMode="External"/><Relationship Id="rId11" Type="http://schemas.openxmlformats.org/officeDocument/2006/relationships/hyperlink" Target="https://doi.org/10.1038/s41467-025-68236-9" TargetMode="External"/><Relationship Id="rId12" Type="http://schemas.openxmlformats.org/officeDocument/2006/relationships/hyperlink" Target="https://doi.org/10.1038/s41598-026-36044-w" TargetMode="External"/><Relationship Id="rId13" Type="http://schemas.openxmlformats.org/officeDocument/2006/relationships/hyperlink" Target="https://doi.org/10.1038/s41598-026-39438-y" TargetMode="External"/><Relationship Id="rId14" Type="http://schemas.openxmlformats.org/officeDocument/2006/relationships/hyperlink" Target="https://doi.org/10.1038/s41598-026-38108-3" TargetMode="External"/><Relationship Id="rId15" Type="http://schemas.openxmlformats.org/officeDocument/2006/relationships/hyperlink" Target="https://doi.org/10.1038/s41598-026-38866-0" TargetMode="External"/><Relationship Id="rId16" Type="http://schemas.openxmlformats.org/officeDocument/2006/relationships/hyperlink" Target="https://doi.org/10.1038/s41598-026-39816-6" TargetMode="External"/><Relationship Id="rId17" Type="http://schemas.openxmlformats.org/officeDocument/2006/relationships/hyperlink" Target="https://doi.org/10.1038/s41598-026-39496-2" TargetMode="External"/><Relationship Id="rId18" Type="http://schemas.openxmlformats.org/officeDocument/2006/relationships/hyperlink" Target="https://doi.org/10.1038/s41598-026-39372-z" TargetMode="External"/><Relationship Id="rId19" Type="http://schemas.openxmlformats.org/officeDocument/2006/relationships/hyperlink" Target="https://doi.org/10.1038/s41598-026-36024-0" TargetMode="External"/><Relationship Id="rId20" Type="http://schemas.openxmlformats.org/officeDocument/2006/relationships/hyperlink" Target="https://doi.org/10.1038/s41598-026-39268-y" TargetMode="External"/><Relationship Id="rId21" Type="http://schemas.openxmlformats.org/officeDocument/2006/relationships/hyperlink" Target="https://doi.org/10.1038/s41598-026-38808-w" TargetMode="External"/><Relationship Id="rId22" Type="http://schemas.openxmlformats.org/officeDocument/2006/relationships/hyperlink" Target="https://doi.org/10.1038/s41598-026-39630-0" TargetMode="External"/><Relationship Id="rId23" Type="http://schemas.openxmlformats.org/officeDocument/2006/relationships/hyperlink" Target="https://doi.org/10.1038/s41598-026-38872-2" TargetMode="External"/><Relationship Id="rId24" Type="http://schemas.openxmlformats.org/officeDocument/2006/relationships/hyperlink" Target="https://doi.org/10.1038/s41598-026-39010-8" TargetMode="External"/><Relationship Id="rId25" Type="http://schemas.openxmlformats.org/officeDocument/2006/relationships/hyperlink" Target="https://doi.org/10.1038/s41598-026-37584-x" TargetMode="External"/><Relationship Id="rId26" Type="http://schemas.openxmlformats.org/officeDocument/2006/relationships/hyperlink" Target="https://doi.org/10.1038/s41598-026-39457-9" TargetMode="External"/><Relationship Id="rId27" Type="http://schemas.openxmlformats.org/officeDocument/2006/relationships/hyperlink" Target="https://doi.org/10.1038/s41598-025-33423-7" TargetMode="External"/><Relationship Id="rId28" Type="http://schemas.openxmlformats.org/officeDocument/2006/relationships/hyperlink" Target="https://doi.org/10.1038/s41598-026-37811-5" TargetMode="External"/><Relationship Id="rId29" Type="http://schemas.openxmlformats.org/officeDocument/2006/relationships/hyperlink" Target="https://doi.org/10.1038/s41598-026-40041-4" TargetMode="External"/><Relationship Id="rId30" Type="http://schemas.openxmlformats.org/officeDocument/2006/relationships/hyperlink" Target="https://doi.org/10.1038/s41598-026-39885-7" TargetMode="External"/><Relationship Id="rId31" Type="http://schemas.openxmlformats.org/officeDocument/2006/relationships/hyperlink" Target="https://doi.org/10.1038/s41598-026-39443-1" TargetMode="External"/><Relationship Id="rId32" Type="http://schemas.openxmlformats.org/officeDocument/2006/relationships/hyperlink" Target="https://doi.org/10.1038/s41598-026-40261-8" TargetMode="External"/><Relationship Id="rId33" Type="http://schemas.openxmlformats.org/officeDocument/2006/relationships/hyperlink" Target="https://doi.org/10.1103/qbz5-df6g" TargetMode="External"/><Relationship Id="rId34" Type="http://schemas.openxmlformats.org/officeDocument/2006/relationships/hyperlink" Target="https://doi.org/10.1103/qysd-d6rn" TargetMode="External"/><Relationship Id="rId35" Type="http://schemas.openxmlformats.org/officeDocument/2006/relationships/hyperlink" Target="https://doi.org/10.1016/j.optlaseng.2026.109643" TargetMode="External"/><Relationship Id="rId36" Type="http://schemas.openxmlformats.org/officeDocument/2006/relationships/hyperlink" Target="https://doi.org/10.1016/j.optcom.2026.133008" TargetMode="External"/><Relationship Id="rId37" Type="http://schemas.openxmlformats.org/officeDocument/2006/relationships/hyperlink" Target="https://doi.org/10.1364/ao.584819" TargetMode="External"/><Relationship Id="rId38" Type="http://schemas.openxmlformats.org/officeDocument/2006/relationships/hyperlink" Target="https://doi.org/10.1364/ao.583195" TargetMode="External"/><Relationship Id="rId39" Type="http://schemas.openxmlformats.org/officeDocument/2006/relationships/hyperlink" Target="https://doi.org/10.1364/ao.583692" TargetMode="External"/><Relationship Id="rId40" Type="http://schemas.openxmlformats.org/officeDocument/2006/relationships/hyperlink" Target="https://doi.org/10.1364/oe.583721" TargetMode="External"/><Relationship Id="rId41" Type="http://schemas.openxmlformats.org/officeDocument/2006/relationships/hyperlink" Target="https://doi.org/10.1364/oe.587562" TargetMode="External"/><Relationship Id="rId42" Type="http://schemas.openxmlformats.org/officeDocument/2006/relationships/hyperlink" Target="https://doi.org/10.1364/oe.584341" TargetMode="External"/><Relationship Id="rId43" Type="http://schemas.openxmlformats.org/officeDocument/2006/relationships/hyperlink" Target="https://doi.org/10.1364/oe.583193" TargetMode="External"/><Relationship Id="rId44" Type="http://schemas.openxmlformats.org/officeDocument/2006/relationships/hyperlink" Target="https://doi.org/10.1364/oe.584671" TargetMode="External"/><Relationship Id="rId45" Type="http://schemas.openxmlformats.org/officeDocument/2006/relationships/hyperlink" Target="https://doi.org/10.1364/oe.582711" TargetMode="External"/><Relationship Id="rId46" Type="http://schemas.openxmlformats.org/officeDocument/2006/relationships/hyperlink" Target="https://doi.org/10.1364/oe.588469" TargetMode="External"/><Relationship Id="rId47" Type="http://schemas.openxmlformats.org/officeDocument/2006/relationships/hyperlink" Target="https://doi.org/10.1364/ol.587889" TargetMode="External"/><Relationship Id="rId48" Type="http://schemas.openxmlformats.org/officeDocument/2006/relationships/hyperlink" Target="https://doi.org/10.1364/ol.586535" TargetMode="External"/><Relationship Id="rId49" Type="http://schemas.openxmlformats.org/officeDocument/2006/relationships/hyperlink" Target="https://doi.org/10.1364/ol.584139" TargetMode="External"/><Relationship Id="rId50" Type="http://schemas.openxmlformats.org/officeDocument/2006/relationships/hyperlink" Target="https://doi.org/10.1364/ol.588506" TargetMode="External"/><Relationship Id="rId51" Type="http://schemas.openxmlformats.org/officeDocument/2006/relationships/hyperlink" Target="https://doi.org/10.1364/ol.586783" TargetMode="External"/><Relationship Id="rId52" Type="http://schemas.openxmlformats.org/officeDocument/2006/relationships/hyperlink" Target="https://doi.org/10.1364/ol.585468" TargetMode="External"/><Relationship Id="rId53" Type="http://schemas.openxmlformats.org/officeDocument/2006/relationships/hyperlink" Target="https://doi.org/10.1364/ol.583187" TargetMode="External"/><Relationship Id="rId54" Type="http://schemas.openxmlformats.org/officeDocument/2006/relationships/hyperlink" Target="https://doi.org/10.1364/ol.584678" TargetMode="External"/><Relationship Id="rId55" Type="http://schemas.openxmlformats.org/officeDocument/2006/relationships/hyperlink" Target="https://doi.org/10.1364/ol.581219" TargetMode="External"/><Relationship Id="rId56" Type="http://schemas.openxmlformats.org/officeDocument/2006/relationships/hyperlink" Target="https://doi.org/10.1364/ol.573926" TargetMode="External"/><Relationship Id="rId57" Type="http://schemas.openxmlformats.org/officeDocument/2006/relationships/hyperlink" Target="https://doi.org/10.1364/ol.582850" TargetMode="External"/><Relationship Id="rId58" Type="http://schemas.openxmlformats.org/officeDocument/2006/relationships/hyperlink" Target="https://doi.org/10.1364/ol.585272" TargetMode="External"/><Relationship Id="rId59" Type="http://schemas.openxmlformats.org/officeDocument/2006/relationships/hyperlink" Target="https://doi.org/10.1364/ol.584800" TargetMode="External"/><Relationship Id="rId60" Type="http://schemas.openxmlformats.org/officeDocument/2006/relationships/hyperlink" Target="https://doi.org/10.1364/optica.578136" TargetMode="External"/><Relationship Id="rId61" Type="http://schemas.openxmlformats.org/officeDocument/2006/relationships/hyperlink" Target="https://doi.org/10.1364/josaa.586510" TargetMode="External"/><Relationship Id="rId62" Type="http://schemas.openxmlformats.org/officeDocument/2006/relationships/hyperlink" Target="https://doi.org/10.1364/josaa.586965" TargetMode="External"/><Relationship Id="rId63" Type="http://schemas.openxmlformats.org/officeDocument/2006/relationships/hyperlink" Target="https://doi.org/10.1117/1.apn.5.2.026007" TargetMode="External"/><Relationship Id="rId64" Type="http://schemas.openxmlformats.org/officeDocument/2006/relationships/hyperlink" Target="https://doi.org/10.1002/lpor.202503148" TargetMode="External"/><Relationship Id="rId65" Type="http://schemas.openxmlformats.org/officeDocument/2006/relationships/hyperlink" Target="https://doi.org/10.1002/lpor.202502922" TargetMode="External"/><Relationship Id="rId66" Type="http://schemas.openxmlformats.org/officeDocument/2006/relationships/hyperlink" Target="https://doi.org/10.1002/lpor.202502220" TargetMode="External"/><Relationship Id="rId67" Type="http://schemas.openxmlformats.org/officeDocument/2006/relationships/hyperlink" Target="https://doi.org/10.1145/3795772" TargetMode="External"/><Relationship Id="rId68" Type="http://schemas.openxmlformats.org/officeDocument/2006/relationships/hyperlink" Target="https://doi.org/10.1038/s41467-026-69364-6" TargetMode="External"/><Relationship Id="rId69" Type="http://schemas.openxmlformats.org/officeDocument/2006/relationships/hyperlink" Target="https://doi.org/10.1038/s41467-026-69121-9" TargetMode="External"/><Relationship Id="rId70" Type="http://schemas.openxmlformats.org/officeDocument/2006/relationships/hyperlink" Target="https://doi.org/10.1126/sciadv.ady0344" TargetMode="External"/><Relationship Id="rId71" Type="http://schemas.openxmlformats.org/officeDocument/2006/relationships/hyperlink" Target="https://doi.org/10.1126/sciadv.ady8317" TargetMode="External"/><Relationship Id="rId72" Type="http://schemas.openxmlformats.org/officeDocument/2006/relationships/hyperlink" Target="https://doi.org/10.1126/sciadv.aeb2036" TargetMode="External"/><Relationship Id="rId73" Type="http://schemas.openxmlformats.org/officeDocument/2006/relationships/hyperlink" Target="https://doi.org/10.1126/sciadv.adz9942" TargetMode="External"/><Relationship Id="rId74" Type="http://schemas.openxmlformats.org/officeDocument/2006/relationships/hyperlink" Target="https://doi.org/10.1126/sciadv.aeb5758" TargetMode="External"/><Relationship Id="rId75" Type="http://schemas.openxmlformats.org/officeDocument/2006/relationships/hyperlink" Target="https://doi.org/10.1126/sciadv.ads7559" TargetMode="External"/><Relationship Id="rId76" Type="http://schemas.openxmlformats.org/officeDocument/2006/relationships/hyperlink" Target="https://doi.org/10.1126/sciadv.ady7222" TargetMode="External"/><Relationship Id="rId77" Type="http://schemas.openxmlformats.org/officeDocument/2006/relationships/hyperlink" Target="https://doi.org/10.1126/sciadv.aea5020" TargetMode="External"/><Relationship Id="rId78" Type="http://schemas.openxmlformats.org/officeDocument/2006/relationships/hyperlink" Target="https://doi.org/10.1126/sciadv.adz8331" TargetMode="External"/><Relationship Id="rId79" Type="http://schemas.openxmlformats.org/officeDocument/2006/relationships/hyperlink" Target="https://doi.org/10.1126/sciadv.aeb5665" TargetMode="External"/><Relationship Id="rId80" Type="http://schemas.openxmlformats.org/officeDocument/2006/relationships/hyperlink" Target="https://doi.org/10.1126/sciadv.aec5134" TargetMode="External"/><Relationship Id="rId81" Type="http://schemas.openxmlformats.org/officeDocument/2006/relationships/hyperlink" Target="https://doi.org/10.1126/sciadv.aeb9234" TargetMode="External"/><Relationship Id="rId82" Type="http://schemas.openxmlformats.org/officeDocument/2006/relationships/hyperlink" Target="https://doi.org/10.1038/s41598-026-37755-w" TargetMode="External"/><Relationship Id="rId83" Type="http://schemas.openxmlformats.org/officeDocument/2006/relationships/hyperlink" Target="https://doi.org/10.1038/s41598-026-39444-0" TargetMode="External"/><Relationship Id="rId84" Type="http://schemas.openxmlformats.org/officeDocument/2006/relationships/hyperlink" Target="https://doi.org/10.1038/s41598-026-39125-y" TargetMode="External"/><Relationship Id="rId85" Type="http://schemas.openxmlformats.org/officeDocument/2006/relationships/hyperlink" Target="https://doi.org/10.1038/s41598-026-39848-y" TargetMode="External"/><Relationship Id="rId86" Type="http://schemas.openxmlformats.org/officeDocument/2006/relationships/hyperlink" Target="https://doi.org/10.1038/s41598-026-40160-y" TargetMode="External"/><Relationship Id="rId87" Type="http://schemas.openxmlformats.org/officeDocument/2006/relationships/hyperlink" Target="https://doi.org/10.1103/h3zm-rnnx" TargetMode="External"/><Relationship Id="rId88" Type="http://schemas.openxmlformats.org/officeDocument/2006/relationships/hyperlink" Target="https://doi.org/10.1016/j.optlastec.2025.114644" TargetMode="External"/><Relationship Id="rId89" Type="http://schemas.openxmlformats.org/officeDocument/2006/relationships/hyperlink" Target="https://doi.org/10.1016/j.optlastec.2026.114922" TargetMode="External"/><Relationship Id="rId90" Type="http://schemas.openxmlformats.org/officeDocument/2006/relationships/hyperlink" Target="https://doi.org/10.1016/j.optcom.2026.133012" TargetMode="External"/><Relationship Id="rId91" Type="http://schemas.openxmlformats.org/officeDocument/2006/relationships/hyperlink" Target="https://doi.org/10.1364/prj.575235" TargetMode="External"/><Relationship Id="rId92" Type="http://schemas.openxmlformats.org/officeDocument/2006/relationships/hyperlink" Target="https://doi.org/10.1364/prj.573309" TargetMode="External"/><Relationship Id="rId93" Type="http://schemas.openxmlformats.org/officeDocument/2006/relationships/hyperlink" Target="https://doi.org/10.1364/prj.575821" TargetMode="External"/><Relationship Id="rId94" Type="http://schemas.openxmlformats.org/officeDocument/2006/relationships/hyperlink" Target="https://doi.org/10.1364/prj.572730" TargetMode="External"/><Relationship Id="rId95" Type="http://schemas.openxmlformats.org/officeDocument/2006/relationships/hyperlink" Target="https://doi.org/10.1364/prj.577677" TargetMode="External"/><Relationship Id="rId96" Type="http://schemas.openxmlformats.org/officeDocument/2006/relationships/hyperlink" Target="https://doi.org/10.1109/tvcg.2026.3664464" TargetMode="External"/><Relationship Id="rId97" Type="http://schemas.openxmlformats.org/officeDocument/2006/relationships/hyperlink" Target="https://doi.org/10.1021/acsphotonics.5c02863" TargetMode="External"/><Relationship Id="rId98" Type="http://schemas.openxmlformats.org/officeDocument/2006/relationships/hyperlink" Target="https://doi.org/10.1021/acsphotonics.5c02166" TargetMode="External"/><Relationship Id="rId99" Type="http://schemas.openxmlformats.org/officeDocument/2006/relationships/hyperlink" Target="https://doi.org/10.1109/tci.2026.3664753" TargetMode="External"/><Relationship Id="rId100" Type="http://schemas.openxmlformats.org/officeDocument/2006/relationships/hyperlink" Target="https://doi.org/10.1109/tci.2026.3664689" TargetMode="External"/><Relationship Id="rId101" Type="http://schemas.openxmlformats.org/officeDocument/2006/relationships/hyperlink" Target="https://doi.org/10.1109/tip.2026.3662593" TargetMode="External"/><Relationship Id="rId102" Type="http://schemas.openxmlformats.org/officeDocument/2006/relationships/hyperlink" Target="https://doi.org/10.1109/tip.2026.3662583" TargetMode="External"/><Relationship Id="rId103" Type="http://schemas.openxmlformats.org/officeDocument/2006/relationships/hyperlink" Target="https://doi.org/10.1109/tip.2026.3662579" TargetMode="External"/><Relationship Id="rId104" Type="http://schemas.openxmlformats.org/officeDocument/2006/relationships/hyperlink" Target="https://doi.org/10.1109/tip.2026.3662597" TargetMode="External"/><Relationship Id="rId105" Type="http://schemas.openxmlformats.org/officeDocument/2006/relationships/hyperlink" Target="https://doi.org/10.1109/tip.2026.3662594" TargetMode="External"/><Relationship Id="rId106" Type="http://schemas.openxmlformats.org/officeDocument/2006/relationships/hyperlink" Target="https://doi.org/10.1109/tpami.2026.3664388" TargetMode="External"/><Relationship Id="rId107" Type="http://schemas.openxmlformats.org/officeDocument/2006/relationships/hyperlink" Target="https://doi.org/10.1109/tpami.2026.3664613" TargetMode="External"/><Relationship Id="rId108" Type="http://schemas.openxmlformats.org/officeDocument/2006/relationships/hyperlink" Target="https://doi.org/10.1109/tpami.2026.3664421" TargetMode="External"/><Relationship Id="rId109" Type="http://schemas.openxmlformats.org/officeDocument/2006/relationships/hyperlink" Target="https://doi.org/10.1109/tpami.2026.3664488" TargetMode="External"/><Relationship Id="rId110" Type="http://schemas.openxmlformats.org/officeDocument/2006/relationships/hyperlink" Target="https://doi.org/10.1109/tpami.2026.3664269" TargetMode="External"/><Relationship Id="rId111" Type="http://schemas.openxmlformats.org/officeDocument/2006/relationships/hyperlink" Target="https://doi.org/10.1016/j.optlastec.2026.114939" TargetMode="External"/><Relationship Id="rId112" Type="http://schemas.openxmlformats.org/officeDocument/2006/relationships/hyperlink" Target="https://doi.org/10.1038/s41467-026-69614-7" TargetMode="External"/><Relationship Id="rId113" Type="http://schemas.openxmlformats.org/officeDocument/2006/relationships/hyperlink" Target="https://doi.org/10.1038/s41598-026-37790-7" TargetMode="External"/><Relationship Id="rId114" Type="http://schemas.openxmlformats.org/officeDocument/2006/relationships/hyperlink" Target="https://doi.org/10.1038/s41598-026-35800-2" TargetMode="External"/><Relationship Id="rId115" Type="http://schemas.openxmlformats.org/officeDocument/2006/relationships/hyperlink" Target="https://doi.org/10.1038/s41598-026-39695-x" TargetMode="External"/><Relationship Id="rId116" Type="http://schemas.openxmlformats.org/officeDocument/2006/relationships/hyperlink" Target="https://doi.org/10.1038/s41598-026-39575-4" TargetMode="External"/><Relationship Id="rId117" Type="http://schemas.openxmlformats.org/officeDocument/2006/relationships/hyperlink" Target="https://doi.org/10.1016/j.displa.2026.103385" TargetMode="External"/><Relationship Id="rId118" Type="http://schemas.openxmlformats.org/officeDocument/2006/relationships/hyperlink" Target="https://doi.org/10.1038/s41467-026-69246-x" TargetMode="External"/><Relationship Id="rId119" Type="http://schemas.openxmlformats.org/officeDocument/2006/relationships/hyperlink" Target="https://doi.org/10.1038/s41598-025-12510-9" TargetMode="External"/><Relationship Id="rId120" Type="http://schemas.openxmlformats.org/officeDocument/2006/relationships/hyperlink" Target="https://doi.org/10.1038/s41598-026-36922-3" TargetMode="External"/><Relationship Id="rId121" Type="http://schemas.openxmlformats.org/officeDocument/2006/relationships/hyperlink" Target="https://doi.org/10.1038/s41598-026-39097-z" TargetMode="External"/><Relationship Id="rId122" Type="http://schemas.openxmlformats.org/officeDocument/2006/relationships/hyperlink" Target="https://doi.org/10.1038/s41598-026-39664-4" TargetMode="External"/><Relationship Id="rId123" Type="http://schemas.openxmlformats.org/officeDocument/2006/relationships/hyperlink" Target="https://doi.org/10.1038/s41598-026-39727-6" TargetMode="External"/><Relationship Id="rId124" Type="http://schemas.openxmlformats.org/officeDocument/2006/relationships/hyperlink" Target="https://doi.org/10.1038/s41598-026-39572-7" TargetMode="External"/><Relationship Id="rId125" Type="http://schemas.openxmlformats.org/officeDocument/2006/relationships/hyperlink" Target="https://doi.org/10.1016/j.optlastec.2026.114940" TargetMode="External"/><Relationship Id="rId126" Type="http://schemas.openxmlformats.org/officeDocument/2006/relationships/hyperlink" Target="https://doi.org/10.1038/s41467-026-69430-z" TargetMode="External"/><Relationship Id="rId127" Type="http://schemas.openxmlformats.org/officeDocument/2006/relationships/hyperlink" Target="https://doi.org/10.1038/s41598-026-37273-9" TargetMode="External"/><Relationship Id="rId128" Type="http://schemas.openxmlformats.org/officeDocument/2006/relationships/hyperlink" Target="https://doi.org/10.1038/s41598-026-40009-4" TargetMode="External"/><Relationship Id="rId129" Type="http://schemas.openxmlformats.org/officeDocument/2006/relationships/hyperlink" Target="https://doi.org/10.1038/s41467-026-69517-7" TargetMode="External"/><Relationship Id="rId130" Type="http://schemas.openxmlformats.org/officeDocument/2006/relationships/hyperlink" Target="https://doi.org/10.1038/s41467-026-69650-3" TargetMode="External"/><Relationship Id="rId131" Type="http://schemas.openxmlformats.org/officeDocument/2006/relationships/hyperlink" Target="https://doi.org/10.1038/s41598-026-38795-y" TargetMode="External"/><Relationship Id="rId132" Type="http://schemas.openxmlformats.org/officeDocument/2006/relationships/hyperlink" Target="https://doi.org/10.1038/s41598-026-40296-x" TargetMode="External"/><Relationship Id="rId133" Type="http://schemas.openxmlformats.org/officeDocument/2006/relationships/hyperlink" Target="https://doi.org/10.1038/s41598-025-3425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