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sz w:val="32"/>
        </w:rPr>
        <w:t>目 录</w:t>
      </w:r>
    </w:p>
    <w:p>
      <w:r>
        <w:fldChar w:fldCharType="begin"/>
        <w:instrText xml:space="preserve">TOC \o "1-3" \h \z \u</w:instrText>
        <w:fldChar w:fldCharType="separate"/>
        <w:fldChar w:fldCharType="end"/>
      </w:r>
    </w:p>
    <w:p>
      <w:r>
        <w:br/>
      </w:r>
    </w:p>
    <w:p>
      <w:pPr>
        <w:pStyle w:val="Heading1"/>
      </w:pPr>
      <w:r>
        <w:rPr>
          <w:rFonts w:ascii="Times New Roman" w:hAnsi="Times New Roman" w:eastAsia="宋体"/>
          <w:b/>
          <w:color w:val="000000"/>
          <w:sz w:val="32"/>
        </w:rPr>
        <w:t>Nature Communications</w:t>
      </w:r>
    </w:p>
    <w:p>
      <w:pPr>
        <w:jc w:val="center"/>
      </w:pPr>
      <w:r>
        <w:t>--- 更新: 00:27 ---</w:t>
      </w:r>
    </w:p>
    <w:p>
      <w:pPr>
        <w:pStyle w:val="Heading2"/>
      </w:pPr>
      <w:r/>
      <w:r>
        <w:rPr>
          <w:rFonts w:ascii="Times New Roman" w:hAnsi="Times New Roman" w:eastAsia="宋体"/>
          <w:b/>
          <w:color w:val="000000"/>
          <w:sz w:val="24"/>
        </w:rPr>
        <w:t>UHPFRC 干预瑞士网络桥梁管理的环境和经济效益</w:t>
      </w:r>
    </w:p>
    <w:p>
      <w:r>
        <w:rPr>
          <w:rFonts w:ascii="Times New Roman" w:hAnsi="Times New Roman" w:eastAsia="宋体"/>
          <w:b/>
          <w:color w:val="003264"/>
          <w:sz w:val="24"/>
        </w:rPr>
        <w:t>Environmental and economic benefits of UHPFRC intervention in bridge management for the Swiss network</w:t>
      </w:r>
    </w:p>
    <w:p>
      <w:r>
        <w:rPr>
          <w:rFonts w:ascii="Times New Roman" w:hAnsi="Times New Roman" w:eastAsia="宋体"/>
          <w:sz w:val="21"/>
        </w:rPr>
        <w:t>作者: Numa Bertola, Célia Küpfer, Eugen Brühwiler</w:t>
        <w:br/>
      </w:r>
      <w:r>
        <w:rPr>
          <w:rFonts w:ascii="Times New Roman" w:hAnsi="Times New Roman" w:eastAsia="宋体"/>
          <w:sz w:val="21"/>
        </w:rPr>
        <w:t xml:space="preserve">时间: 2026-02-04 | </w:t>
      </w:r>
      <w:r>
        <w:t xml:space="preserve">链接: </w:t>
      </w:r>
      <w:hyperlink r:id="rId10">
        <w:r>
          <w:rPr>
            <w:rFonts w:ascii="Times New Roman" w:hAnsi="Times New Roman" w:eastAsia="宋体"/>
            <w:color w:val="0000FF"/>
            <w:sz w:val="21"/>
            <w:u w:val="single"/>
          </w:rPr>
          <w:t>https://doi.org/10.1038/s41467-026-69103-x</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该研究评估了瑞士使用超高性能纤维增强水泥基复合材料 (UHPFRC) 进行桥梁维护的情况，发现它对于 99.7% 的桥梁都是可行的，与传统方法相比，在 80 年内可能节省 770 万吨二氧化碳当量和 185 亿瑞士法郎。</w:t>
      </w:r>
    </w:p>
    <w:p>
      <w:pPr>
        <w:spacing w:before="120"/>
      </w:pPr>
      <w:r>
        <w:rPr>
          <w:rFonts w:ascii="Times New Roman" w:hAnsi="Times New Roman" w:eastAsia="宋体"/>
          <w:b/>
          <w:sz w:val="21"/>
        </w:rPr>
        <w:t>English Abstract:</w:t>
      </w:r>
    </w:p>
    <w:p>
      <w:r>
        <w:rPr>
          <w:rFonts w:ascii="Times New Roman" w:hAnsi="Times New Roman" w:eastAsia="宋体"/>
          <w:sz w:val="21"/>
        </w:rPr>
        <w:t>The study evaluates using ultra-high-performance fiber-reinforced cementitious composite (UHPFRC) for bridge maintenance in Switzerland, finding it feasible for 99.7% of bridges, potentially saving 7.7 million tons of CO2 equivalent and 18.5 billion Swiss francs over 80 years compared to traditional methods.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基于实验的聚合物模型揭示了基因组位点的高分辨率组织</w:t>
      </w:r>
    </w:p>
    <w:p>
      <w:r>
        <w:rPr>
          <w:rFonts w:ascii="Times New Roman" w:hAnsi="Times New Roman" w:eastAsia="宋体"/>
          <w:b/>
          <w:color w:val="003264"/>
          <w:sz w:val="24"/>
        </w:rPr>
        <w:t>An experimentally-informed polymer model reveals high resolution organization of genomic loci</w:t>
      </w:r>
    </w:p>
    <w:p>
      <w:r>
        <w:rPr>
          <w:rFonts w:ascii="Times New Roman" w:hAnsi="Times New Roman" w:eastAsia="宋体"/>
          <w:sz w:val="21"/>
        </w:rPr>
        <w:t>作者: Rahul Mittal, Dieter W. Heermann, Arnab Bhattacherjee</w:t>
        <w:br/>
      </w:r>
      <w:r>
        <w:rPr>
          <w:rFonts w:ascii="Times New Roman" w:hAnsi="Times New Roman" w:eastAsia="宋体"/>
          <w:sz w:val="21"/>
        </w:rPr>
        <w:t xml:space="preserve">时间: 2026-02-04 | </w:t>
      </w:r>
      <w:r>
        <w:t xml:space="preserve">链接: </w:t>
      </w:r>
      <w:hyperlink r:id="rId11">
        <w:r>
          <w:rPr>
            <w:rFonts w:ascii="Times New Roman" w:hAnsi="Times New Roman" w:eastAsia="宋体"/>
            <w:color w:val="0000FF"/>
            <w:sz w:val="21"/>
            <w:u w:val="single"/>
          </w:rPr>
          <w:t>https://doi.org/10.1038/s41467-026-68928-w</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基因表达模式受基因组的层次结构控制。利用基于聚合物物理的模型和实验成像技术，人们进行了大量的努力，试图阐明染色质纤维的结构与功能关系。然而，染色质组织的多尺度性质带来了重大挑战。在这里，我们提出了一种基于实验的、基于聚合物物理的模型，能够通过整合低分辨率接触数据与 MNase 衍生的核小体定位信息来重建染色质结构整体。我们将我们的方法应用于多个人类基因组位点。我们的分析显示了与活性和非活性染色质状态相关的独特结构特征，为基因组组织和转录活性之间的关系提供了见解。这些发现为理解基因组结构与功能关系提供了一个框架。</w:t>
      </w:r>
    </w:p>
    <w:p>
      <w:pPr>
        <w:spacing w:before="120"/>
      </w:pPr>
      <w:r>
        <w:rPr>
          <w:rFonts w:ascii="Times New Roman" w:hAnsi="Times New Roman" w:eastAsia="宋体"/>
          <w:b/>
          <w:sz w:val="21"/>
        </w:rPr>
        <w:t>English Abstract:</w:t>
      </w:r>
    </w:p>
    <w:p>
      <w:r>
        <w:rPr>
          <w:rFonts w:ascii="Times New Roman" w:hAnsi="Times New Roman" w:eastAsia="宋体"/>
          <w:sz w:val="21"/>
        </w:rPr>
        <w:t>Abstract Gene expression patterns are governed by the hierarchical organization of the genome. Numerous efforts, leveraging both polymer physics-based models and experimental imaging technologies, have sought to elucidate the structure-function relationship of chromatin fibers. However, a major challenge is posed by the multi-scale nature of chromatin organization. Here, we present an experimentally informed, polymer physics-based model capable of reconstructing chromatin structural ensembles by integrating low-resolution contact data with MNase-derived nucleosome positioning information. We apply our approach to multiple human genomic loci. Our analysis shows distinct structural features associated with active and inactive chromatin states, providing insights into the relationship between genomic organization and transcriptional activity. These findings offer a framework for understanding genome structure-function relationships.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欧亚急流轴上下游地带一致性变化破纪录出现</w:t>
      </w:r>
    </w:p>
    <w:p>
      <w:r>
        <w:rPr>
          <w:rFonts w:ascii="Times New Roman" w:hAnsi="Times New Roman" w:eastAsia="宋体"/>
          <w:b/>
          <w:color w:val="003264"/>
          <w:sz w:val="24"/>
        </w:rPr>
        <w:t>Record-breaking emergence of upstream-downstream zonal-consistent variation in the Eurasian jet axis</w:t>
      </w:r>
    </w:p>
    <w:p>
      <w:r>
        <w:rPr>
          <w:rFonts w:ascii="Times New Roman" w:hAnsi="Times New Roman" w:eastAsia="宋体"/>
          <w:sz w:val="21"/>
        </w:rPr>
        <w:t>作者: Lifei Lin, Chundi Hu, Dake Chen, Renguang Wu, Tao Lian, Quanliang Chen, Zeming Wu, Song Yang</w:t>
        <w:br/>
      </w:r>
      <w:r>
        <w:rPr>
          <w:rFonts w:ascii="Times New Roman" w:hAnsi="Times New Roman" w:eastAsia="宋体"/>
          <w:sz w:val="21"/>
        </w:rPr>
        <w:t xml:space="preserve">时间: 2026-02-04 | </w:t>
      </w:r>
      <w:r>
        <w:t xml:space="preserve">链接: </w:t>
      </w:r>
      <w:hyperlink r:id="rId27">
        <w:r>
          <w:rPr>
            <w:rFonts w:ascii="Times New Roman" w:hAnsi="Times New Roman" w:eastAsia="宋体"/>
            <w:color w:val="0000FF"/>
            <w:sz w:val="21"/>
            <w:u w:val="single"/>
          </w:rPr>
          <w:t>https://doi.org/10.1038/s41467-026-68772-y</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欧亚地区的天气/气候极端事件通常与高层西风急流的蜿蜒和/或纬度变化有很大关系，但欧亚急流轴上下游纬向一致性（UDZC）的变化和影响却鲜为人知。在这里，我们报告了过去两到三十年中破纪录的增强型 UDZC 的出现。特别是上下游协方差从&lt;10%​​增加到&gt;60%，欧亚对流层上层西风异常以欧亚急流强度变化模式为主，促使亚洲和太平洋副热带高压发生大规模相互作用，从而引起欧亚大陆环流和气候异常分布格局的巨变。这种大范围的环流调整还伴随着环全球丝绸之路遥相关，即纬向波数为6的罗斯贝波列，它起源于东北大西洋，将亚洲气候与西欧和北美的热浪和干旱条件联系起来。气候模型模拟表明，随着北部中纬度地区变暖变得更加明显，UDZC将进一步加剧。我们的研究结果强调，欧亚急流轴上增强的UDZC的出现能够引发行星规模的极端气候，甚至遍及整个北半球，从而造成更严重的气候威胁。</w:t>
      </w:r>
    </w:p>
    <w:p>
      <w:pPr>
        <w:spacing w:before="120"/>
      </w:pPr>
      <w:r>
        <w:rPr>
          <w:rFonts w:ascii="Times New Roman" w:hAnsi="Times New Roman" w:eastAsia="宋体"/>
          <w:b/>
          <w:sz w:val="21"/>
        </w:rPr>
        <w:t>English Abstract:</w:t>
      </w:r>
    </w:p>
    <w:p>
      <w:r>
        <w:rPr>
          <w:rFonts w:ascii="Times New Roman" w:hAnsi="Times New Roman" w:eastAsia="宋体"/>
          <w:sz w:val="21"/>
        </w:rPr>
        <w:t>Abstract Eurasian weather/climate extremes are often considerably linked to the meandering and/or latitudinal shifts of upper-level westerly jet, but the variation and impact of the upstream-downstream zonal consistency (UDZC) in the Eurasian jet axis are less known. Here we report a record-breaking emergence of an enhanced UDZC during the past two-to-three decades. In particular, the upstream-downstream covariance has increased from &lt;10% to &gt;60%, with the Eurasian upper-tropospheric westerly wind anomalies dominated by the Eurasian jet intensity change mode, which prompts a large-scale interplay between Asian and Pacific subtropical highs and thereby induces mega-shifts in the distribution patterns of circulation and climate anomalies across Eurasia. Such large-range circulation adjustments are also accompanied by a circumglobal Silk Road teleconnection, a Rossby wavetrain with zonal wavenumber 6, which originates from the Northeast Atlantic and connects Asian climate with western Europe and North America heatwave and drought conditions. Climate model simulations suggest that the UDZC would further intensify as the northern mid-latitude warming becomes more pronounced. Our results highlight that the emergence of enhancing UDZC in the Eurasian jet axis is capable of triggering planetary-scale climate extremes even across the whole Northern Hemisphere, imposing more serious climate threats.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乌干达肠道微生物组和代谢组与曼氏血吸虫感染和心血管疾病风险相关</w:t>
      </w:r>
    </w:p>
    <w:p>
      <w:r>
        <w:rPr>
          <w:rFonts w:ascii="Times New Roman" w:hAnsi="Times New Roman" w:eastAsia="宋体"/>
          <w:b/>
          <w:color w:val="003264"/>
          <w:sz w:val="24"/>
        </w:rPr>
        <w:t>The gut microbiome and metabolome associate with Schistosoma mansoni infection and cardiovascular disease risk in Uganda</w:t>
      </w:r>
    </w:p>
    <w:p>
      <w:r>
        <w:rPr>
          <w:rFonts w:ascii="Times New Roman" w:hAnsi="Times New Roman" w:eastAsia="宋体"/>
          <w:sz w:val="21"/>
        </w:rPr>
        <w:t>作者: Bridgious Walusimbi, Melissa AE Lawson, Allison J. Bancroft, Jacent Nassuuna, Drupad K. Trivedi, George Taylor, Richard E. Sanya, Emily L. Webb, David P. Kateete, Richard K. Grencis, Alison M. Elliott</w:t>
        <w:br/>
      </w:r>
      <w:r>
        <w:rPr>
          <w:rFonts w:ascii="Times New Roman" w:hAnsi="Times New Roman" w:eastAsia="宋体"/>
          <w:sz w:val="21"/>
        </w:rPr>
        <w:t xml:space="preserve">时间: 2026-02-04 | </w:t>
      </w:r>
      <w:r>
        <w:t xml:space="preserve">链接: </w:t>
      </w:r>
      <w:hyperlink r:id="rId65">
        <w:r>
          <w:rPr>
            <w:rFonts w:ascii="Times New Roman" w:hAnsi="Times New Roman" w:eastAsia="宋体"/>
            <w:color w:val="0000FF"/>
            <w:sz w:val="21"/>
            <w:u w:val="single"/>
          </w:rPr>
          <w:t>https://doi.org/10.1038/s41467-026-68983-3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蠕虫感染始终与降低心血管疾病 (CVD) 风险相关，但这种关系背后的生物学机制仍不清楚。肠道微生物组和代谢组是心脏代谢健康的关键调节因子，可能介导感染相关的对宿主生理的影响。在这里，我们发现曼氏血吸虫感染与乌干达人的独特肠道微生物和代谢特征相关，而这些肠道微生物和代谢特征与乌干达人的心血管疾病风险相关。在一项针对曼氏链球菌流行社区中生活的 209 名个体的横断面研究中，我们使用 16S rRNA 基因测序分析肠道微生物组，并使用液相色谱-质谱分析分析粪便代谢组。曼氏沙门氏菌感染与肠道微生物多样性增加和独特的分类学特征相关，包括密螺旋体等分类单元的富集以及普雷沃氏菌和链球菌的消耗。一些与感染相关的微生物类群在统计上介导了曼氏沙门氏菌感染与心血管疾病风险之间的关系。粪便代谢组学分析确定了与感染相关的代谢物，综合分析显示了与心血管风险相关的微生物-代谢物网络。这些发现确定了乌干达与曼氏沙门氏菌感染和心血管疾病风险相关的肠道微生物组和代谢组特征。尽管无法推断因果关系，但这项工作提供了对宿主-寄生虫-微生物组相互作用的深入了解，并强调了与心脏代谢健康相关的微生物和代谢途径。</w:t>
      </w:r>
    </w:p>
    <w:p>
      <w:pPr>
        <w:spacing w:before="120"/>
      </w:pPr>
      <w:r>
        <w:rPr>
          <w:rFonts w:ascii="Times New Roman" w:hAnsi="Times New Roman" w:eastAsia="宋体"/>
          <w:b/>
          <w:sz w:val="21"/>
        </w:rPr>
        <w:t>English Abstract:</w:t>
      </w:r>
    </w:p>
    <w:p>
      <w:r>
        <w:rPr>
          <w:rFonts w:ascii="Times New Roman" w:hAnsi="Times New Roman" w:eastAsia="宋体"/>
          <w:sz w:val="21"/>
        </w:rPr>
        <w:t>Abstract Helminth infections are consistently associated with reduced cardiovascular disease (CVD) risk, yet the biological mechanisms underlying this relationship remain unclear. The gut microbiome and metabolome are key regulators of cardiometabolic health and may mediate infection-associated effects on host physiology. Here we show that Schistosoma mansoni infection associates with distinct gut microbial and metabolic profiles linked to CVD risk in people living in Uganda. In a cross-sectional study of 209 individuals living in communities with contrasting S. mansoni endemicity, we profile the gut microbiome using 16S rRNA gene sequencing and the faecal metabolome using liquid chromatography–mass spectrometry. S. mansoni infection associates with increased gut microbial diversity and distinct taxonomic signatures, including enrichment of taxa such as Treponema and depletion of Prevotella and Streptococcus . Several infection-associated microbial taxa statistically mediate the relationships between S. mansoni infection and cardiovascular disease risk. Faecal metabolomic profiling identifies infection-associated metabolites, and integrative analyses showed linked microbe–metabolite networks associated with cardiovascular risk.These findings identify gut microbiome and metabolome signatures associated with S. mansoni infection and cardiovascular disease risk in Uganda. Although causality cannot be inferred, this work provides insight into host–parasite–microbiome interactions and highlights microbial and metabolic pathways relevant to cardiometabolic health.</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非规范核酸数据存储的进展和挑战</w:t>
      </w:r>
    </w:p>
    <w:p>
      <w:r>
        <w:rPr>
          <w:rFonts w:ascii="Times New Roman" w:hAnsi="Times New Roman" w:eastAsia="宋体"/>
          <w:b/>
          <w:color w:val="003264"/>
          <w:sz w:val="24"/>
        </w:rPr>
        <w:t>Advances and challenges in non-canonical nucleic acids data storage</w:t>
      </w:r>
    </w:p>
    <w:p>
      <w:r>
        <w:rPr>
          <w:rFonts w:ascii="Times New Roman" w:hAnsi="Times New Roman" w:eastAsia="宋体"/>
          <w:sz w:val="21"/>
        </w:rPr>
        <w:t>作者: Yan Wang, Yufeng Pei, Linlin Tang, Xinyu Sun, Songtao Zhou, Jie Song</w:t>
        <w:br/>
      </w:r>
      <w:r>
        <w:rPr>
          <w:rFonts w:ascii="Times New Roman" w:hAnsi="Times New Roman" w:eastAsia="宋体"/>
          <w:sz w:val="21"/>
        </w:rPr>
        <w:t xml:space="preserve">时间: 2026-02-04 | </w:t>
      </w:r>
      <w:r>
        <w:t xml:space="preserve">链接: </w:t>
      </w:r>
      <w:hyperlink r:id="rId66">
        <w:r>
          <w:rPr>
            <w:rFonts w:ascii="Times New Roman" w:hAnsi="Times New Roman" w:eastAsia="宋体"/>
            <w:color w:val="0000FF"/>
            <w:sz w:val="21"/>
            <w:u w:val="single"/>
          </w:rPr>
          <w:t>https://doi.org/10.1038/s41467-026-68708-6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具有高存储密度的规范核酸是有前途的数据存储介质，但受到不稳定性的限制。在这里，作者总结了非规范核酸在数据存储方面的独特性质和优势，并强调了其实际应用的关键挑战。</w:t>
      </w:r>
    </w:p>
    <w:p>
      <w:pPr>
        <w:spacing w:before="120"/>
      </w:pPr>
      <w:r>
        <w:rPr>
          <w:rFonts w:ascii="Times New Roman" w:hAnsi="Times New Roman" w:eastAsia="宋体"/>
          <w:b/>
          <w:sz w:val="21"/>
        </w:rPr>
        <w:t>English Abstract:</w:t>
      </w:r>
    </w:p>
    <w:p>
      <w:r>
        <w:rPr>
          <w:rFonts w:ascii="Times New Roman" w:hAnsi="Times New Roman" w:eastAsia="宋体"/>
          <w:sz w:val="21"/>
        </w:rPr>
        <w:t>Canonical nucleic acids, with high storage density, are promising media for data storage but are limited by instability. Here, authors summarise the unique properties and advantages of non-canonical nucleic acids in data storage and highlight key challenges for their practical application.</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Scientific Reports</w:t>
      </w:r>
    </w:p>
    <w:p>
      <w:pPr>
        <w:jc w:val="center"/>
      </w:pPr>
      <w:r>
        <w:t>--- 更新: 00:27 ---</w:t>
      </w:r>
    </w:p>
    <w:p>
      <w:pPr>
        <w:pStyle w:val="Heading2"/>
      </w:pPr>
      <w:r/>
      <w:r>
        <w:rPr>
          <w:rFonts w:ascii="Times New Roman" w:hAnsi="Times New Roman" w:eastAsia="宋体"/>
          <w:b/>
          <w:color w:val="000000"/>
          <w:sz w:val="24"/>
        </w:rPr>
        <w:t>利用深度学习进行低碘、低辐射 CTPA 分类，增强诊断安全性</w:t>
      </w:r>
    </w:p>
    <w:p>
      <w:r>
        <w:rPr>
          <w:rFonts w:ascii="Times New Roman" w:hAnsi="Times New Roman" w:eastAsia="宋体"/>
          <w:b/>
          <w:color w:val="003264"/>
          <w:sz w:val="24"/>
        </w:rPr>
        <w:t>Enhancing diagnostic safety with low iodine, low radiation CTPA classification using deep learning</w:t>
      </w:r>
    </w:p>
    <w:p>
      <w:r>
        <w:rPr>
          <w:rFonts w:ascii="Times New Roman" w:hAnsi="Times New Roman" w:eastAsia="宋体"/>
          <w:sz w:val="21"/>
        </w:rPr>
        <w:t>作者: Mingyao Hong, Tao Gu, Hongyu An, Xu Fan, Xinfeng Zhang</w:t>
        <w:br/>
      </w:r>
      <w:r>
        <w:rPr>
          <w:rFonts w:ascii="Times New Roman" w:hAnsi="Times New Roman" w:eastAsia="宋体"/>
          <w:sz w:val="21"/>
        </w:rPr>
        <w:t xml:space="preserve">时间: 2026-02-04 | </w:t>
      </w:r>
      <w:r>
        <w:t xml:space="preserve">链接: </w:t>
      </w:r>
      <w:hyperlink r:id="rId12">
        <w:r>
          <w:rPr>
            <w:rFonts w:ascii="Times New Roman" w:hAnsi="Times New Roman" w:eastAsia="宋体"/>
            <w:color w:val="0000FF"/>
            <w:sz w:val="21"/>
            <w:u w:val="single"/>
          </w:rPr>
          <w:t>https://doi.org/10.1038/s41598-026-38223-1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肺栓塞 (PE) 是一种危及生命的疾病，计算机断层扫描肺血管造影 (CTPA) 是标准诊断方式。然而，传统的 CTPA 方案需要相对较高的碘对比和辐射剂量，引起了对肾损伤和辐射暴露的担忧。在这项研究中，我们提出了一种基于深度学习的低碘和低辐射 CTPA 条件下 PE 诊断框架。所提出的两阶段框架通过联合利用原始低曝光图像及其超分辨率对应图像来集成图像增强和分类。我们进一步构建并公开发布与临床机构合作开发的低碘、低辐射 CTPA 数据集，以支持安全成像的可重复研究。实验结果表明，与单分支基线相比，所提出的方法显着提高了诊断性能，实现了 0.928 的 ROC 曲线下面积 (AUC)，同时保持平衡的敏感性和特异性。这些发现表明，所提出的框架能够在降低对比度和辐射暴露的情况下实现准确、更安全的 PE 诊断，为提高临床 CTPA 成像的诊断安全性提供实用的解决方案。</w:t>
      </w:r>
    </w:p>
    <w:p>
      <w:pPr>
        <w:spacing w:before="120"/>
      </w:pPr>
      <w:r>
        <w:rPr>
          <w:rFonts w:ascii="Times New Roman" w:hAnsi="Times New Roman" w:eastAsia="宋体"/>
          <w:b/>
          <w:sz w:val="21"/>
        </w:rPr>
        <w:t>English Abstract:</w:t>
      </w:r>
    </w:p>
    <w:p>
      <w:r>
        <w:rPr>
          <w:rFonts w:ascii="Times New Roman" w:hAnsi="Times New Roman" w:eastAsia="宋体"/>
          <w:sz w:val="21"/>
        </w:rPr>
        <w:t>Pulmonary embolism (PE) is a life-threatening condition for which computed tomography pulmonary angiography (CTPA) is the standard diagnostic modality. However, conventional CTPA protocols require relatively high iodine contrast and radiation doses, raising concerns about renal injury and radiation exposure. In this study, we propose a deep learning-based framework for PE diagnosis under low-iodine and low-radiation CTPA conditions. The proposed two-stage framework integrates image enhancement and classification by jointly leveraging original low-exposure images and their super-resolved counterparts. We further construct and publicly release a low-iodine, low-radiation CTPA dataset developed in collaboration with a clinical institution to support reproducible research in safe imaging. Experimental results demonstrate that the proposed method substantially improves diagnostic performance compared with single-branch baselines, achieving an area under the ROC curve (AUC) of 0.928 while maintaining balanced sensitivity and specificity. These findings suggest that the proposed framework enables accurate and safer PE diagnosis under reduced contrast and radiation exposure, offering a practical solution for improving diagnostic safety in clinical CTPA imaging.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 YOLO 架构利用不同色域的实时工业安全自动化</w:t>
      </w:r>
    </w:p>
    <w:p>
      <w:r>
        <w:rPr>
          <w:rFonts w:ascii="Times New Roman" w:hAnsi="Times New Roman" w:eastAsia="宋体"/>
          <w:b/>
          <w:color w:val="003264"/>
          <w:sz w:val="24"/>
        </w:rPr>
        <w:t>A real-time industrial safety automation using YOLO architectures leveraging diverse chromatic domains</w:t>
      </w:r>
    </w:p>
    <w:p>
      <w:r>
        <w:rPr>
          <w:rFonts w:ascii="Times New Roman" w:hAnsi="Times New Roman" w:eastAsia="宋体"/>
          <w:sz w:val="21"/>
        </w:rPr>
        <w:t>作者: Natasha Pati, Atul Sharma, Mahendra Kumar Gourisaria, Junali Jasmine Jena, Amitkumar V. Jha, Bhargav Appasani, Nicu Bizon</w:t>
        <w:br/>
      </w:r>
      <w:r>
        <w:rPr>
          <w:rFonts w:ascii="Times New Roman" w:hAnsi="Times New Roman" w:eastAsia="宋体"/>
          <w:sz w:val="21"/>
        </w:rPr>
        <w:t xml:space="preserve">时间: 2026-02-04 | </w:t>
      </w:r>
      <w:r>
        <w:t xml:space="preserve">链接: </w:t>
      </w:r>
      <w:hyperlink r:id="rId13">
        <w:r>
          <w:rPr>
            <w:rFonts w:ascii="Times New Roman" w:hAnsi="Times New Roman" w:eastAsia="宋体"/>
            <w:color w:val="0000FF"/>
            <w:sz w:val="21"/>
            <w:u w:val="single"/>
          </w:rPr>
          <w:t>https://doi.org/10.1038/s41598-026-37869-1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物体检测是计算机视觉的重要组成部分，具有广泛的工业应用。它涉及识别和定位图像或视频帧内的对象，通过为检测到的对象提供边界框来超越简单的图像分类。在这项工作中，作者使用实时方法在焊接缺陷数据集上评估 YOLO 对象检测模型，并使用跨不同色域的多光谱方法。具体来说，使用多个颜色空间（RGB、HSV、LAB 和 YCbCr）分析 YOLOv3、YOLOv5 和 YOLOv8 的性能。检查颜色表示如何影响检测结果。 YOLO 的统一架构优化了速度和准确性，使其非常适合实时工业安全应用。结果表明，与之前使用 RGB 颜色空间的版本相比，YOLOv8 在准确性和推理速度方面都有显着提高。使用 RGB 颜色空间实现了 0.592 的归一化 mAP@0.5，凸显了 YOLOv8 在不同视觉条件下挑战性检测任务中的有效性。该模型的轻量级结构和计算效率使其非常适合各种工业环境中的实时焊接缺陷检测，这一点已使用实时框架进行了演示。</w:t>
      </w:r>
    </w:p>
    <w:p>
      <w:pPr>
        <w:spacing w:before="120"/>
      </w:pPr>
      <w:r>
        <w:rPr>
          <w:rFonts w:ascii="Times New Roman" w:hAnsi="Times New Roman" w:eastAsia="宋体"/>
          <w:b/>
          <w:sz w:val="21"/>
        </w:rPr>
        <w:t>English Abstract:</w:t>
      </w:r>
    </w:p>
    <w:p>
      <w:r>
        <w:rPr>
          <w:rFonts w:ascii="Times New Roman" w:hAnsi="Times New Roman" w:eastAsia="宋体"/>
          <w:sz w:val="21"/>
        </w:rPr>
        <w:t>Object detection is a crucial component of computer vision with extensive industrial applications. It involves identifying and localizing objects within an image or video frame, surpassing simple image classification by providing bounding boxes for detected objects. In this work, authors used a real-time approach for evaluating YOLO object detection models on a welding defect dataset, using a multispectral approach across diverse chromatic domains. Specifically, the performance of YOLOv3, YOLOv5, and YOLOv8 is analyzed using multiple color spaces—RGB, HSV, LAB, and YCbCr. To examine how color representation affects detection outcomes. YOLO’s unified architecture optimizes both speed and accuracy, making it well-suited for real-time industrial safety applications. The results indicate that YOLOv8 demonstrates significant improvements in both accuracy and inference speed over previous versions using RGB color space. A normalized mAP@0.5 of 0.592 was achieved using the RGB color space, highlighting YOLOv8’s effectiveness in challenging detection tasks under varying visual conditions. The model’s lightweight structure and computational efficiency make it an excellent fit for real-time welding defect detection in diverse industrial environments which has been demonstrated using a real-time framework.</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15年来棕熊对意大利东北部农牧业活动的损害模式</w:t>
      </w:r>
    </w:p>
    <w:p>
      <w:r>
        <w:rPr>
          <w:rFonts w:ascii="Times New Roman" w:hAnsi="Times New Roman" w:eastAsia="宋体"/>
          <w:b/>
          <w:color w:val="003264"/>
          <w:sz w:val="24"/>
        </w:rPr>
        <w:t>Patterns of brown bear damages to agro-livestock activities in North-Eastern Italy across 15 years</w:t>
      </w:r>
    </w:p>
    <w:p>
      <w:r>
        <w:rPr>
          <w:rFonts w:ascii="Times New Roman" w:hAnsi="Times New Roman" w:eastAsia="宋体"/>
          <w:sz w:val="21"/>
        </w:rPr>
        <w:t>作者: Marcello Franchini, Salvatore Raniolo, Mirco Corazzin, Paolo Zanghellini, Natalia Bragalanti, Stefano Bovolenta</w:t>
        <w:br/>
      </w:r>
      <w:r>
        <w:rPr>
          <w:rFonts w:ascii="Times New Roman" w:hAnsi="Times New Roman" w:eastAsia="宋体"/>
          <w:sz w:val="21"/>
        </w:rPr>
        <w:t xml:space="preserve">时间: 2026-02-04 | </w:t>
      </w:r>
      <w:r>
        <w:t xml:space="preserve">链接: </w:t>
      </w:r>
      <w:hyperlink r:id="rId28">
        <w:r>
          <w:rPr>
            <w:rFonts w:ascii="Times New Roman" w:hAnsi="Times New Roman" w:eastAsia="宋体"/>
            <w:color w:val="0000FF"/>
            <w:sz w:val="21"/>
            <w:u w:val="single"/>
          </w:rPr>
          <w:t>https://doi.org/10.1038/s41598-026-38371-4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牲畜的捕食以及对农田和蜂箱的破坏是共享景观中人熊冲突的一些主要驱动因素。在意大利东北部阿尔卑斯山，唯一的棕熊 Ursus arctos 繁殖种群持续存在于特伦托自治省，通过 LIFE Ursus 计划（1999-2004）重新引入，而在弗留利·威尼斯朱利亚 (FVG)，每年很少发现分散的雄性。这两个地区均报告主要对人类住区附近的农牧业活动造成损害。本研究的目的是：(i) 使用 15 年的索赔数据描述与熊相关的对牲畜（被捕食、受伤和失踪个体的总和）、农业、蜂箱和结构的损害； ㈡ 评估人类住区附近损害的时间趋势； (iii) 评估损害的空间扩展。我们分析了特伦托自治省和 FVG 2009 年至 2023 年的官方赔偿索赔。广义相加模型评估邻近趋势，同时使用基于 5 × 5 公里网格的热点分析来分析空间扩展。调查结果显示，多年来，牲畜和结构性破坏发生在距离人类住区更近的地方；但仅在特伦托自治省观察到损害在空间上显着扩大。结果强调需要有效预防以减少冲突并支持人与熊共存。</w:t>
      </w:r>
    </w:p>
    <w:p>
      <w:pPr>
        <w:spacing w:before="120"/>
      </w:pPr>
      <w:r>
        <w:rPr>
          <w:rFonts w:ascii="Times New Roman" w:hAnsi="Times New Roman" w:eastAsia="宋体"/>
          <w:b/>
          <w:sz w:val="21"/>
        </w:rPr>
        <w:t>English Abstract:</w:t>
      </w:r>
    </w:p>
    <w:p>
      <w:r>
        <w:rPr>
          <w:rFonts w:ascii="Times New Roman" w:hAnsi="Times New Roman" w:eastAsia="宋体"/>
          <w:sz w:val="21"/>
        </w:rPr>
        <w:t>Livestock predations along with damages to croplands and beehives, are some of the main drivers of human-bear conflicts in shared landscapes. In the North-Eastern Italian Alps, the only brown bear Ursus arctos breeding population persists in the Autonomous Province of Trento, reintroduced via the LIFE Ursus program (1999–2004), while in Friuli Venezia Giulia (FVG) few dispersing males are detected annually. Both areas report damages mainly to agro-livestock activities near human settlements. This study aimed to: (i) describe bear-related damages to livestock (sum of preyed, injured, and missing individuals), agriculture, beehives, and structures using 15 years of claims data; (ii) assess temporal trends in damages near human settlements; and (iii) evaluate the spatial expansion of damages. We analysed official compensation claims from 2009 to 2023 in the Autonomous Province of Trento and FVG. Generalized Additive Models assessed proximity trends, while spatial expansion was analysed using 5 × 5 km grid-based hotspot analysis. Findings revealed that livestock and structural damages occurred significantly closer to human settlements across years; but a significant spatial expansion of damages was observed only in the Autonomous Province of Trento. Results highlight the need for effective prevention to reduce conflicts and support human-bear coexistence.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使用光学相干断层扫描血管造影诊断帕金森病的整体机器学习分类器</w:t>
      </w:r>
    </w:p>
    <w:p>
      <w:r>
        <w:rPr>
          <w:rFonts w:ascii="Times New Roman" w:hAnsi="Times New Roman" w:eastAsia="宋体"/>
          <w:b/>
          <w:color w:val="003264"/>
          <w:sz w:val="24"/>
        </w:rPr>
        <w:t>An ensemble machine learning classifier for Parkinson’s disease diagnosis using optical coherence tomography angiography</w:t>
      </w:r>
    </w:p>
    <w:p>
      <w:r>
        <w:rPr>
          <w:rFonts w:ascii="Times New Roman" w:hAnsi="Times New Roman" w:eastAsia="宋体"/>
          <w:sz w:val="21"/>
        </w:rPr>
        <w:t>作者: MohammadReza Hasanshahi, Alireza Mehdizadeh, Tahereh Mahmoudi, Vahid Reza Ostovan, M. Hossein Nowroozzadeh, Hossein Parsaei</w:t>
        <w:br/>
      </w:r>
      <w:r>
        <w:rPr>
          <w:rFonts w:ascii="Times New Roman" w:hAnsi="Times New Roman" w:eastAsia="宋体"/>
          <w:sz w:val="21"/>
        </w:rPr>
        <w:t xml:space="preserve">时间: 2026-02-04 | </w:t>
      </w:r>
      <w:r>
        <w:t xml:space="preserve">链接: </w:t>
      </w:r>
      <w:hyperlink r:id="rId29">
        <w:r>
          <w:rPr>
            <w:rFonts w:ascii="Times New Roman" w:hAnsi="Times New Roman" w:eastAsia="宋体"/>
            <w:color w:val="0000FF"/>
            <w:sz w:val="21"/>
            <w:u w:val="single"/>
          </w:rPr>
          <w:t>https://doi.org/10.1038/s41598-026-38407-9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帕金森病（PD）是全球增长最快的神经退行性疾病，但由于缺乏可靠的生物标志物，其早期诊断仍然是一个重大挑战。新的证据表明，可通过光学相干断层扫描血管造影 (OCTA) 检测到的视网膜微血管改变可能作为 PD 的有前途的非侵入性生物标志物。然而，早期 PD 缺乏明确的诊断测试突显了迫切需要客观、非侵入性的工具来促进及时检测和干预。在这项回顾性研究中，从 53 名 PD 患者和 39 名健康对照中获得了 OCTA 图像。对浅表血管复合体 (SVC) 和深层血管复合体 (DVC) 进行分割，以提取 22 个定量特征，包括中心凹无血管区 (FAZ) 描述符和血管密度测量值。采用基于患者的交叉验证策略将数据集划分为训练集、验证集和独立测试集，确保来自同一个体的数据不会出现在多个子集中。为了降低维度并增强泛化性，我们应用了使用单变量特征选择、递归特征消除和随机森林特征重要性的组合特征选择框架。然后对多种机器学习算法进行训练和优化，将性能最佳的分类器（XGBoost、随机森林和 K 最近邻）集成到加权集成模型中。集成方法优于单个分类器，在独立保留测试集上实现了 74.28% 的准确度、90% 的灵敏度、53.33% 的特异性和 0.75 的 AUC 。特征分析表明，形态描述符（形状因子、凸度、坚固度、圆度）和血管密度参数（包括血管面积密度（VAD）和血管骨架密度（VSD））对模型性能有很大贡献。开发了图形用户界面（PDAI – 帕金森病人工智能）以促进临床采用，实现交互式预处理、特征可视化和自动预测。我们的研究结果提供了一个有前景的非侵入性框架来支持 PD 分类和筛查，值得在更大的多中心队列中进行进一步验证。</w:t>
      </w:r>
    </w:p>
    <w:p>
      <w:pPr>
        <w:spacing w:before="120"/>
      </w:pPr>
      <w:r>
        <w:rPr>
          <w:rFonts w:ascii="Times New Roman" w:hAnsi="Times New Roman" w:eastAsia="宋体"/>
          <w:b/>
          <w:sz w:val="21"/>
        </w:rPr>
        <w:t>English Abstract:</w:t>
      </w:r>
    </w:p>
    <w:p>
      <w:r>
        <w:rPr>
          <w:rFonts w:ascii="Times New Roman" w:hAnsi="Times New Roman" w:eastAsia="宋体"/>
          <w:sz w:val="21"/>
        </w:rPr>
        <w:t>Parkinson’s disease (PD) is the fastest-growing neurodegenerative disorder worldwide, yet its early diagnosis remains a major challenge due to the absence of reliable biomarkers. Emerging evidence indicates that retinal microvascular alterations, detectable through Optical Coherence Tomography Angiography (OCTA), may serve as promising non-invasive biomarkers for PD. However, the lack of definitive diagnostic tests for early-stage PD underscores an urgent need for objective, non-invasive tools to facilitate timely detection and intervention. In this retrospective study, OCTA images were obtained from 53 PD patients and 39 healthy controls. Both the superficial vascular complex (SVC) and deep vascular complex (DVC) were segmented to extract 22 quantitative features, including foveal avascular zone (FAZ) descriptors and vascular density measures. A patient-based cross-validation strategy was employed to partition the dataset into training, validation, and independent test sets, ensuring that data from the same individual did not appear across multiple subsets. To reduce dimensionality and enhance generalizability, we applied a combined feature selection framework using Univariate Feature Selection, Recursive Feature Elimination, and Random Forest Feature Importance. Multiple machine learning algorithms were then trained and optimized, with the best-performing classifiers (XGBoost, Random Forest, and K-Nearest Neighbors) integrated into a weighted ensemble model. The ensemble approach outperformed individual classifiers, achieving an accuracy of 74.28%, sensitivity of 90%, specificity of 53.33%, and an AUC of 0.75 on the independent hold-out test set. Feature analysis revealed that both morphological descriptors (form factor, convexity, solidity, roundness) and vascular density parameters, including vessel area density (VAD) and vessel skeleton density (VSD) contributed strongly to model performance. A graphical user interface (PDAI – Parkinson’s Disease Artificial Intelligence) was developed to facilitate clinical adoption, enabling interactive preprocessing, feature visualization, and automated prediction. Our findings provide a promising and non-invasive framework to support PD classification and screening, warranting further validation in larger and multi-center cohorts.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辫状河河段堤防管理策略的洪峰衰减有效性评估：以黄河下游为例</w:t>
      </w:r>
    </w:p>
    <w:p>
      <w:r>
        <w:rPr>
          <w:rFonts w:ascii="Times New Roman" w:hAnsi="Times New Roman" w:eastAsia="宋体"/>
          <w:b/>
          <w:color w:val="003264"/>
          <w:sz w:val="24"/>
        </w:rPr>
        <w:t>Evaluating flood peak attenuation effectiveness of levee management strategies in braided river reaches: a case study of the lower Yellow River</w:t>
      </w:r>
    </w:p>
    <w:p>
      <w:r>
        <w:rPr>
          <w:rFonts w:ascii="Times New Roman" w:hAnsi="Times New Roman" w:eastAsia="宋体"/>
          <w:sz w:val="21"/>
        </w:rPr>
        <w:t>作者: Jian Chen, Luyao Zhang, Haizhou Wang</w:t>
        <w:br/>
      </w:r>
      <w:r>
        <w:rPr>
          <w:rFonts w:ascii="Times New Roman" w:hAnsi="Times New Roman" w:eastAsia="宋体"/>
          <w:sz w:val="21"/>
        </w:rPr>
        <w:t xml:space="preserve">时间: 2026-02-04 | </w:t>
      </w:r>
      <w:r>
        <w:t xml:space="preserve">链接: </w:t>
      </w:r>
      <w:hyperlink r:id="rId30">
        <w:r>
          <w:rPr>
            <w:rFonts w:ascii="Times New Roman" w:hAnsi="Times New Roman" w:eastAsia="宋体"/>
            <w:color w:val="0000FF"/>
            <w:sz w:val="21"/>
            <w:u w:val="single"/>
          </w:rPr>
          <w:t>https://doi.org/10.1038/s41598-026-38415-9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研究以黄河下游辫状河为研究对象，分析了不同重现期（5年一遇、10年一遇、100年一遇）下宽堤间距和窄堤间距两种人工堤坝治理方案对洪峰衰减和空间分布的影响。结果表明，两种方案均显着降低了洪峰流量，且衰减幅度随着洪水重现期的延长而增大。宽堤间距方案在极端洪水条件下表现出优异的减峰性能，在100年一遇洪水期间，最大减峰量为985.6 m3/s，平均减峰量为342.02 m3/s，但伴随着水位上升0.57~1.14 m。窄堤间距方案位居第二，最大减量为669.51 m3/s，平均减量为290.32 m3/s，水位上升0.66~1.45 m。从空间上看，堤坝方案可能会略微增加上游断面（如大柳寺）的洪峰流量，而在下游断面（如宝城）实现显着减少。宽堤距方案更适合应对高洪水风险，特别是在极端洪水情况下，而窄堤距方案更适合适度防洪、平衡洪峰衰减和上下游流量分配。该研究为辫状河河段防洪及优化设计提供科学依据。</w:t>
      </w:r>
    </w:p>
    <w:p>
      <w:pPr>
        <w:spacing w:before="120"/>
      </w:pPr>
      <w:r>
        <w:rPr>
          <w:rFonts w:ascii="Times New Roman" w:hAnsi="Times New Roman" w:eastAsia="宋体"/>
          <w:b/>
          <w:sz w:val="21"/>
        </w:rPr>
        <w:t>English Abstract:</w:t>
      </w:r>
    </w:p>
    <w:p>
      <w:r>
        <w:rPr>
          <w:rFonts w:ascii="Times New Roman" w:hAnsi="Times New Roman" w:eastAsia="宋体"/>
          <w:sz w:val="21"/>
        </w:rPr>
        <w:t>This study focuses on the braided river of the lower Yellow River, analyzing the effects of two artificial levee management schemes—wide levee spacing and narrow levee spacing—on flood peak attenuation and spatial distribution under different return periods (5-year, 10-year, and 100-year floods). The results demonstrate that both schemes significantly reduce flood peak discharges, with the attenuation magnitude increasing as the flood return period becomes longer. The wide levee spacing scheme exhibits superior peak reduction performance under extreme flood conditions, achieving a maximum reduction of 985.6 m3/s and an average reduction of 342.02 m3/s during the 100-year flood event, though accompanied by a water level rise of 0.57–1.14 m. The narrow levee spacing scheme ranks second, with a maximum reduction of 669.51 m3/s and an average reduction of 290.32 m3/s, with water levels rising by 0.66–1.45 m. Spatially, the levee schemes may slightly increase peak discharge at upstream sections (e.g., Daliusi) while achieving significant reductions at downstream sections (e.g., Baocheng). The wide levee spacing scheme is more suitable for addressing high flood risks, particularly in extreme flood scenarios, while the narrow levee spacing scheme is better suited for moderate flood control, balancing peak attenuation and upstream-downstream flow distribution. This study provides a scientific basis for flood control and optimization design in braided river reaches.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人工智能与多学科团队建议在结直肠癌肝转移管理中的比较</w:t>
      </w:r>
    </w:p>
    <w:p>
      <w:r>
        <w:rPr>
          <w:rFonts w:ascii="Times New Roman" w:hAnsi="Times New Roman" w:eastAsia="宋体"/>
          <w:b/>
          <w:color w:val="003264"/>
          <w:sz w:val="24"/>
        </w:rPr>
        <w:t>Comparison of artificial intelligence and multidisciplinary team recommendations in the management of colorectal cancer liver metastases</w:t>
      </w:r>
    </w:p>
    <w:p>
      <w:r>
        <w:rPr>
          <w:rFonts w:ascii="Times New Roman" w:hAnsi="Times New Roman" w:eastAsia="宋体"/>
          <w:sz w:val="21"/>
        </w:rPr>
        <w:t>作者: Mustafa Yılmaz, Najmaddın Abbaslı, Simge Tuna, Uğfe Kuyucuoğlu, Cumhur Özcan, Hilmi Bozkurt, Tahsin Çolak</w:t>
        <w:br/>
      </w:r>
      <w:r>
        <w:rPr>
          <w:rFonts w:ascii="Times New Roman" w:hAnsi="Times New Roman" w:eastAsia="宋体"/>
          <w:sz w:val="21"/>
        </w:rPr>
        <w:t xml:space="preserve">时间: 2026-02-04 | </w:t>
      </w:r>
      <w:r>
        <w:t xml:space="preserve">链接: </w:t>
      </w:r>
      <w:hyperlink r:id="rId31">
        <w:r>
          <w:rPr>
            <w:rFonts w:ascii="Times New Roman" w:hAnsi="Times New Roman" w:eastAsia="宋体"/>
            <w:color w:val="0000FF"/>
            <w:sz w:val="21"/>
            <w:u w:val="single"/>
          </w:rPr>
          <w:t>https://doi.org/10.1038/s41598-026-38449-z</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多学科团队 (MDT) 是结直肠癌肝转移 (CRCLM) 治疗计划的核心，但需要时间和持续获得专业知识。基于聊天的大型语言模型 (LLM)（例如 ChatGPT）可以根据书面临床摘要生成建议；然而，它们与 CRCLM 中 MDT 决策的一致性尚不明确。我们对 MDT 中讨论的 30 个连续 CRCLM 病例进行了单中心回顾性一致性研究。 ChatGPT 获得了标准化匿名文本概要（没有直接成像访问），并要求在两个先验条件下提供管理建议：（1）仅基线概要，以及（2）明确指定可切除性状态的条件查询。每个案例和条件都使用相同的提示在单独的会话中独立查询三次；产出被映射到预定义的管理类别。最终 LLM 建议与 MDT 决策之间的一致性是使用一致性百分比和 Cohen 的 kappa 进行评估的。在重复运行中，LLM 在所有情况下为两个查询条件分配相同的管理类别（模型内一致性 100%，3/3）。在基线条件下，与 MDT 决策的一致性为 66.7%（20/30；Cohen’s kappa = 0.606，中等一致性）。在有条件可切除性指定条件下，一致性为 93.3%（28/30；Cohen’s kappa = 0.924，非常好的一致性）。基线不一致病例的特点是保守的模型输出，包括全身治疗和/或额外诊断检查的建议；在确定可切除性后，只有两例仍不一致。基于聊天的法学硕士显示出与来自最少病例摘要的一致 MDT 建议的中等一致性，并且在明确指定可切除状态时显示出非常好的一致性。这些发现支持作为监督决策支持辅助手段的可行性，但并未确定临床益处；需要基于预期结果的验证。</w:t>
      </w:r>
    </w:p>
    <w:p>
      <w:pPr>
        <w:spacing w:before="120"/>
      </w:pPr>
      <w:r>
        <w:rPr>
          <w:rFonts w:ascii="Times New Roman" w:hAnsi="Times New Roman" w:eastAsia="宋体"/>
          <w:b/>
          <w:sz w:val="21"/>
        </w:rPr>
        <w:t>English Abstract:</w:t>
      </w:r>
    </w:p>
    <w:p>
      <w:r>
        <w:rPr>
          <w:rFonts w:ascii="Times New Roman" w:hAnsi="Times New Roman" w:eastAsia="宋体"/>
          <w:sz w:val="21"/>
        </w:rPr>
        <w:t>Multidisciplinary teams (MDTs) are central to treatment planning for colorectal cancer liver metastases (CRCLM) but require time and consistent access to expertise. Chat-based large language models (LLMs) such as ChatGPT can generate recommendations from written clinical summaries; however, their concordance with MDT decisions in CRCLM is not well characterized. We conducted a single-center retrospective concordance study of 30 consecutive CRCLM cases discussed at an MDT. ChatGPT was provided a standardized anonymized text synopsis (without direct imaging access) and asked for management recommendations under two a priori conditions: (1) baseline synopsis only, and (2) a conditional query in which resectability status was explicitly specified. Each case and condition was queried three independent times in separate sessions using identical prompts; outputs were mapped to predefined management categories. Agreement between the final LLM recommendation and MDT decisions was assessed using percent agreement and Cohen’s kappa. Across repeated runs, the LLM assigned the same management category in all cases (within-model consistency 100%, 3/3) for both querying conditions. In the baseline condition, agreement with MDT decisions was 66.7% (20/30; Cohen’s kappa = 0.606, moderate agreement). In the conditional resectability-specified condition, agreement was 93.3% (28/30; Cohen’s kappa = 0.924, very good agreement). Baseline discordant cases were characterized by conservative model outputs, including recommendations for systemic therapy and/or additional diagnostic work-up; only two cases remained discordant after resectability was specified. A chat-based LLM showed moderate concordance with unanimous MDT recommendations from minimal case summaries and very good concordance when resectability status was explicitly specified. These findings support feasibility as a supervised decision-support adjunct, but do not establish clinical benefit; prospective outcome-based validation is required.</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七叶苷通过调节细胞外基质重塑和分子途径改善糖尿病大鼠的伤口愈合</w:t>
      </w:r>
    </w:p>
    <w:p>
      <w:r>
        <w:rPr>
          <w:rFonts w:ascii="Times New Roman" w:hAnsi="Times New Roman" w:eastAsia="宋体"/>
          <w:b/>
          <w:color w:val="003264"/>
          <w:sz w:val="24"/>
        </w:rPr>
        <w:t>Esculin improves wound healing in diabetic rats by modulating extracellular matrix remodeling and molecular pathways</w:t>
      </w:r>
    </w:p>
    <w:p>
      <w:r>
        <w:rPr>
          <w:rFonts w:ascii="Times New Roman" w:hAnsi="Times New Roman" w:eastAsia="宋体"/>
          <w:sz w:val="21"/>
        </w:rPr>
        <w:t>作者: Mohamadreza Almasifard, Mohammad Hashemnia, Hadi Cheraghi, Adel Mohammadalipour</w:t>
        <w:br/>
      </w:r>
      <w:r>
        <w:rPr>
          <w:rFonts w:ascii="Times New Roman" w:hAnsi="Times New Roman" w:eastAsia="宋体"/>
          <w:sz w:val="21"/>
        </w:rPr>
        <w:t xml:space="preserve">时间: 2026-02-04 | </w:t>
      </w:r>
      <w:r>
        <w:t xml:space="preserve">链接: </w:t>
      </w:r>
      <w:hyperlink r:id="rId32">
        <w:r>
          <w:rPr>
            <w:rFonts w:ascii="Times New Roman" w:hAnsi="Times New Roman" w:eastAsia="宋体"/>
            <w:color w:val="0000FF"/>
            <w:sz w:val="21"/>
            <w:u w:val="single"/>
          </w:rPr>
          <w:t>https://doi.org/10.1038/s41598-026-39098-y</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糖尿病伤口以再生不良、慢性炎症和氧化应激为特征，是糖尿病患者面临的重大挑战。七叶苷是一种天然香豆素，具有抗氧化和抗炎作用，有望促进伤口愈合。本研究调查了外用七叶苷对链脲佐菌素诱导的糖尿病大鼠全层伤口的组织病理学、生化和分子影响。对 60 只 Sprague-Dawley 大鼠进行切除伤口，分为四组：正常对照组、糖尿病对照组、七叶苷软膏 5% 和 10%。在第 7、14 和 21 天收集组织样本进行组织病理学、分子和生化分析。七叶苷治疗显着加速伤口闭合并改善上皮再形成和肉芽组织形成。组织学分析显示，早期阶段淋巴细胞浸润减少，成纤维细胞增殖和新血管形成增加，伤口愈合后期纤维细胞数量增多，胶原蛋白沉积更有组织。从生化角度来看，七叶苷显着提高抗氧化酶活性并减少氧化应激标记物，表明氧化还原平衡的恢复。此外，七叶苷下调促炎细胞因子 IL-1β 并上调 bFGF、VEG) 和 TGF-β1，从而支持成纤维细胞活性、血管生成和细胞外基质重塑。总的来说，这些发现强调了七叶苷在促进糖尿病患者伤口愈合方面的多方面作用，支持其作为治疗慢性伤口的有前途的辅助疗法的潜力。</w:t>
      </w:r>
    </w:p>
    <w:p>
      <w:pPr>
        <w:spacing w:before="120"/>
      </w:pPr>
      <w:r>
        <w:rPr>
          <w:rFonts w:ascii="Times New Roman" w:hAnsi="Times New Roman" w:eastAsia="宋体"/>
          <w:b/>
          <w:sz w:val="21"/>
        </w:rPr>
        <w:t>English Abstract:</w:t>
      </w:r>
    </w:p>
    <w:p>
      <w:r>
        <w:rPr>
          <w:rFonts w:ascii="Times New Roman" w:hAnsi="Times New Roman" w:eastAsia="宋体"/>
          <w:sz w:val="21"/>
        </w:rPr>
        <w:t>Diabetic wounds, marked by poor regeneration, chronic inflammation, and oxidative stress, pose a major challenge in diabetes. Esculin, a natural coumarin with antioxidant and anti-inflammatory effects, shows promise for wound healing. This study investigated the histopathological, biochemical, and molecular effects of topical esculin on full-thickness wounds in streptozotocin-induced diabetic rats. Excisional wounds were created on 60 Sprague-Dawley rats, assigned to four groups: normal control, diabetic control, esculin ointment 5% and 10%. Tissue samples were collected on days 7, 14, and 21 for histopathological, molecular, and biochemical analysis. Esculin treatment significantly accelerated wound closure and improved re-epithelialization and granulation tissue formation. Histological analysis revealed a decrease in lymphocyte infiltration, increased fibroblast proliferation and neovascularization at the earlier stages, and a higher number of fibrocytes and more organized collagen deposition at later stages of wound healing. Biochemically, esculin significantly elevated antioxidant enzyme activities and reduced oxidative stress markers, indicating restoration of redox balance. Moreover, esculin downregulated the pro-inflammatory cytokine IL-1β and upregulated bFGF, VEG), and TGF-β1, thereby supporting fibroblast activity, angiogenesis, and extracellular matrix remodeling. Collectively, these findings highlight the multifaceted role of esculin in promoting wound healing under diabetic conditions, supporting its potential as a promising adjunct therapy for managing chronic wounds.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脑血管疾病患者抓握力可调性与上肢/手功能的关系</w:t>
      </w:r>
    </w:p>
    <w:p>
      <w:r>
        <w:rPr>
          <w:rFonts w:ascii="Times New Roman" w:hAnsi="Times New Roman" w:eastAsia="宋体"/>
          <w:b/>
          <w:color w:val="003264"/>
          <w:sz w:val="24"/>
        </w:rPr>
        <w:t>Relationship between adjustability of grasping force and upper limb/hand function in individuals with cerebrovascular disorders</w:t>
      </w:r>
    </w:p>
    <w:p>
      <w:r>
        <w:rPr>
          <w:rFonts w:ascii="Times New Roman" w:hAnsi="Times New Roman" w:eastAsia="宋体"/>
          <w:sz w:val="21"/>
        </w:rPr>
        <w:t>作者: Tatsuya Kaneno, Katsutoshi Kawahara, Tatsuya Yabe, Takashi Tasaka, Tomoyuki Sakurai, Akihiro Sato, Kazunori Akizuki, Yoshifumi Morita</w:t>
        <w:br/>
      </w:r>
      <w:r>
        <w:rPr>
          <w:rFonts w:ascii="Times New Roman" w:hAnsi="Times New Roman" w:eastAsia="宋体"/>
          <w:sz w:val="21"/>
        </w:rPr>
        <w:t xml:space="preserve">时间: 2026-02-04 | </w:t>
      </w:r>
      <w:r>
        <w:t xml:space="preserve">链接: </w:t>
      </w:r>
      <w:hyperlink r:id="rId33">
        <w:r>
          <w:rPr>
            <w:rFonts w:ascii="Times New Roman" w:hAnsi="Times New Roman" w:eastAsia="宋体"/>
            <w:color w:val="0000FF"/>
            <w:sz w:val="21"/>
            <w:u w:val="single"/>
          </w:rPr>
          <w:t>https://doi.org/10.1038/s41598-026-38384-z</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日常生活活动，包括抓、握、捏，对于独立至关重要，但对于患有脑血管疾病的人来说，由于上肢瘫痪往往变得困难。我们研究了抓握力可调节性（AGF）（定义为调节抓握力的能力）与上肢/手功能表现之间的关系。十二名患有轻度脑血管疾病的个体参与了这项初步横断面研究。评估包括使用 iWakka 的 AGF 任务、Fugl-Meyer 评估、评估手功能的简单测试、手臂动作研究测试 (ARAT) 和运动活动日志 (MAL)。 AGF 使用 AGF 分数进行量化，计算为目标抓握力和实际抓握力之间的绝对误差； AGF 分数越低表明 AGF 越好。根据年龄进行调整后的部分斯皮尔曼等级相关显示，受影响较小一侧的 AGF 评分（等长截面）分别与受影响较小一侧和受影响较大一侧的 ARAT 和 MAL（运动质量）呈负相关和正相关。这些发现表明，受影响较小一侧的 AGF 较好，可能会增强该侧的运动表现，但可能与受影响较大一侧的感知运动质量较低有关。这凸显了受影响较小的一侧在中风后功能中的复杂作用，并表明康复策略应考虑身体两侧的 AGF。</w:t>
      </w:r>
    </w:p>
    <w:p>
      <w:pPr>
        <w:spacing w:before="120"/>
      </w:pPr>
      <w:r>
        <w:rPr>
          <w:rFonts w:ascii="Times New Roman" w:hAnsi="Times New Roman" w:eastAsia="宋体"/>
          <w:b/>
          <w:sz w:val="21"/>
        </w:rPr>
        <w:t>English Abstract:</w:t>
      </w:r>
    </w:p>
    <w:p>
      <w:r>
        <w:rPr>
          <w:rFonts w:ascii="Times New Roman" w:hAnsi="Times New Roman" w:eastAsia="宋体"/>
          <w:sz w:val="21"/>
        </w:rPr>
        <w:t>Abstract Activities of daily living, including grasping, holding, and pinching, are essential for independence but often become difficult for individuals with cerebrovascular disease owing to upper limb paralysis. We investigated the relationship between adjustability of grasping force (AGF), defined as the ability to adjust grasping force, and upper limb/hand functional performance. Twelve individuals with mild cerebrovascular disorders participated in this preliminary cross-sectional study. Assessments included the AGF task using iWakka, the Fugl-Meyer Assessment, Simple Test for Evaluating Hand Function, Action Research Arm Test (ARAT), and Motor Activity Log (MAL). AGF was quantified using the AGF score, calculated as the absolute error between target and actual grasping force; lower AGF scores indicate better AGF. Partial Spearman’s rank correlations, adjusted for age, revealed that AGF score (isometric section) on the less-affected side was negatively and positively correlated with ARAT and MAL (Quality of Movement) on the less-affected and more-affected sides, respectively. These findings suggest that better AGF on the less-affected side may enhance motor performance on that side but could be associated with lower perceived movement quality on the more-affected side. This highlights the complex role of the less-affected side in post-stroke function and suggests that rehabilitation strategies should consider AGF on both sides of the body.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晶格集成的 AES 框架，可在资源受限的边缘设备上提供超安全的生物识别保护</w:t>
      </w:r>
    </w:p>
    <w:p>
      <w:r>
        <w:rPr>
          <w:rFonts w:ascii="Times New Roman" w:hAnsi="Times New Roman" w:eastAsia="宋体"/>
          <w:b/>
          <w:color w:val="003264"/>
          <w:sz w:val="24"/>
        </w:rPr>
        <w:t>A lattice-integrated AES framework for ultra-secure biometric protection on resource-constrained edge devices</w:t>
      </w:r>
    </w:p>
    <w:p>
      <w:r>
        <w:rPr>
          <w:rFonts w:ascii="Times New Roman" w:hAnsi="Times New Roman" w:eastAsia="宋体"/>
          <w:sz w:val="21"/>
        </w:rPr>
        <w:t>作者: Aanjankumar Sureshkumar, M. Maragatharajan, Kaushik Jangiti, M. Karuppasamy, Kathiresan Jayabalan, Prakash Tukaram Raut, Nithya Rekha Sivakumar</w:t>
        <w:br/>
      </w:r>
      <w:r>
        <w:rPr>
          <w:rFonts w:ascii="Times New Roman" w:hAnsi="Times New Roman" w:eastAsia="宋体"/>
          <w:sz w:val="21"/>
        </w:rPr>
        <w:t xml:space="preserve">时间: 2026-02-04 | </w:t>
      </w:r>
      <w:r>
        <w:t xml:space="preserve">链接: </w:t>
      </w:r>
      <w:hyperlink r:id="rId34">
        <w:r>
          <w:rPr>
            <w:rFonts w:ascii="Times New Roman" w:hAnsi="Times New Roman" w:eastAsia="宋体"/>
            <w:color w:val="0000FF"/>
            <w:sz w:val="21"/>
            <w:u w:val="single"/>
          </w:rPr>
          <w:t>https://doi.org/10.1038/s41598-026-36054-8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在最近的技术进步中，手机和边缘设备等消费电子产品迅速扩张。尽管如此，与用户数据的机密性和完整性相关的关键安全问题仍然存在。超过 12 亿台消费设备正在使用，其用户数据各不相同。尽管如此，用户生物识别信息（例如指纹、语音和面部映射）的保密性仍然受到损害，导致消费者及其宝贵的储蓄遭受重大损失。为了克服这个问题，该研究引入了指纹模板保护框架，以确保用户生物识别信息在消费电子设备上的安全，防止用户数据被篡改。所提出的方法是轻量级的，可以在资源受限的设备上平稳运行，并能有效地提取特征并标准化用户指纹数据。该模型利用 AES-256 Galois 计数器模式 (GCM) 和面向 PIN 的密钥以及基于点阵的轻量级随机生成器来保护用户信息。与 RC5 (59.6%)、ElGamal (91.1%) 和 RSA (92.35%) 等其他最先进的方法相比，所提出的框架以最小的加密和解密周转时间实现了 98.69% 的假指纹检测准确率。实验结果表明，所提出的框架在安全性和数据可访问性方面均具有优越性。在消费电子产品中集成基于点阵的轻量级随机发生器可提高安全性并实现更可靠的设备应用程序。</w:t>
      </w:r>
    </w:p>
    <w:p>
      <w:pPr>
        <w:spacing w:before="120"/>
      </w:pPr>
      <w:r>
        <w:rPr>
          <w:rFonts w:ascii="Times New Roman" w:hAnsi="Times New Roman" w:eastAsia="宋体"/>
          <w:b/>
          <w:sz w:val="21"/>
        </w:rPr>
        <w:t>English Abstract:</w:t>
      </w:r>
    </w:p>
    <w:p>
      <w:r>
        <w:rPr>
          <w:rFonts w:ascii="Times New Roman" w:hAnsi="Times New Roman" w:eastAsia="宋体"/>
          <w:sz w:val="21"/>
        </w:rPr>
        <w:t>In recent technological advancements, consumer electronics such as mobile phones and edge devices have expanded rapidly. Still, critical security issues related to the confidentiality and integrity of user data is persistent. Over 1.2 billion consumer devices are in use, with varying user data. Still the secrecy of user biometric information, such as fingerprints, voice, and facial mapping is being compromised, leading to significant losses for consumers and their valuable savings. To overcome this, the study introduces a fingerprint-template protection framework to keep user biometric information safe on consumer electronic devices, preventing tampering with user data. The proposed methodology is lightweight and runs smoothly on resource-constrained devices, with an effective feature extraction and normalization of user fingerprint data. The model utilizes AES-256 Galois counter mode (GCM) with PIN oriented keys and a lightweight lattice-based randomness generator to secure user information. The proposed framework achieves a fake fingerprint detection accuracy of 98.69% with minimum turnaround for encryption and decryption, compared with other state-of-the-art methods such as RC5 (59.6%), ElGamal (91.1%), and RSA (92.35%). The experimental results show that the proposed framework is superior in both security and data accessibility. Integration of lightweight lattice-based randomness generators in consumer electronics improves security and enables more reliable on-device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多囊卵巢综合征女性与排卵对照女性的24小时动态血压及相关因素</w:t>
      </w:r>
    </w:p>
    <w:p>
      <w:r>
        <w:rPr>
          <w:rFonts w:ascii="Times New Roman" w:hAnsi="Times New Roman" w:eastAsia="宋体"/>
          <w:b/>
          <w:color w:val="003264"/>
          <w:sz w:val="24"/>
        </w:rPr>
        <w:t>24-hour ambulatory blood pressure and associated factors in women with polycystic ovary syndrome compared with ovulatory controls</w:t>
      </w:r>
    </w:p>
    <w:p>
      <w:r>
        <w:rPr>
          <w:rFonts w:ascii="Times New Roman" w:hAnsi="Times New Roman" w:eastAsia="宋体"/>
          <w:sz w:val="21"/>
        </w:rPr>
        <w:t>作者: Maria de Fátima Azevedo, Ana Kleyce Coreia Rocha, Livia Maria Bezerra de Melo, Luciana Medeiros Bezerra de Melo, Romena Leão Azevedo Catão, Eduardo Caldas Costa</w:t>
        <w:br/>
      </w:r>
      <w:r>
        <w:rPr>
          <w:rFonts w:ascii="Times New Roman" w:hAnsi="Times New Roman" w:eastAsia="宋体"/>
          <w:sz w:val="21"/>
        </w:rPr>
        <w:t xml:space="preserve">时间: 2026-02-04 | </w:t>
      </w:r>
      <w:r>
        <w:t xml:space="preserve">链接: </w:t>
      </w:r>
      <w:hyperlink r:id="rId35">
        <w:r>
          <w:rPr>
            <w:rFonts w:ascii="Times New Roman" w:hAnsi="Times New Roman" w:eastAsia="宋体"/>
            <w:color w:val="0000FF"/>
            <w:sz w:val="21"/>
            <w:u w:val="single"/>
          </w:rPr>
          <w:t>https://doi.org/10.1038/s41598-026-38731-0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比较多囊卵巢综合征 (PCOS) 女性与排卵对照女性之间的 24 小时动态血压 (ABP)，并探讨 PCOS 女性 ABP 的潜在人体测量、激素、代谢和炎症相关性。在这项横断面研究中，50 名患有 PCOS 的女性（按照鹿特丹标准诊断）和 50 名排卵对照者接受了办公室 24 小时 ABP 监测。评估临床、人体测量、激素、代谢和炎症参数。组间比较根据体重指数（BMI）进行调整。 LASSO 回归用于识别与 PCOS 组 ABP 独立相关的变量。与对照组相比，PCOS 女性的 24 小时和白天平均动脉压和心率显着升高，即使在调整 BMI 后也是如此 (p &lt; 0.05)。夜间 ABP 或诊室血压没有观察到差异 (p &gt; 0.05)。 PCOS 参与者表现出更不利的心脏代谢特征，包括较高的 BMI、腰围、胰岛素、糖化血红蛋白、甘油三酯、肌酐和 TNF-α，以及较低的雌二醇和黄体酮水平。在 LASSO 模型中，BMI 成为所有时期 ABP 唯一一致的独立预测因子。其他预测因子，如 HbA1c（夜间平均血压）、肌酐（日间舒张压）和腰围（日间收缩压）均保留在特定模型中，而大多数激素、代谢和炎症标志物与 PCOS 组的 ABP 无关。总之，与排卵对照相比，患有 PCOS 的女性表现出更高的 24 小时和白天 ABP，与 BMI 无关。根据 BMI 评估，肥胖似乎是该人群中与 ABP 相关的关键因素。这些发现强调了 24 小时 ABP 监测和体重管理在 PCOS 女性心血管风险评估和护理中的重要性。</w:t>
      </w:r>
    </w:p>
    <w:p>
      <w:pPr>
        <w:spacing w:before="120"/>
      </w:pPr>
      <w:r>
        <w:rPr>
          <w:rFonts w:ascii="Times New Roman" w:hAnsi="Times New Roman" w:eastAsia="宋体"/>
          <w:b/>
          <w:sz w:val="21"/>
        </w:rPr>
        <w:t>English Abstract:</w:t>
      </w:r>
    </w:p>
    <w:p>
      <w:r>
        <w:rPr>
          <w:rFonts w:ascii="Times New Roman" w:hAnsi="Times New Roman" w:eastAsia="宋体"/>
          <w:sz w:val="21"/>
        </w:rPr>
        <w:t>To compare 24-hour ambulatory blood pressure (ABP) between women with polycystic ovary syndrome (PCOS) and ovulatory controls, and to explore potential anthropometric, hormonal, metabolic, and inflammatory correlates of ABP in women with PCOS. In this cross-sectional study, 50 women with PCOS (diagnosed by Rotterdam criteria) and 50 ovulatory controls underwent office and 24-hour ABP monitoring. Clinical, anthropometric, hormonal, metabolic, and inflammatory parameters were assessed. Between-group comparisons were adjusted for body mass index (BMI). LASSO regression was used to identify variables independently associated with ABP in the PCOS group. Women with PCOS showed significantly higher 24-hour and daytime mean arterial pressure and heart rate compared to controls, even after adjustment for BMI (p &lt; 0.05). No differences were observed in nighttime ABP or office blood pressure (p &gt; 0.05). PCOS participants exhibited a more adverse cardiometabolic profile, including higher BMI, waist circumference, insulin, HbA1c, triglycerides, creatinine, and TNF-alfa, along with lower estradiol and progesterone levels. In LASSO models, BMI emerged as the only consistent independent predictor of ABP across all periods. Additional predictors, such as HbA1c (nighttime mean BP), creatinine (daytime diastolic BP), and waist circumference (daytime systolic BP), were retained in specific models, while most hormonal, metabolic, and inflammatory markers were not associated with ABP in the PCOS group. In summary, women with PCOS exhibit higher 24-hour and daytime ABP compared to ovulatory controls, independently of BMI. Adiposity, as assessed by BMI, appears to be a key factor associated with ABP in this population. These findings highlight the importance of 24-hour ABP monitoring and weight management in the cardiovascular risk assessment and care of women with PCOS.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尼日利亚 COVID-19 大流行对性健康和生殖健康的影响：一项信息流行病学调查</w:t>
      </w:r>
    </w:p>
    <w:p>
      <w:r>
        <w:rPr>
          <w:rFonts w:ascii="Times New Roman" w:hAnsi="Times New Roman" w:eastAsia="宋体"/>
          <w:b/>
          <w:color w:val="003264"/>
          <w:sz w:val="24"/>
        </w:rPr>
        <w:t>Sexual and reproductive health consequences of COVID-19 pandemic in Nigeria: an infodemiological survey</w:t>
      </w:r>
    </w:p>
    <w:p>
      <w:r>
        <w:rPr>
          <w:rFonts w:ascii="Times New Roman" w:hAnsi="Times New Roman" w:eastAsia="宋体"/>
          <w:sz w:val="21"/>
        </w:rPr>
        <w:t>作者: R. E. Akhigbe, M. A. Hamed, D. H. Adeyemi, T. M. Akhigbe</w:t>
        <w:br/>
      </w:r>
      <w:r>
        <w:rPr>
          <w:rFonts w:ascii="Times New Roman" w:hAnsi="Times New Roman" w:eastAsia="宋体"/>
          <w:sz w:val="21"/>
        </w:rPr>
        <w:t xml:space="preserve">时间: 2026-02-04 | </w:t>
      </w:r>
      <w:r>
        <w:t xml:space="preserve">链接: </w:t>
      </w:r>
      <w:hyperlink r:id="rId36">
        <w:r>
          <w:rPr>
            <w:rFonts w:ascii="Times New Roman" w:hAnsi="Times New Roman" w:eastAsia="宋体"/>
            <w:color w:val="0000FF"/>
            <w:sz w:val="21"/>
            <w:u w:val="single"/>
          </w:rPr>
          <w:t>https://doi.org/10.1038/s41598-026-38746-7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本研究分析了常见性和生殖健康状况（例如性、色情、强奸、避孕、堕胎、性传播感染、性传播感染、勃起功能障碍和 ED）的互联网搜索行为及其与 COVID-19 的关联。这项信息流行病学调查利用 Google Trends 分析了 2018 年 10 月 1 日至 2021 年 8 月 1 日期间尼日利亚选定的性健康和生殖健康状况的互联网搜索行为，分为新冠疫情前和 2020 年 3 月 1 日新冠疫情期间。提取的数据包括查询最多的州、人口最多的州、上升的查询和热门查询的搜索量指数 (SVI)。 Mann-Whitney U 检验用于比较新冠疫情前和新冠疫情期间的平均 SVI，而 Spearman 的排序相关性则用于使用 SPSS 统计包确定性健康和生殖健康指数与 COVID-19 之间的关联。 P 值 &lt; 0.05 被认为是显着的。与新冠疫情之前相比，新冠疫情期间，网上对“如何强奸”、“后遗症”、“什么是性病”、“性病的含义”、“什么是勃起功能障碍”和“勃起功能障碍治疗”等术语的兴趣有所增加。此外，与新冠疫情爆发前相比，大流行期间强奸、避孕、堕胎、性传播感染和 ED 的 SVI 有所减少。此外，色情的 SVI 有所增加，而性的 SVI 在大流行期间没有变化。 COVID 的 SVI 与色情呈正相关，但与强奸、避孕、堕胎、性传播感染和 ED 呈负相关。疫情期间，强奸意图、对紧急避孕药（如事后避孕）、性传播感染事件和性传播感染自我诊断、性传播感染事件以及性传播感染自我诊断和自我管理的需求有所增加。这些发现与色情消费的增加有关，如色情 SVI 的增加所示。 COVID-19 大流行极大地影响了尼日利亚与性和生殖健康相关的互联网搜索行为，这表现在人们对某些健康查询的兴趣增加，例如与性暴力、紧急避孕和勃起功能障碍相关的查询，同时色情内容搜索也有所增加。相比之下，与避孕、堕胎和性传播感染 (STI) 相关的术语的搜索兴趣有所下降。这些模式表明，在大流行期间，性健康话题的在线参与度增加与态度或行为的改变之间存在着复杂的相互作用。研究结果可以通过强调新兴趋势以及在 COVID-19 期间和之后不断变化的性健康和生殖健康问题的背景下对有针对性的健康教育和服务的需求，为公共卫生举措提供信息。</w:t>
      </w:r>
    </w:p>
    <w:p>
      <w:pPr>
        <w:spacing w:before="120"/>
      </w:pPr>
      <w:r>
        <w:rPr>
          <w:rFonts w:ascii="Times New Roman" w:hAnsi="Times New Roman" w:eastAsia="宋体"/>
          <w:b/>
          <w:sz w:val="21"/>
        </w:rPr>
        <w:t>English Abstract:</w:t>
      </w:r>
    </w:p>
    <w:p>
      <w:r>
        <w:rPr>
          <w:rFonts w:ascii="Times New Roman" w:hAnsi="Times New Roman" w:eastAsia="宋体"/>
          <w:sz w:val="21"/>
        </w:rPr>
        <w:t>The present study analyzed the internet search behavior of common sexual and reproductive health conditions (such as sex, porn, rape, contraceptive, abortion, sexually transmitted infections, STI, erectile dysfunction, and ED) and their associations with COVID-19. This infodemiological survey employed Google Trends to analyze the internet search behavior of selected sexual and reproductive health conditions in Nigeria from October 1, 2018, to August 1, 2021, which was divided into the pre-COVID and COVID periods on March 1, 2020. The extracted data included search volume index (SVIs) for the top queried state, most populated state, rising queries, and top queries. Mann-Whitney U test was used to compare the mean SVIs for the pre-COVID and COVID periods, while Spearman’s rank-order correlation was conducted to determine the association between the sexual and reproductive health indices and COVID-19 using the SPSS statistical package. P-values &lt; 0.05 were considered significant. The online interest in terms such as “how to rape”, “postinor”, “what is sti”, “meaning of sti”, “what is erectile dysfunction”, and “erectile dysfunction treatment” increased during the COVID pandemic compared to the pre-COVID period. Also, the SVIs for rape, contraceptive, abortion, STI, and ED reduced during the pandemic compared to the pre-COVID period. In addition, the SVI for porn increased, while that for sex was unaltered during the pandemic. SVI for COVID was positively correlated with porn but negatively correlated with rape, contraceptive, abortion, STI, and ED. The intent of rape, the need for an emergency contraceptive such as postinor, incident STI and self-diagnosis of STI, and incident ED and self-diagnosis and self-management of STI increased during the pandemic. These findings are associated with increased porn consumption as depicted by a rise in porn SVI. The COVID-19 pandemic considerably influenced internet search behavior related to sexual and reproductive health in Nigeria as shown by an increased interest in certain health queries, such as those related to sexual violence, emergency contraception, and erectile dysfunction, alongside a rise in pornographic content searches. In contrast, there was a decrease in search interest for terms related to contraception, abortion, and sexually transmitted infections (STIs). These patterns suggest a complex interplay between increased online engagement with sexual health topics and altered attitudes or behaviors during the pandemic. The findings could inform public health initiatives by highlighting emerging trends and the need for targeted health education and services in the context of evolving sexual and reproductive health concerns during and post-COVID-19.</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结肠内吞细胞镜染色质量的新型评分量表的开发和验证</w:t>
      </w:r>
    </w:p>
    <w:p>
      <w:r>
        <w:rPr>
          <w:rFonts w:ascii="Times New Roman" w:hAnsi="Times New Roman" w:eastAsia="宋体"/>
          <w:b/>
          <w:color w:val="003264"/>
          <w:sz w:val="24"/>
        </w:rPr>
        <w:t>Development and validation of a novel scoring scale for colonic endocytoscopy staining quality</w:t>
      </w:r>
    </w:p>
    <w:p>
      <w:r>
        <w:rPr>
          <w:rFonts w:ascii="Times New Roman" w:hAnsi="Times New Roman" w:eastAsia="宋体"/>
          <w:sz w:val="21"/>
        </w:rPr>
        <w:t>作者: Jiawei Fan, He Zhu, Mingqing Liu, Fengming Ni, Dong Yang, Guohua Jin, Ke Tao, Hong Xu</w:t>
        <w:br/>
      </w:r>
      <w:r>
        <w:rPr>
          <w:rFonts w:ascii="Times New Roman" w:hAnsi="Times New Roman" w:eastAsia="宋体"/>
          <w:sz w:val="21"/>
        </w:rPr>
        <w:t xml:space="preserve">时间: 2026-02-04 | </w:t>
      </w:r>
      <w:r>
        <w:t xml:space="preserve">链接: </w:t>
      </w:r>
      <w:hyperlink r:id="rId37">
        <w:r>
          <w:rPr>
            <w:rFonts w:ascii="Times New Roman" w:hAnsi="Times New Roman" w:eastAsia="宋体"/>
            <w:color w:val="0000FF"/>
            <w:sz w:val="21"/>
            <w:u w:val="single"/>
          </w:rPr>
          <w:t>https://doi.org/10.1038/s41598-026-37406-0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摘要背景 虽然内吞镜允许进行体内细胞水平观察，但实现高质量染色仍然是一个技术挑战。目的 开发并验证一种简单、可靠的量表，用于评估和提高内吞细胞镜染色质量。方法 我们制定了四维染色质量评分，并在回顾性图像队列 (n = 2692) 上对其进行了验证。评估了量表的信度、效度和内部一致性，并使用多项回归确定了相关因素。然后，该量表在单独的回顾性图像队列 (n = 2413) 中进行了外部验证，以确认其临床适用性。结果该量表显示出评定者间一致性（ICC = 0.992）和可靠性（Cronbach's alpha = 0.81），单个主因素解释了 62.3% 的方差。金标准得分与 AOD 值之间的 Spearman 相关性为 0.81。染色质量受病变特征和医生经验的影响（P &lt; 0.05）。经过一个月的培训，初级医生与金标准分数的一致性有所提高，Kappa 值从 0.61、0.66 和 0.69 上升到 0.81、0.83 和 0.82。较高的染色质量也与细胞镜成像和组织病理学之间更好的一致性显着相关（P &lt; 0.001）。结论 该内吞细胞镜染色质量评分是指导技术改进和提高诊断准确性的可靠有效的工具。</w:t>
      </w:r>
    </w:p>
    <w:p>
      <w:pPr>
        <w:spacing w:before="120"/>
      </w:pPr>
      <w:r>
        <w:rPr>
          <w:rFonts w:ascii="Times New Roman" w:hAnsi="Times New Roman" w:eastAsia="宋体"/>
          <w:b/>
          <w:sz w:val="21"/>
        </w:rPr>
        <w:t>English Abstract:</w:t>
      </w:r>
    </w:p>
    <w:p>
      <w:r>
        <w:rPr>
          <w:rFonts w:ascii="Times New Roman" w:hAnsi="Times New Roman" w:eastAsia="宋体"/>
          <w:sz w:val="21"/>
        </w:rPr>
        <w:t>Abstract Background While endocytoscopy allows for in vivo cellular-level observation, achieving high-quality staining remains a technical challenge. Aims To develop and validate a simple, reliable scale for assessing and improving endocytoscopic staining quality. Methods We developed a four-dimension staining quality score and validated it on a retrospective image cohort (n = 2692). The scale’s reliability, validity, and internal consistency were assessed, and associated factors were identified using multinomial regression. The scale was then externally validated in a separate retrospective image cohort (n = 2413) to confirm its clinical applicability. Results The scale showed inter-rater agreement (ICC = 0.992) and reliability (Cronbach’s alpha = 0.81), with a single principal factor explaining 62.3% of variance.The Spearman correlation between the gold standard score and AOD value was 0.81. Staining quality was influenced by lesion characteristics and physician experience (P &lt; 0.05). After one month of training, junior physicians showed improved agreement with gold standard scores, with Kappa values rising from 0.61, 0.66, and 0.69 to 0.81, 0.83, and 0.82. Higher staining quality was also significantly associated with better concordance between Endocytoscopy imaging and histopathology (P &lt; 0.001). Conclusion This endocytoscopic staining quality score is a reliable and valid tool to guide technique refinement and improve diagnostic accuracy.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5XFAD 小鼠中参考基因随年龄和性别的变化凸显了阿尔茨海默氏症模型正常化的挑战</w:t>
      </w:r>
    </w:p>
    <w:p>
      <w:r>
        <w:rPr>
          <w:rFonts w:ascii="Times New Roman" w:hAnsi="Times New Roman" w:eastAsia="宋体"/>
          <w:b/>
          <w:color w:val="003264"/>
          <w:sz w:val="24"/>
        </w:rPr>
        <w:t>Reference gene variability across age and sex in 5XFAD mice highlights normalization challenges in Alzheimer’s models</w:t>
      </w:r>
    </w:p>
    <w:p>
      <w:r>
        <w:rPr>
          <w:rFonts w:ascii="Times New Roman" w:hAnsi="Times New Roman" w:eastAsia="宋体"/>
          <w:sz w:val="21"/>
        </w:rPr>
        <w:t>作者: Eleonora Daini, Kristy Antonioni, Monica Piemontese, Martina Bodria, Michele Zoli, Antonietta Vilella</w:t>
        <w:br/>
      </w:r>
      <w:r>
        <w:rPr>
          <w:rFonts w:ascii="Times New Roman" w:hAnsi="Times New Roman" w:eastAsia="宋体"/>
          <w:sz w:val="21"/>
        </w:rPr>
        <w:t xml:space="preserve">时间: 2026-02-04 | </w:t>
      </w:r>
      <w:r>
        <w:t xml:space="preserve">链接: </w:t>
      </w:r>
      <w:hyperlink r:id="rId38">
        <w:r>
          <w:rPr>
            <w:rFonts w:ascii="Times New Roman" w:hAnsi="Times New Roman" w:eastAsia="宋体"/>
            <w:color w:val="0000FF"/>
            <w:sz w:val="21"/>
            <w:u w:val="single"/>
          </w:rPr>
          <w:t>https://doi.org/10.1038/s41598-026-38346-5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阿尔茨海默病 (AD) 等神经退行性疾病的基因表达谱通常使用实时定量聚合酶链反应 (RT-qPCR) 进行。该技术的准确性在很大程度上依赖于选择合适的参考基因（RG）进行标准化和内部控制。理想情况下，RG 应保持一致的转录水平，不受细胞或病理变化的影响。然而，识别稳定的 RG 具有挑战性，特别是在 AD 等疾病中，基因表达在不同疾病阶段会发生波动。本研究旨在确定雄性和雌性 5XFAD 小鼠（家族性 AD 模型）的两个大脑区域 - 皮质 (CTX) 和海马 (HIPP) 中最稳定的 RG。使用 GeNorm、NormFinder、BestKeeper 和 EndoGene 算法评估了五种常用 RG（即 Gapdh、Ppia、Rer1、Rpl27 和 Rps29）在三个 AD 阶段的稳定性：前驱期（2 个月龄）、早期（4 个月）和晚期（7 个月和 10 个月）。结果揭示了 RG 表达稳定性的区域、性别和时间依赖性差异，反映了 CTX 和 HIPP 对 Aβ 病理学的明显脆弱性。使用两个最稳定的 RG 进行标准化可以提高靶基因表达分析的精度、减少变异性并提高显着性水平。这些发现强调了在特定实验条件下验证 RG 的必要性，以确保 AD 研究中可靠的 RT-qPCR 定量。</w:t>
      </w:r>
    </w:p>
    <w:p>
      <w:pPr>
        <w:spacing w:before="120"/>
      </w:pPr>
      <w:r>
        <w:rPr>
          <w:rFonts w:ascii="Times New Roman" w:hAnsi="Times New Roman" w:eastAsia="宋体"/>
          <w:b/>
          <w:sz w:val="21"/>
        </w:rPr>
        <w:t>English Abstract:</w:t>
      </w:r>
    </w:p>
    <w:p>
      <w:r>
        <w:rPr>
          <w:rFonts w:ascii="Times New Roman" w:hAnsi="Times New Roman" w:eastAsia="宋体"/>
          <w:sz w:val="21"/>
        </w:rPr>
        <w:t>Gene expression profiling in neurodegenerative diseases such as Alzheimer’s Disease (AD) is frequently performed using real-time quantitative polymerase chain reaction (RT-qPCR). The accuracy of this technique relies heavily on selecting suitable reference genes (RGs) for normalization and internal control. Ideally, RGs should maintain consistent transcription levels, unaffected by cellular or pathological changes. However, identifying stable RGs is challenging, particularly in diseases like AD, where gene expression fluctuates across disease stages. This study aimed to determine the most stable RGs in two brain regions - cortex (CTX) and hippocampus (HIPP) - of male and female 5XFAD mice, a model of familial AD. The stability of five commonly used RGs namely Gapdh, Ppia, Rer1, Rpl27 and Rps29, was evaluated using GeNorm, NormFinder, BestKeeper, and EndoGene algorithms across three AD stages: prodromal (2 months of age, mo), early (4 mo), and late (7 and 10 mo). Results revealed region-, sex-, and time-dependent differences in RG expression stability, reflecting the distinct vulnerability of CTX and HIPP to Aβ pathology. Using the two most stable RGs for normalization improved precision, reducing variability and increasing the significance level in target gene expression analyses. These findings emphasize the necessity of validating RGs under specific experimental conditions to ensure reliable RT-qPCR quantification in AD research.</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火山灰介导的锰循环塑造珊瑚对沿海沉积的反应</w:t>
      </w:r>
    </w:p>
    <w:p>
      <w:r>
        <w:rPr>
          <w:rFonts w:ascii="Times New Roman" w:hAnsi="Times New Roman" w:eastAsia="宋体"/>
          <w:b/>
          <w:color w:val="003264"/>
          <w:sz w:val="24"/>
        </w:rPr>
        <w:t>Tephra-mediated manganese cycling shapes coral responses to coastal sedimentation</w:t>
      </w:r>
    </w:p>
    <w:p>
      <w:r>
        <w:rPr>
          <w:rFonts w:ascii="Times New Roman" w:hAnsi="Times New Roman" w:eastAsia="宋体"/>
          <w:sz w:val="21"/>
        </w:rPr>
        <w:t>作者: Frank Förster, Christine Ferrier-Pagès, Allan Fries, Erouscilla Joseph, Tom E. Sheldrake</w:t>
        <w:br/>
      </w:r>
      <w:r>
        <w:rPr>
          <w:rFonts w:ascii="Times New Roman" w:hAnsi="Times New Roman" w:eastAsia="宋体"/>
          <w:sz w:val="21"/>
        </w:rPr>
        <w:t xml:space="preserve">时间: 2026-02-04 | </w:t>
      </w:r>
      <w:r>
        <w:t xml:space="preserve">链接: </w:t>
      </w:r>
      <w:hyperlink r:id="rId39">
        <w:r>
          <w:rPr>
            <w:rFonts w:ascii="Times New Roman" w:hAnsi="Times New Roman" w:eastAsia="宋体"/>
            <w:color w:val="0000FF"/>
            <w:sz w:val="21"/>
            <w:u w:val="single"/>
          </w:rPr>
          <w:t>https://doi.org/10.1038/s41598-026-38388-9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来自热带火山岛的陆地径流通过增加浑浊度和沉积作用影响珊瑚礁。在火山爆发期间，大量碎裂的火山岩（火山灰）沉积下来，长期加剧沉积物径流。然而，火山灰是必需微量金属锰 (Mn) 的重要来源，但被低估了，锰可促进珊瑚的光合作用。在这里，我们表明从原始和重新流动的火山灰中浸出的锰可以提高对沉积应力的恢复能力。通过珊瑚培养实验，暴露于四种火山灰样本的 Stylophora pistillata 小菌落均表现出光合效率（ΦPSII、rETR、Pn 和 Pgross）快速且持续的增加，即使在光照条件较差的情况下也是如此。光合效率与海水锰浓度呈对数相关，在值 &lt; 3 µg Mn L− 1 时大幅增加，而在值 &gt; 10 µg Mn L− 1 时变化可忽略不计。 接触火山灰在沿海锰循环中发挥着至关重要的作用，并可能对环境干扰后应激的珊瑚有益。</w:t>
      </w:r>
    </w:p>
    <w:p>
      <w:pPr>
        <w:spacing w:before="120"/>
      </w:pPr>
      <w:r>
        <w:rPr>
          <w:rFonts w:ascii="Times New Roman" w:hAnsi="Times New Roman" w:eastAsia="宋体"/>
          <w:b/>
          <w:sz w:val="21"/>
        </w:rPr>
        <w:t>English Abstract:</w:t>
      </w:r>
    </w:p>
    <w:p>
      <w:r>
        <w:rPr>
          <w:rFonts w:ascii="Times New Roman" w:hAnsi="Times New Roman" w:eastAsia="宋体"/>
          <w:sz w:val="21"/>
        </w:rPr>
        <w:t>Terrestrial runoff from tropical volcanic islands impacts coral reefs by increasing turbidity and sedimentation. During explosive volcanic eruptions, large amounts of fragmented volcanogenic rock (tephra) are deposited, exacerbating sediment runoff for long periods of time. Nevertheless, tephra is an important, yet underestimated, source of the essential trace metal manganese (Mn), which promotes coral photosynthesis. Here, we show Mn leached from pristine and remobilised tephra increases resilience to sedimentation stress. Using coral culture experiments, microcolonies of Stylophora pistillata exposed to four tephra samples all showed rapid and sustained increases in photosynthetic efficiency (ΦPSII, rETR, Pn and Pgross), even under reduced light conditions. Photosynthetic efficiency is logarithmically correlated to seawater Mn concentration, with large increases at values &lt; 3 µg Mn L− 1, and negligible changes at values &gt; 10 µg Mn L− 1. Tephra exposure has a crucial role in coastal Mn cycling and potentially benefits stressed corals following environmental disturbances.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发达地区传统村落空间格局及影响因素——以浙江省为例</w:t>
      </w:r>
    </w:p>
    <w:p>
      <w:r>
        <w:rPr>
          <w:rFonts w:ascii="Times New Roman" w:hAnsi="Times New Roman" w:eastAsia="宋体"/>
          <w:b/>
          <w:color w:val="003264"/>
          <w:sz w:val="24"/>
        </w:rPr>
        <w:t>Spatial patterns and influencing factors of traditional villages in developed regions: a case study of Zhejiang Province, China</w:t>
      </w:r>
    </w:p>
    <w:p>
      <w:r>
        <w:rPr>
          <w:rFonts w:ascii="Times New Roman" w:hAnsi="Times New Roman" w:eastAsia="宋体"/>
          <w:sz w:val="21"/>
        </w:rPr>
        <w:t>作者: Ding Chuanbiao, He Yuzhe, Wang Jiacheng, Zheng Yiyi, Wang Zhengzheng, Bai Congxia, Yan Dan</w:t>
        <w:br/>
      </w:r>
      <w:r>
        <w:rPr>
          <w:rFonts w:ascii="Times New Roman" w:hAnsi="Times New Roman" w:eastAsia="宋体"/>
          <w:sz w:val="21"/>
        </w:rPr>
        <w:t xml:space="preserve">时间: 2026-02-04 | </w:t>
      </w:r>
      <w:r>
        <w:t xml:space="preserve">链接: </w:t>
      </w:r>
      <w:hyperlink r:id="rId40">
        <w:r>
          <w:rPr>
            <w:rFonts w:ascii="Times New Roman" w:hAnsi="Times New Roman" w:eastAsia="宋体"/>
            <w:color w:val="0000FF"/>
            <w:sz w:val="21"/>
            <w:u w:val="single"/>
          </w:rPr>
          <w:t>https://doi.org/10.1038/s41598-026-38128-z</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传统村落在乡村发展中发挥着重要作用，推动了我国乡村振兴、民族文化复兴。本研究以浙江省701个民族传统村落为研究对象，利用最近邻指数和核密度分析方法分析其空间分布。利用地理探测器定量识别影响空间分布的因素及其相互作用效应。研究结果表明：（1）浙江省传统村落呈现出独特的“两核多点”空间集聚特征，民族分化明显。少数民族村寨主要分布在浙西南山区。 （2）海拔、人均可支配收入、社会固定资产投资、人均GDP是驱动该地区传统村落空间分异的关键因素。 (3)交叉检测揭示了浙江省传统村落的空间分布是在自然、经济和社会因素的共同影响下演变的。这种演变涵盖了以自然环境位置和随后社会经济发展中的保护为特征的时期。该研究量化了自然和经济因素对中国发达省份传统村落分布和保护的影响，确定了居民收入和社会固定资产投资对其保留模式的影响。</w:t>
      </w:r>
    </w:p>
    <w:p>
      <w:pPr>
        <w:spacing w:before="120"/>
      </w:pPr>
      <w:r>
        <w:rPr>
          <w:rFonts w:ascii="Times New Roman" w:hAnsi="Times New Roman" w:eastAsia="宋体"/>
          <w:b/>
          <w:sz w:val="21"/>
        </w:rPr>
        <w:t>English Abstract:</w:t>
      </w:r>
    </w:p>
    <w:p>
      <w:r>
        <w:rPr>
          <w:rFonts w:ascii="Times New Roman" w:hAnsi="Times New Roman" w:eastAsia="宋体"/>
          <w:sz w:val="21"/>
        </w:rPr>
        <w:t>Traditional villages play a vital role in rural development by promoting the revitalization of China’s rural areas and the rejuvenation of national culture. This study examines 701 national traditional villages in Zhejiang Province, analyzing their spatial distribution using the nearest neighbor index, and kernel density analysis. Geographic detectors were employed to quantitatively identify the factors influencing spatial distribution and their interaction effects. Findings indicate: (1) Traditional villages in Zhejiang Province display unique spatial agglomeration characteristics described as “two cores and multiple points,” accompanied by notable ethnic differentiation. Predominantly, minority villages are situated in the mountainous regions of southwestern Zhejiang. (2) Elevation, per capita disposable income, social fixed asset investment, per capita GDP, are key factors driving the spatial differentiation of traditional villages in the region. (3) Cross detection reveals that the spatial distribution of traditional villages in Zhejiang Province has evolved through the combined influence of natural, economic, and social factors. This evolution encompasses periods characterized by natural environmental location and subsequent preservation amid socio-economic development. The study quantifies the impact of natural and economic factors on the distribution and preservation of traditional villages in China’s developed provinces, identifying the influence of residential income and social fixed asset investment on their retention patterns.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自动驾驶车辆中具有照明适应的多模式道路感知</w:t>
      </w:r>
    </w:p>
    <w:p>
      <w:r>
        <w:rPr>
          <w:rFonts w:ascii="Times New Roman" w:hAnsi="Times New Roman" w:eastAsia="宋体"/>
          <w:b/>
          <w:color w:val="003264"/>
          <w:sz w:val="24"/>
        </w:rPr>
        <w:t>Multimodal road perception with illumination adaptation in autonomous vehicles</w:t>
      </w:r>
    </w:p>
    <w:p>
      <w:r>
        <w:rPr>
          <w:rFonts w:ascii="Times New Roman" w:hAnsi="Times New Roman" w:eastAsia="宋体"/>
          <w:sz w:val="21"/>
        </w:rPr>
        <w:t>作者: Jinri Wei, Yi Mo, Caiyu Su, Xueping Li</w:t>
        <w:br/>
      </w:r>
      <w:r>
        <w:rPr>
          <w:rFonts w:ascii="Times New Roman" w:hAnsi="Times New Roman" w:eastAsia="宋体"/>
          <w:sz w:val="21"/>
        </w:rPr>
        <w:t xml:space="preserve">时间: 2026-02-04 | </w:t>
      </w:r>
      <w:r>
        <w:t xml:space="preserve">链接: </w:t>
      </w:r>
      <w:hyperlink r:id="rId41">
        <w:r>
          <w:rPr>
            <w:rFonts w:ascii="Times New Roman" w:hAnsi="Times New Roman" w:eastAsia="宋体"/>
            <w:color w:val="0000FF"/>
            <w:sz w:val="21"/>
            <w:u w:val="single"/>
          </w:rPr>
          <w:t>https://doi.org/10.1038/s41598-025-31173-0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自动驾驶技术的发展正在重塑交通方式。然而，雨、雾、夜间等弱光条件下感知能力的显着下降仍然是限制其广泛应用的关键瓶颈。本文提出了 SafeDrive-Fusion，这是一种新型的光照自适应多模态感知框架，引入动态跨模态注意力融合和安全关键区域优先级，以实现自动驾驶中稳健的道路通行性评估。与现有的静态融合方法不同，该框架通过创新的照明自适应加权机制解决了昏暗环境中感知能力显着降低的问题，该机制动态集成视觉和雷达信息，同时优先考虑安全关键的道路区域。实验结果表明，即使在极弱光条件下，SafeDrive-Fusion也能保持87.5%的准确率，性能下降仅为6.1%，远远优于现有方法16.6%-34.8%的下降范围。特别是在安全关键的“危险情况”识别中，该系统的 F1 得分为 0.82，比基线方法高出 0.40。通过其光照自适应模态权重动态调整机制，系统可以根据环境条件自动调整其对不同模态的依赖性。随着照度从正常降低到极低，雷达模态权重从 25% 增加到 62%。同时，SafeDrive-Fusion具有45ms的低计算延迟，满足自动驾驶的实时要求。</w:t>
      </w:r>
    </w:p>
    <w:p>
      <w:pPr>
        <w:spacing w:before="120"/>
      </w:pPr>
      <w:r>
        <w:rPr>
          <w:rFonts w:ascii="Times New Roman" w:hAnsi="Times New Roman" w:eastAsia="宋体"/>
          <w:b/>
          <w:sz w:val="21"/>
        </w:rPr>
        <w:t>English Abstract:</w:t>
      </w:r>
    </w:p>
    <w:p>
      <w:r>
        <w:rPr>
          <w:rFonts w:ascii="Times New Roman" w:hAnsi="Times New Roman" w:eastAsia="宋体"/>
          <w:sz w:val="21"/>
        </w:rPr>
        <w:t>The development of autonomous driving technology is reshaping transportation methods. However, the significant decline in perception capabilities under low-light conditions such as rain, fog, and nighttime remains a key bottleneck restricting its widespread application. This paper proposes SafeDrive-Fusion, a novel illumination-adaptive multimodal perception framework that introduces dynamic cross-modal attention fusion and safety-critical region prioritization for robust road passability assessment in autonomous driving. Unlike existing static fusion approaches, this framework addresses the problem of significantly reduced perception capabilities in dim environments through an innovative illumination-adaptive weighting mechanism that dynamically integrates visual and radar information while prioritizing safety-critical road regions. Experimental results show that SafeDrive-Fusion maintains 87.5% accuracy even under extremely low-light conditions, with a performance degradation of only 6.1%, far superior to existing methods’ degradation range of 16.6%-34.8%. Particularly in safety-critical “hazardous situation” recognition, the system achieves an F1 score of 0.82, which is 0.40 higher than baseline methods. Through its illumination-adaptive modal weight dynamic adjustment mechanism, the system can automatically adjust its dependence on different modalities according to environmental conditions. As illumination decreases from normal to extremely low, the radar modality weight increases from 25% to 62%. Meanwhile, SafeDrive-Fusion features a low computational latency of 45ms, meeting the real-time requirements of autonomous driving.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通过智能优化和进化算法为随机性测试人员生成边界测试样本</w:t>
      </w:r>
    </w:p>
    <w:p>
      <w:r>
        <w:rPr>
          <w:rFonts w:ascii="Times New Roman" w:hAnsi="Times New Roman" w:eastAsia="宋体"/>
          <w:b/>
          <w:color w:val="003264"/>
          <w:sz w:val="24"/>
        </w:rPr>
        <w:t>Generating borderline test samples for randomness testers via intelligent optimization and evolutionary algorithms</w:t>
      </w:r>
    </w:p>
    <w:p>
      <w:r>
        <w:rPr>
          <w:rFonts w:ascii="Times New Roman" w:hAnsi="Times New Roman" w:eastAsia="宋体"/>
          <w:sz w:val="21"/>
        </w:rPr>
        <w:t>作者: Peng Gao, Bin Zhang, Ziyuan Wang, Chenglong Li</w:t>
        <w:br/>
      </w:r>
      <w:r>
        <w:rPr>
          <w:rFonts w:ascii="Times New Roman" w:hAnsi="Times New Roman" w:eastAsia="宋体"/>
          <w:sz w:val="21"/>
        </w:rPr>
        <w:t xml:space="preserve">时间: 2026-02-04 | </w:t>
      </w:r>
      <w:r>
        <w:t xml:space="preserve">链接: </w:t>
      </w:r>
      <w:hyperlink r:id="rId42">
        <w:r>
          <w:rPr>
            <w:rFonts w:ascii="Times New Roman" w:hAnsi="Times New Roman" w:eastAsia="宋体"/>
            <w:color w:val="0000FF"/>
            <w:sz w:val="21"/>
            <w:u w:val="single"/>
          </w:rPr>
          <w:t>https://doi.org/10.1038/s41598-026-38020-w</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确保信息安全在很大程度上依赖于加密密钥的高质量随机序列。物理熵源尽管用于生成真正的随机序列，但很容易受到环境干扰，因此需要实时随机性测试来维持高熵。然而，现有的为实时随机性测试仪生成测试数据的方法面临着重大挑战，包括生成无法满足特定随机性标准的序列、构造具有轻微非随机性的边界序列以及解决同时违反多个随机性标准的困难。本文介绍了一个旨在解决这些挑战的动态测试数据生成框架。该框架利用进化算法（EA）将边界序列的生成转化为多约束优化问题，其中大型语言模型（LLM）充当动态参数调节器。通过分析人口统计中的进化趋势，并通过博弈论机制与进化动力学相互作用，法学硕士可以自适应地调整比例因子和权重系数，减轻多目标优化中的维数灾难，并实现实时参数调整。实验结果还强调了生成序列的高质量：我们的方法可以生成稍微无法满足目标随机性标准的边缘测试数据，但表现出与标准测试套件下的高熵源非常相似的统计特性。这些边界序列是可检测错误的，并为基于经典统计测试的实时随机性测试仪提供具有挑战性的、真实的测试输入。</w:t>
      </w:r>
    </w:p>
    <w:p>
      <w:pPr>
        <w:spacing w:before="120"/>
      </w:pPr>
      <w:r>
        <w:rPr>
          <w:rFonts w:ascii="Times New Roman" w:hAnsi="Times New Roman" w:eastAsia="宋体"/>
          <w:b/>
          <w:sz w:val="21"/>
        </w:rPr>
        <w:t>English Abstract:</w:t>
      </w:r>
    </w:p>
    <w:p>
      <w:r>
        <w:rPr>
          <w:rFonts w:ascii="Times New Roman" w:hAnsi="Times New Roman" w:eastAsia="宋体"/>
          <w:sz w:val="21"/>
        </w:rPr>
        <w:t>Abstract Ensuring information security heavily relies on high-quality random sequences for encryption keys. Physical entropy sources, despite their use in generating true random sequences, are susceptible to environmental disturbances, necessitating real-time randomness testing to maintain high entropy. However, existing methods for generating test data for real-time randomness testers face significant challenges, including producing sequences that fail to meet specific randomness criteria, constructing borderline sequences with slight non-randomness, and addressing the difficulty of simultaneously violating multiple randomness criteria. This paper introduces a dynamic test data generation framework designed to address these challenges. The framework leverages evolutionary algorithm (EA) to transform the generation of borderline sequences into a multi-constrained optimization problem, where a large language model (LLM) acts as a dynamic parameter adjuster. By analyzing evolutionary trends in population statistics and interacting with evolutionary dynamics through a game-theoretic mechanism, the LLM adaptively adjusts scaling factors and weight coefficients, mitigating the curse of dimensionality in multi-objective optimization and enabling real-time parameter tuning. The experimental results also highlight the high quality of the generated sequences: our approach can generate borderline test data that slightly fail to satisfy the target randomness criteria, yet exhibit statistical properties very similar to those of high-entropy sources under standard test suites. These borderline sequences are fault-detectable and provide challenging, realistic test inputs for classical statistical-test-based real-time randomness testers.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通过多模式脑电图和心电图融合改善认知压力分类：生理反应的性别差异</w:t>
      </w:r>
    </w:p>
    <w:p>
      <w:r>
        <w:rPr>
          <w:rFonts w:ascii="Times New Roman" w:hAnsi="Times New Roman" w:eastAsia="宋体"/>
          <w:b/>
          <w:color w:val="003264"/>
          <w:sz w:val="24"/>
        </w:rPr>
        <w:t>Improving cognitive stress classification via multimodal EEG and ECG fusion: gender differences in physiological response</w:t>
      </w:r>
    </w:p>
    <w:p>
      <w:r>
        <w:rPr>
          <w:rFonts w:ascii="Times New Roman" w:hAnsi="Times New Roman" w:eastAsia="宋体"/>
          <w:sz w:val="21"/>
        </w:rPr>
        <w:t>作者: Abdus Salam, Fakhre Alam, Dilawar Shah, Sami Ur Rahman, Shujaat Ali, Muhammad Tahir</w:t>
        <w:br/>
      </w:r>
      <w:r>
        <w:rPr>
          <w:rFonts w:ascii="Times New Roman" w:hAnsi="Times New Roman" w:eastAsia="宋体"/>
          <w:sz w:val="21"/>
        </w:rPr>
        <w:t xml:space="preserve">时间: 2026-02-04 | </w:t>
      </w:r>
      <w:r>
        <w:t xml:space="preserve">链接: </w:t>
      </w:r>
      <w:hyperlink r:id="rId43">
        <w:r>
          <w:rPr>
            <w:rFonts w:ascii="Times New Roman" w:hAnsi="Times New Roman" w:eastAsia="宋体"/>
            <w:color w:val="0000FF"/>
            <w:sz w:val="21"/>
            <w:u w:val="single"/>
          </w:rPr>
          <w:t>https://doi.org/10.1038/s41598-026-38356-3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本文中，我们提出了一种集成脑电图（EEG）和心电图（ECG）特征的多模式机器学习系统，以区分认知压力水平并分析性别差异。特别是，我们评估了特征融合如何提高分类准确性，并且还比较了男性和女性受试者认知压力的生理迹象。使用公开的数据集，即不同性别的心理负荷和多级压力分类的心电图和脑电图特征。在 EEG 信号和 ECG 信号中确定了三个基本生理特征（Theta/Alpha 比率 (TAR)、心率 (HR) 和 LF/HF 比率）。这些特征的辨别能力通过统计测试（例如 Shapiro-Wilk 和 Kruskal-Wallis 测试）得到了证实。使用主成分分析（PCA）进行降维。进行特征融合，其中引入脑电图和心电图信号并对齐以形成分类的完整输入。在二元和多类认知压力任务上测试了六种机器学习 (ML) 分类模型，即决策树 (DT)、K 最近邻 (KNN)、线性判别 (LD)、朴素贝叶斯 (NB)、随机森林 (RF) 和支持向量机 (SVM)。就整体性能而言，SVM取得了最好的结果，在认知压力的组合性别分类中达到了94.7%的准确率。对于特定性别分类，LD 得分最高（90.9%）。多模态 SVM 表现出优于单模态 EEG/ECG 模型的优越性，达到 92.6% 的峰值平均准确度。由于基于性别的分析，女性在分类上得分更高，这意味着认知压力期间与性别相关的生理模式存在差异。结果表明，生理特征的多模态融合可以改善认知压力分类。基于性别的分析的建议强调了认知监测系统在个人层面的可能性。这在教育、人体工程学和人机交互方面具有潜在的应用。</w:t>
      </w:r>
    </w:p>
    <w:p>
      <w:pPr>
        <w:spacing w:before="120"/>
      </w:pPr>
      <w:r>
        <w:rPr>
          <w:rFonts w:ascii="Times New Roman" w:hAnsi="Times New Roman" w:eastAsia="宋体"/>
          <w:b/>
          <w:sz w:val="21"/>
        </w:rPr>
        <w:t>English Abstract:</w:t>
      </w:r>
    </w:p>
    <w:p>
      <w:r>
        <w:rPr>
          <w:rFonts w:ascii="Times New Roman" w:hAnsi="Times New Roman" w:eastAsia="宋体"/>
          <w:sz w:val="21"/>
        </w:rPr>
        <w:t>In this paper, we present a multimodal machine learning system integrating electroencephalogram (EEG) and electrocardiogram (ECG) features to discriminate cognitive stress levels and analyze gender differences. In particular, we assess how well feature fusion enhances the classification accuracy and we also compare the physiological signs of cognitive stress in male and female subjects. A publicly available dataset, namely, ECG and EEG features for mental workload and multilevel stress classification of different sexes, was used. Three essential physiological characteristics (Theta/Alpha Ratio (TAR), Heart Rate (HR), and LF/HF Ratio) were identified in EEG signals as well as in ECG signals. The discriminative power of the features was confirmed by statistical testing, such as Shapiro-Wilk and Kruskal-Wallis tests. Dimensional reduction was performed using Principal Component Analysis (PCA). Feature fusion was performed, where EEG and ECG signals were introduced and aligned to form a complete input for the classification. Six machine learning (ML) classification models, namely Decision Tree (DT), K-Nearest Neighbors (KNN), Linear Discriminant (LD), Naive Bayes (NB), Random Forest (RF), and Support Vector Machine (SVM), were tested on binary and multiclass cognitive stress tasks. In terms of overall performance, the SVM achieved the best results, attaining 94.7% accuracy in the combined-gender classification of cognitive stress. For sex-specific classifications, LD recorded the highest score (90.9%). The multimodal SVM demonstrated superiority over the unimodal EEG/ECG models, reaching a peak average accuracy of 92.6%. Owing to the gender-based analysis, females had a better score in classification, implying a difference in sex-related physiological patterns during cognitive stress. The results show that multimodal fusion of physiological features can improve cognitive stress classification. The suggestion of gender-based analysis highlights the possibility of cognitive monitoring systems being at a personal level. This has potential applications in education, ergonomics, and human-computer interaction.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岩相-地层压力耦合下深层页岩孔隙微裂缝结构、孔隙度及含气性</w:t>
      </w:r>
    </w:p>
    <w:p>
      <w:r>
        <w:rPr>
          <w:rFonts w:ascii="Times New Roman" w:hAnsi="Times New Roman" w:eastAsia="宋体"/>
          <w:b/>
          <w:color w:val="003264"/>
          <w:sz w:val="24"/>
        </w:rPr>
        <w:t>Pore-micro fracture structure, porosity and gas- bearing property of deep shale under lithofacies-formation pressure coupling</w:t>
      </w:r>
    </w:p>
    <w:p>
      <w:r>
        <w:rPr>
          <w:rFonts w:ascii="Times New Roman" w:hAnsi="Times New Roman" w:eastAsia="宋体"/>
          <w:sz w:val="21"/>
        </w:rPr>
        <w:t>作者: Yunjun Zhang, Hao Zhang, Li Zhang, Jianlin Li, Yaohui Yan</w:t>
        <w:br/>
      </w:r>
      <w:r>
        <w:rPr>
          <w:rFonts w:ascii="Times New Roman" w:hAnsi="Times New Roman" w:eastAsia="宋体"/>
          <w:sz w:val="21"/>
        </w:rPr>
        <w:t xml:space="preserve">时间: 2026-02-04 | </w:t>
      </w:r>
      <w:r>
        <w:t xml:space="preserve">链接: </w:t>
      </w:r>
      <w:hyperlink r:id="rId44">
        <w:r>
          <w:rPr>
            <w:rFonts w:ascii="Times New Roman" w:hAnsi="Times New Roman" w:eastAsia="宋体"/>
            <w:color w:val="0000FF"/>
            <w:sz w:val="21"/>
            <w:u w:val="single"/>
          </w:rPr>
          <w:t>https://doi.org/10.1038/s41598-026-38352-7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地层压力-岩相类型是影响页岩储层微观孔隙结构和孔隙度的最关键因素。然而，这两个因素如何共同影响页岩气聚集仍不清楚。综合扫描电镜（SEM）、X射线衍射（XRD）、核磁共振（NMR）、现场解吸和低温氮气吸附（LTNA）等技术，分析压力变化与岩相耦合对深层页岩储层质量和含气性的影响。龙马溪组深埋页岩发育3种岩相：硅质岩相（S）、泥质岩相（CM）和混合岩相（M）。孔径&lt;4 nm的孔是比表面积（SSA）的主要贡献者，4 nm至30 nm之间的孔是孔体积（PV）的主要贡献者。压力变化直接影响有机质孔隙的大小和数量，但对颗粒内孔隙没有影响。粒间孔隙的变异性表明S岩相比M岩相具有更强的抗压实能力。深埋页岩储层孔隙度和微观结构受岩相类型、埋藏深度和压力变化的影响。富有机质S页岩和贫有机质S页岩在超压和保存良好的条件下表现出良好的储层物性，其中富有机质S页岩的抗压实能力最强。在富含有机质页岩的压实过程中，有机孔和无机孔大量损失。 CM岩相的物质基础较差，抗压实能力最弱，压实过程中难以保持原有的孔隙度和孔隙结构。地层压力的降低导致大孔隙对孔体积几乎没有贡献，而中孔的贡献进一步增强。随着地层压力降低，微孔对孔体积的贡献逐渐增大。随着页岩孔隙度的降低，与大孔隙相关的孔隙度首先下降，其次是与中孔相关的孔隙度。随着孔隙度的降低，CM 和 M 岩相中的游离气含量迅速下降。随着孔隙率的丧失，吸附气体和游离气体都急剧减少。</w:t>
      </w:r>
    </w:p>
    <w:p>
      <w:pPr>
        <w:spacing w:before="120"/>
      </w:pPr>
      <w:r>
        <w:rPr>
          <w:rFonts w:ascii="Times New Roman" w:hAnsi="Times New Roman" w:eastAsia="宋体"/>
          <w:b/>
          <w:sz w:val="21"/>
        </w:rPr>
        <w:t>English Abstract:</w:t>
      </w:r>
    </w:p>
    <w:p>
      <w:r>
        <w:rPr>
          <w:rFonts w:ascii="Times New Roman" w:hAnsi="Times New Roman" w:eastAsia="宋体"/>
          <w:sz w:val="21"/>
        </w:rPr>
        <w:t>Formation pressure-lithofacies type are the most critical factors influencing micro pore structure and porosity in shale reservoir. However, how these two factors jointly affect shale gas accumulation remains unclear. Scanning electron microscopy (SEM), X-ray diffraction (XRD), nuclear magnetic resonance (NMR), on-site desorption and low-temperature N2 adsorption (LTNA) are integrated to analyze coupling effects of pressure variation and lithofacies on reservoir quality and gas-bearing characteristics of deep-buried shale. Three lithofacies are identified in Longmaxi deep-buried shale: siliceous lithofacies (S), argillaceous lithofacies (CM) and mixed lithofacies (M). Pores with pore size &lt; 4 nm are the main contributors to the specific surface area (SSA), and pores between 4 nm and 30 nm are the main contributors to the pore volume (PV). Pressure variations directly affect the size and number of organic matter pores but have no impact on intraparticle pores. The variability in interparticle pores indicates that the S lithofacies has a stronger resistance to compaction compared to the M lithofacies. Porosity and micro structure of deep-buried shale reservoir are influenced by lithofacies type, burial depth and pressure variation. Organic-rich S shale and organic-poor S shale demonstrate good reservoir properties under over-pressure and well-preserved conditions, with organic-rich S shale having the strongest resistance to compaction. Organic and inorganic pores are largely lost during compaction of organic-rich M shale. CM lithofacies also has a poor material foundation and the weakest resistance to compaction, making it difficult to preserve original porosity and pore structure during compaction. The decrease in formation pressure results in macropores making almost no contribution to pore volume, while the contribution of mesopores is further enhanced. As the formation pressure decreases, the contribution of micropores to pore volume is gradually increased. As shale porosity decreases, porosity associated with macro pores declines first, followed by that associated with mesopores. Free-gas content in the CM and M lithofacies declines rapidly as porosity decreases. Both adsorbed and free gas decrease sharply as porosity is lost.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Socialbit 作为智能手表算法在临床人群中进行社交互动检测的验证</w:t>
      </w:r>
    </w:p>
    <w:p>
      <w:r>
        <w:rPr>
          <w:rFonts w:ascii="Times New Roman" w:hAnsi="Times New Roman" w:eastAsia="宋体"/>
          <w:b/>
          <w:color w:val="003264"/>
          <w:sz w:val="24"/>
        </w:rPr>
        <w:t>Validation of socialbit as a smartwatch algorithm for social interaction detection in a clinical population</w:t>
      </w:r>
    </w:p>
    <w:p>
      <w:r>
        <w:rPr>
          <w:rFonts w:ascii="Times New Roman" w:hAnsi="Times New Roman" w:eastAsia="宋体"/>
          <w:sz w:val="21"/>
        </w:rPr>
        <w:t>作者: Amar Dhand, Samuel Tate, Cade Mack, Sofia Carozza, David Farynyk, Mehdi Bourahla, Oluwamayomikun Adeboye, Grace Cooke, Olivia Berglund, Riya Dahima, Melinda Luo, Vrushali Dhongade, George S. Usmanov, Kelly White, Amanda M. Bernal, Ross Zafonte, Shrikanth Narayanan, Minwoo Lee, Matthias R. Mehl, Min Shin</w:t>
        <w:br/>
      </w:r>
      <w:r>
        <w:rPr>
          <w:rFonts w:ascii="Times New Roman" w:hAnsi="Times New Roman" w:eastAsia="宋体"/>
          <w:sz w:val="21"/>
        </w:rPr>
        <w:t xml:space="preserve">时间: 2026-02-04 | </w:t>
      </w:r>
      <w:r>
        <w:t xml:space="preserve">链接: </w:t>
      </w:r>
      <w:hyperlink r:id="rId58">
        <w:r>
          <w:rPr>
            <w:rFonts w:ascii="Times New Roman" w:hAnsi="Times New Roman" w:eastAsia="宋体"/>
            <w:color w:val="0000FF"/>
            <w:sz w:val="21"/>
            <w:u w:val="single"/>
          </w:rPr>
          <w:t>https://doi.org/10.1038/s41598-026-37746-x</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社交互动有助于大脑健康和神经损伤后的恢复。然而，还没有经过验证的工具可以对有或没有神经缺陷的个体进行实时测量。我们开发了 SocialBit，这是一种轻量级、保护隐私的机器学习算法，可以使用商用智能手表上的环境音频功能来检测社交互动。在一项前瞻性验证研究中，我们对 153 名住院中风患者佩戴该设备长达 8 天的实时直播、每分钟的人类编码地面事实进行了评估，生成了 88,918 分钟的观察结果。这些患者的中风严重程度和认知能力涵盖广泛的临床范围（NIH 中风量表 0-25；蒙特利尔认知评估 8-30），24 名患者患有不同亚型的失语症，包括严重的失语症。 SocialBit 在语言缺陷患者中取得了较高的整体性能（敏感性 0.87、特异性 0.88、曲线下面积 0.94）并保持了准确性（AUC 0.93）。尽管时间采样较低，SocialBit 产生的交互频率分布与每分钟的人类编码非常匹配。跨环境和交互类型的性能都很强大。具有临床相关性的是，SocialBit 表明，中风较严重的患者社交互动较少，这与人类编码的结果类似。 SocialBit 是一种准确的社交互动数字生物标记，在远程监控和临床试验中具有潜在应用。</w:t>
      </w:r>
    </w:p>
    <w:p>
      <w:pPr>
        <w:spacing w:before="120"/>
      </w:pPr>
      <w:r>
        <w:rPr>
          <w:rFonts w:ascii="Times New Roman" w:hAnsi="Times New Roman" w:eastAsia="宋体"/>
          <w:b/>
          <w:sz w:val="21"/>
        </w:rPr>
        <w:t>English Abstract:</w:t>
      </w:r>
    </w:p>
    <w:p>
      <w:r>
        <w:rPr>
          <w:rFonts w:ascii="Times New Roman" w:hAnsi="Times New Roman" w:eastAsia="宋体"/>
          <w:sz w:val="21"/>
        </w:rPr>
        <w:t>Abstract Social interaction supports brain health and recovery after neurological injury. Yet no validated tool exists for real-time measurement in individuals with and without neurological deficits. We developed SocialBit, a lightweight, privacy-preserving machine learning algorithm that detects social interactions using ambient audio features on a commercial smartwatch. In a prospective validation study, we evaluated SocialBit against livestream minute-by-minute human-coded ground truth in 153 hospitalized stroke patients who wore the device for up to 8 days, generating 88,918 min of observation. In these patients, the stroke severity and cognition spanned broad clinical ranges (NIH Stroke Scale 0–25; Montreal Cognitive Assessment 8–30), and 24 patients had aphasia across diverse subtypes, including severe presentations. SocialBit achieved high overall performance (sensitivity 0.87, specificity 0.88, area under the curve 0.94) and maintained accuracy in patients with language deficits (AUC 0.93). Despite lower temporal sampling, SocialBit produced interaction frequency distributions closely matching minute-by-minute human coding. Performance was robust across environments and interaction types. Of clinical relevance, SocialBit showed that patients with more severe strokes engaged in less social interaction, paralleling human-coded results. SocialBit is an accurate digital biomarker of social interaction with potential applications in remote monitoring and clinical trials.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在健康的巴勒斯坦队列中通过下一代测序进行口腔 HPV 检测和基因分型：试点研究</w:t>
      </w:r>
    </w:p>
    <w:p>
      <w:r>
        <w:rPr>
          <w:rFonts w:ascii="Times New Roman" w:hAnsi="Times New Roman" w:eastAsia="宋体"/>
          <w:b/>
          <w:color w:val="003264"/>
          <w:sz w:val="24"/>
        </w:rPr>
        <w:t>Oral HPV detection and genotyping by next-generation sequencing in a healthy Palestinian cohort: pilot study</w:t>
      </w:r>
    </w:p>
    <w:p>
      <w:r>
        <w:rPr>
          <w:rFonts w:ascii="Times New Roman" w:hAnsi="Times New Roman" w:eastAsia="宋体"/>
          <w:sz w:val="21"/>
        </w:rPr>
        <w:t>作者: Bisan Safi, Mahmoud Khalid, Abedelmajeed Nasereddin</w:t>
        <w:br/>
      </w:r>
      <w:r>
        <w:rPr>
          <w:rFonts w:ascii="Times New Roman" w:hAnsi="Times New Roman" w:eastAsia="宋体"/>
          <w:sz w:val="21"/>
        </w:rPr>
        <w:t xml:space="preserve">时间: 2026-02-04 | </w:t>
      </w:r>
      <w:r>
        <w:t xml:space="preserve">链接: </w:t>
      </w:r>
      <w:hyperlink r:id="rId59">
        <w:r>
          <w:rPr>
            <w:rFonts w:ascii="Times New Roman" w:hAnsi="Times New Roman" w:eastAsia="宋体"/>
            <w:color w:val="0000FF"/>
            <w:sz w:val="21"/>
            <w:u w:val="single"/>
          </w:rPr>
          <w:t>https://doi.org/10.1038/s41598-026-37318-z</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口腔人乳头瘤病毒（HPV）是口咽癌的一个关键因素。然而，其在健康人群中的患病率和基因型分布在很大程度上仍然没有记录，特别是在目前没有国家筛查或疫苗接种计划的巴勒斯坦。这项研究是巴勒斯坦首次使用高度敏感的分子工作流程在健康人群中检测口腔 HPV 并进行基因分型。该检测采用针对 L1 基因的巢式聚合酶链式反应 (PCR) 和下一代测序 (NGS) 策略，L1 基因是编码病毒主要结构蛋白的高度保守区域。对西岸中部地区牙科诊所就诊的 75 名个人的口腔拭子进行了分析，结果显示 HPV 总体阳性率为 6.7%，并确定了 HPV-18、HPV-31 和 HPV-38 基因型。最近，发表了一名患有宫颈癌的巴勒斯坦妇女的 HPV-38 序列，这支持了我们在巴勒斯坦存在 HPV-38 的发现。研究结果为巴勒斯坦提供了初步的方法学数据，并凸显了先进测序技术在加强全球 HPV 监测方面的力量。该试点研究证明了方法学上的可行性，但无法提供可靠的流行病学基线。</w:t>
      </w:r>
    </w:p>
    <w:p>
      <w:pPr>
        <w:spacing w:before="120"/>
      </w:pPr>
      <w:r>
        <w:rPr>
          <w:rFonts w:ascii="Times New Roman" w:hAnsi="Times New Roman" w:eastAsia="宋体"/>
          <w:b/>
          <w:sz w:val="21"/>
        </w:rPr>
        <w:t>English Abstract:</w:t>
      </w:r>
    </w:p>
    <w:p>
      <w:r>
        <w:rPr>
          <w:rFonts w:ascii="Times New Roman" w:hAnsi="Times New Roman" w:eastAsia="宋体"/>
          <w:sz w:val="21"/>
        </w:rPr>
        <w:t>Oral human papillomavirus (HPV) is a key contributor to oropharyngeal cancers. Yet, its prevalence and genotype distribution in healthy populations remain largely undocumented, particularly in Palestine, where no national screening or vaccination programs currently exist. This study is the first in Palestine to detect and genotype oral HPV in a healthy population using a highly sensitive molecular workflow. The assay employs a nested polymerase chain reaction (PCR) and next-generation sequencing (NGS) strategy targeting the L1 gene, a highly conserved region that encodes the virus’s main structural protein. Buccal swabs from 75 individuals attending dental clinics in the central region of the West Bank were analyzed, revealing an overall HPV positivity rate of 6.7% and identifying the genotypes HPV-18, HPV-31, and HPV-38. Recently, an HPV-38 sequence from a Palestinian woman with cervical cancer was published, which supports our finding of HPV-38 presence in Palestine. The results provide preliminary methodological data for Palestine and highlight the power of advanced sequencing technologies in enhancing global HPV surveillance. This pilot study demonstrates methodological feasibility but is not powered to provide a reliable epidemiological baseline.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基于层次分析法的中国大学生学业成绩影响心理因素优先排序</w:t>
      </w:r>
    </w:p>
    <w:p>
      <w:r>
        <w:rPr>
          <w:rFonts w:ascii="Times New Roman" w:hAnsi="Times New Roman" w:eastAsia="宋体"/>
          <w:b/>
          <w:color w:val="003264"/>
          <w:sz w:val="24"/>
        </w:rPr>
        <w:t>An analytic hierarchy process–based prioritization of psychological factors influencing academic performance among university students in China</w:t>
      </w:r>
    </w:p>
    <w:p>
      <w:r>
        <w:rPr>
          <w:rFonts w:ascii="Times New Roman" w:hAnsi="Times New Roman" w:eastAsia="宋体"/>
          <w:sz w:val="21"/>
        </w:rPr>
        <w:t>作者: Xiaoqiu Xu, Ran Liu, Erlinda D. Serrano</w:t>
        <w:br/>
      </w:r>
      <w:r>
        <w:rPr>
          <w:rFonts w:ascii="Times New Roman" w:hAnsi="Times New Roman" w:eastAsia="宋体"/>
          <w:sz w:val="21"/>
        </w:rPr>
        <w:t xml:space="preserve">时间: 2026-02-04 | </w:t>
      </w:r>
      <w:r>
        <w:t xml:space="preserve">链接: </w:t>
      </w:r>
      <w:hyperlink r:id="rId60">
        <w:r>
          <w:rPr>
            <w:rFonts w:ascii="Times New Roman" w:hAnsi="Times New Roman" w:eastAsia="宋体"/>
            <w:color w:val="0000FF"/>
            <w:sz w:val="21"/>
            <w:u w:val="single"/>
          </w:rPr>
          <w:t>https://doi.org/10.1038/s41598-026-38343-8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了解学业成绩的心理决定因素对于制定循证教育策略至关重要。层次分析法（AHP）是一种成熟的决策分析方法，它的应用提供了一种系统的方法来量化多种心理因素对学生学业成绩的相对影响。采用有目的方便抽样方法，从中国延安大学 200 名大学生（150 名本科生和 50 名研究生）收集数据。参与者通过预备培训课程后的结构化成对比较，评估了六个关键心理变量：动机、焦虑、自我效能、情绪健康、认知风格和自我调节。层次分析法结果表明，动机（0.439）是影响学业成绩的最主要因素，其次是焦虑（0.218）和自我效能（0.148）。情绪健康（0.097）、认知风格（0.056）和自我调节（0.042）表现出相对较低但有意义的贡献。该模型的一致性比（CR = 0.042）证实了参与者判断的高可靠性。研究结果强调了动机和情感维度在塑造学业成功方面的核心作用。增强动机、培养自我效能和减轻有害焦虑的教育干预措施可以提高表现和幸福感，强调将心理学原理纳入教学设计和学生支持系统的重要性。</w:t>
      </w:r>
    </w:p>
    <w:p>
      <w:pPr>
        <w:spacing w:before="120"/>
      </w:pPr>
      <w:r>
        <w:rPr>
          <w:rFonts w:ascii="Times New Roman" w:hAnsi="Times New Roman" w:eastAsia="宋体"/>
          <w:b/>
          <w:sz w:val="21"/>
        </w:rPr>
        <w:t>English Abstract:</w:t>
      </w:r>
    </w:p>
    <w:p>
      <w:r>
        <w:rPr>
          <w:rFonts w:ascii="Times New Roman" w:hAnsi="Times New Roman" w:eastAsia="宋体"/>
          <w:sz w:val="21"/>
        </w:rPr>
        <w:t>Understanding the psychological determinants of academic performance is essential for developing evidence-based educational strategies. Applying the Analytic Hierarchy Process (AHP), a well-established decision-analytic method, provides a systematic means to quantify the relative influence of multiple psychological factors on students’ academic outcomes. Data were collected from 200 university students (150 undergraduates and 50 postgraduates) at Yan’an University, China, using a purposive–convenience sampling approach. Participants evaluated six key psychological variables: Motivation, Anxiety, Self-Efficacy, Emotional Well-Being, Cognitive Styles, and Self-Regulation—through structured pairwise comparisons following a preparatory orientation session. The AHP results identified Motivation (0.439) as the most dominant factor influencing academic performance, followed by Anxiety (0.218) and Self-Efficacy (0.148). Emotional Well-Being (0.097), Cognitive Styles (0.056), and Self-Regulation (0.042) demonstrated comparatively lower yet meaningful contributions. The model’s Consistency Ratio (CR = 0.042) confirmed high reliability of participant judgments. Findings highlight the central role of motivational and affective dimensions in shaping academic success. Educational interventions that strengthen motivation, foster self-efficacy, and mitigate detrimental anxiety can enhance both performance and well-being, underscoring the importance of integrating psychological principles into instructional design and student support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ZenBand：具有图形用户界面的光子晶体数值求解器</w:t>
      </w:r>
    </w:p>
    <w:p>
      <w:r>
        <w:rPr>
          <w:rFonts w:ascii="Times New Roman" w:hAnsi="Times New Roman" w:eastAsia="宋体"/>
          <w:b/>
          <w:color w:val="003264"/>
          <w:sz w:val="24"/>
        </w:rPr>
        <w:t>ZenBand: a numerical solver of photonic crystals with a graphical user interface</w:t>
      </w:r>
    </w:p>
    <w:p>
      <w:r>
        <w:rPr>
          <w:rFonts w:ascii="Times New Roman" w:hAnsi="Times New Roman" w:eastAsia="宋体"/>
          <w:sz w:val="21"/>
        </w:rPr>
        <w:t>作者: Andrius Zinkevičius, Ignas Lukošiūnas, Darius Gailevičius</w:t>
        <w:br/>
      </w:r>
      <w:r>
        <w:rPr>
          <w:rFonts w:ascii="Times New Roman" w:hAnsi="Times New Roman" w:eastAsia="宋体"/>
          <w:sz w:val="21"/>
        </w:rPr>
        <w:t xml:space="preserve">时间: 2026-02-04 | </w:t>
      </w:r>
      <w:r>
        <w:t xml:space="preserve">链接: </w:t>
      </w:r>
      <w:hyperlink r:id="rId61">
        <w:r>
          <w:rPr>
            <w:rFonts w:ascii="Times New Roman" w:hAnsi="Times New Roman" w:eastAsia="宋体"/>
            <w:color w:val="0000FF"/>
            <w:sz w:val="21"/>
            <w:u w:val="single"/>
          </w:rPr>
          <w:t>https://doi.org/10.1038/s41598-026-37129-2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我们使用 Python 和自定义 Tkinter 库开发了一个开源平面波展开法求解器，以解决已知经典示例、自定义几何形状和对称性的光子晶体色散设计导向问题。这种结构能够实现光限制、全向反射、光束准直和负折射。我们更深入地研究对角各向异性光子晶体，其平面波展开算法直接嵌入到应用程序中。用户界面位于开发人员的存储库链接中：https://github.com/ZenTunturi/ZenBand。</w:t>
      </w:r>
    </w:p>
    <w:p>
      <w:pPr>
        <w:spacing w:before="120"/>
      </w:pPr>
      <w:r>
        <w:rPr>
          <w:rFonts w:ascii="Times New Roman" w:hAnsi="Times New Roman" w:eastAsia="宋体"/>
          <w:b/>
          <w:sz w:val="21"/>
        </w:rPr>
        <w:t>English Abstract:</w:t>
      </w:r>
    </w:p>
    <w:p>
      <w:r>
        <w:rPr>
          <w:rFonts w:ascii="Times New Roman" w:hAnsi="Times New Roman" w:eastAsia="宋体"/>
          <w:sz w:val="21"/>
        </w:rPr>
        <w:t>We developed an open-source Plane Wave Expansion Method solver using Python and a custom Tkinter library to solve a design oriented problem of photonic crystal dispersion for known classical examples, custom geometries, and symmetries. Such structures are capable of light confinement, omnidirectional reflection, beam collimation and negative refraction. We dive deeper into the diagonally anisotropic photonic crystals, whose Plane Wave Expansion algorithm is directly embedded in the application. The user interface is present in the developer’s repository link: https://github.com/ZenTunturi/ZenBand.</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非洲 COVID-19 大流行期间加强哨点监测网络的挑战</w:t>
      </w:r>
    </w:p>
    <w:p>
      <w:r>
        <w:rPr>
          <w:rFonts w:ascii="Times New Roman" w:hAnsi="Times New Roman" w:eastAsia="宋体"/>
          <w:b/>
          <w:color w:val="003264"/>
          <w:sz w:val="24"/>
        </w:rPr>
        <w:t>Challenges in strengthening sentinel surveillance network during COVID-19 pandemic in Africa</w:t>
      </w:r>
    </w:p>
    <w:p>
      <w:r>
        <w:rPr>
          <w:rFonts w:ascii="Times New Roman" w:hAnsi="Times New Roman" w:eastAsia="宋体"/>
          <w:sz w:val="21"/>
        </w:rPr>
        <w:t>作者: Julien Poublan, Kadio Jean-Jacques Olivier Kadio, Rodion Konu, Ramatoulaye Hamidou Lazoumar, Mathurin Cyrille Tejiokem, Isaac Tiembré, Rila Ratovoson, Sandra Coti, Justus Nsio, Mamadou Aliou Barry, Parfait Hounbegnon, Emilande Guichet, Vincent Richard, Isidore Traoré, Mathias Altmann</w:t>
        <w:br/>
      </w:r>
      <w:r>
        <w:rPr>
          <w:rFonts w:ascii="Times New Roman" w:hAnsi="Times New Roman" w:eastAsia="宋体"/>
          <w:sz w:val="21"/>
        </w:rPr>
        <w:t xml:space="preserve">时间: 2026-02-04 | </w:t>
      </w:r>
      <w:r>
        <w:t xml:space="preserve">链接: </w:t>
      </w:r>
      <w:hyperlink r:id="rId62">
        <w:r>
          <w:rPr>
            <w:rFonts w:ascii="Times New Roman" w:hAnsi="Times New Roman" w:eastAsia="宋体"/>
            <w:color w:val="0000FF"/>
            <w:sz w:val="21"/>
            <w:u w:val="single"/>
          </w:rPr>
          <w:t>https://doi.org/10.1038/s41598-026-36363-y</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COVID-19 大流行后变异病毒的出现给非洲的医疗系统带来了压力。 Afroscreen 项目正在加强国家哨点监测系统，并结合测序能力，以在早期阶段识别潜在的高毒力变异体。本文的目的是介绍该项目的结果并讨论相关的挑战。 2022 年 7 月至 2024 年 6 月，监测基于医院或外围的国家监测哨点系统、RT-PCR 诊断能力以及阳性情况下的测序。在 11 个非洲国家（塞内加尔、几内亚、科特迪瓦、多哥、贝宁、尼日尔、喀麦隆、中非共和国 (CAR)、布基纳法索、马达加斯加和刚果民主共和国）进行了监测。刚果），有可能证明 SARS-CoV-2 的传播在监测期间有所下降，只有 Omicron 变种在传播。在大流行期间建立和协调多国哨点监测系统是一个真正的挑战。这凸显了在流行间期和大流行期间加强监测系统的必要性，以及根据新出现的疾病准备和应对计划的可持续性问题。</w:t>
      </w:r>
    </w:p>
    <w:p>
      <w:pPr>
        <w:spacing w:before="120"/>
      </w:pPr>
      <w:r>
        <w:rPr>
          <w:rFonts w:ascii="Times New Roman" w:hAnsi="Times New Roman" w:eastAsia="宋体"/>
          <w:b/>
          <w:sz w:val="21"/>
        </w:rPr>
        <w:t>English Abstract:</w:t>
      </w:r>
    </w:p>
    <w:p>
      <w:r>
        <w:rPr>
          <w:rFonts w:ascii="Times New Roman" w:hAnsi="Times New Roman" w:eastAsia="宋体"/>
          <w:sz w:val="21"/>
        </w:rPr>
        <w:t>The emergence of variants in the wake of the COVID-19 pandemic has put a strain on healthcare systems in Africa. The Afroscreen project is strengthening national sentinel surveillance systems, combined with sequencing capabilities to identify potentially highly virulent variants of interest at an early stage. The aim of this article is to present the results of this project and discuss the related challenges. Surveillance was based on national surveillance sentinel systems, either hospital-based or peripheral, and RT-PCR diagnostic capabilities, coupled with sequencing in the event of positivity, from July 2022 to June 2024. In 11 African countries (Senegal, Guinea, Côte d’Ivoire, Togo, Benin, Niger, Cameroon, the Central African Republic (CAR), Burkina Faso, Madagascar and the Democratic Republic of the Congo), it was possible to demonstrate a decline in the circulation of SARS-CoV-2 over the surveillance period, with only the Omicron variant circulating. Setting up and coordinating a multicountry sentinel surveillance system during a pandemic period is a real challenge. This highlights the need to strengthen surveillance systems during interepidemic and pandemic periods and the question of their sustainability in line with emerging disease preparedness and response programs.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一种具有噪声分析的高效三方远程状态准备方案</w:t>
      </w:r>
    </w:p>
    <w:p>
      <w:r>
        <w:rPr>
          <w:rFonts w:ascii="Times New Roman" w:hAnsi="Times New Roman" w:eastAsia="宋体"/>
          <w:b/>
          <w:color w:val="003264"/>
          <w:sz w:val="24"/>
        </w:rPr>
        <w:t>An efficient tripartite remote state preparation scheme with noise analysis</w:t>
      </w:r>
    </w:p>
    <w:p>
      <w:r>
        <w:rPr>
          <w:rFonts w:ascii="Times New Roman" w:hAnsi="Times New Roman" w:eastAsia="宋体"/>
          <w:sz w:val="21"/>
        </w:rPr>
        <w:t>作者: Mohammad Bolokian, Ali A. Orouji, Monireh Houshmand</w:t>
        <w:br/>
      </w:r>
      <w:r>
        <w:rPr>
          <w:rFonts w:ascii="Times New Roman" w:hAnsi="Times New Roman" w:eastAsia="宋体"/>
          <w:sz w:val="21"/>
        </w:rPr>
        <w:t xml:space="preserve">时间: 2026-02-04 | </w:t>
      </w:r>
      <w:r>
        <w:t xml:space="preserve">链接: </w:t>
      </w:r>
      <w:hyperlink r:id="rId63">
        <w:r>
          <w:rPr>
            <w:rFonts w:ascii="Times New Roman" w:hAnsi="Times New Roman" w:eastAsia="宋体"/>
            <w:color w:val="0000FF"/>
            <w:sz w:val="21"/>
            <w:u w:val="single"/>
          </w:rPr>
          <w:t>https://doi.org/10.1038/s41598-026-35816-8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量子隐形传态依赖于预先存在的纠缠、局部操作和经典通信来传输未知的量子态。量子远程状态准备（QRSP）具有相同的目标，但发送者已经知道要传输的状态。这项研究引入了一种创新的 QRSP 三方方案，允许三个用户同时发送和接收单量子位状态。该方案进一步扩展以适应用户之间任意数量的量子位的状态传输。该协议的功能通过Qiskit库中的电路实现进行了验证，确保了其实际可行性。此外，它的性能是在嘈杂的环境中进行分析的，可以深入了解其稳健性。所提出的协议的效率与最近的方案进行了比较，突显了它们在量子通信方面的进步。与之前的三方 RSP 方案相比，所提出的协议实现了更高的效率（η = 0.50）、模块化可扩展性以及使用标准量子门的实验可实现性。这项研究有助于多用户量子通信、安全量子密码学和量子网络的进步，为可扩展的量子系统铺平了道路。</w:t>
      </w:r>
    </w:p>
    <w:p>
      <w:pPr>
        <w:spacing w:before="120"/>
      </w:pPr>
      <w:r>
        <w:rPr>
          <w:rFonts w:ascii="Times New Roman" w:hAnsi="Times New Roman" w:eastAsia="宋体"/>
          <w:b/>
          <w:sz w:val="21"/>
        </w:rPr>
        <w:t>English Abstract:</w:t>
      </w:r>
    </w:p>
    <w:p>
      <w:r>
        <w:rPr>
          <w:rFonts w:ascii="Times New Roman" w:hAnsi="Times New Roman" w:eastAsia="宋体"/>
          <w:sz w:val="21"/>
        </w:rPr>
        <w:t>Quantum teleportation relies on pre-existing entanglement, local operations and classical communication to transfer an unknown quantum state. Quantum remote state preparation (QRSP) shares the same objective, but the sender already knows the state to be transmitted. This research introduces an innovative tripartite scheme for QRSP, allowing three users to simultaneously send and receive single-qubit states. The scheme is further extended to accommodate the transmission of states with an arbitrary number of qubits among the users. The protocol’s functionality is validated through circuit implementation in the Qiskit library, ensuring its practical feasibility. Additionally, its performance is analyzed in a noisy environment, providing insights into its robustness. The efficiency of the proposed protocols is compared with recent schemes, highlighting their advancements in quantum communication. Compared to previous tripartite RSP schemes, the proposed protocol achieves higher efficiency (η = 0.50), modular scalability, and experimental realizability using standard quantum gates. This study contributes to advancements in multi-user quantum communication, secure quantum cryptography, and quantum networking, paving the way for scalable quantum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雏鸟性能下降导致滨鸟超常的爪子适应不良</w:t>
      </w:r>
    </w:p>
    <w:p>
      <w:r>
        <w:rPr>
          <w:rFonts w:ascii="Times New Roman" w:hAnsi="Times New Roman" w:eastAsia="宋体"/>
          <w:b/>
          <w:color w:val="003264"/>
          <w:sz w:val="24"/>
        </w:rPr>
        <w:t>Reduced chick performance makes supernormal clutches maladaptive in a shorebird</w:t>
      </w:r>
    </w:p>
    <w:p>
      <w:r>
        <w:rPr>
          <w:rFonts w:ascii="Times New Roman" w:hAnsi="Times New Roman" w:eastAsia="宋体"/>
          <w:sz w:val="21"/>
        </w:rPr>
        <w:t>作者: Oddvar Heggøy, Kees Wanders, Terje Lislevand</w:t>
        <w:br/>
      </w:r>
      <w:r>
        <w:rPr>
          <w:rFonts w:ascii="Times New Roman" w:hAnsi="Times New Roman" w:eastAsia="宋体"/>
          <w:sz w:val="21"/>
        </w:rPr>
        <w:t xml:space="preserve">时间: 2026-02-04 | </w:t>
      </w:r>
      <w:r>
        <w:t xml:space="preserve">链接: </w:t>
      </w:r>
      <w:hyperlink r:id="rId67">
        <w:r>
          <w:rPr>
            <w:rFonts w:ascii="Times New Roman" w:hAnsi="Times New Roman" w:eastAsia="宋体"/>
            <w:color w:val="0000FF"/>
            <w:sz w:val="21"/>
            <w:u w:val="single"/>
          </w:rPr>
          <w:t>https://doi.org/10.1038/s41598-026-37872-6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生活史理论预测了后代数量和质量之间的权衡，并且窝数可以根据环境条件进行调整。然而，在许多鸟类中，窝数非常一致，在这种情况下，限制窝数进化的因素引起了更多争议。一个典型的例子是鸻鹬类（Charadriiformes），在不同物种和环境中，每窝产蛋量通常固定为四个蛋。在这里，我们通过实验扩大了普通环斑鸻 Charadrius hiaticula 的窝数，以检验窝数大小受到亲代孵化能力限制的假设。虽然之前对这一想法的大多数测试都比较了不同窝尺寸之间的孵化成功率，通常结果好坏参半，但我们还研究了潜在的孵化后效应。我们发现，来自扩大窝的雏鸡在生命的前两周内一直较小，并且与对照雏鸡相比，死亡率更高。尽管孵化成功率相对不受影响，但增大的窝质量损失减少，表明胚胎生长较慢，需要更长的孵化期，并且与对照相比，孵化更加异步。这些发现表明，产下额外的鸡蛋会浪费资源，其负面影响超过了潜在的好处。我们的结果强调了以前被忽视的孵化后限制在影响滨鸟窝数进化方面的潜在重要性。</w:t>
      </w:r>
    </w:p>
    <w:p>
      <w:pPr>
        <w:spacing w:before="120"/>
      </w:pPr>
      <w:r>
        <w:rPr>
          <w:rFonts w:ascii="Times New Roman" w:hAnsi="Times New Roman" w:eastAsia="宋体"/>
          <w:b/>
          <w:sz w:val="21"/>
        </w:rPr>
        <w:t>English Abstract:</w:t>
      </w:r>
    </w:p>
    <w:p>
      <w:r>
        <w:rPr>
          <w:rFonts w:ascii="Times New Roman" w:hAnsi="Times New Roman" w:eastAsia="宋体"/>
          <w:sz w:val="21"/>
        </w:rPr>
        <w:t>Abstract Life-history theory predicts a trade-off between the number and quality of offspring, and that clutch sizes may be adjusted in relation to environmental conditions. In many bird species, however, clutch size is remarkably consistent, in which case factors constraining clutch size evolution are more debated. A classic example is found in shorebirds (Charadriiformes), where clutch size is typically fixed at four eggs across species and environments. Here, we experimentally enlarged clutches of Common Ringed Plovers Charadrius hiaticula to test the hypothesis that clutch sizes are constrained by parental incubation capacity. While most previous tests of this idea compared hatching success between clutch sizes, often with mixed results, we also investigated potential post-hatching effects. We found that chicks from enlarged clutches were consistently smaller during the first two weeks of their lives and showed higher mortality rates compared to control chicks. Although hatching success was relatively unaffected, enlarged clutches experienced reduced mass loss indicating slower embryonic growth, required longer incubation periods and hatched more asynchronously than controls. These findings suggest that laying an extra egg would be a waste of resources, with negative effects outweighing potential benefits. Our results highlight the potential importance of previously overlooked post-hatching constraints in shaping clutch size evolution in shorebirds.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六种不同RE3+离子作为改性剂对B-Na玻璃光致发光、电学、磁学和热学性能的影响</w:t>
      </w:r>
    </w:p>
    <w:p>
      <w:r>
        <w:rPr>
          <w:rFonts w:ascii="Times New Roman" w:hAnsi="Times New Roman" w:eastAsia="宋体"/>
          <w:b/>
          <w:color w:val="003264"/>
          <w:sz w:val="24"/>
        </w:rPr>
        <w:t>Influence of six different RE3+ ions as modifier agents on the photoluminescent, electrical, magnetic and thermal properties of B-Na glass</w:t>
      </w:r>
    </w:p>
    <w:p>
      <w:r>
        <w:rPr>
          <w:rFonts w:ascii="Times New Roman" w:hAnsi="Times New Roman" w:eastAsia="宋体"/>
          <w:sz w:val="21"/>
        </w:rPr>
        <w:t>作者: M. M. El-shabaan, Amaal Mohamed, M. I. Youssif, N. A. El-Ghamaz, E. M. Ahmed</w:t>
        <w:br/>
      </w:r>
      <w:r>
        <w:rPr>
          <w:rFonts w:ascii="Times New Roman" w:hAnsi="Times New Roman" w:eastAsia="宋体"/>
          <w:sz w:val="21"/>
        </w:rPr>
        <w:t xml:space="preserve">时间: 2026-02-04 | </w:t>
      </w:r>
      <w:r>
        <w:t xml:space="preserve">链接: </w:t>
      </w:r>
      <w:hyperlink r:id="rId68">
        <w:r>
          <w:rPr>
            <w:rFonts w:ascii="Times New Roman" w:hAnsi="Times New Roman" w:eastAsia="宋体"/>
            <w:color w:val="0000FF"/>
            <w:sz w:val="21"/>
            <w:u w:val="single"/>
          </w:rPr>
          <w:t>https://doi.org/10.1038/s41598-026-35015-5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本研究旨在研究稀土 (RE3⁺) 离子 La3⁺、Nd3⁺、Gd3⁺、Ho3⁺、Er3⁺ 和 Yb3⁺ 对简单 50%B2O₃ - 50%Na2O 玻璃系统的结构、光致发光、电学和热性能的影响。摩尔折射 (Rm) 和非线性磁化率 (χ⁽3⁾) 的增加表明，加入 1 mol% RE2O₃ 系统地增强了光学偏振性。 Er3+ 掺杂玻璃表现出最高的 χ⁽3⁾ ≈ 1.76 × 10⁻12 esu 值。计算的光学碱度、氧化物离子极化率和金属化标准证实了所有组合物的非金属性质。 RE的添加显着增强了光致发光发射，特别是对于Gd3+ (&gt; 2000 a.u.)和Er3+ (~ 700 a.u.)，并伴随着高相关色温值(CCT &gt; 7600 K)。热分析 (TGA/DSC) 显示在高达 800 °C 的温度下具有出色的稳定性，根据 RE 类型，Tg 值从 422 °C（基础玻璃）增加到 450 °C； Nd³⁺掺杂玻璃表现出最高的热稳定性（ΔT ≈ 120 °C），这意味着优异的玻璃形成能力。所有稀土掺杂样品均表现出顺磁性行为，但 La3+ 掺杂样品除外，其仍保持抗磁性。直流电导率随着离子半径的减小而降低，这与相关势垒跳跃（CBH）机制一致，而热导率（0.49-1.78 W m-1 K-1）证实了它们的绝缘和热电势。总体而言，结果表明 RE3⁺ 离子有效地定制了硼酸钠玻璃的多功能特性，凸显了它们在先进光子和能源相关应用中的前景。</w:t>
      </w:r>
    </w:p>
    <w:p>
      <w:pPr>
        <w:spacing w:before="120"/>
      </w:pPr>
      <w:r>
        <w:rPr>
          <w:rFonts w:ascii="Times New Roman" w:hAnsi="Times New Roman" w:eastAsia="宋体"/>
          <w:b/>
          <w:sz w:val="21"/>
        </w:rPr>
        <w:t>English Abstract:</w:t>
      </w:r>
    </w:p>
    <w:p>
      <w:r>
        <w:rPr>
          <w:rFonts w:ascii="Times New Roman" w:hAnsi="Times New Roman" w:eastAsia="宋体"/>
          <w:sz w:val="21"/>
        </w:rPr>
        <w:t>This study deals with investigation of the influence of rare-earth (RE³⁺) ions La³⁺, Nd³⁺, Gd³⁺, Ho³⁺, Er³⁺, and Yb³⁺ on the structural, photoluminescent, electrical, and thermal properties of a simple 50%B₂O₃ − 50%Na₂O glass system. The incorporation of 1 mol% RE₂O₃ systematically enhanced optical polarizability, as indicated by the increase in molar refraction (Rm) and nonlinear susceptibility (χ⁽³⁾). The Er³⁺ doped glass is exhibiting the highest value of χ⁽³⁾ ≈ 1.76 × 10⁻¹² esu. The calculated optical basicity, oxide ion polarizability, and metallization criteria confirmed the nonmetallic nature of all compositions. RE addition markedly intensified the photoluminescence emission, particularly for Gd³⁺ (&gt; 2000 a.u.) and Er³⁺ (~ 700 a.u.), accompanied by high correlated color temperature values (CCT &gt; 7600 K). Thermal analyses (TGA/DSC) revealed excellent stability up to 800 °C, with Tg values increasing from 422 °C (base glass) to 450 °C depending on RE type; the Nd³⁺-doped glass showed the highest thermal stability (ΔT ≈ 120 °C), implying superior glass-forming ability. All RE-doped samples displayed paramagnetic behavior, except La³⁺-doped, which remained diamagnetic. The dc conductivity decreased with decreasing ionic radius, consistent with the correlated barrier hopping (CBH) mechanism, while thermal conductivity (0.49–1.78 W m⁻¹ K⁻¹) confirmed their insulating and thermoelectric potential. Overall, the results demonstrate that RE³⁺ ions effectively tailor multifunctional characteristics of sodium borate glasses, highlighting their promise for advanced photonic and energy-related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一种基于YOLOv8n的轻量级人体异常姿势检测方法</w:t>
      </w:r>
    </w:p>
    <w:p>
      <w:r>
        <w:rPr>
          <w:rFonts w:ascii="Times New Roman" w:hAnsi="Times New Roman" w:eastAsia="宋体"/>
          <w:b/>
          <w:color w:val="003264"/>
          <w:sz w:val="24"/>
        </w:rPr>
        <w:t>A lightweight YOLOv8n-based method for human abnormal posture detection</w:t>
      </w:r>
    </w:p>
    <w:p>
      <w:r>
        <w:rPr>
          <w:rFonts w:ascii="Times New Roman" w:hAnsi="Times New Roman" w:eastAsia="宋体"/>
          <w:sz w:val="21"/>
        </w:rPr>
        <w:t>作者: Guilin Li, Jiarui Zhang, Qiyuan Ji, Meiling Wang</w:t>
        <w:br/>
      </w:r>
      <w:r>
        <w:rPr>
          <w:rFonts w:ascii="Times New Roman" w:hAnsi="Times New Roman" w:eastAsia="宋体"/>
          <w:sz w:val="21"/>
        </w:rPr>
        <w:t xml:space="preserve">时间: 2026-02-04 | </w:t>
      </w:r>
      <w:r>
        <w:t xml:space="preserve">链接: </w:t>
      </w:r>
      <w:hyperlink r:id="rId69">
        <w:r>
          <w:rPr>
            <w:rFonts w:ascii="Times New Roman" w:hAnsi="Times New Roman" w:eastAsia="宋体"/>
            <w:color w:val="0000FF"/>
            <w:sz w:val="21"/>
            <w:u w:val="single"/>
          </w:rPr>
          <w:t>https://doi.org/10.1038/s41598-026-37903-2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人体异常姿势检测在智慧医疗、公共安全、养老监控等领域具有重要的应用价值。及时、准确地检测异常姿势，为紧急警报和干预提供可靠支持。然而，复杂场景下的遮挡干扰、姿态变化、数据不平衡、模型参数过多等挑战往往会阻碍检测的准确性和实时性。针对这些问题，本文提出了一种基于YOLOv8n的轻量级人体异常姿势检测算法PSD-YOLOv8n（Pose-Spatial-Dynamic-YOLOv8n）。该方法采用了集成空间和通道注意力的 PoseMSA 模块，结合可分离卷积和残余瓶颈结构，以增强特征提取，同时减少模型参数。它引入了关键点感知 KA-Sample 上采样模块，用于异常姿势区域的高保真空间重建。此外，构建了集成多尺度特征和分布式回归的Detect-PSA检测头，有效增强了模型对全局空间关系建模的能力。在自建的SSHDataset上的实验结果表明，PSD-YOLOv8n在mAP@0.5和mAP@0.5:0.95上分别达到97.8%和75.8%。这些结果不仅超越了基线 YOLOv8n 模型，而且还优于 YOLOv9-T、YOLOv10n 和 YOLOv11n 等高级模型。同时，该模型的参数数量仅为2.07 M，权重大小仅为4.5 MB，充分展现了其轻量化且高精度的优势。可视化实验进一步验证了该方法在复杂环境和多样化姿势下的鲁棒性。 PSD-YOLOv8n 为检测人体异常姿势提供了高效可靠的解决方案。</w:t>
      </w:r>
    </w:p>
    <w:p>
      <w:pPr>
        <w:spacing w:before="120"/>
      </w:pPr>
      <w:r>
        <w:rPr>
          <w:rFonts w:ascii="Times New Roman" w:hAnsi="Times New Roman" w:eastAsia="宋体"/>
          <w:b/>
          <w:sz w:val="21"/>
        </w:rPr>
        <w:t>English Abstract:</w:t>
      </w:r>
    </w:p>
    <w:p>
      <w:r>
        <w:rPr>
          <w:rFonts w:ascii="Times New Roman" w:hAnsi="Times New Roman" w:eastAsia="宋体"/>
          <w:sz w:val="21"/>
        </w:rPr>
        <w:t>Detection of abnormal human postures holds significant application value in fields such as smart healthcare, public safety, and elderly care monitoring. Timely and accurate detection of abnormal postures provides reliable support for emergency alerts and intervention. However, challenges such as occlusion interference in complex scenarios, pose variations, data imbalance, and excessive model parameters often hinder detection accuracy and real-time performance. To address these issues, this paper proposes PSD-YOLOv8n (Pose-Spatial-Dynamic-YOLOv8n), a lightweight human abnormal posture detection algorithm based on YOLOv8n. This approach incorporates a PoseMSA module integrating spatial and channel attention, combined with separable convolutions and residual bottleneck structures to enhance feature extraction while reducing model parameters. It introduces a keypoint-aware KA-Sample upsampling module for high-fidelity spatial reconstruction of abnormal posture regions. Furthermore, a Detect-PSA detection head integrating multi-scale features and distributed regression is constructed to effectively strengthen the model’s ability to model global spatial relationships. Experimental results on the self-built SSHDataset demonstrate that PSD-YOLOv8n achieves 97.8% and 75.8% on the mAP@0.5 and mAP@0.5:0.95, respectively. These results not only surpass the baseline YOLOv8n model but also outperform advanced models such as YOLOv9-T, YOLOv10n, and YOLOv11n. Concurrently, the model features a compact parameter count of 2.07 M and a weight size of merely 4.5 MB, fully demonstrating its lightweight yet high-precision advantages. Visualization experiments further validate the method’s robustness in complex environments and diverse postures. PSD-YOLOv8n provides an efficient and reliable solution for detecting abnormal human postures.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蜻蜓幼虫发育过程中温度驱动的觅食行为变化</w:t>
      </w:r>
    </w:p>
    <w:p>
      <w:r>
        <w:rPr>
          <w:rFonts w:ascii="Times New Roman" w:hAnsi="Times New Roman" w:eastAsia="宋体"/>
          <w:b/>
          <w:color w:val="003264"/>
          <w:sz w:val="24"/>
        </w:rPr>
        <w:t>Temperature-driven shifts in foraging behaviour during larval development in a dragonfly</w:t>
      </w:r>
    </w:p>
    <w:p>
      <w:r>
        <w:rPr>
          <w:rFonts w:ascii="Times New Roman" w:hAnsi="Times New Roman" w:eastAsia="宋体"/>
          <w:sz w:val="21"/>
        </w:rPr>
        <w:t>作者: Jolan Hogreve, Frank Johansson, Frank Suhling</w:t>
        <w:br/>
      </w:r>
      <w:r>
        <w:rPr>
          <w:rFonts w:ascii="Times New Roman" w:hAnsi="Times New Roman" w:eastAsia="宋体"/>
          <w:sz w:val="21"/>
        </w:rPr>
        <w:t xml:space="preserve">时间: 2026-02-04 | </w:t>
      </w:r>
      <w:r>
        <w:t xml:space="preserve">链接: </w:t>
      </w:r>
      <w:hyperlink r:id="rId70">
        <w:r>
          <w:rPr>
            <w:rFonts w:ascii="Times New Roman" w:hAnsi="Times New Roman" w:eastAsia="宋体"/>
            <w:color w:val="0000FF"/>
            <w:sz w:val="21"/>
            <w:u w:val="single"/>
          </w:rPr>
          <w:t>https://doi.org/10.1038/s41598-026-37523-w</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蜻蜓幼虫的捕食性能受到温度、猎物密度和种间竞争等外部因素以及年龄和体型等生活史特征等多方面相互作用的影响。我们研究了这些因素和性状对Sympetrum striolatum 幼虫捕获猎物行为的相对影响，即攻击次数、捕获次数和捕获成功次数。在五周的时间内，在三种温度水平、两种猎物密度以及有或没有同种竞争者的组合下，对幼虫进行了三次观察。为了了解个体发育对觅食行为的影响，幼虫在孵化后被饲养，并在每次试验前测量它们的大小。较高的温度（尤其是幼虫和小幼虫）和猎物密度显着增加了猎物捕获行为。生活史特征强烈影响攻击、捕获和捕获成功，这些影响比外部因素猎物密度或竞争更强。这些结果强调了个体发育对觅食性能的关键作用。未来的研究和觅食行为的预测模型应结合生活史，以更好地了解觅食动态。我们的研究强调了将发育生物学整合到理解环境变化下行为的重要性，而不是仅仅关注外部变量。</w:t>
      </w:r>
    </w:p>
    <w:p>
      <w:pPr>
        <w:spacing w:before="120"/>
      </w:pPr>
      <w:r>
        <w:rPr>
          <w:rFonts w:ascii="Times New Roman" w:hAnsi="Times New Roman" w:eastAsia="宋体"/>
          <w:b/>
          <w:sz w:val="21"/>
        </w:rPr>
        <w:t>English Abstract:</w:t>
      </w:r>
    </w:p>
    <w:p>
      <w:r>
        <w:rPr>
          <w:rFonts w:ascii="Times New Roman" w:hAnsi="Times New Roman" w:eastAsia="宋体"/>
          <w:sz w:val="21"/>
        </w:rPr>
        <w:t>Abstract Predatory performance of dragonfly larvae is influenced by a multifaceted interplay of external factors such as temperature, prey density and interspecific competition, and life history traits like age and size. We investigated the relative impact of these factors and traits on the prey-capture behaviour of Sympetrum striolatum larvae i.e., the number of strikes, captures and capture success. The larvae were observed three times over a five-week period under a combination of three temperature levels, two prey densities, and with or without a conspecific competitor. To access the ontogenetic effects on foraging behaviour the larvae were reared from hatching and their size measured before each trial. Higher temperature, particularly for young and small larvae, and prey density significantly increased prey-capture behaviour. The life history traits strongly affected strikes, captures, and capture success and these effects were stronger than the external factor prey density or competition. These results underscore the crucial role of ontogeny on foraging performance. Future studies and predictive models of foraging behaviour should incorporate life history to better understand foraging dynamics. Our study highlights the importance of integrating developmental biology into understanding behaviour under environmental change, rather than focusing solely on external variables.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在超音速流中使用多级氢气喷射和空气辅助混合来优化基于支柱的燃油喷射</w:t>
      </w:r>
    </w:p>
    <w:p>
      <w:r>
        <w:rPr>
          <w:rFonts w:ascii="Times New Roman" w:hAnsi="Times New Roman" w:eastAsia="宋体"/>
          <w:b/>
          <w:color w:val="003264"/>
          <w:sz w:val="24"/>
        </w:rPr>
        <w:t>Optimization strut-based fuel injection using multi-step hydrogen jets and air-assisted mixing in supersonic flow</w:t>
      </w:r>
    </w:p>
    <w:p>
      <w:r>
        <w:rPr>
          <w:rFonts w:ascii="Times New Roman" w:hAnsi="Times New Roman" w:eastAsia="宋体"/>
          <w:sz w:val="21"/>
        </w:rPr>
        <w:t>作者: Zeineb Ben Houria, Khalil Hajlaoui, Saman Ahmad Aminian, Veyan A. Musa, Abdellatif M. Sadeq, Mohamed Shaban, Walid Aich, Karim Kriaa</w:t>
        <w:br/>
      </w:r>
      <w:r>
        <w:rPr>
          <w:rFonts w:ascii="Times New Roman" w:hAnsi="Times New Roman" w:eastAsia="宋体"/>
          <w:sz w:val="21"/>
        </w:rPr>
        <w:t xml:space="preserve">时间: 2026-02-04 | </w:t>
      </w:r>
      <w:r>
        <w:t xml:space="preserve">链接: </w:t>
      </w:r>
      <w:hyperlink r:id="rId148">
        <w:r>
          <w:rPr>
            <w:rFonts w:ascii="Times New Roman" w:hAnsi="Times New Roman" w:eastAsia="宋体"/>
            <w:color w:val="0000FF"/>
            <w:sz w:val="21"/>
            <w:u w:val="single"/>
          </w:rPr>
          <w:t>https://doi.org/10.1038/s41598-026-35841-7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由于极短的停留时间和强大的压缩效应，高效的燃料-空气混合仍然是超音速燃烧室的主要挑战之一。本研究对配备支柱喷射器的超燃冲压发动机燃烧室中的氢气喷射和混合进行了三维数值研究，重点关注喷射器几何形状和辅助空气喷射的影响。在相同的喷射表面积和自由流条件（马赫 = 2，Ps = 1 atm）下，使用 ANSYS Fluent 以及稳态框架中的 SST 湍流模型和理想气体假设，对三种配置（单个环形喷射器（案例 N.1）、多级环形喷射器（案例 N.2）和齐平同心环形槽喷射器（案例 N.3））进行了检查。结果表明，喷射器配置强烈控制支柱尾流中的流场、涡流形成和氢扩散。单环形喷射器表现出较强的射流穿透力，但横向混合较弱，而分级配置产生了多个相互作用的剪切层和持续的涡流结构，增强了湍流扩散和夹带。齐平同心设计实现了更广泛的近壁燃料分布，总压力损失最小，但芯混合强度较低。内部空气射流的引入增强了局部剪切相互作用，增加了循环强度，并显着提高了整体混合效率——尤其是分级喷射器，实现了混合性能和气动稳定性之间的最佳平衡。研究结果凸显了多步分级喷射策略的优势，证明了其在优化超音速燃烧器中氢-空气混合同时保持可接受的压力损失的潜力。这种方法为未来超燃冲压发动机推进系统中高效支柱喷油器的设计提供了宝贵的见解。</w:t>
      </w:r>
    </w:p>
    <w:p>
      <w:pPr>
        <w:spacing w:before="120"/>
      </w:pPr>
      <w:r>
        <w:rPr>
          <w:rFonts w:ascii="Times New Roman" w:hAnsi="Times New Roman" w:eastAsia="宋体"/>
          <w:b/>
          <w:sz w:val="21"/>
        </w:rPr>
        <w:t>English Abstract:</w:t>
      </w:r>
    </w:p>
    <w:p>
      <w:r>
        <w:rPr>
          <w:rFonts w:ascii="Times New Roman" w:hAnsi="Times New Roman" w:eastAsia="宋体"/>
          <w:sz w:val="21"/>
        </w:rPr>
        <w:t>Efficient fuel–air mixing remains one of the primary challenges in supersonic combustion chambers due to extremely short residence times and strong compressibility effects. This study presents a three-dimensional numerical investigation of hydrogen injection and mixing in a scramjet combustor equipped with a strut-based injector, focusing on the influence of injector geometry and auxiliary air injection. Three configurations—a single annular injector (Case N.1), a multi-step staged annular injector (Case N.2), and a flush concentric annular-slot injector (Case N.3)—were examined under identical injection surface areas and freestream conditions (Mach = 2, Ps = 1 atm) using ANSYS Fluent with the SST turbulence model and ideal-gas assumptions in a steady-state framework. The results reveal that injector configuration strongly governs the flow field, vortex formation, and hydrogen dispersion in the wake of the strut. The single annular injector exhibited strong jet penetration but weak lateral mixing, while the staged configuration produced multiple interacting shear layers and sustained vortical structures that enhanced turbulent diffusion and entrainment. The flush concentric design achieved broader near-wall fuel distribution with minimal total pressure losses but lower core mixing intensity. The introduction of an internal air jet intensified local shear interactions, increased circulation strength, and significantly improved overall mixing efficiency—most notably for the staged injector, which achieved the best balance between mixing performance and aerodynamic stability. The findings highlight the advantages of the multi-step staged injection strategy, demonstrating its potential to optimize hydrogen–air mixing in supersonic combustors while maintaining acceptable pressure losses. This approach provides valuable insights for the design of high-efficiency strut-based injectors in future scramjet propulsion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两对具有不同放化疗耐药表型的 HPV-59 宫颈癌细胞系</w:t>
      </w:r>
    </w:p>
    <w:p>
      <w:r>
        <w:rPr>
          <w:rFonts w:ascii="Times New Roman" w:hAnsi="Times New Roman" w:eastAsia="宋体"/>
          <w:b/>
          <w:color w:val="003264"/>
          <w:sz w:val="24"/>
        </w:rPr>
        <w:t>Two paired HPV-59 cervical cancer cell lines with distinct chemoradioresistant phenotypes</w:t>
      </w:r>
    </w:p>
    <w:p>
      <w:r>
        <w:rPr>
          <w:rFonts w:ascii="Times New Roman" w:hAnsi="Times New Roman" w:eastAsia="宋体"/>
          <w:sz w:val="21"/>
        </w:rPr>
        <w:t>作者: Irina Tatarnikova, Vadim Talyshev, Aleksandra Sen’kova, Oleg Markov, Darya Mikhailova, Oksana Pashkovskaya, Sergey Krasilnikov, Elena Samoilova, Tatyana Gainer, Evgeniy Brener, Marina Zenkova, Evgeniya Logashenko</w:t>
        <w:br/>
      </w:r>
      <w:r>
        <w:rPr>
          <w:rFonts w:ascii="Times New Roman" w:hAnsi="Times New Roman" w:eastAsia="宋体"/>
          <w:sz w:val="21"/>
        </w:rPr>
        <w:t xml:space="preserve">时间: 2026-02-04 | </w:t>
      </w:r>
      <w:r>
        <w:t xml:space="preserve">链接: </w:t>
      </w:r>
      <w:hyperlink r:id="rId149">
        <w:r>
          <w:rPr>
            <w:rFonts w:ascii="Times New Roman" w:hAnsi="Times New Roman" w:eastAsia="宋体"/>
            <w:color w:val="0000FF"/>
            <w:sz w:val="21"/>
            <w:u w:val="single"/>
          </w:rPr>
          <w:t>https://doi.org/10.1038/s41598-026-36260-4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宫颈癌 (CC) 是全球女性第四大常见癌症，也是癌症相关死亡的主要原因。虽然像HeLa这样的永生化细胞系被广泛使用，但它们常常由于长期培养而失去原始肿瘤的特征。原代细胞培养物提供了更具代表性的模型，因为它们保留了天然肿瘤微环境的关键特征。在这里，我们建立并表征了两种新型人类 CC 细胞系 AdMer35 和 AdMer43，它们独特地源自同一患者 IIIB 期鳞状细胞癌放化疗前 (AdMer35) 和放化疗后 (AdMer43) 的配对肿瘤活检。两个细胞系都表现出稳定的上皮形态（鹅卵石图案）、粘附，细胞角蛋白染色呈阳性，并且具有 HPV-59 DNA 基因组。它们表现出不同的核型：80% 的 AdMer35 细胞接近四倍体（众数 95），而 98% 的 AdMer43 细胞接近三倍体（众数 77）。功能分析揭示了显着差异：AdMer43 增殖速度更快（100 小时时细胞指数约为 3.8，而细胞指数约为 2.1），但 AdMer35 迁移速度更快。至关重要的是，与 AdMer35 相比，AdMer43 对放疗（5 Gy 照射后细胞凋亡最小化和 G2/M 期停滞）和化疗（卡铂的 IC50：87.8 µM vs. 54.3 µM；紫杉醇：7.3 nM vs. 3.0 nM）的耐药性有所增加。两种细胞系在裸鼠中均具有致瘤性，形成组织学上不同的肿瘤。因此，我们提出了一种宫颈癌获得性放化疗耐药的新型配对体外模型。 AdMer35/AdMer43 细胞系对为治疗耐药性和临床前药物筛选的机制研究提供了独特的工具。</w:t>
      </w:r>
    </w:p>
    <w:p>
      <w:pPr>
        <w:spacing w:before="120"/>
      </w:pPr>
      <w:r>
        <w:rPr>
          <w:rFonts w:ascii="Times New Roman" w:hAnsi="Times New Roman" w:eastAsia="宋体"/>
          <w:b/>
          <w:sz w:val="21"/>
        </w:rPr>
        <w:t>English Abstract:</w:t>
      </w:r>
    </w:p>
    <w:p>
      <w:r>
        <w:rPr>
          <w:rFonts w:ascii="Times New Roman" w:hAnsi="Times New Roman" w:eastAsia="宋体"/>
          <w:sz w:val="21"/>
        </w:rPr>
        <w:t>Cervical cancer (CC) is the fourth most common cancer among women worldwide and a leading cause of cancer-related death. While immortalized cell lines like HeLa are widely used, they often lose characteristic features of the original tumor due to long-term cultivation. Primary cell cultures offer a more representative model, as they retain key features of the native tumor microenvironment. Here, we establish and characterize two novel human CC cell lines, AdMer35 and AdMer43, uniquely derived from paired tumor biopsies of the same patient before (AdMer35) and after (AdMer43) chemoradiotherapy for stage IIIB squamous cell carcinoma. Both lines exhibited stable epithelial morphology (cobblestone pattern), adhesion, were positive by cytokeratin staining, and have HPV-59 DNA genomes. They displayed distinct karyotypes: 80% of AdMer35 cells were near-tetraploid (modal number 95), while 98% of AdMer43 cells were near-triploid (modal number 77). Functional assays revealed significant differences: AdMer43 proliferated faster (Cell Index ~ 3.8 vs. ~2.1 at 100 h), but AdMer35 migrated more rapidly. Crucially, AdMer43 demonstrated increased resistance in comparison with AdMer35 to both radiotherapy (minimal apoptosis and G2/M arrest post-5 Gy irradiation) and chemotherapy (IC₅₀ for carboplatin: 87.8 µM vs. 54.3 µM; for paclitaxel: 7.3 nM vs. 3.0 nM). Both lines were tumorigenic in nude mice, forming histologically distinct tumors. Thus, we present a novel paired in vitro model of acquired chemoradioresistance in cervical cancer. The AdMer35/AdMer43 cell line pair provides a unique tool for mechanistic studies of therapy resistance and preclinical drug screening.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一种多功能氧化石墨烯-ZnO纳米杂化物，可快速高效地吸附孔雀石绿并具有强广谱抗菌活性</w:t>
      </w:r>
    </w:p>
    <w:p>
      <w:r>
        <w:rPr>
          <w:rFonts w:ascii="Times New Roman" w:hAnsi="Times New Roman" w:eastAsia="宋体"/>
          <w:b/>
          <w:color w:val="003264"/>
          <w:sz w:val="24"/>
        </w:rPr>
        <w:t>A multifunctional graphene oxide–ZnO nanohybrid for rapid and highly efficient malachite green adsorption and strong broad-spectrum antimicrobial activity</w:t>
      </w:r>
    </w:p>
    <w:p>
      <w:r>
        <w:rPr>
          <w:rFonts w:ascii="Times New Roman" w:hAnsi="Times New Roman" w:eastAsia="宋体"/>
          <w:sz w:val="21"/>
        </w:rPr>
        <w:t>作者: Shayan Ebrahimi, Paria Zanganeh, Sadegh Nouripour-Sisakht, Hamedreza Javadian, Amir Babaie, Raziyeh Khaleghi, Arash Asfaram</w:t>
        <w:br/>
      </w:r>
      <w:r>
        <w:rPr>
          <w:rFonts w:ascii="Times New Roman" w:hAnsi="Times New Roman" w:eastAsia="宋体"/>
          <w:sz w:val="21"/>
        </w:rPr>
        <w:t xml:space="preserve">时间: 2026-02-04 | </w:t>
      </w:r>
      <w:r>
        <w:t xml:space="preserve">链接: </w:t>
      </w:r>
      <w:hyperlink r:id="rId150">
        <w:r>
          <w:rPr>
            <w:rFonts w:ascii="Times New Roman" w:hAnsi="Times New Roman" w:eastAsia="宋体"/>
            <w:color w:val="0000FF"/>
            <w:sz w:val="21"/>
            <w:u w:val="single"/>
          </w:rPr>
          <w:t>https://doi.org/10.1038/s41598-026-36097-x</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开发了一种多功能氧化石墨烯-氧化锌（GO-ZnO）纳米杂化物来解决废水处理中的两个重大挑战：孔雀石绿（MG）的去除和病原微生物的灭活。在优化条件下（25 mg L−1 MG，pH = 9.0，18 mg 吸附剂，25 °C，12 分钟），该材料实现了 96.54% 的 MG 去除率。吸附过程由 Langmuir 等温线（Qmax = 131.91 mg g−1）很好地描述，并遵循伪二级动力学，表明该机制涉及通过静电吸引、π-π相互作用和氢键的化学吸附。该过程是自发的、吸热的，并由熵变驱动。值得注意的是，纳米混合材料在四个再生周期后保持了超过 87% 的吸附效率，每个周期仅使用 1 mL 甲醇。它还在真实水样（包括自来水、河水和工业废水）中表现出强大的性能，尽管这些基质很复杂，但仍保持超过 88% 的 MG 去除效率。除了吸附能力外，纳米杂化物还表现出强大的广谱抗菌活性，对鲍曼不动杆菌临床分离株的最低抑菌浓度 (MIC) 低至 0.313 mg mL−1，对大肠杆菌 (ATCC) 的最低抑菌浓度 (MIC) 低至 0.625 mg mL−1，对金黄色葡萄球菌和耐氟康唑白色念珠菌的最低抑菌浓度 (MIC) 1.25 mg mL−1。这种双重功能源于协同机制：ZnO 介导的 ROS 生成和 GO 诱导的物理膜破坏。总体而言，超快动力学、高可重复使用性、环境适应能力和综合解毒消毒能力凸显了 GO-ZnO 纳米杂化物作为先进水净化的一种有前途且可持续的解决方案，满足了危险污染物管理中对多功能材料的迫切需求。</w:t>
      </w:r>
    </w:p>
    <w:p>
      <w:pPr>
        <w:spacing w:before="120"/>
      </w:pPr>
      <w:r>
        <w:rPr>
          <w:rFonts w:ascii="Times New Roman" w:hAnsi="Times New Roman" w:eastAsia="宋体"/>
          <w:b/>
          <w:sz w:val="21"/>
        </w:rPr>
        <w:t>English Abstract:</w:t>
      </w:r>
    </w:p>
    <w:p>
      <w:r>
        <w:rPr>
          <w:rFonts w:ascii="Times New Roman" w:hAnsi="Times New Roman" w:eastAsia="宋体"/>
          <w:sz w:val="21"/>
        </w:rPr>
        <w:t>A multifunctional graphene oxide–zinc oxide (GO–ZnO) nanohybrid was developed to tackle two significant challenges in wastewater treatment: the removal of malachite green (MG) and the inactivation of pathogenic microorganisms. Under optimized conditions (25 mg L−1 MG, pH = 9.0, 18 mg adsorbent, 25 °C, 12 min), this material achieved a remarkable 96.54% removal of MG. The adsorption process was well-described by the Langmuir isotherm (Qmax = 131.91 mg g−1) and followed pseudo-second-order kinetics, indicating that the mechanism involved chemisorption through electrostatic attraction, π–π interactions, and hydrogen bonding. The process was spontaneous, endothermic, and driven by entropy changes. Notably, the nanohybrid maintained an adsorption efficiency of over 87% after four regeneration cycles, using only 1 mL of methanol per cycle. It also demonstrated robust performance in real water samples, including tap water, river water, and industrial wastewater, retaining an MG removal efficiency of over 88% despite the complexity of these matrices. In addition to its adsorption capabilities, the nanohybrid exhibited potent broad-spectrum antimicrobial activity, with minimum inhibitory concentrations (MICs) as low as 0.313 mg mL⁻¹ against a clinical isolate of Acinetobacter baumannii, 0.625 mg mL−1 against Escherichia coli (ATCC), and 1.25 mg mL−1 against Staphylococcus aureus and fluconazole-resistant Candida albicans. This dual functionality stems from synergistic mechanisms: ROS generation mediated by ZnO and physical membrane disruption induced by GO. Overall, the ultrafast kinetics, high reusability, environmental resilience, and integrated detoxification-disinfection capabilities highlight the GO–ZnO nanohybrid as a promising and sustainable solution for advanced water purification, meeting the urgent demand for multifunctional materials in hazardous contaminant management.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成人 II 型糖尿病的类淋巴系统损伤</w:t>
      </w:r>
    </w:p>
    <w:p>
      <w:r>
        <w:rPr>
          <w:rFonts w:ascii="Times New Roman" w:hAnsi="Times New Roman" w:eastAsia="宋体"/>
          <w:b/>
          <w:color w:val="003264"/>
          <w:sz w:val="24"/>
        </w:rPr>
        <w:t>Glymphatic system impairment in type II diabetes mellitus adults</w:t>
      </w:r>
    </w:p>
    <w:p>
      <w:r>
        <w:rPr>
          <w:rFonts w:ascii="Times New Roman" w:hAnsi="Times New Roman" w:eastAsia="宋体"/>
          <w:sz w:val="21"/>
        </w:rPr>
        <w:t>作者: Bhaswati Roy, Veronica Lubera, Kamal R. Singh, Anshita Singh, Dineth R. Karunamuni, Diana E. Kosoyan, Megan Carrier, Sarah E. Choi, Matthew J. Freeby, Rajesh Kumar</w:t>
        <w:br/>
      </w:r>
      <w:r>
        <w:rPr>
          <w:rFonts w:ascii="Times New Roman" w:hAnsi="Times New Roman" w:eastAsia="宋体"/>
          <w:sz w:val="21"/>
        </w:rPr>
        <w:t xml:space="preserve">时间: 2026-02-04 | </w:t>
      </w:r>
      <w:r>
        <w:t xml:space="preserve">链接: </w:t>
      </w:r>
      <w:hyperlink r:id="rId151">
        <w:r>
          <w:rPr>
            <w:rFonts w:ascii="Times New Roman" w:hAnsi="Times New Roman" w:eastAsia="宋体"/>
            <w:color w:val="0000FF"/>
            <w:sz w:val="21"/>
            <w:u w:val="single"/>
          </w:rPr>
          <w:t>https://doi.org/10.1038/s41598-026-36573-4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2 型糖尿病 (T2DM) 与多种全身并发症相关，包括认知能力下降和神经退行性疾病风险增加。类淋巴系统是一种大脑废物清除途径，可能会因 T2DM 中常见的睡眠障碍而受损，但尚未在这种情况下进行检查。因此，目的是使用沿血管周围空间（DTI-ALPS）指数的弥散张量成像来评估 T2DM 受试者的类淋巴系统。共有 78 名 T2DM 成人和 106 名健康对照者接受了脑部 MRI 检查。使用匹兹堡睡眠质量指数 (PSQI) 和 Epworth 嗜睡量表 (ESS) 评估睡眠问题，并使用蒙特利尔认知评估 (MoCA) 评估认知问题。通过协方差分析（协变量、年龄、性别和 BMI）评估 DTI-ALPS、睡眠指标和 MoCA 评分的组间差异。除了年龄、性别和 BMI 之外，还包括其他协变量（MoCA、ESS 和睡眠呼吸暂停状态）来检查组间 DTI-ALPS 差异。进行相关性分析以评估 T2DM 成人睡眠指标（PSQI 和 ESS）、病程、HbA1c 水平和 DTI-ALPS 指数之间的关联。 T2DM 患者表现出较高的 PSQI (p = 0.03) 和 ESS (p = 0.004)，反映出睡眠质量较差且白天嗜睡增加。 T2DM 成人的 MoCA 评分显着较低 (p = 0.001)，视觉空间技能、注意力和语言出现障碍。此外，与对照组相比，T2DM 患者的 DTI-ALPS 值显着降低（p = 0.017），但在 T2DM 成人中，DTI-ALPS 指数与其他指标之间没有发现显着关联。 T2DM 成人表现出类淋巴功能受损以及睡眠质量差和白天嗜睡的症状。研究结果表明，可能由代谢、血管和睡眠相关障碍引起的类淋巴功能障碍可能会加剧 2 型糖尿病成人的认知缺陷。</w:t>
      </w:r>
    </w:p>
    <w:p>
      <w:pPr>
        <w:spacing w:before="120"/>
      </w:pPr>
      <w:r>
        <w:rPr>
          <w:rFonts w:ascii="Times New Roman" w:hAnsi="Times New Roman" w:eastAsia="宋体"/>
          <w:b/>
          <w:sz w:val="21"/>
        </w:rPr>
        <w:t>English Abstract:</w:t>
      </w:r>
    </w:p>
    <w:p>
      <w:r>
        <w:rPr>
          <w:rFonts w:ascii="Times New Roman" w:hAnsi="Times New Roman" w:eastAsia="宋体"/>
          <w:sz w:val="21"/>
        </w:rPr>
        <w:t>Abstract Type 2 diabetes mellitus (T2DM) is associated with multiple systemic complications, including cognitive decline and increased risk of neurodegenerative diseases. The glymphatic system, a brain waste-clearance pathway that can be impaired by sleep disturbances common in T2DM, has not yet been examined in the condition. Therefore, the aim was to evaluate glymphatic system in T2DM subjects using diffusion tensor imaging along the perivascular space (DTI-ALPS) index. A total of 78 T2DM adults and 106 healthy controls underwent brain MRI. Sleep issues were assessed using the Pittsburgh Sleep Quality Index (PSQI) and Epworth Sleepiness Scale (ESS), and cognition with the Montreal Cognitive Assessment (MoCA). Group differences in DTI-ALPS, sleep metrics, and MoCA scores were assessed with analysis of covariance (covariates, age, sex, and BMI). Other covariates (MoCA, ESS, and sleep apnea status) were also included to examine DTI-ALPS differences between groups, in addition to age, sex and BMI. Correlations analyses were performed to assess associations between sleep measures (PSQI and ESS), disease duration, HbA1c levels, and DTI-ALPS indices in T2DM adults. T2DM patients exhibited higher PSQI ( p = 0.03) and ESS ( p = 0.004), reflecting poorer sleep quality and increased daytime sleepiness. MoCA scores were significantly lower in T2DM adults ( p = 0.001), with impairments emerged in visuospatial skills, attention, and language. Also, significantly reduced DTI-ALPS values appeared in T2DM over controls ( p = 0.017), but no significant associations were found between DTI-ALPS index and other measures in T2DM adults. T2DM adults show impaired glymphatic function along with poor sleep quality and daytime sleepiness. The findings indicate that glymphatic dysfunction, potentially-driven by metabolic, vascular, and sleep-related disturbances may exacerbate cognitive deficits in T2DM adults.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胶质母细胞瘤的 3D 异型模型揭示了小胶质细胞对细胞组织和独特分泌组产生的影响</w:t>
      </w:r>
    </w:p>
    <w:p>
      <w:r>
        <w:rPr>
          <w:rFonts w:ascii="Times New Roman" w:hAnsi="Times New Roman" w:eastAsia="宋体"/>
          <w:b/>
          <w:color w:val="003264"/>
          <w:sz w:val="24"/>
        </w:rPr>
        <w:t>3D heterotypic models of glioblastoma reveal the impact of microglia on cellular organization and the production of a distinct secretome</w:t>
      </w:r>
    </w:p>
    <w:p>
      <w:r>
        <w:rPr>
          <w:rFonts w:ascii="Times New Roman" w:hAnsi="Times New Roman" w:eastAsia="宋体"/>
          <w:sz w:val="21"/>
        </w:rPr>
        <w:t>作者: Clara García-Sáez, Josune Alonso-Marañón, Mikel García-Puga, Ane Rubio-Zulaika, Irati de Goñi-Garcia, Lorea Blázquez, Sandra Camarero-Espinosa</w:t>
        <w:br/>
      </w:r>
      <w:r>
        <w:rPr>
          <w:rFonts w:ascii="Times New Roman" w:hAnsi="Times New Roman" w:eastAsia="宋体"/>
          <w:sz w:val="21"/>
        </w:rPr>
        <w:t xml:space="preserve">时间: 2026-02-04 | </w:t>
      </w:r>
      <w:r>
        <w:t xml:space="preserve">链接: </w:t>
      </w:r>
      <w:hyperlink r:id="rId152">
        <w:r>
          <w:rPr>
            <w:rFonts w:ascii="Times New Roman" w:hAnsi="Times New Roman" w:eastAsia="宋体"/>
            <w:color w:val="0000FF"/>
            <w:sz w:val="21"/>
            <w:u w:val="single"/>
          </w:rPr>
          <w:t>https://doi.org/10.1038/s41598-026-37395-0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胶质母细胞瘤（GBM）是一种致命的脑肿瘤，预后极差。由于缺乏反映肿瘤微环境复杂性的适当临床前模型，尤其是小胶质细胞的关键作用，新疗法的开发受到阻碍。在这项研究中，我们使用人源化 3D 球体研究了小胶质细胞对 GBM 模型的影响。同型和异型球体是由 GBM 衍生细胞系 (DKMG) 或患者衍生神经胶质瘤干细胞 (GB22-13) 以及小胶质细胞系 (HMC3) 创建的。与同型球体相比，异型胶质瘤-HMC3 球体表现出增殖增加和对化疗药物替莫唑胺更强的耐药性。异型球体也变得更大，在7天内形成多核结构，并且具有更大的侵袭潜力。此外，异型球体中出现了独特的核壳结构，神经胶质瘤细胞集中在核心，周围的小胶质细胞层形成保护壳，似乎阻碍了药物渗透到肿瘤核心。此外，异型细胞能够诱导外周血单核细胞 (THP-1) 向 M2 表型迁移和极化，从而增加免疫逃避。这些发现强调了小胶质细胞在 GBM 发育和进展中的关键作用，证明了它们对减少药物扩散和增加肿瘤生长的贡献。</w:t>
      </w:r>
    </w:p>
    <w:p>
      <w:pPr>
        <w:spacing w:before="120"/>
      </w:pPr>
      <w:r>
        <w:rPr>
          <w:rFonts w:ascii="Times New Roman" w:hAnsi="Times New Roman" w:eastAsia="宋体"/>
          <w:b/>
          <w:sz w:val="21"/>
        </w:rPr>
        <w:t>English Abstract:</w:t>
      </w:r>
    </w:p>
    <w:p>
      <w:r>
        <w:rPr>
          <w:rFonts w:ascii="Times New Roman" w:hAnsi="Times New Roman" w:eastAsia="宋体"/>
          <w:sz w:val="21"/>
        </w:rPr>
        <w:t>Abstract Glioblastoma (GBM) is a deadly brain tumor with a very poor prognosis. Development of new therapeutics is hindered by the lack of appropriate preclinical models that reflect the complexity of the tumor microenvironment, especially the crucial role of microglia. In this study, we investigated the impact of microglia on GBM models using humanized 3D spheroids. Homotypic and heterotypic spheroids were created out of a GBM-derived cell line (DKMG) or patient-derived glioma stem cells (GB22-13), along with a microglia cell line (HMC3). Heterotypic glioma-HMC3 spheroids exhibited increased proliferation and greater drug resistance to chemotherapy drug Temozolomide compared with homotypic spheroids. Heterotypic spheroids also grew larger, developed multinucleated structures within 7 days, and had a greater invasive potential. Additionally, a distinct core-shell structure emerged in the heterotypic spheroids, with glioma cells concentrated in the core and a surrounding layer of microglia forming a protective shell that appeared to hinder drug penetration to the tumor core. Further, heterotypic cells were able to induce migration and polarization of peripheral blood monocytes (THP-1) towards M2 phenotypes, increasing immune evasion. These findings highlight the critical role of microglia in GBM development and progression, demonstrating their contribution to both reduced drug diffusion and increased tumor growth.</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Opto-Electronic Advances</w:t>
      </w:r>
    </w:p>
    <w:p>
      <w:pPr>
        <w:jc w:val="center"/>
      </w:pPr>
      <w:r>
        <w:t>--- 更新: 00:28 ---</w:t>
      </w:r>
    </w:p>
    <w:p>
      <w:pPr>
        <w:pStyle w:val="Heading2"/>
      </w:pPr>
      <w:r/>
      <w:r>
        <w:rPr>
          <w:rFonts w:ascii="Times New Roman" w:hAnsi="Times New Roman" w:eastAsia="宋体"/>
          <w:b/>
          <w:color w:val="000000"/>
          <w:sz w:val="24"/>
        </w:rPr>
        <w:t>集成光纤器件</w:t>
      </w:r>
    </w:p>
    <w:p>
      <w:r>
        <w:rPr>
          <w:rFonts w:ascii="Times New Roman" w:hAnsi="Times New Roman" w:eastAsia="宋体"/>
          <w:b/>
          <w:color w:val="003264"/>
          <w:sz w:val="24"/>
        </w:rPr>
        <w:t>Integrated optical fiber devices</w:t>
      </w:r>
    </w:p>
    <w:p>
      <w:r>
        <w:rPr>
          <w:rFonts w:ascii="Times New Roman" w:hAnsi="Times New Roman" w:eastAsia="宋体"/>
          <w:sz w:val="21"/>
        </w:rPr>
        <w:t>作者: Wei Jin</w:t>
        <w:br/>
      </w:r>
      <w:r>
        <w:rPr>
          <w:rFonts w:ascii="Times New Roman" w:hAnsi="Times New Roman" w:eastAsia="宋体"/>
          <w:sz w:val="21"/>
        </w:rPr>
        <w:t xml:space="preserve">时间: 2026 | </w:t>
      </w:r>
      <w:r>
        <w:t xml:space="preserve">链接: </w:t>
      </w:r>
      <w:hyperlink r:id="rId14">
        <w:r>
          <w:rPr>
            <w:rFonts w:ascii="Times New Roman" w:hAnsi="Times New Roman" w:eastAsia="宋体"/>
            <w:color w:val="0000FF"/>
            <w:sz w:val="21"/>
            <w:u w:val="single"/>
          </w:rPr>
          <w:t>https://doi.org/10.29026/oea.2026.250323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将功能材料、光子结构和电路集成在光纤平台中为一系列新颖的应用提供了机会。最近，Yuan TT等人对光纤内光子集成器件和系统的发展进行了全面的回顾，包括历史背景、集成方法、结构和材料、功能和性能，以及在传感、通信、信号操纵和处理、医疗诊断和治疗方面的应用。该评论还包括对未来研究方向的深刻分析和讨论。</w:t>
      </w:r>
    </w:p>
    <w:p>
      <w:pPr>
        <w:spacing w:before="120"/>
      </w:pPr>
      <w:r>
        <w:rPr>
          <w:rFonts w:ascii="Times New Roman" w:hAnsi="Times New Roman" w:eastAsia="宋体"/>
          <w:b/>
          <w:sz w:val="21"/>
        </w:rPr>
        <w:t>English Abstract:</w:t>
      </w:r>
    </w:p>
    <w:p>
      <w:r>
        <w:rPr>
          <w:rFonts w:ascii="Times New Roman" w:hAnsi="Times New Roman" w:eastAsia="宋体"/>
          <w:sz w:val="21"/>
        </w:rPr>
        <w:t>Integrating functional materials, photonic structures and circuits in an optical fiber platform provides opportunities for a range of novel applications. Recently, Yuan TT et al presents a comprehensive review on the development of in-fiber photonic integrated devices and systems, including historic background, methods of integration, structures and materials, functionalities and performances, as well as applications in sensing, communications, signal manipulation and processing, medical diagnosis and treatment. The review also includes insightful analysis and discussion of future research directions.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用于空频复用无线通信的环境能量驱动的空时编码超表面</w:t>
      </w:r>
    </w:p>
    <w:p>
      <w:r>
        <w:rPr>
          <w:rFonts w:ascii="Times New Roman" w:hAnsi="Times New Roman" w:eastAsia="宋体"/>
          <w:b/>
          <w:color w:val="003264"/>
          <w:sz w:val="24"/>
        </w:rPr>
        <w:t>Ambient-energy-driven space-time-coding metasurface for space-frequency-division multiplexing wireless communications</w:t>
      </w:r>
    </w:p>
    <w:p>
      <w:r>
        <w:rPr>
          <w:rFonts w:ascii="Times New Roman" w:hAnsi="Times New Roman" w:eastAsia="宋体"/>
          <w:sz w:val="21"/>
        </w:rPr>
        <w:t>作者: Han Wei Tian, Chao Song, Dong Jie Wang, Qian Zhu, Tie Jun Cui, Wei Xiang Jiang</w:t>
        <w:br/>
      </w:r>
      <w:r>
        <w:rPr>
          <w:rFonts w:ascii="Times New Roman" w:hAnsi="Times New Roman" w:eastAsia="宋体"/>
          <w:sz w:val="21"/>
        </w:rPr>
        <w:t xml:space="preserve">时间: 2026 | </w:t>
      </w:r>
      <w:r>
        <w:t xml:space="preserve">链接: </w:t>
      </w:r>
      <w:hyperlink r:id="rId15">
        <w:r>
          <w:rPr>
            <w:rFonts w:ascii="Times New Roman" w:hAnsi="Times New Roman" w:eastAsia="宋体"/>
            <w:color w:val="0000FF"/>
            <w:sz w:val="21"/>
            <w:u w:val="single"/>
          </w:rPr>
          <w:t>https://doi.org/10.29026/oea.2026.250229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可编程超表面由于其动态灵活地操纵电磁（EM）波的能力，在无线通信领域显示出非凡的潜力。然而，可编程超表面的大规模应用和灵活部署仍然面临着高通信容量要求和严格的能量约束的挑战。在这里，我们报告了一种环境能量驱动的时空编码超表面来解决这些问题。一方面，超表面可以通过动态控制反射电磁波的多个频率和空间传播方向来实现高效的空频复用操作。另一方面，超表面的共享孔径环境太阳能收集能力和低功耗特性使其能够自供电，无需依赖任何外部电源。为了展示这些显着的功能，使用可编程超表面构建了四通道无线通信系统原型。实验结果证实，四个不同的图像可以同时、独立、实时地传输到四个用户终端，并且每比特的能耗非常低。这种创新的超表面提供了一种简单有效的方法，可以在单个物理平台上集成环境能量收集、多维微波操纵和直接信息调制，这将在成本效益、增强容量、能源效率和环境友好方面推动无线通信。</w:t>
      </w:r>
    </w:p>
    <w:p>
      <w:pPr>
        <w:spacing w:before="120"/>
      </w:pPr>
      <w:r>
        <w:rPr>
          <w:rFonts w:ascii="Times New Roman" w:hAnsi="Times New Roman" w:eastAsia="宋体"/>
          <w:b/>
          <w:sz w:val="21"/>
        </w:rPr>
        <w:t>English Abstract:</w:t>
      </w:r>
    </w:p>
    <w:p>
      <w:r>
        <w:rPr>
          <w:rFonts w:ascii="Times New Roman" w:hAnsi="Times New Roman" w:eastAsia="宋体"/>
          <w:sz w:val="21"/>
        </w:rPr>
        <w:t>Programmable metasurfaces have shown exceptional potentials in wireless communications due to their capability to manipulate electromagnetic (EM) waves dynamically and flexibly. However, the large-scale application and flexible deployment of programmable metasurfaces still face challenges of high communication capacity requirements and stringent energy constraints. Here, we report an ambient-energy-driven space-time-coding metasurface to address these issues. On one hand, the metasurface can achieve efficient space-frequency-division multiplexing manipulations by dynamically controlling multiple frequencies and the spatial propagation directions of reflection EM waves. On the other hand, the shared-aperture ambient solar energy harvesting capability and low power consumption characteristic of the metasurface enable it to be self-powered without relying on any external power supply. To demonstrate these remarkable features, a four-channel wireless communication system prototype is built using the programmable metasurface. Experimental results confirm that four distinct images can be transmitted to four user terminals simultaneously, independently, and in real time with remarkably low energy consumption per bit. Such innovative metasurface provides a simple and effective approach for integrating ambient energy harvesting, multi-dimensional microwave manipulation, and direct information modulation on a single physical platform, which will advance the wireless communications in cost-effectiveness, enhanced capacity, energy efficiency, and environmental friendliness.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Displays</w:t>
      </w:r>
    </w:p>
    <w:p>
      <w:pPr>
        <w:jc w:val="center"/>
      </w:pPr>
      <w:r>
        <w:t>--- 更新: 00:28 ---</w:t>
      </w:r>
    </w:p>
    <w:p>
      <w:pPr>
        <w:pStyle w:val="Heading2"/>
      </w:pPr>
      <w:r/>
      <w:r>
        <w:rPr>
          <w:rFonts w:ascii="Times New Roman" w:hAnsi="Times New Roman" w:eastAsia="宋体"/>
          <w:b/>
          <w:color w:val="000000"/>
          <w:sz w:val="24"/>
        </w:rPr>
        <w:t>通过表面等离子体处理和溶液润湿性增强实现高密度 Micro-LED 的高质量 Ni 微凸块的化学镀</w:t>
      </w:r>
    </w:p>
    <w:p>
      <w:r>
        <w:rPr>
          <w:rFonts w:ascii="Times New Roman" w:hAnsi="Times New Roman" w:eastAsia="宋体"/>
          <w:b/>
          <w:color w:val="003264"/>
          <w:sz w:val="24"/>
        </w:rPr>
        <w:t>Electroless plating of high-quality Ni microbumps for high-density micro-LEDs realized via surface plasma treatment and solution wettability enhancement</w:t>
      </w:r>
    </w:p>
    <w:p>
      <w:r>
        <w:rPr>
          <w:rFonts w:ascii="Times New Roman" w:hAnsi="Times New Roman" w:eastAsia="宋体"/>
          <w:sz w:val="21"/>
        </w:rPr>
        <w:t>作者: Shuaishuai Wang, Zhihua Wang, Peiquan Zheng, Yijian Zhou, Chengwu Wu, Taifu Lang, Xin Lin, Xin Wu, Caihong Yan, Qun Yan, Kaixin Zhang, Jie Sun</w:t>
        <w:br/>
      </w:r>
      <w:r>
        <w:rPr>
          <w:rFonts w:ascii="Times New Roman" w:hAnsi="Times New Roman" w:eastAsia="宋体"/>
          <w:sz w:val="21"/>
        </w:rPr>
        <w:t xml:space="preserve">时间: 2026-02-01 | </w:t>
      </w:r>
      <w:r>
        <w:t xml:space="preserve">链接: </w:t>
      </w:r>
      <w:hyperlink r:id="rId16">
        <w:r>
          <w:rPr>
            <w:rFonts w:ascii="Times New Roman" w:hAnsi="Times New Roman" w:eastAsia="宋体"/>
            <w:color w:val="0000FF"/>
            <w:sz w:val="21"/>
            <w:u w:val="single"/>
          </w:rPr>
          <w:t>https://doi.org/10.1016/j.displa.2026.103370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and Lasers in Engineering</w:t>
      </w:r>
    </w:p>
    <w:p>
      <w:pPr>
        <w:jc w:val="center"/>
      </w:pPr>
      <w:r>
        <w:t>--- 更新: 00:28 ---</w:t>
      </w:r>
    </w:p>
    <w:p>
      <w:pPr>
        <w:pStyle w:val="Heading2"/>
      </w:pPr>
      <w:r/>
      <w:r>
        <w:rPr>
          <w:rFonts w:ascii="Times New Roman" w:hAnsi="Times New Roman" w:eastAsia="宋体"/>
          <w:b/>
          <w:color w:val="000000"/>
          <w:sz w:val="24"/>
        </w:rPr>
        <w:t>相移干涉波前的广义纹波抑制算法</w:t>
      </w:r>
    </w:p>
    <w:p>
      <w:r>
        <w:rPr>
          <w:rFonts w:ascii="Times New Roman" w:hAnsi="Times New Roman" w:eastAsia="宋体"/>
          <w:b/>
          <w:color w:val="003264"/>
          <w:sz w:val="24"/>
        </w:rPr>
        <w:t>Generalized ripple suppression algorithm for phase-shift interferometric wavefronts</w:t>
      </w:r>
    </w:p>
    <w:p>
      <w:r>
        <w:rPr>
          <w:rFonts w:ascii="Times New Roman" w:hAnsi="Times New Roman" w:eastAsia="宋体"/>
          <w:sz w:val="21"/>
        </w:rPr>
        <w:t>作者: Yuqing Liu, Donghui Zheng, Lei Chen, Zhe Zhang</w:t>
        <w:br/>
      </w:r>
      <w:r>
        <w:rPr>
          <w:rFonts w:ascii="Times New Roman" w:hAnsi="Times New Roman" w:eastAsia="宋体"/>
          <w:sz w:val="21"/>
        </w:rPr>
        <w:t xml:space="preserve">时间: 2026-06-01 | </w:t>
      </w:r>
      <w:r>
        <w:t xml:space="preserve">链接: </w:t>
      </w:r>
      <w:hyperlink r:id="rId17">
        <w:r>
          <w:rPr>
            <w:rFonts w:ascii="Times New Roman" w:hAnsi="Times New Roman" w:eastAsia="宋体"/>
            <w:color w:val="0000FF"/>
            <w:sz w:val="21"/>
            <w:u w:val="single"/>
          </w:rPr>
          <w:t>https://doi.org/10.1016/j.optlaseng.2026.109674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Communications</w:t>
      </w:r>
    </w:p>
    <w:p>
      <w:pPr>
        <w:jc w:val="center"/>
      </w:pPr>
      <w:r>
        <w:t>--- 更新: 00:28 ---</w:t>
      </w:r>
    </w:p>
    <w:p>
      <w:pPr>
        <w:pStyle w:val="Heading2"/>
      </w:pPr>
      <w:r/>
      <w:r>
        <w:rPr>
          <w:rFonts w:ascii="Times New Roman" w:hAnsi="Times New Roman" w:eastAsia="宋体"/>
          <w:b/>
          <w:color w:val="000000"/>
          <w:sz w:val="24"/>
        </w:rPr>
        <w:t>小透镜阵列积分场光谱仪(IFS)多级光谱重叠抑制的研究与设计</w:t>
      </w:r>
    </w:p>
    <w:p>
      <w:r>
        <w:rPr>
          <w:rFonts w:ascii="Times New Roman" w:hAnsi="Times New Roman" w:eastAsia="宋体"/>
          <w:b/>
          <w:color w:val="003264"/>
          <w:sz w:val="24"/>
        </w:rPr>
        <w:t>Research and Design of Multi-Order Spectral Overlap Suppression in a Lenslet Array Integral Field Spectrometer (IFS)</w:t>
      </w:r>
    </w:p>
    <w:p>
      <w:r>
        <w:rPr>
          <w:rFonts w:ascii="Times New Roman" w:hAnsi="Times New Roman" w:eastAsia="宋体"/>
          <w:sz w:val="21"/>
        </w:rPr>
        <w:t>作者: Jing Cui, Chao Wang, Yingchao Li, Qiang Fu, Xiangyu Li, Jianan Liu</w:t>
        <w:br/>
      </w:r>
      <w:r>
        <w:rPr>
          <w:rFonts w:ascii="Times New Roman" w:hAnsi="Times New Roman" w:eastAsia="宋体"/>
          <w:sz w:val="21"/>
        </w:rPr>
        <w:t xml:space="preserve">时间: 2026-02-01 | </w:t>
      </w:r>
      <w:r>
        <w:t xml:space="preserve">链接: </w:t>
      </w:r>
      <w:hyperlink r:id="rId18">
        <w:r>
          <w:rPr>
            <w:rFonts w:ascii="Times New Roman" w:hAnsi="Times New Roman" w:eastAsia="宋体"/>
            <w:color w:val="0000FF"/>
            <w:sz w:val="21"/>
            <w:u w:val="single"/>
          </w:rPr>
          <w:t>https://doi.org/10.1016/j.optcom.2026.132989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 DFB-LD 与微环谐振器耦合生成可调谐带宽混沌信号</w:t>
      </w:r>
    </w:p>
    <w:p>
      <w:r>
        <w:rPr>
          <w:rFonts w:ascii="Times New Roman" w:hAnsi="Times New Roman" w:eastAsia="宋体"/>
          <w:b/>
          <w:color w:val="003264"/>
          <w:sz w:val="24"/>
        </w:rPr>
        <w:t>Generation of tunable bandwidth chaotic signals using a DFB-LD coupled with a microring resonator</w:t>
      </w:r>
    </w:p>
    <w:p>
      <w:r>
        <w:rPr>
          <w:rFonts w:ascii="Times New Roman" w:hAnsi="Times New Roman" w:eastAsia="宋体"/>
          <w:sz w:val="21"/>
        </w:rPr>
        <w:t>作者: Renhao Deng, Qiupin Wang, Ziyi Kang, Pu Ou, Yingke Xie, Dan Lu, Junqi Liu, Zhengmao Wu, Guangqiong Xia</w:t>
        <w:br/>
      </w:r>
      <w:r>
        <w:rPr>
          <w:rFonts w:ascii="Times New Roman" w:hAnsi="Times New Roman" w:eastAsia="宋体"/>
          <w:sz w:val="21"/>
        </w:rPr>
        <w:t xml:space="preserve">时间: 2026-02-01 | </w:t>
      </w:r>
      <w:r>
        <w:t xml:space="preserve">链接: </w:t>
      </w:r>
      <w:hyperlink r:id="rId45">
        <w:r>
          <w:rPr>
            <w:rFonts w:ascii="Times New Roman" w:hAnsi="Times New Roman" w:eastAsia="宋体"/>
            <w:color w:val="0000FF"/>
            <w:sz w:val="21"/>
            <w:u w:val="single"/>
          </w:rPr>
          <w:t>https://doi.org/10.1016/j.optcom.2026.132994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腔磁力力学中的磁振子压缩增强分数磁振子频率梳</w:t>
      </w:r>
    </w:p>
    <w:p>
      <w:r>
        <w:rPr>
          <w:rFonts w:ascii="Times New Roman" w:hAnsi="Times New Roman" w:eastAsia="宋体"/>
          <w:b/>
          <w:color w:val="003264"/>
          <w:sz w:val="24"/>
        </w:rPr>
        <w:t>Magnon-squeezing-enhanced fractional magnonic frequency combs in cavity magnomechanics</w:t>
      </w:r>
    </w:p>
    <w:p>
      <w:r>
        <w:rPr>
          <w:rFonts w:ascii="Times New Roman" w:hAnsi="Times New Roman" w:eastAsia="宋体"/>
          <w:sz w:val="21"/>
        </w:rPr>
        <w:t>作者: Lina Zhou, Hongyun Chen, Shuyao Lei, Caihua Nie, Pengshun Luo</w:t>
        <w:br/>
      </w:r>
      <w:r>
        <w:rPr>
          <w:rFonts w:ascii="Times New Roman" w:hAnsi="Times New Roman" w:eastAsia="宋体"/>
          <w:sz w:val="21"/>
        </w:rPr>
        <w:t xml:space="preserve">时间: 2026-02-01 | </w:t>
      </w:r>
      <w:r>
        <w:t xml:space="preserve">链接: </w:t>
      </w:r>
      <w:hyperlink r:id="rId46">
        <w:r>
          <w:rPr>
            <w:rFonts w:ascii="Times New Roman" w:hAnsi="Times New Roman" w:eastAsia="宋体"/>
            <w:color w:val="0000FF"/>
            <w:sz w:val="21"/>
            <w:u w:val="single"/>
          </w:rPr>
          <w:t>https://doi.org/10.1016/j.optcom.2026.132995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Express</w:t>
      </w:r>
    </w:p>
    <w:p>
      <w:pPr>
        <w:jc w:val="center"/>
      </w:pPr>
      <w:r>
        <w:t>--- 更新: 00:28 ---</w:t>
      </w:r>
    </w:p>
    <w:p>
      <w:pPr>
        <w:pStyle w:val="Heading2"/>
      </w:pPr>
      <w:r/>
      <w:r>
        <w:rPr>
          <w:rFonts w:ascii="Times New Roman" w:hAnsi="Times New Roman" w:eastAsia="宋体"/>
          <w:b/>
          <w:color w:val="000000"/>
          <w:sz w:val="24"/>
        </w:rPr>
        <w:t>近短波红外超宽带消色差超透镜的设计</w:t>
      </w:r>
    </w:p>
    <w:p>
      <w:r>
        <w:rPr>
          <w:rFonts w:ascii="Times New Roman" w:hAnsi="Times New Roman" w:eastAsia="宋体"/>
          <w:b/>
          <w:color w:val="003264"/>
          <w:sz w:val="24"/>
        </w:rPr>
        <w:t>Design of an ultra-broadband achromatic metalens from the near- to short-wave infrared</w:t>
      </w:r>
    </w:p>
    <w:p>
      <w:r>
        <w:rPr>
          <w:rFonts w:ascii="Times New Roman" w:hAnsi="Times New Roman" w:eastAsia="宋体"/>
          <w:sz w:val="21"/>
        </w:rPr>
        <w:t>作者: Yutong Xu, Tailei Wang, Yangyang Zou, Bin Wu, Yongnan Lu, Jiakun Zhang, Liu Zhang, Hua Liu</w:t>
        <w:br/>
      </w:r>
      <w:r>
        <w:rPr>
          <w:rFonts w:ascii="Times New Roman" w:hAnsi="Times New Roman" w:eastAsia="宋体"/>
          <w:sz w:val="21"/>
        </w:rPr>
        <w:t xml:space="preserve">时间: 2026-01-28 | </w:t>
      </w:r>
      <w:r>
        <w:t xml:space="preserve">链接: </w:t>
      </w:r>
      <w:hyperlink r:id="rId19">
        <w:r>
          <w:rPr>
            <w:rFonts w:ascii="Times New Roman" w:hAnsi="Times New Roman" w:eastAsia="宋体"/>
            <w:color w:val="0000FF"/>
            <w:sz w:val="21"/>
            <w:u w:val="single"/>
          </w:rPr>
          <w:t>https://doi.org/10.1364/oe.582012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超透镜对于小型化和高度集成的光学系统至关重要，但其固有的色散限制了更广泛的应用。尽管最近的设计改进了消色差性能，但在近波和短波红外光谱范围内实现超宽带消色差仍然具有挑战性，特别是在协调加工可行性与结构稳定性时。针对这一挑战，本文提出了一种半嵌入式单元，它可以有效缓解性能和制造可行性之间的权衡。通过模拟和分析孔径为 62μm、焦距为 65μm 的超透镜，我们证明所提出的结构即使在入射角高达 23°（相当于 46° 视场）的倾斜照明下，也能在 1000–2400 nm 波长范围内实现消色差聚焦。在工作波长带内，超透镜的焦平面偏移最大限制为 4.5%。它的平均绝对聚焦效率为42.66%，半峰全宽（FWHM）接近衍射极限，平均相对聚焦效率为49.65%。此外，所提出的超透镜对材料特性和几何参数的变化表现出高鲁棒性，在折射率公差为±0.04、嵌入区域高度公差为±5%、暴露区域高度公差为±3.75%和边长公差为±4%的情况下保持稳定的性能。所提出的半嵌入式结构为开发超宽带超透镜提供了一种新颖且可靠的方法，具有高度集成成像和片上光子应用的巨大潜力。</w:t>
      </w:r>
    </w:p>
    <w:p>
      <w:pPr>
        <w:spacing w:before="120"/>
      </w:pPr>
      <w:r>
        <w:rPr>
          <w:rFonts w:ascii="Times New Roman" w:hAnsi="Times New Roman" w:eastAsia="宋体"/>
          <w:b/>
          <w:sz w:val="21"/>
        </w:rPr>
        <w:t>English Abstract:</w:t>
      </w:r>
    </w:p>
    <w:p>
      <w:r>
        <w:rPr>
          <w:rFonts w:ascii="Times New Roman" w:hAnsi="Times New Roman" w:eastAsia="宋体"/>
          <w:sz w:val="21"/>
        </w:rPr>
        <w:t>Metalenses are crucial for miniaturized and highly integrated optical systems, yet their inherent chromatic dispersion restricts broader application. Although recent designs have improved achromatic performance, attaining ultra-broadband achromaticity across the near- and short-wave infrared spectra remains challenging, especially when reconciling processing feasibility with structural stability. In response to this challenge, a semi-embedded unit cell is proposed in this paper, which can effectively alleviate the trade-off between performance and fabrication feasibility. By simulating and analyzing a metalens with an aperture of 62µm and a focal length of 65 µm, we demonstrate that the proposed structure achieves achromatic focusing across the 1000–2400 nm wavelength range, even under oblique illumination with incident angles up to 23° (equivalent to a 46°field of view). Within the operating wavelength band, the focal plane shift of the metalens is limited to a maximum of 4.5%. It exhibits an average absolute focusing efficiency of 42.66%, a full width at half maximum (FWHM) close to the diffraction limit, and an average relative focusing efficiency of 49.65%. Additionally, the proposed metalens exhibits high robustness to variations in material properties and geometric parameters, maintaining stable performance under a refractive index tolerance of ±0.04, an embedded region height tolerance of ±5%, an exposed region height tolerance of ±3.75%, and a side length tolerance of ±4%. The proposed semi-embedded structure offers a novel and reliable approach for developing ultra-broadband metalenses, with strong potential for highly integrated imaging and on-chip photonic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基于LAN-WDM混合集成的1.9Tbps接收光组件</w:t>
      </w:r>
    </w:p>
    <w:p>
      <w:r>
        <w:rPr>
          <w:rFonts w:ascii="Times New Roman" w:hAnsi="Times New Roman" w:eastAsia="宋体"/>
          <w:b/>
          <w:color w:val="003264"/>
          <w:sz w:val="24"/>
        </w:rPr>
        <w:t>1.9 Tbps receiver optical subassembly based on LAN-WDM hybrid integration</w:t>
      </w:r>
    </w:p>
    <w:p>
      <w:r>
        <w:rPr>
          <w:rFonts w:ascii="Times New Roman" w:hAnsi="Times New Roman" w:eastAsia="宋体"/>
          <w:sz w:val="21"/>
        </w:rPr>
        <w:t>作者: Song Huang, Yue Wang, Liangliang Wang, Jiashun Zhang, Yuanda Wu, Junming An, Yu Liu</w:t>
        <w:br/>
      </w:r>
      <w:r>
        <w:rPr>
          <w:rFonts w:ascii="Times New Roman" w:hAnsi="Times New Roman" w:eastAsia="宋体"/>
          <w:sz w:val="21"/>
        </w:rPr>
        <w:t xml:space="preserve">时间: 2026-01-22 | </w:t>
      </w:r>
      <w:r>
        <w:t xml:space="preserve">链接: </w:t>
      </w:r>
      <w:hyperlink r:id="rId20">
        <w:r>
          <w:rPr>
            <w:rFonts w:ascii="Times New Roman" w:hAnsi="Times New Roman" w:eastAsia="宋体"/>
            <w:color w:val="0000FF"/>
            <w:sz w:val="21"/>
            <w:u w:val="single"/>
          </w:rPr>
          <w:t>https://doi.org/10.1364/oe.578355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开发出了一种基于 O 波段阵列波导光栅 (AWG) 解复用器的低成本、混合集成 1.6-TbE 局域网波分复用 (LAN-WDM) 接收器光学组件 (ROSA)。 AWG 和光电探测器 (PD) 阵列之间的垂直耦合是通过以 41° 角度抛光 AWG 输出面来实现的，最大耦合效率为 88.4%。具有 16 个差分高频共面波导 (CPW) 的柔性印刷电路 (FPC) 板旨在提供射频 (RF) 信号输出并向跨阻放大器 (TIA) 和 PD 阵列供电。 ROSA 的所有通道均表现出优于 −7.3 dBm 的接收器灵敏度，并支持单通道 60 GBaud 四级脉冲幅度调制 (PAM-4) 信号的传输，从而实现 1.9 Tb/s 的聚合数据速率。</w:t>
      </w:r>
    </w:p>
    <w:p>
      <w:pPr>
        <w:spacing w:before="120"/>
      </w:pPr>
      <w:r>
        <w:rPr>
          <w:rFonts w:ascii="Times New Roman" w:hAnsi="Times New Roman" w:eastAsia="宋体"/>
          <w:b/>
          <w:sz w:val="21"/>
        </w:rPr>
        <w:t>English Abstract:</w:t>
      </w:r>
    </w:p>
    <w:p>
      <w:r>
        <w:rPr>
          <w:rFonts w:ascii="Times New Roman" w:hAnsi="Times New Roman" w:eastAsia="宋体"/>
          <w:sz w:val="21"/>
        </w:rPr>
        <w:t>A low-cost, hybrid-integrated 1.6-TbE local-area network wavelength-division multiplexing (LAN-WDM) receiver optical subassembly (ROSA) based on an O-band arrayed waveguide grating (AWG) demultiplexer has been developed. Vertical coupling between the AWG and the photodetector (PD) array is achieved by polishing the AWG output facet at an angle of 41°, resulting in a maximum coupling efficiency of 88.4%. A flexible printed circuit (FPC) board with 16 differential high-frequency coplanar waveguides (CPWs) is designed to deliver radio-frequency (RF) signal outputs and to supply power to the transimpedance amplifier (TIA) and PD arrays. All lanes of the ROSA exhibit receiver sensitivities better than −7.3 dBm and support the transmission of a single-channel 60-GBaud four-level pulse-amplitude modulation (PAM-4) signal, enabling an aggregate data rate of 1.9 Tb/s.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通过多尺度逆调制和仿生神经重建增强红外偏振成像</w:t>
      </w:r>
    </w:p>
    <w:p>
      <w:r>
        <w:rPr>
          <w:rFonts w:ascii="Times New Roman" w:hAnsi="Times New Roman" w:eastAsia="宋体"/>
          <w:b/>
          <w:color w:val="003264"/>
          <w:sz w:val="24"/>
        </w:rPr>
        <w:t>Infrared polarimetric imaging enhancement via multiscale inverse modulation and bio-inspired neural reconstruction</w:t>
      </w:r>
    </w:p>
    <w:p>
      <w:r>
        <w:rPr>
          <w:rFonts w:ascii="Times New Roman" w:hAnsi="Times New Roman" w:eastAsia="宋体"/>
          <w:sz w:val="21"/>
        </w:rPr>
        <w:t>作者: Hongli Jiang, Zhiguo Fan, Yunyou Hu, Cailing Zhao, Siwei Zhang</w:t>
        <w:br/>
      </w:r>
      <w:r>
        <w:rPr>
          <w:rFonts w:ascii="Times New Roman" w:hAnsi="Times New Roman" w:eastAsia="宋体"/>
          <w:sz w:val="21"/>
        </w:rPr>
        <w:t xml:space="preserve">时间: 2026-01-27 | </w:t>
      </w:r>
      <w:r>
        <w:t xml:space="preserve">链接: </w:t>
      </w:r>
      <w:hyperlink r:id="rId21">
        <w:r>
          <w:rPr>
            <w:rFonts w:ascii="Times New Roman" w:hAnsi="Times New Roman" w:eastAsia="宋体"/>
            <w:color w:val="0000FF"/>
            <w:sz w:val="21"/>
            <w:u w:val="single"/>
          </w:rPr>
          <w:t>https://doi.org/10.1364/oe.579951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红外偏振图像增强和重建对于目标识别、环境感知、弱目标检测等国防应用至关重要。然而，单模态红外偏振成像面临着关键挑战：偏振特征提取有限、背景抑制不足、重建质量不稳定。在2024年安徽现场实验中，传统的DoLP（线偏振度）模型在低偏振区域表现出较高的误检率。为了解决这个问题，我们提出了最大响应通道差异表示，将空间频率提高了高达 30%，以及具有动态加权的像素级逆调制，在遮挡下实现了高达 370% 的对比度增强。 NSST-MSD-PCNN 框架进一步将基于剪切波的几何灵敏度与自适应脉冲耦合神经网络相集成。 IPEG（红外偏振评估库）基准的验证以及在 DJI M300 RTK 无人机上的部署在主观和客观指标上均表现出卓越的性能，为复杂环境中稳健的红外偏振成像提供了工程就绪的解决方案。</w:t>
      </w:r>
    </w:p>
    <w:p>
      <w:pPr>
        <w:spacing w:before="120"/>
      </w:pPr>
      <w:r>
        <w:rPr>
          <w:rFonts w:ascii="Times New Roman" w:hAnsi="Times New Roman" w:eastAsia="宋体"/>
          <w:b/>
          <w:sz w:val="21"/>
        </w:rPr>
        <w:t>English Abstract:</w:t>
      </w:r>
    </w:p>
    <w:p>
      <w:r>
        <w:rPr>
          <w:rFonts w:ascii="Times New Roman" w:hAnsi="Times New Roman" w:eastAsia="宋体"/>
          <w:sz w:val="21"/>
        </w:rPr>
        <w:t>Infrared polarization image enhancement and reconstruction are crucial for national defense applications such as target recognition, environmental perception, and weak target detection. Single-modality infrared polarization imaging, however, faces key challenges: limited polarization feature extraction, insufficient background suppression, and unstable reconstruction quality. In the 2024 Anhui field experiment, conventional DoLP (Degree of Linear Polarization) models showed high false-detection rates in low-polarization regions. To address this, we propose a maximum response channel difference representation, improving spatial frequency by up to 30%, and a pixel-level inverse modulation with dynamic weighting, achieving up to 370% contrast enhancement under occlusion. An NSST-MSD-PCNN framework further integrates shearlet-based geometric sensitivity with adaptive pulse-coupled neural networks. Validation on the IPEG (Infrared Polarization Evaluation Gallery) benchmark and deployment on the DJI M300 RTK UAV demonstrate superior performance in both subjective and objective metrics, providing an engineering-ready solution for robust infrared polarization imaging in complex environments.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在 7 芯 3 模光纤中使用概率整形 16-QAM 实现 101.47-b/s/Hz 频谱效率传输</w:t>
      </w:r>
    </w:p>
    <w:p>
      <w:r>
        <w:rPr>
          <w:rFonts w:ascii="Times New Roman" w:hAnsi="Times New Roman" w:eastAsia="宋体"/>
          <w:b/>
          <w:color w:val="003264"/>
          <w:sz w:val="24"/>
        </w:rPr>
        <w:t>101.47-b/s/Hz spectral efficiency transmission using probabilistic shaping 16-QAM in 7-core 3-mode fiber</w:t>
      </w:r>
    </w:p>
    <w:p>
      <w:r>
        <w:rPr>
          <w:rFonts w:ascii="Times New Roman" w:hAnsi="Times New Roman" w:eastAsia="宋体"/>
          <w:sz w:val="21"/>
        </w:rPr>
        <w:t>作者: Hao Guo, Darui Xu, Ting Li, Xuemei Du, Wenhua Ren, Zhongwei Tan, Yan Liu, Ting Feng, Qi Qin, Zhenyu Gu, Chenhui Guo, Xinkuo Yu, Meng Xiang, Gai Zhou, Hailin Yang, Jiajing Tu, Jianxin Ren, Huan Chang, Jiancheng Liu, Fengping Yan</w:t>
        <w:br/>
      </w:r>
      <w:r>
        <w:rPr>
          <w:rFonts w:ascii="Times New Roman" w:hAnsi="Times New Roman" w:eastAsia="宋体"/>
          <w:sz w:val="21"/>
        </w:rPr>
        <w:t xml:space="preserve">时间: 2026-01-22 | </w:t>
      </w:r>
      <w:r>
        <w:t xml:space="preserve">链接: </w:t>
      </w:r>
      <w:hyperlink r:id="rId22">
        <w:r>
          <w:rPr>
            <w:rFonts w:ascii="Times New Roman" w:hAnsi="Times New Roman" w:eastAsia="宋体"/>
            <w:color w:val="0000FF"/>
            <w:sz w:val="21"/>
            <w:u w:val="single"/>
          </w:rPr>
          <w:t>https://doi.org/10.1364/oe.578370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全球数据流量的指数级增长已导致传统单模光纤系统接近香农极限，这需要突破才能满足未来的通信需求。本文通过实验演示了第一个基于概率整形16正交幅度调制（PS-16QAM）的7芯3模光纤系统。传输符号采用麦克斯韦-玻尔兹曼概率分布来优化星座点能量分配，与传统的 16QAM 相比，降低了信号峰均功率比 (PAPR)。传输光纤采用渐变折射率分布和沟槽辅助结构来抑制芯间串扰。该系统集成了波分复用（WDM）、偏振复用（PDM）和空分复用（SDM）。实现了80.6公里正负差分群时延（DGD）补偿链路上126通道（7芯×3模式×3波长×2偏振）的并行传输。数据辅助的联合频偏估计和同步算法以及与最大似然相位恢复集成的多输入多输出最小均方（MIMO-LMS）均衡算法确保了可靠的信号恢复。在 25.5% 软判决前向纠错 (FEC) 阈值下，系统实现了 101.47 b/s/Hz 的最大频谱效率。实验验证了概率整形技术在多芯少模光纤系统中的可行性，为下一代超高容量光通信系统提供了关键的技术支撑。</w:t>
      </w:r>
    </w:p>
    <w:p>
      <w:pPr>
        <w:spacing w:before="120"/>
      </w:pPr>
      <w:r>
        <w:rPr>
          <w:rFonts w:ascii="Times New Roman" w:hAnsi="Times New Roman" w:eastAsia="宋体"/>
          <w:b/>
          <w:sz w:val="21"/>
        </w:rPr>
        <w:t>English Abstract:</w:t>
      </w:r>
    </w:p>
    <w:p>
      <w:r>
        <w:rPr>
          <w:rFonts w:ascii="Times New Roman" w:hAnsi="Times New Roman" w:eastAsia="宋体"/>
          <w:sz w:val="21"/>
        </w:rPr>
        <w:t>The exponential growth of global data traffic has caused conventional single-mode fiber systems to approach the Shannon limit, which will require breakthroughs to meet future communication demands. This paper experimentally demonstrates the first 7-core 3-mode optical fiber system based on probabilistic shaping 16-quadrature amplitude modulation (PS-16QAM). The transmitted symbols employed a Maxwell-Boltzmann probability distribution to optimize the constellation point energy allocation, reducing signal peak-to-average power ratio (PAPR) compared with conventional 16QAM. The transmission fiber employed a graded-index profile and trench-assisted structure to suppress inter-core crosstalk. The system integrated wavelength division multiplexing (WDM), polarization division multiplexing (PDM), and space division multiplexing (SDM). This achieved parallel transmission for 126 channels (7 cores × 3 modes × 3 wavelengths × 2 polarizations) over an 80.6-km positive-negative differential group delay (DGD) compensated link. A data-assisted joint frequency offset estimation and synchronization algorithm and a multiple-input multiple-output least mean squares (MIMO-LMS) equalization algorithm integrated with maximum likelihood phase recovery ensured reliable signal recovery. Under a 25.5% soft-decision forward error correction (FEC) threshold, the system achieved a maximum spectral efficiency of 101.47 b/s/Hz. Experiments validated the feasibility of probabilistic shaping techniques in multi-core few-mode fiber systems, providing crucial technical support for next-generation ultra-high-capacity optical communication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Na通量法生长的无意掺杂GaN微盘中3.28 eV光致发光峰的性质</w:t>
      </w:r>
    </w:p>
    <w:p>
      <w:r>
        <w:rPr>
          <w:rFonts w:ascii="Times New Roman" w:hAnsi="Times New Roman" w:eastAsia="宋体"/>
          <w:b/>
          <w:color w:val="003264"/>
          <w:sz w:val="24"/>
        </w:rPr>
        <w:t>Nature of the 3.28 eV photoluminescence peak in unintentionally doped GaN microdisk grown by Na flux method</w:t>
      </w:r>
    </w:p>
    <w:p>
      <w:r>
        <w:rPr>
          <w:rFonts w:ascii="Times New Roman" w:hAnsi="Times New Roman" w:eastAsia="宋体"/>
          <w:sz w:val="21"/>
        </w:rPr>
        <w:t>作者: Zhiwei Si, Tao Zhang, Xiaohui Peng, Shunan Zheng, Jianfeng Wang, Zongliang Liu, Ke Xu</w:t>
        <w:br/>
      </w:r>
      <w:r>
        <w:rPr>
          <w:rFonts w:ascii="Times New Roman" w:hAnsi="Times New Roman" w:eastAsia="宋体"/>
          <w:sz w:val="21"/>
        </w:rPr>
        <w:t xml:space="preserve">时间: 2026-01-26 | </w:t>
      </w:r>
      <w:r>
        <w:t xml:space="preserve">链接: </w:t>
      </w:r>
      <w:hyperlink r:id="rId23">
        <w:r>
          <w:rPr>
            <w:rFonts w:ascii="Times New Roman" w:hAnsi="Times New Roman" w:eastAsia="宋体"/>
            <w:color w:val="0000FF"/>
            <w:sz w:val="21"/>
            <w:u w:val="single"/>
          </w:rPr>
          <w:t>https://doi.org/10.1364/oe.586294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这种接近 3.28 eV 的紫外发光 (UVL) 峰是一种常见的缺陷诱导发光现象，一直是广泛研究的主题，因为其起源与生长过程中的杂质掺入有关，这对于 GaN 基光电和微电子器件中的材料质量控制至关重要。然而，UVL相关的转变机制存在争议。通过Na-flux法生长的具有c面和(101´1)面的GaN微盘，可以为揭示UVL相关机制提供新的视角。低温光致发光 (PL) 表明 c 面上的 UVL 比 (101−1) 面上的 UVL 更强。随着功率和温度的增加，c 平面中的 UVL 发生显着的蓝移。因此，UVL相关机制可能是DAP转变。在无意掺杂的 GaN 中，我们认为与该 DAP 缺陷相关的浅受主可能是与 Mg 相关的缺陷。 SIMS结果表明c面具有高浓度的Mg杂质，这与c面具有显着的UVL峰强度的PL结果一致。这也与UVL相关的浅受主是Mg Ga的结论一致。这项工作揭示了Na-flux GaN中紫外发光的起源，为通过Na-flux法生长的GaN晶体的光学特性提供了新的见解。</w:t>
      </w:r>
    </w:p>
    <w:p>
      <w:pPr>
        <w:spacing w:before="120"/>
      </w:pPr>
      <w:r>
        <w:rPr>
          <w:rFonts w:ascii="Times New Roman" w:hAnsi="Times New Roman" w:eastAsia="宋体"/>
          <w:b/>
          <w:sz w:val="21"/>
        </w:rPr>
        <w:t>English Abstract:</w:t>
      </w:r>
    </w:p>
    <w:p>
      <w:r>
        <w:rPr>
          <w:rFonts w:ascii="Times New Roman" w:hAnsi="Times New Roman" w:eastAsia="宋体"/>
          <w:sz w:val="21"/>
        </w:rPr>
        <w:t>This Ultraviolet luminescence (UVL) peak near 3.28 eV, as a common defect-induced luminescence phenomenon, has been a subject of extensive study as its origin is linked to the impurity incorporation during growth, which is crucial for material quality control in GaN-based optoelectronic and microelectronic devices. However, the UVL-related transition mechanism is controversial. GaN microdisks grown by Na-flux method with c-plane and (101¯1)-plane, can provide what we believe is a new perspective to reveal UVL-related mechanism. The low-temperature photoluminescence (PL) demonstrates the stronger UVL on the c-plane compared to the (101¯1)-plane. With increasing power and temperature, there is a significant blue shift of UVL in the c-plane. Therefore, the UVL-related mechanism may be the DAP transition. In unintentionally doped GaN, we suggest that the shallow acceptor associated with this DAP defect may be Mg-related defect. SIMS results show that c-plane has a high concentration of Mg impurities, which is consistent with the PL results that the c-plane has a significant UVL peak intensity. It is also consistent with the conclusion that the UVL-related shallow acceptor is Mg Ga . This work reveals the origin of ultraviolet luminescence in Na-flux GaN, providing new insights into the optical properties of GaN crystals grown by the Na-flux method.</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高𝑄光学共振的特征值加速 LDOS 优化</w:t>
      </w:r>
    </w:p>
    <w:p>
      <w:r>
        <w:rPr>
          <w:rFonts w:ascii="Times New Roman" w:hAnsi="Times New Roman" w:eastAsia="宋体"/>
          <w:b/>
          <w:color w:val="003264"/>
          <w:sz w:val="24"/>
        </w:rPr>
        <w:t>Eigenvalue-accelerated LDOS optimization of high-𝑄 optical resonances</w:t>
      </w:r>
    </w:p>
    <w:p>
      <w:r>
        <w:rPr>
          <w:rFonts w:ascii="Times New Roman" w:hAnsi="Times New Roman" w:eastAsia="宋体"/>
          <w:sz w:val="21"/>
        </w:rPr>
        <w:t>作者: George Shaker, Beñat Martinez de Aguirre Jokisch, Pengning Chao, Steven Johnson</w:t>
        <w:br/>
      </w:r>
      <w:r>
        <w:rPr>
          <w:rFonts w:ascii="Times New Roman" w:hAnsi="Times New Roman" w:eastAsia="宋体"/>
          <w:sz w:val="21"/>
        </w:rPr>
        <w:t xml:space="preserve">时间: 2026-01-12 | </w:t>
      </w:r>
      <w:r>
        <w:t xml:space="preserve">链接: </w:t>
      </w:r>
      <w:hyperlink r:id="rId24">
        <w:r>
          <w:rPr>
            <w:rFonts w:ascii="Times New Roman" w:hAnsi="Times New Roman" w:eastAsia="宋体"/>
            <w:color w:val="0000FF"/>
            <w:sz w:val="21"/>
            <w:u w:val="single"/>
          </w:rPr>
          <w:t>https://doi.org/10.1364/oe.585517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我们展示了一种新方法，可以在高 Q$ 谐振腔的逆向设计（例如拓扑优化）中产生数量级的加速，以最大化局部态密度（LDOS），并且该方法也适用于其他谐振响应指标。关键思想是，一旦传统的 LDOS 优化识别出强共振，后续优化就可以利用快速移位反转本征解算器来确保 LDOS 保持以共振峰值为中心。我们证明，这消除了尖锐共振下的病态调节，否则会显着减慢 $Q \gg 100$ 的 LDOS（和类似）优化速度。我们的方法通过一维和二维介电系统中 $Q&gt;10^6$ 谐振腔的设计来证明。</w:t>
      </w:r>
    </w:p>
    <w:p>
      <w:pPr>
        <w:spacing w:before="120"/>
      </w:pPr>
      <w:r>
        <w:rPr>
          <w:rFonts w:ascii="Times New Roman" w:hAnsi="Times New Roman" w:eastAsia="宋体"/>
          <w:b/>
          <w:sz w:val="21"/>
        </w:rPr>
        <w:t>English Abstract:</w:t>
      </w:r>
    </w:p>
    <w:p>
      <w:r>
        <w:rPr>
          <w:rFonts w:ascii="Times New Roman" w:hAnsi="Times New Roman" w:eastAsia="宋体"/>
          <w:sz w:val="21"/>
        </w:rPr>
        <w:t>We demonstrate a new method that yields orders-of-magnitude acceleration in inverse design (e.g. topology optimization) of high-$Q$ resonant cavities to maximize the local density of states (LDOS), and which is also applicable to other resonant-response metrics. The key idea is that, once conventional LDOS optimization has identified a strong resonance, subsequent optimizations can exploit a fast shift-invert eigensolver to ensure that the LDOS remains centered at the resonance peak. We show that this eliminates ill-conditioning at sharp resonances that otherwise dramatically slows LDOS (and similar) optimization for $Q \gg 100$. Our method is demonstrated by design of $Q&gt;10^6$ resonant cavities in 1d and 2d dielectric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通过横向几何控制抑制多模 VCSEL 中的模式分配噪声</w:t>
      </w:r>
    </w:p>
    <w:p>
      <w:r>
        <w:rPr>
          <w:rFonts w:ascii="Times New Roman" w:hAnsi="Times New Roman" w:eastAsia="宋体"/>
          <w:b/>
          <w:color w:val="003264"/>
          <w:sz w:val="24"/>
        </w:rPr>
        <w:t>Suppressing mode partition noise in multimode VCSELs via lateral geometry control</w:t>
      </w:r>
    </w:p>
    <w:p>
      <w:r>
        <w:rPr>
          <w:rFonts w:ascii="Times New Roman" w:hAnsi="Times New Roman" w:eastAsia="宋体"/>
          <w:sz w:val="21"/>
        </w:rPr>
        <w:t>作者: Ting-Yu Wu, Yun-Cheng Yang, Taixian Zhang, Camel Shih, Chao-Hsin Wu</w:t>
        <w:br/>
      </w:r>
      <w:r>
        <w:rPr>
          <w:rFonts w:ascii="Times New Roman" w:hAnsi="Times New Roman" w:eastAsia="宋体"/>
          <w:sz w:val="21"/>
        </w:rPr>
        <w:t xml:space="preserve">时间: 2026-01-30 | </w:t>
      </w:r>
      <w:r>
        <w:t xml:space="preserve">链接: </w:t>
      </w:r>
      <w:hyperlink r:id="rId25">
        <w:r>
          <w:rPr>
            <w:rFonts w:ascii="Times New Roman" w:hAnsi="Times New Roman" w:eastAsia="宋体"/>
            <w:color w:val="0000FF"/>
            <w:sz w:val="21"/>
            <w:u w:val="single"/>
          </w:rPr>
          <w:t>https://doi.org/10.1364/oe.583350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这项研究提出了一种几何驱动的方法来抑制高速短距离链路多模垂直腔表面发射激光器 (VCSEL) 中的模式分配噪声 (MPN)。研究了三种具有不同横向几何形状的 VCSEL，它们都表现出相似的静态和小信号性能。孔径几何形状主要决定横向模态分布，其中不同模态组之间的竞争是驱动 MPN 的主要机制。在这些设计中，特意设计的不对称孔径将模态能量集中到主模组中，产生 0.387 nm 的均方根 (RMS) 谱宽和最低的低频相对强度噪声 (RIN)。该器件在背靠背情况下实现了 0.86 dB 的发射机色散眼图闭合四进制 (TDECQ)，在 100 m OM4 光纤传输后实现了 1.24 dB，相应的定时抖动为 6.65 ps 和 8.03 ps。结果证实，横向几何优化可有效抑制 MPN，而不会降低内在性能，从而实现更高利润的光学互连。</w:t>
      </w:r>
    </w:p>
    <w:p>
      <w:pPr>
        <w:spacing w:before="120"/>
      </w:pPr>
      <w:r>
        <w:rPr>
          <w:rFonts w:ascii="Times New Roman" w:hAnsi="Times New Roman" w:eastAsia="宋体"/>
          <w:b/>
          <w:sz w:val="21"/>
        </w:rPr>
        <w:t>English Abstract:</w:t>
      </w:r>
    </w:p>
    <w:p>
      <w:r>
        <w:rPr>
          <w:rFonts w:ascii="Times New Roman" w:hAnsi="Times New Roman" w:eastAsia="宋体"/>
          <w:sz w:val="21"/>
        </w:rPr>
        <w:t>This study presents a geometry-driven approach to suppress mode partition noise (MPN) in multimode vertical-cavity surface-emitting lasers (VCSELs) for high-speed short-reach links. Three VCSELs with distinct lateral geometries were investigated, all exhibiting similar static and small-signal performance. The aperture geometry primarily determines the transverse modal distribution, where competition among different mode groups serves as the principal mechanism driving MPN. Among the designs, the intentionally engineered asymmetric aperture concentrates modal energy into a dominant mode group, yielding a root-mean-square (RMS) spectral width of 0.387 nm and the lowest low-frequency relative intensity noise (RIN). The device achieves a transmitter dispersion eye closure quaternary (TDECQ) of 0.86 dB in the back-to-back case and 1.24 dB after 100 m OM4 fiber transmission, with corresponding timing jitter of 6.65 ps and 8.03 ps. The results confirm that lateral-geometry optimization effectively suppresses MPN without degrading intrinsic performance, enabling higher-margin optical interconnects.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在基于超透镜的光镊中冷却纳米粒子</w:t>
      </w:r>
    </w:p>
    <w:p>
      <w:r>
        <w:rPr>
          <w:rFonts w:ascii="Times New Roman" w:hAnsi="Times New Roman" w:eastAsia="宋体"/>
          <w:b/>
          <w:color w:val="003264"/>
          <w:sz w:val="24"/>
        </w:rPr>
        <w:t>Cooling a nanoparticle in metalens-based optical tweezers</w:t>
      </w:r>
    </w:p>
    <w:p>
      <w:r>
        <w:rPr>
          <w:rFonts w:ascii="Times New Roman" w:hAnsi="Times New Roman" w:eastAsia="宋体"/>
          <w:sz w:val="21"/>
        </w:rPr>
        <w:t>作者: Zhen Liu, Hualong Yin, Jinheng Li, Guoyao Li, Cuihong Li, Zhang-qi Yin</w:t>
        <w:br/>
      </w:r>
      <w:r>
        <w:rPr>
          <w:rFonts w:ascii="Times New Roman" w:hAnsi="Times New Roman" w:eastAsia="宋体"/>
          <w:sz w:val="21"/>
        </w:rPr>
        <w:t xml:space="preserve">时间: 2026-01-21 | </w:t>
      </w:r>
      <w:r>
        <w:t xml:space="preserve">链接: </w:t>
      </w:r>
      <w:hyperlink r:id="rId47">
        <w:r>
          <w:rPr>
            <w:rFonts w:ascii="Times New Roman" w:hAnsi="Times New Roman" w:eastAsia="宋体"/>
            <w:color w:val="0000FF"/>
            <w:sz w:val="21"/>
            <w:u w:val="single"/>
          </w:rPr>
          <w:t>https://doi.org/10.1364/oe.582674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高真空中纳米粒子的光学悬浮和冷却为超灵敏计量和传感提供了一个特殊的平台。然而，传统的光镊依赖于笨重的物镜，限制了其小型化和应用。在这里，我们设计并制造了数值孔径为 0.83、在真空中工作于 1064 nm、直径为 600 μm 的超透镜。超透镜可作为激光捕获物镜的紧凑替代品。使用基于超透镜的镊子，我们在 1.4 × 10 -6 mbar 的最小压力下捕获纳米粒子，并通过参数反馈将其质心运动冷却至约 100 mK。纳米颗粒已被稳定捕获 30 多天。我们的工作展示了使用基于超透镜的光镊在超高真空中稳定捕获和冷却纳米颗粒，为高精度小型化光机械传感带来了新的机会。</w:t>
      </w:r>
    </w:p>
    <w:p>
      <w:pPr>
        <w:spacing w:before="120"/>
      </w:pPr>
      <w:r>
        <w:rPr>
          <w:rFonts w:ascii="Times New Roman" w:hAnsi="Times New Roman" w:eastAsia="宋体"/>
          <w:b/>
          <w:sz w:val="21"/>
        </w:rPr>
        <w:t>English Abstract:</w:t>
      </w:r>
    </w:p>
    <w:p>
      <w:r>
        <w:rPr>
          <w:rFonts w:ascii="Times New Roman" w:hAnsi="Times New Roman" w:eastAsia="宋体"/>
          <w:sz w:val="21"/>
        </w:rPr>
        <w:t>Optical levitation and cooling of nanoparticles in high vacuum offer an exceptional platform for ultrasensitive metrology and sensing. However, conventional optical tweezers rely on bulky objective lenses, limiting their miniaturization and application. Here, we design and fabricate a metalens with a numerical aperture of 0.83, operating at 1064 nm in vacuum, and a diameter of 600 μ m. The metalens serves as a compact alternative to objective lenses for laser trapping. With the metalens-based tweezers, we trap a nanoparticle at a minimal pressure of 1.4 × 10 −6 mbar and cool its center-of-mass motion via parametric feedback to around 100 mK. The nanoparticle has been stably trapped for over 30 days. Our work demonstrates stable trapping and cooling of a nanoparticle in ultra-high vacuum using a metalens-based optical tweezers, enabling new opportunities in high-precision miniaturized optomechanical sensing.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用于检测非生物表面上的单种和双种细菌生物膜的多光谱荧光成像和紫外线 C 消毒</w:t>
      </w:r>
    </w:p>
    <w:p>
      <w:r>
        <w:rPr>
          <w:rFonts w:ascii="Times New Roman" w:hAnsi="Times New Roman" w:eastAsia="宋体"/>
          <w:b/>
          <w:color w:val="003264"/>
          <w:sz w:val="24"/>
        </w:rPr>
        <w:t>Multispectral fluorescence imaging to detect and ultraviolet C to disinfect single and dual-species bacterial biofilm on abiotic surfaces</w:t>
      </w:r>
    </w:p>
    <w:p>
      <w:r>
        <w:rPr>
          <w:rFonts w:ascii="Times New Roman" w:hAnsi="Times New Roman" w:eastAsia="宋体"/>
          <w:sz w:val="21"/>
        </w:rPr>
        <w:t>作者: Benjamin Hu, Mahsa Aliee, Seyedali Hosseinirad, Ashley Boomer, Insuck Baek, Moon S. Kim, Fartash Vasefi, Jitendra Patel, Hossein Kashani Zadeh</w:t>
        <w:br/>
      </w:r>
      <w:r>
        <w:rPr>
          <w:rFonts w:ascii="Times New Roman" w:hAnsi="Times New Roman" w:eastAsia="宋体"/>
          <w:sz w:val="21"/>
        </w:rPr>
        <w:t xml:space="preserve">时间: 2026-01-23 | </w:t>
      </w:r>
      <w:r>
        <w:t xml:space="preserve">链接: </w:t>
      </w:r>
      <w:hyperlink r:id="rId48">
        <w:r>
          <w:rPr>
            <w:rFonts w:ascii="Times New Roman" w:hAnsi="Times New Roman" w:eastAsia="宋体"/>
            <w:color w:val="0000FF"/>
            <w:sz w:val="21"/>
            <w:u w:val="single"/>
          </w:rPr>
          <w:t>https://doi.org/10.1364/oe.581002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由于生物膜持久存在于医疗设备或工业管道等各种表面，因此大约 65% 的微生物感染与生物膜有关。因此，它们的检测和灭活对公共卫生非常重要。许多检测方法，例如拭子，需要通过摩擦采样，这可能昂贵、耗时，并且需要训练有素的人员。这项研究建议使用先前开发的手持式多光谱荧光成像系统来原位实时检测和消毒生物膜。我们利用了污染和消毒检查 (CSI) 和消毒 (CSI-D+)，两者均配有各种摄像头和紫外线 LED 来对污染物进行成像和消毒。使用工业生物反应器在聚氯乙烯（PVC）和不锈钢（SS）试片上生长生物膜，包括单核细胞增生李斯特菌/铜绿假单胞菌或产志贺毒素大肠杆菌（STEC）/铜绿假单胞菌的双物种生物膜，以及单核细胞增生李斯特菌和STEC的单物种生物膜。使用 275、365 或 405 nm 照明与相机组合，视觉检测生物膜的形成。通过比较无菌肉汤和不同类型的生物膜的彩色数据图像分析，SS 上的准确度为 91%，PVC 试片上的准确度为 89%。 UVC 光显着减少了表面试样上单物种和双物种生物膜中的这些病原体。</w:t>
      </w:r>
    </w:p>
    <w:p>
      <w:pPr>
        <w:spacing w:before="120"/>
      </w:pPr>
      <w:r>
        <w:rPr>
          <w:rFonts w:ascii="Times New Roman" w:hAnsi="Times New Roman" w:eastAsia="宋体"/>
          <w:b/>
          <w:sz w:val="21"/>
        </w:rPr>
        <w:t>English Abstract:</w:t>
      </w:r>
    </w:p>
    <w:p>
      <w:r>
        <w:rPr>
          <w:rFonts w:ascii="Times New Roman" w:hAnsi="Times New Roman" w:eastAsia="宋体"/>
          <w:sz w:val="21"/>
        </w:rPr>
        <w:t>Biofilms, because of their persistence on various surfaces such as medical devices or industrial piping, are associated with approximately 65% of all microbial infections. Thus, their detection and inactivation are of great importance to public health. Many detection methods, such as swabbing, require sampling by rubbing, which can be expensive, time-consuming, and require highly trained personnel. This study proposes the use of previously developed, handheld multispectral fluorescence imaging systems to detect and disinfect biofilm in situ and in real-time. We utilized the contamination and sanitization inspection (CSI) and disinfection (CSI-D+), both of which feature various cameras and UV-emitting LEDs to image and disinfect contamination. Biofilms were grown on polyvinyl chloride (PVC) and stainless steel (SS) coupons using an industrial bioreactor, including dual-species biofilms of Listeria monocytogenes/Pseudomonas aeruginosa or Shiga toxin-producing Escherichia coli (STEC)/ Pseudomonas aeruginosa , as well as single-species biofilms of Listeria monocytogenes and STEC. Using 275, 365, or 405 nm illumination with combinations of cameras detected biofilm formation visually. Color data image analysis comparing sterile broth and different types of biofilm yielded accuracies of 91% on SS and 89% on PVC coupons. The UVC light significantly reduced these pathogens in single- and dual-species biofilms from surface coupons.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基于频域滤波的 Shack–Hartmann 超分辨率波前重建神经网络</w:t>
      </w:r>
    </w:p>
    <w:p>
      <w:r>
        <w:rPr>
          <w:rFonts w:ascii="Times New Roman" w:hAnsi="Times New Roman" w:eastAsia="宋体"/>
          <w:b/>
          <w:color w:val="003264"/>
          <w:sz w:val="24"/>
        </w:rPr>
        <w:t>Frequency-domain filtering-based neural network for Shack–Hartmann super-resolution wavefront reconstruction</w:t>
      </w:r>
    </w:p>
    <w:p>
      <w:r>
        <w:rPr>
          <w:rFonts w:ascii="Times New Roman" w:hAnsi="Times New Roman" w:eastAsia="宋体"/>
          <w:sz w:val="21"/>
        </w:rPr>
        <w:t>作者: Xu Hou, Fujia Du, Xiushan Pan, Chong Pei, Heng Zuo</w:t>
        <w:br/>
      </w:r>
      <w:r>
        <w:rPr>
          <w:rFonts w:ascii="Times New Roman" w:hAnsi="Times New Roman" w:eastAsia="宋体"/>
          <w:sz w:val="21"/>
        </w:rPr>
        <w:t xml:space="preserve">时间: 2026-01-22 | </w:t>
      </w:r>
      <w:r>
        <w:t xml:space="preserve">链接: </w:t>
      </w:r>
      <w:hyperlink r:id="rId49">
        <w:r>
          <w:rPr>
            <w:rFonts w:ascii="Times New Roman" w:hAnsi="Times New Roman" w:eastAsia="宋体"/>
            <w:color w:val="0000FF"/>
            <w:sz w:val="21"/>
            <w:u w:val="single"/>
          </w:rPr>
          <w:t>https://doi.org/10.1364/oe.578992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下一代望远镜的孔径不断增大，需要更高分辨率的波前传感。 Shack-Hartmann 波前传感器 (SHWFS) 是自适应光学的关键组件，其传感分辨率从根本上受到其子孔径密度的限制。为了克服这一限制，我们引入了一种基于频域滤波器的神经网络（FF-Net），用于超分辨率波前重建（SRWR）。受到 SHWFS 物理成像原理和卷积定理的启发，FF-Net 利用可学习的 Gabor 滤波器来提取不同频段的像差特征。与标准卷积核相比，这种方法能够更有效地从混叠的子孔径点中解耦特征，从而实现高精度重建。数值模拟表明 FF-Net 实现了最先进的 SRWR 性能。值得注意的是，在欠采样 SHWFS 的情况下，我们的方法优于采用四倍子孔径密度的传统方法的低阶重建精度，同时检索高阶模式。此外，其GPU加速推理时间低于1毫秒，满足大多数天文自适应光学系统的实时要求。 FF-Net 证明，基于物理的网络设计是在自适应光学领域开发更准确、稳健和可解释的深度学习解决方案的强大策略。</w:t>
      </w:r>
    </w:p>
    <w:p>
      <w:pPr>
        <w:spacing w:before="120"/>
      </w:pPr>
      <w:r>
        <w:rPr>
          <w:rFonts w:ascii="Times New Roman" w:hAnsi="Times New Roman" w:eastAsia="宋体"/>
          <w:b/>
          <w:sz w:val="21"/>
        </w:rPr>
        <w:t>English Abstract:</w:t>
      </w:r>
    </w:p>
    <w:p>
      <w:r>
        <w:rPr>
          <w:rFonts w:ascii="Times New Roman" w:hAnsi="Times New Roman" w:eastAsia="宋体"/>
          <w:sz w:val="21"/>
        </w:rPr>
        <w:t>The increasing aperture of next-generation telescopes demands higher-resolution wavefront sensing. The sensing resolution of the Shack-Hartmann wavefront sensor (SHWFS), a key component in adaptive optics, is fundamentally limited by its sub-aperture density. To overcome this limitation, we introduce a frequency-domain filter-based neural network (FF-Net) for super-resolution wavefront reconstruction (SRWR). Inspired by the physical imaging principles of the SHWFS and the convolution theorem, FF-Net utilizes learnable Gabor filters to extract aberration features across various frequency bands. This approach enables more effective feature decoupling from aliased sub-aperture spots compared to standard convolutional kernels, leading to high-precision reconstruction. Numerical simulations demonstrate that FF-Net achieves state-of-the-art SRWR performance. Notably, with an under-sampled SHWFS, our method outperforms the low-order reconstruction accuracy of the conventional method employing four times the sub-aperture density, while simultaneously retrieving higher-order modes. Furthermore, its GPU-accelerated inference time of under 1 ms meets the real-time requirements of most astronomical adaptive optics systems. FF-Net demonstrates that physics-informed network design is a powerful strategy for developing more accurate, robust, and interpretable deep learning solutions in adaptive optics.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通过光子库扩展检测带宽以实现超快光学传感</w:t>
      </w:r>
    </w:p>
    <w:p>
      <w:r>
        <w:rPr>
          <w:rFonts w:ascii="Times New Roman" w:hAnsi="Times New Roman" w:eastAsia="宋体"/>
          <w:b/>
          <w:color w:val="003264"/>
          <w:sz w:val="24"/>
        </w:rPr>
        <w:t>Expanding detection bandwidth via a photonic reservoir for ultrafast optical sensing</w:t>
      </w:r>
    </w:p>
    <w:p>
      <w:r>
        <w:rPr>
          <w:rFonts w:ascii="Times New Roman" w:hAnsi="Times New Roman" w:eastAsia="宋体"/>
          <w:sz w:val="21"/>
        </w:rPr>
        <w:t>作者: Yuito Ito, Tomoaki Niiyama, Tetsuya Asai, Gouhei Tanaka, Atsushi Uchida, Satoshi Sunada</w:t>
        <w:br/>
      </w:r>
      <w:r>
        <w:rPr>
          <w:rFonts w:ascii="Times New Roman" w:hAnsi="Times New Roman" w:eastAsia="宋体"/>
          <w:sz w:val="21"/>
        </w:rPr>
        <w:t xml:space="preserve">时间: 2026-01-23 | </w:t>
      </w:r>
      <w:r>
        <w:t xml:space="preserve">链接: </w:t>
      </w:r>
      <w:hyperlink r:id="rId50">
        <w:r>
          <w:rPr>
            <w:rFonts w:ascii="Times New Roman" w:hAnsi="Times New Roman" w:eastAsia="宋体"/>
            <w:color w:val="0000FF"/>
            <w:sz w:val="21"/>
            <w:u w:val="single"/>
          </w:rPr>
          <w:t>https://doi.org/10.1364/oe.581652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超快光学和射频 (RF) 信号的检测对于从高速通信到高级传感等各种应用至关重要。然而，传统探测器从根本上受到其固有带宽的限制，限制了宽带信号的精确测量。在这里，我们证明神经形态光子处理方法可以克服这一限制，从而能够检测超出探测器带宽的宽带信号。关键思想在于光子存储网络内输入波形的时空编码，它重建了单个探测器无法访问的高频分量。我们通过实验证明了使用片上硅光子库可以检测高速光学相位信号，有效带宽扩展了八倍以上。这种方法为高速光学和射频信号处理提供了一个可扩展的集成平台，为超快光子学和下一代通信系统带来了新的机遇。</w:t>
      </w:r>
    </w:p>
    <w:p>
      <w:pPr>
        <w:spacing w:before="120"/>
      </w:pPr>
      <w:r>
        <w:rPr>
          <w:rFonts w:ascii="Times New Roman" w:hAnsi="Times New Roman" w:eastAsia="宋体"/>
          <w:b/>
          <w:sz w:val="21"/>
        </w:rPr>
        <w:t>English Abstract:</w:t>
      </w:r>
    </w:p>
    <w:p>
      <w:r>
        <w:rPr>
          <w:rFonts w:ascii="Times New Roman" w:hAnsi="Times New Roman" w:eastAsia="宋体"/>
          <w:sz w:val="21"/>
        </w:rPr>
        <w:t>The detection of ultrafast optical and radio-frequency (RF) signals is crucial for applications ranging from high-speed communications to advanced sensing. However, conventional detectors are fundamentally constrained by their intrinsic bandwidth, limiting accurate measurement of broadband signals. Here, we show that a neuromorphic photonic processing approach can overcome this limitation, enabling detection of broadband signals beyond the detector bandwidth. The key idea lies in the spatiotemporal encoding of input waveforms within a photonic reservoir network, which reconstructs high-frequency components otherwise inaccessible to individual detectors. We experimentally demonstrate the detection of high-speed optical phase signals with more than an eightfold effective bandwidth expansion using an on-chip silicon photonic reservoir. This approach provides a scalable and integrated platform for high-speed optical and RF signal processing, opening new opportunities in ultrafast photonics and next-generation communication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使用边缘检测自旋微分衍射网络进行全光学物体分类</w:t>
      </w:r>
    </w:p>
    <w:p>
      <w:r>
        <w:rPr>
          <w:rFonts w:ascii="Times New Roman" w:hAnsi="Times New Roman" w:eastAsia="宋体"/>
          <w:b/>
          <w:color w:val="003264"/>
          <w:sz w:val="24"/>
        </w:rPr>
        <w:t>All-optical object classification using an edge-detecting spin-differential diffractive network</w:t>
      </w:r>
    </w:p>
    <w:p>
      <w:r>
        <w:rPr>
          <w:rFonts w:ascii="Times New Roman" w:hAnsi="Times New Roman" w:eastAsia="宋体"/>
          <w:sz w:val="21"/>
        </w:rPr>
        <w:t>作者: Yetao Shu, Laixi Sun, Yuhai Li, Tong Fu, Yubin Zhang, Rong Wu, Wenhua Gu, Li Li, Fang Wang, Xiaodong Yuan, Junwei Zhang</w:t>
        <w:br/>
      </w:r>
      <w:r>
        <w:rPr>
          <w:rFonts w:ascii="Times New Roman" w:hAnsi="Times New Roman" w:eastAsia="宋体"/>
          <w:sz w:val="21"/>
        </w:rPr>
        <w:t xml:space="preserve">时间: 2026-01-26 | </w:t>
      </w:r>
      <w:r>
        <w:t xml:space="preserve">链接: </w:t>
      </w:r>
      <w:hyperlink r:id="rId51">
        <w:r>
          <w:rPr>
            <w:rFonts w:ascii="Times New Roman" w:hAnsi="Times New Roman" w:eastAsia="宋体"/>
            <w:color w:val="0000FF"/>
            <w:sz w:val="21"/>
            <w:u w:val="single"/>
          </w:rPr>
          <w:t>https://doi.org/10.1364/oe.579508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全光计算提供超高速、低功耗和并行处理能力，这对于克服摩尔定律的限制至关重要。然而，传统的单波长衍射深度神经网络（D 2 NN）在实现高精度光学边缘特征提取和分类任务之间的协同优化方面面临着重大挑战。在这里，提出了一种用于单波长全光学物体分类的边缘检测自旋微分衍射神经网络（ESD-DNN）。该网络架构通过 Pancharatnam-Berry 相位梯度超表面实现，以实现快速边缘特征提取，而分类推理则通过利用基于左手/右手圆偏振 (LCP/RCP) 组件的自旋微分机制来完成。通过衍射层的端到端优化，ESD-DNN 实现了边缘特征提取和分类的协同优化，显着提高了精度，同时降低了计算成本。数值验证表明，单层 ESD-DNN 的分类准确率达到 97.5% (MNIST) 和 87.5% (Fashion-MNIST)，分别超过传统单波长 D 2 NN 10.2% 和 5.2%。同时，与四层 D 2 NN 相比，它的计算效率提高了 5 倍，同时时间复杂度降低了 80%。值得注意的是，在中等湍流强度或热透镜效应等极端条件下，该网络仍保持 &gt;90% 的分类精度 (MNIST)，展示了其卓越的环境鲁棒性。这些发现为人工智能、卫星遥感、智能工业检测和空间光通信等领域的应用铺平了道路。</w:t>
      </w:r>
    </w:p>
    <w:p>
      <w:pPr>
        <w:spacing w:before="120"/>
      </w:pPr>
      <w:r>
        <w:rPr>
          <w:rFonts w:ascii="Times New Roman" w:hAnsi="Times New Roman" w:eastAsia="宋体"/>
          <w:b/>
          <w:sz w:val="21"/>
        </w:rPr>
        <w:t>English Abstract:</w:t>
      </w:r>
    </w:p>
    <w:p>
      <w:r>
        <w:rPr>
          <w:rFonts w:ascii="Times New Roman" w:hAnsi="Times New Roman" w:eastAsia="宋体"/>
          <w:sz w:val="21"/>
        </w:rPr>
        <w:t>All-optical computing offers ultra-high speed, low-power consumption, and parallel processing capabilities, crucial for overcoming Moore's Law limitations. However, conventional single-wavelength diffractive deep neural networks (D 2 NN) face significant challenges in achieving synergistic optimization between high-precision optical edge-feature extraction and classification tasks. Here, an edge-detecting spin-differential diffractive neural network (ESD-DNN) is proposed for single-wavelength all-optical object classification. The network architecture is implemented through a Pancharatnam-Berry phase gradient metasurface to achieve rapid edge-feature extraction, while classification inference is accomplished by utilizing a spin-differential mechanism based on left-/right-handed circularly polarized (LCP/RCP) components. Through end-to-end optimization of the diffractive layers, the ESD-DNN achieves co-optimization of edge-feature extraction and classification, significantly improving accuracy while reducing computational costs. Numerical validations reveal that the single-layer ESD-DNN attains 97.5% (MNIST) and 87.5% (Fashion-MNIST) classification accuracy, surpassing traditional single-wavelength D 2 NN by 10.2% and 5.2%, respectively. Meanwhile, it achieves 5-fold higher computational efficiency while reducing time complexity by 80% compared to a four-layer D 2 NN. Remarkably, under extreme conditions such as moderate turbulence intensity or thermal lensing effects, the network maintains &gt;90% classification accuracy (MNIST), demonstrating its exceptional environmental robustness. These findings pave the way for applications in artificial intelligence, satellite remote sensing, intelligent industrial inspection, and space optical communications.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Light: Science &amp; Applications</w:t>
      </w:r>
    </w:p>
    <w:p>
      <w:pPr>
        <w:jc w:val="center"/>
      </w:pPr>
      <w:r>
        <w:t>--- 更新: 00:28 ---</w:t>
      </w:r>
    </w:p>
    <w:p>
      <w:pPr>
        <w:pStyle w:val="Heading2"/>
      </w:pPr>
      <w:r/>
      <w:r>
        <w:rPr>
          <w:rFonts w:ascii="Times New Roman" w:hAnsi="Times New Roman" w:eastAsia="宋体"/>
          <w:b/>
          <w:color w:val="000000"/>
          <w:sz w:val="24"/>
        </w:rPr>
        <w:t>用于类脑电子学和光电子学的镓基半导体薄膜的诱导配合生长</w:t>
      </w:r>
    </w:p>
    <w:p>
      <w:r>
        <w:rPr>
          <w:rFonts w:ascii="Times New Roman" w:hAnsi="Times New Roman" w:eastAsia="宋体"/>
          <w:b/>
          <w:color w:val="003264"/>
          <w:sz w:val="24"/>
        </w:rPr>
        <w:t>Induced fit growth of Ga-based semiconductor thin films for brain-inspired electronics and optoelectronics</w:t>
      </w:r>
    </w:p>
    <w:p>
      <w:r>
        <w:rPr>
          <w:rFonts w:ascii="Times New Roman" w:hAnsi="Times New Roman" w:eastAsia="宋体"/>
          <w:sz w:val="21"/>
        </w:rPr>
        <w:t>作者: Zixu Sa, Kepeng Song, You Meng, Wenfeng Wu, Zhaocong Wang, Pengsheng Li, Jie Zhang, Zeqi Zang, Guangcan Wang, Mingxu Wang, Zhitai Jia, Yang Tan, Weifeng Li, SenPo Yip, Feng Chen, Johnny C. Ho, Zai-xing Yang</w:t>
        <w:br/>
      </w:r>
      <w:r>
        <w:rPr>
          <w:rFonts w:ascii="Times New Roman" w:hAnsi="Times New Roman" w:eastAsia="宋体"/>
          <w:sz w:val="21"/>
        </w:rPr>
        <w:t xml:space="preserve">时间: 2026-02-04 | </w:t>
      </w:r>
      <w:r>
        <w:t xml:space="preserve">链接: </w:t>
      </w:r>
      <w:hyperlink r:id="rId26">
        <w:r>
          <w:rPr>
            <w:rFonts w:ascii="Times New Roman" w:hAnsi="Times New Roman" w:eastAsia="宋体"/>
            <w:color w:val="0000FF"/>
            <w:sz w:val="21"/>
            <w:u w:val="single"/>
          </w:rPr>
          <w:t>https://doi.org/10.1038/s41377-025-02096-2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当前的晶体薄膜生产技术通常需要特定的生长基板，这对其在柔性电子和集成光电子中的使用提出了重大挑战。为了应对这些挑战，我们引入了一种称为“诱导拟合生长”的新方法，其灵感来自于分子生物学中的诱导拟合理论。该方法克服了当前技术的局限性，能够在任意基底上沉积厚度和形貌可控的 Ga 基半导体薄膜，包括 GaSb、GaSe、GaAs 和 GaAsSb。利用与标准半导体工艺兼容的低成本晶圆级气相沉积工艺，这些 Ga 基薄膜可以针对各种功能应用进行图案化。例如，图案化的Ga基薄膜在p沟道晶体管阵列（空穴迁移率为0.25 cm 2 V-1 s-1）、功能性突触器件和灵活的全向成像传感器（在低至5°的入射角下保持功能）中表现出广泛的适用性。总体而言，所提出的诱导配合生长方法有利于Ga基半导体薄膜的生长，具有更大的集成灵活性，增强了其先进的功能和广泛的适用性。</w:t>
      </w:r>
    </w:p>
    <w:p>
      <w:pPr>
        <w:spacing w:before="120"/>
      </w:pPr>
      <w:r>
        <w:rPr>
          <w:rFonts w:ascii="Times New Roman" w:hAnsi="Times New Roman" w:eastAsia="宋体"/>
          <w:b/>
          <w:sz w:val="21"/>
        </w:rPr>
        <w:t>English Abstract:</w:t>
      </w:r>
    </w:p>
    <w:p>
      <w:r>
        <w:rPr>
          <w:rFonts w:ascii="Times New Roman" w:hAnsi="Times New Roman" w:eastAsia="宋体"/>
          <w:sz w:val="21"/>
        </w:rPr>
        <w:t>Abstract Current crystalline thin-film production techniques typically require specific growth substrates, posing significant challenges for their use in flexible electronics and integrated optoelectronics. In response to these challenges, we introduce a novel method called ‘induced fit growth’, inspired by the induced fit theory in molecular biology. This method overcomes the limitations of current techniques by enabling the deposition of Ga-based semiconductor films, including GaSb, GaSe, GaAs, and GaAsSb, with controllable thickness and morphology on arbitrary substrates. Utilizing a low-cost, wafer-scale vapor deposition process compatible with standard semiconductor procedures, these Ga-based films can be patterned for various functional applications. For example, the patterned Ga-based thin films exhibit broad applicability in p-channel transistor arrays (with hole mobility of 0.25 cm 2 V⁻ 1 s⁻ 1 ), functional synaptic devices, and flexible omnidirectional imaging sensors (maintaining functionality at incident angles as low as 5°). Overall, the proposed induced fit growth method facilitates the growth of Ga-based semiconductor films with greater integration flexibility, enhancing their advanced functionality and broad applicability.</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Biomedical Optics Express</w:t>
      </w:r>
    </w:p>
    <w:p>
      <w:pPr>
        <w:jc w:val="center"/>
      </w:pPr>
      <w:r>
        <w:t>--- 更新: 06:29 ---</w:t>
      </w:r>
    </w:p>
    <w:p>
      <w:pPr>
        <w:pStyle w:val="Heading2"/>
      </w:pPr>
      <w:r/>
      <w:r>
        <w:rPr>
          <w:rFonts w:ascii="Times New Roman" w:hAnsi="Times New Roman" w:eastAsia="宋体"/>
          <w:b/>
          <w:color w:val="000000"/>
          <w:sz w:val="24"/>
        </w:rPr>
        <w:t>反射共焦显微镜引导的空间选择性多光子光热作用可精确闭合小鼠眼缘血管</w:t>
      </w:r>
    </w:p>
    <w:p>
      <w:r>
        <w:rPr>
          <w:rFonts w:ascii="Times New Roman" w:hAnsi="Times New Roman" w:eastAsia="宋体"/>
          <w:b/>
          <w:color w:val="003264"/>
          <w:sz w:val="24"/>
        </w:rPr>
        <w:t>Spatially selective multiphoton photothermolysis guided by reflectance confocal microscopy for precise vessel closure in the mouse eye limbus</w:t>
      </w:r>
    </w:p>
    <w:p>
      <w:r>
        <w:rPr>
          <w:rFonts w:ascii="Times New Roman" w:hAnsi="Times New Roman" w:eastAsia="宋体"/>
          <w:sz w:val="21"/>
        </w:rPr>
        <w:t>作者: Liwei Jiang, Zhenguo Wu, Jianhua Zhao, Jing Cui, Harvey Lui, Sonia N. Yeung, Joanne A. Matsubara, Haishan Zeng</w:t>
        <w:br/>
      </w:r>
      <w:r>
        <w:rPr>
          <w:rFonts w:ascii="Times New Roman" w:hAnsi="Times New Roman" w:eastAsia="宋体"/>
          <w:sz w:val="21"/>
        </w:rPr>
        <w:t xml:space="preserve">时间: 2026-01-14 | </w:t>
      </w:r>
      <w:r>
        <w:t xml:space="preserve">链接: </w:t>
      </w:r>
      <w:hyperlink r:id="rId52">
        <w:r>
          <w:rPr>
            <w:rFonts w:ascii="Times New Roman" w:hAnsi="Times New Roman" w:eastAsia="宋体"/>
            <w:color w:val="0000FF"/>
            <w:sz w:val="21"/>
            <w:u w:val="single"/>
          </w:rPr>
          <w:t>https://doi.org/10.1364/boe.585526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角膜新生血管（CNV）的特点是角膜异常血管生长，通常会损害视力。传统的 CNV 激光疗法缺乏精确性，并且存在附带损害的风险。我们开发了一种多光子光热解 (MPP) 方法，使用基于飞秒 (fs) 激光的双光子吸收，并由实时反射共焦显微镜引导。实施了两种 MPP 激光治疗配置：用于成像（785 nm CW）和治疗（830 nm fs）的双激光器，以及用于这两种功能的单 fs 激光器。我们证明，在小鼠眼角膜中，MPP 实现了选择性血管闭合，而没有附带组织损伤。结果还表明治疗效果是由两个光子吸收而不是一个光子吸收介导的，这凸显了 MPP 作为精确且安全的 CNV 治疗的潜力。</w:t>
      </w:r>
    </w:p>
    <w:p>
      <w:pPr>
        <w:spacing w:before="120"/>
      </w:pPr>
      <w:r>
        <w:rPr>
          <w:rFonts w:ascii="Times New Roman" w:hAnsi="Times New Roman" w:eastAsia="宋体"/>
          <w:b/>
          <w:sz w:val="21"/>
        </w:rPr>
        <w:t>English Abstract:</w:t>
      </w:r>
    </w:p>
    <w:p>
      <w:r>
        <w:rPr>
          <w:rFonts w:ascii="Times New Roman" w:hAnsi="Times New Roman" w:eastAsia="宋体"/>
          <w:sz w:val="21"/>
        </w:rPr>
        <w:t>Corneal neovascularization (CNV) is characterized by abnormal vessel growth into the cornea, often impairing vision. Conventional laser therapies for CNV lack precision and risk collateral damage. We developed a multiphoton photothermolysis (MPP) approach using femtosecond (fs) laser-based two-photon absorption guided by real-time reflectance confocal microscopy. Two MPP laser treatment configurations were implemented: dual lasers for imaging (785 nm CW) and treatment (830 nm fs), and a single fs laser for both functions. We demonstrated that in the mouse eye limbus, MPP achieved selective vessel closure without collateral tissue damage. Results also indicate therapeutic effects are mediated by two- rather than one-photon absorption, highlighting MPP’s potential as a precise and safe CNV treatment.</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Laser &amp; Photonics Reviews</w:t>
      </w:r>
    </w:p>
    <w:p>
      <w:pPr>
        <w:jc w:val="center"/>
      </w:pPr>
      <w:r>
        <w:t>--- 更新: 06:29 ---</w:t>
      </w:r>
    </w:p>
    <w:p>
      <w:pPr>
        <w:pStyle w:val="Heading2"/>
      </w:pPr>
      <w:r/>
      <w:r>
        <w:rPr>
          <w:rFonts w:ascii="Times New Roman" w:hAnsi="Times New Roman" w:eastAsia="宋体"/>
          <w:b/>
          <w:color w:val="000000"/>
          <w:sz w:val="24"/>
        </w:rPr>
        <w:t>太赫兹频率的拓扑光子器件和电路</w:t>
      </w:r>
    </w:p>
    <w:p>
      <w:r>
        <w:rPr>
          <w:rFonts w:ascii="Times New Roman" w:hAnsi="Times New Roman" w:eastAsia="宋体"/>
          <w:b/>
          <w:color w:val="003264"/>
          <w:sz w:val="24"/>
        </w:rPr>
        <w:t>Topological Photonic Devices and Circuits at Terahertz Frequencies</w:t>
      </w:r>
    </w:p>
    <w:p>
      <w:r>
        <w:rPr>
          <w:rFonts w:ascii="Times New Roman" w:hAnsi="Times New Roman" w:eastAsia="宋体"/>
          <w:sz w:val="21"/>
        </w:rPr>
        <w:t>作者: Samane Kalhor, Srabani Kar, Ranjan Singh, Kaveh Delfanazari</w:t>
        <w:br/>
      </w:r>
      <w:r>
        <w:rPr>
          <w:rFonts w:ascii="Times New Roman" w:hAnsi="Times New Roman" w:eastAsia="宋体"/>
          <w:sz w:val="21"/>
        </w:rPr>
        <w:t xml:space="preserve">时间: 2026-02-04 | </w:t>
      </w:r>
      <w:r>
        <w:t xml:space="preserve">链接: </w:t>
      </w:r>
      <w:hyperlink r:id="rId53">
        <w:r>
          <w:rPr>
            <w:rFonts w:ascii="Times New Roman" w:hAnsi="Times New Roman" w:eastAsia="宋体"/>
            <w:color w:val="0000FF"/>
            <w:sz w:val="21"/>
            <w:u w:val="single"/>
          </w:rPr>
          <w:t>https://doi.org/10.1002/lpor.202503162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拓扑光子学已成为太赫兹 (THz) 科学和技术的变革范式，通过本质上对无序、缺陷和制造缺陷具有鲁棒性的模式提供对电磁波前所未有的控制。 3D 拓扑绝缘体 (TI) 以自旋极化狄拉克表面态为特征，为实现可调谐、低损耗太赫兹组件提供了强大的材料平台，其功能超越了传统光子系统。基于 TI 的设备在下一代成像、传感和大容量无线通信的核心光谱范围内运行，有望增强性能、稳定性和能效。本文介绍了由 TI 和拓扑设计原理实现的太赫兹光子器件和电路的最新进展。我们首先概述 3D TI 的基本电子和光学特性，并评估它们与太赫兹调制器、开关、探测器和发射器的集成。然后，我们讨论从传统的基于 TI 的光子学到完全拓扑光子平台的进展，强调支持单向、反向散射免疫光传输的结构的出现。最后，我们研究了先进的拓扑相，包括量子自旋霍尔、量子谷霍尔和高阶拓扑，如何解锁缺陷免疫传播、无反射接口和可重构太赫兹电路。总之，这些发展将拓扑光子材料和架构定位为可扩展、弹性和高性能太赫兹和量子光子系统的基础技术。</w:t>
      </w:r>
    </w:p>
    <w:p>
      <w:pPr>
        <w:spacing w:before="120"/>
      </w:pPr>
      <w:r>
        <w:rPr>
          <w:rFonts w:ascii="Times New Roman" w:hAnsi="Times New Roman" w:eastAsia="宋体"/>
          <w:b/>
          <w:sz w:val="21"/>
        </w:rPr>
        <w:t>English Abstract:</w:t>
      </w:r>
    </w:p>
    <w:p>
      <w:r>
        <w:rPr>
          <w:rFonts w:ascii="Times New Roman" w:hAnsi="Times New Roman" w:eastAsia="宋体"/>
          <w:sz w:val="21"/>
        </w:rPr>
        <w:t>ABSTRACT Topological photonics has emerged as a transformative paradigm for terahertz (THz) science and technology, offering unprecedented control over electromagnetic waves through modes that are inherently robust against disorder, defects, and fabrication imperfections. 3D topological insulators (TIs), characterized by spin‑polarized Dirac surface states, provide a powerful materials platform for realizing tunable, low‑loss THz components with functionalities that surpass those of conventional photonic systems. Operating across a spectral range central to next‑generation imaging, sensing, and high‑capacity wireless communications, TI‑based devices promise enhanced performance, stability, and energy efficiency. This paper covers recent advances in THz photonic devices and circuits enabled by TIs and topological design principles. We first outline the fundamental electronic and optical properties of 3D TIs and evaluate their integration into THz modulators, switches, detectors, and emitters. We then discuss the progression from traditional TI‑based photonics to fully topological photonic platforms, highlighting the emergence of structures that support unidirectional, backscattering‑immune light transport. Finally, we examine how advanced topological phases, including quantum spin Hall, quantum valley Hall, and higher‑order topologies, unlock defect‑immune propagation, reflectionless interfaces, and reconfigurable THz circuitry. Together, these developments position topological photonic materials and architectures as a foundational technology for scalable, resilient, and high‑performance THz and quantum photonic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具有高效自旋允许发射的穆勒型双自由基 X 射线闪烁</w:t>
      </w:r>
    </w:p>
    <w:p>
      <w:r>
        <w:rPr>
          <w:rFonts w:ascii="Times New Roman" w:hAnsi="Times New Roman" w:eastAsia="宋体"/>
          <w:b/>
          <w:color w:val="003264"/>
          <w:sz w:val="24"/>
        </w:rPr>
        <w:t>A Müller‐Type Diradicaloid With Efficient Spin‐Allowed Emission for X‐Ray Scintillation</w:t>
      </w:r>
    </w:p>
    <w:p>
      <w:r>
        <w:rPr>
          <w:rFonts w:ascii="Times New Roman" w:hAnsi="Times New Roman" w:eastAsia="宋体"/>
          <w:sz w:val="21"/>
        </w:rPr>
        <w:t>作者: Zihao Zhu, Yixiao Yin, Alim Abdurahman, Qiming Peng, Wei Huang, Zhongfu An</w:t>
        <w:br/>
      </w:r>
      <w:r>
        <w:rPr>
          <w:rFonts w:ascii="Times New Roman" w:hAnsi="Times New Roman" w:eastAsia="宋体"/>
          <w:sz w:val="21"/>
        </w:rPr>
        <w:t xml:space="preserve">时间: 2026-02-04 | </w:t>
      </w:r>
      <w:r>
        <w:t xml:space="preserve">链接: </w:t>
      </w:r>
      <w:hyperlink r:id="rId54">
        <w:r>
          <w:rPr>
            <w:rFonts w:ascii="Times New Roman" w:hAnsi="Times New Roman" w:eastAsia="宋体"/>
            <w:color w:val="0000FF"/>
            <w:sz w:val="21"/>
            <w:u w:val="single"/>
          </w:rPr>
          <w:t>https://doi.org/10.1002/lpor.202503022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有限的激子利用效率（主要是由于自旋禁阻三线态跃迁）仍然是有机光电子学的一个基本挑战。与传统的闭壳发光体不同，开壳双自由基通过实现单重态和三重激发态的自旋允许发射，本质上克服了这一限制。然而，由于竞争性非辐射衰变途径和结构不稳定性，在双自由基中实现高发光效率仍然具有挑战性。在此，我们报告了一种超稳定且高发光的穆勒型双自由基，TPT-CzPh，其光致发光量子产率（PLQY）达到创纪录的16.9%，比典型的穆勒碳氢化合物TTM-PhTTM提高了一个数量级。综合光谱和理论分析将增强的发射归因于合理设计的供体-受体框架，该框架能够实现有效的自旋允许跃迁，并通过最小化的结构重组抑制非辐射衰变。值得注意的是，TPT-CzPh 还表现出明显的 X 射线诱导闪烁，代表第一个用作无金属有机闪烁体的发光双自由基。这一双重成就不仅加深了对双自由基激发态动力学的理解，而且将开壳光物理学与辐射检测联系起来，为下一代高效光电材料铺平了道路。</w:t>
      </w:r>
    </w:p>
    <w:p>
      <w:pPr>
        <w:spacing w:before="120"/>
      </w:pPr>
      <w:r>
        <w:rPr>
          <w:rFonts w:ascii="Times New Roman" w:hAnsi="Times New Roman" w:eastAsia="宋体"/>
          <w:b/>
          <w:sz w:val="21"/>
        </w:rPr>
        <w:t>English Abstract:</w:t>
      </w:r>
    </w:p>
    <w:p>
      <w:r>
        <w:rPr>
          <w:rFonts w:ascii="Times New Roman" w:hAnsi="Times New Roman" w:eastAsia="宋体"/>
          <w:sz w:val="21"/>
        </w:rPr>
        <w:t>ABSTRACT Limited exciton utilization efficiency—primarily due to spin‐forbidden triplet transitions—remains a fundamental challenge in organic optoelectronics. Unlike conventional closed‐shell luminophores, open‐shell diradicaloids inherently overcome this limitation by enabling spin‐allowed emission from both singlet and triplet excited states. However, achieving high luminescence efficiency in diradicaloids remains challenging due to competing nonradiative decay pathways and structural instability. Herein, we report a super‐stable and highly luminescent Müller‐type diradicaloid, TPT‐CzPh, which achieves a record photoluminescence quantum yield (PLQY) of 16.9%—an order‐of‐magnitude improvement over the prototypical Müller hydrocarbon TTM‐PhTTM. Comprehensive spectroscopic and theoretical analyses attribute the enhanced emission to a rationally engineered donor–acceptor framework that enables efficient spin‐allowed transitions and suppresses nonradiative decay via minimized structural reorganization. Remarkably, TPT‐CzPh also exhibits pronounced X‐ray‐induced scintillation, representing the first luminescent diradicaloid functioning as a metal‐free organic scintillator. This dual achievement not only deepens understanding of excited‐state dynamics in diradicaloids but also bridges open‐shell photophysics with radiation detection, paving the way for next‐generation high‐efficiency optoelectronic materials.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Anapoles 的特异点和强耦合增强了全电介质异二聚体超表面中的 Purcell 效应</w:t>
      </w:r>
    </w:p>
    <w:p>
      <w:r>
        <w:rPr>
          <w:rFonts w:ascii="Times New Roman" w:hAnsi="Times New Roman" w:eastAsia="宋体"/>
          <w:b/>
          <w:color w:val="003264"/>
          <w:sz w:val="24"/>
        </w:rPr>
        <w:t>Exceptional Point and Strong Coupling of Anapoles Enhance Purcell Effect in All‐Dielectric Heterodimer Metasurface</w:t>
      </w:r>
    </w:p>
    <w:p>
      <w:r>
        <w:rPr>
          <w:rFonts w:ascii="Times New Roman" w:hAnsi="Times New Roman" w:eastAsia="宋体"/>
          <w:sz w:val="21"/>
        </w:rPr>
        <w:t>作者: Monica Pradhan, Shubhanshi Sharma, Ranjan Singh, Shailendra K. Varshney</w:t>
        <w:br/>
      </w:r>
      <w:r>
        <w:rPr>
          <w:rFonts w:ascii="Times New Roman" w:hAnsi="Times New Roman" w:eastAsia="宋体"/>
          <w:sz w:val="21"/>
        </w:rPr>
        <w:t xml:space="preserve">时间: 2026-02-04 | </w:t>
      </w:r>
      <w:r>
        <w:t xml:space="preserve">链接: </w:t>
      </w:r>
      <w:hyperlink r:id="rId55">
        <w:r>
          <w:rPr>
            <w:rFonts w:ascii="Times New Roman" w:hAnsi="Times New Roman" w:eastAsia="宋体"/>
            <w:color w:val="0000FF"/>
            <w:sz w:val="21"/>
            <w:u w:val="single"/>
          </w:rPr>
          <w:t>https://doi.org/10.1002/lpor.202502853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电介质米氏谐振器是非厄米系统的一个例子，其中纳米尺度的光物质相互作用支持散射态的连续体。众所周知，此类系统表现出辐射和吸收损耗，分别与频率和衰减率相关。为了利用这种非厄米系统的重要特性，这项工作提出了解硅异质二聚体超表面中的阿纳极介导的共振耦合。阿纳极-阿纳极相互作用在某些扰动下通过异常点转变呈现出强耦合现象。这种耦合导致拉比分裂为 48.438 meV (11.7 THz)。采用两级原子系统的概念对所提出的系统中的原子跃迁和共振模式进行比较分析，这展示了一个清晰的类比，抓住了强耦合的本质。该系统提供了对控制混合光学模式的相互作用动力学的更深入的了解，这是一个有前途的平台，可实现实质性的珀塞尔增强并减少阿纳极共振周围的寿命。因此，所提出的二聚体结构为开发对于下一代光子量子网络至关重要的光子发射器界面铺平了道路。</w:t>
      </w:r>
    </w:p>
    <w:p>
      <w:pPr>
        <w:spacing w:before="120"/>
      </w:pPr>
      <w:r>
        <w:rPr>
          <w:rFonts w:ascii="Times New Roman" w:hAnsi="Times New Roman" w:eastAsia="宋体"/>
          <w:b/>
          <w:sz w:val="21"/>
        </w:rPr>
        <w:t>English Abstract:</w:t>
      </w:r>
    </w:p>
    <w:p>
      <w:r>
        <w:rPr>
          <w:rFonts w:ascii="Times New Roman" w:hAnsi="Times New Roman" w:eastAsia="宋体"/>
          <w:sz w:val="21"/>
        </w:rPr>
        <w:t>ABSTRACT Dielectric Mie resonators are an example of non‐Hermitian systems where the light‐matter interaction at the nanoscale supports the continuum of scattering states. It is well established that such systems exhibit radiative and absorptive losses, relating to the frequency and decay rate, respectively. To utilize the significant properties of such non‐Hermitian systems, this work proposes to understand the anapole‐mediated resonance coupling in a silicon hetero‐dimer metasurface. The anapole–anapole interaction presents a strong coupling phenomenon under certain perturbations through an exceptional point transition. This coupling results in a Rabi splitting of 48.438 meV (11.7 THz). The concept of a two‐level atomic system is employed to establish a comparative analysis between the atomic transitions and the resonant modes in the proposed system, which demonstrates a clear analogy that captures the essence of strong coupling. This system provides deeper insight into the interaction dynamics governing the hybridized optical modes, which is a promising platform for achieving substantial Purcell enhancement and yielding the reduction in lifetime around the anapole resonance. Consequently, the proposed dimer structure paves the way toward developing photon–emitter interfaces that are essential for next‐generation photonic quantum networks.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ACS Photonics</w:t>
      </w:r>
    </w:p>
    <w:p>
      <w:pPr>
        <w:jc w:val="center"/>
      </w:pPr>
      <w:r>
        <w:t>--- 更新: 06:29 ---</w:t>
      </w:r>
    </w:p>
    <w:p>
      <w:pPr>
        <w:pStyle w:val="Heading2"/>
      </w:pPr>
      <w:r/>
      <w:r>
        <w:rPr>
          <w:rFonts w:ascii="Times New Roman" w:hAnsi="Times New Roman" w:eastAsia="宋体"/>
          <w:b/>
          <w:color w:val="000000"/>
          <w:sz w:val="24"/>
        </w:rPr>
        <w:t>发行社论标头</w:t>
      </w:r>
    </w:p>
    <w:p>
      <w:r>
        <w:rPr>
          <w:rFonts w:ascii="Times New Roman" w:hAnsi="Times New Roman" w:eastAsia="宋体"/>
          <w:b/>
          <w:color w:val="003264"/>
          <w:sz w:val="24"/>
        </w:rPr>
        <w:t>Issue Editorial Masthead</w:t>
      </w:r>
    </w:p>
    <w:p>
      <w:r>
        <w:rPr>
          <w:rFonts w:ascii="Times New Roman" w:hAnsi="Times New Roman" w:eastAsia="宋体"/>
          <w:sz w:val="21"/>
        </w:rPr>
        <w:t>作者: Unknown</w:t>
        <w:br/>
      </w:r>
      <w:r>
        <w:rPr>
          <w:rFonts w:ascii="Times New Roman" w:hAnsi="Times New Roman" w:eastAsia="宋体"/>
          <w:sz w:val="21"/>
        </w:rPr>
        <w:t xml:space="preserve">时间: 2026-02-04 | </w:t>
      </w:r>
      <w:r>
        <w:t xml:space="preserve">链接: </w:t>
      </w:r>
      <w:hyperlink r:id="rId56">
        <w:r>
          <w:rPr>
            <w:rFonts w:ascii="Times New Roman" w:hAnsi="Times New Roman" w:eastAsia="宋体"/>
            <w:color w:val="0000FF"/>
            <w:sz w:val="21"/>
            <w:u w:val="single"/>
          </w:rPr>
          <w:t>https://doi.org/10.1021/phv013i003_2036987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发行出版信息</w:t>
      </w:r>
    </w:p>
    <w:p>
      <w:r>
        <w:rPr>
          <w:rFonts w:ascii="Times New Roman" w:hAnsi="Times New Roman" w:eastAsia="宋体"/>
          <w:b/>
          <w:color w:val="003264"/>
          <w:sz w:val="24"/>
        </w:rPr>
        <w:t>Issue Publication Information</w:t>
      </w:r>
    </w:p>
    <w:p>
      <w:r>
        <w:rPr>
          <w:rFonts w:ascii="Times New Roman" w:hAnsi="Times New Roman" w:eastAsia="宋体"/>
          <w:sz w:val="21"/>
        </w:rPr>
        <w:t>作者: Unknown</w:t>
        <w:br/>
      </w:r>
      <w:r>
        <w:rPr>
          <w:rFonts w:ascii="Times New Roman" w:hAnsi="Times New Roman" w:eastAsia="宋体"/>
          <w:sz w:val="21"/>
        </w:rPr>
        <w:t xml:space="preserve">时间: 2026-02-04 | </w:t>
      </w:r>
      <w:r>
        <w:t xml:space="preserve">链接: </w:t>
      </w:r>
      <w:hyperlink r:id="rId57">
        <w:r>
          <w:rPr>
            <w:rFonts w:ascii="Times New Roman" w:hAnsi="Times New Roman" w:eastAsia="宋体"/>
            <w:color w:val="0000FF"/>
            <w:sz w:val="21"/>
            <w:u w:val="single"/>
          </w:rPr>
          <w:t>https://doi.org/10.1021/phv013i003_2036986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Nature Photonics</w:t>
      </w:r>
    </w:p>
    <w:p>
      <w:pPr>
        <w:jc w:val="center"/>
      </w:pPr>
      <w:r>
        <w:t>--- 更新: 08:28 ---</w:t>
      </w:r>
    </w:p>
    <w:p>
      <w:pPr>
        <w:pStyle w:val="Heading2"/>
      </w:pPr>
      <w:r/>
      <w:r>
        <w:rPr>
          <w:rFonts w:ascii="Times New Roman" w:hAnsi="Times New Roman" w:eastAsia="宋体"/>
          <w:b/>
          <w:color w:val="000000"/>
          <w:sz w:val="24"/>
        </w:rPr>
        <w:t>纳米级排列连续体中的非局域束缚态</w:t>
      </w:r>
    </w:p>
    <w:p>
      <w:r>
        <w:rPr>
          <w:rFonts w:ascii="Times New Roman" w:hAnsi="Times New Roman" w:eastAsia="宋体"/>
          <w:b/>
          <w:color w:val="003264"/>
          <w:sz w:val="24"/>
        </w:rPr>
        <w:t>Non-local bound states in the continuum for nanoscale alignment</w:t>
      </w:r>
    </w:p>
    <w:p>
      <w:r>
        <w:rPr>
          <w:rFonts w:ascii="Times New Roman" w:hAnsi="Times New Roman" w:eastAsia="宋体"/>
          <w:sz w:val="21"/>
        </w:rPr>
        <w:t>作者: Jing Cheng Zhang, Din Ping Tsai, Stella W. Pang</w:t>
        <w:br/>
      </w:r>
      <w:r>
        <w:rPr>
          <w:rFonts w:ascii="Times New Roman" w:hAnsi="Times New Roman" w:eastAsia="宋体"/>
          <w:sz w:val="21"/>
        </w:rPr>
        <w:t xml:space="preserve">时间: 2026-02-04 | </w:t>
      </w:r>
      <w:r>
        <w:t xml:space="preserve">链接: </w:t>
      </w:r>
      <w:hyperlink r:id="rId64">
        <w:r>
          <w:rPr>
            <w:rFonts w:ascii="Times New Roman" w:hAnsi="Times New Roman" w:eastAsia="宋体"/>
            <w:color w:val="0000FF"/>
            <w:sz w:val="21"/>
            <w:u w:val="single"/>
          </w:rPr>
          <w:t>https://doi.org/10.1038/s41566-026-01847-w</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研究人员研究了由面外不对称性引起的从连续体束缚态 (BIC) 到准 BIC 的转变，并说明了 BIC 共振的品质因数如何成为实现精确芯片图案精度的宝贵工具。</w:t>
      </w:r>
    </w:p>
    <w:p>
      <w:pPr>
        <w:spacing w:before="120"/>
      </w:pPr>
      <w:r>
        <w:rPr>
          <w:rFonts w:ascii="Times New Roman" w:hAnsi="Times New Roman" w:eastAsia="宋体"/>
          <w:b/>
          <w:sz w:val="21"/>
        </w:rPr>
        <w:t>English Abstract:</w:t>
      </w:r>
    </w:p>
    <w:p>
      <w:r>
        <w:rPr>
          <w:rFonts w:ascii="Times New Roman" w:hAnsi="Times New Roman" w:eastAsia="宋体"/>
          <w:sz w:val="21"/>
        </w:rPr>
        <w:t>Researchers study the transition from bound states in the continuum (BICs) to quasi-BIC caused by out-of-plane asymmetry and illustrate how quality factors of BIC resonances are valuable tools for precise chip patterning accuracy.</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Applied Optics</w:t>
      </w:r>
    </w:p>
    <w:p>
      <w:pPr>
        <w:jc w:val="center"/>
      </w:pPr>
      <w:r>
        <w:t>--- 更新: 11:28 ---</w:t>
      </w:r>
    </w:p>
    <w:p>
      <w:pPr>
        <w:pStyle w:val="Heading2"/>
      </w:pPr>
      <w:r/>
      <w:r>
        <w:rPr>
          <w:rFonts w:ascii="Times New Roman" w:hAnsi="Times New Roman" w:eastAsia="宋体"/>
          <w:b/>
          <w:color w:val="000000"/>
          <w:sz w:val="24"/>
        </w:rPr>
        <w:t>条纹投影轮廓测量中的高效非线性校正方法</w:t>
      </w:r>
    </w:p>
    <w:p>
      <w:r>
        <w:rPr>
          <w:rFonts w:ascii="Times New Roman" w:hAnsi="Times New Roman" w:eastAsia="宋体"/>
          <w:b/>
          <w:color w:val="003264"/>
          <w:sz w:val="24"/>
        </w:rPr>
        <w:t>Efficient nonlinear correction method in fringe projection profilometry</w:t>
      </w:r>
    </w:p>
    <w:p>
      <w:r>
        <w:rPr>
          <w:rFonts w:ascii="Times New Roman" w:hAnsi="Times New Roman" w:eastAsia="宋体"/>
          <w:sz w:val="21"/>
        </w:rPr>
        <w:t>作者: Huixin Sun, Jianhua Wang, Qinkui Ma, Tong Shao</w:t>
        <w:br/>
      </w:r>
      <w:r>
        <w:rPr>
          <w:rFonts w:ascii="Times New Roman" w:hAnsi="Times New Roman" w:eastAsia="宋体"/>
          <w:sz w:val="21"/>
        </w:rPr>
        <w:t xml:space="preserve">时间: 2026-01-28 | </w:t>
      </w:r>
      <w:r>
        <w:t xml:space="preserve">链接: </w:t>
      </w:r>
      <w:hyperlink r:id="rId71">
        <w:r>
          <w:rPr>
            <w:rFonts w:ascii="Times New Roman" w:hAnsi="Times New Roman" w:eastAsia="宋体"/>
            <w:color w:val="0000FF"/>
            <w:sz w:val="21"/>
            <w:u w:val="single"/>
          </w:rPr>
          <w:t>https://doi.org/10.1364/ao.583961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在条纹投影轮廓测量（FPP）中，投影仪的非线性响应是影响三维（3D）测量精度的关键因素之一。双N步相移法(DNPSM)是校正非线性引起的相位误差的有效方法。然而，DNPSM 所需的条纹序列数量增加了一倍，导致 3D 测量效率较低。为了提高测量效率，本文提出了两种有效的非线性引起的相位误差校正（NIPEC）方法。首先，我们通过在高频条纹中仅添加少量附加条纹图案来优化DNPSM，将条纹图案总数从18个减少到12个。其次，我们引入基于希尔伯特变换的三步相移算法（PSA）方法，该方法不需要额外的投影条纹图案，而是通过希尔伯特变换构造相移条纹图案。实验结果表明，该方法有效抑制了周期性纹波相位误差，与传统DNPSM相比，测量效率提高了34%。</w:t>
      </w:r>
    </w:p>
    <w:p>
      <w:pPr>
        <w:spacing w:before="120"/>
      </w:pPr>
      <w:r>
        <w:rPr>
          <w:rFonts w:ascii="Times New Roman" w:hAnsi="Times New Roman" w:eastAsia="宋体"/>
          <w:b/>
          <w:sz w:val="21"/>
        </w:rPr>
        <w:t>English Abstract:</w:t>
      </w:r>
    </w:p>
    <w:p>
      <w:r>
        <w:rPr>
          <w:rFonts w:ascii="Times New Roman" w:hAnsi="Times New Roman" w:eastAsia="宋体"/>
          <w:sz w:val="21"/>
        </w:rPr>
        <w:t>In fringe projection profilometry (FPP), the nonlinear response of the projector is one of the key factors affecting the accuracy of three-dimensional (3D) measurement. The double N -step phase-shifting method (DNPSM) is an effective method for correcting nonlinear-induced phase errors. However, the DNPSM doubles the number of required fringe sequences, resulting in low 3D measurement efficiency. To enhance measurement efficiency, this paper proposes two efficient nonlinear-induced phase error correction (NIPEC) methods. First, we optimize the DNPSM by adding only a small number of additional fringe patterns in the high-frequency fringes, reducing the total number of fringe patterns from 18 to 12. Second, we introduce a Hilbert transform-based three-step phase-shifting algorithm (PSA) method, which does not require additional projected fringe patterns but instead constructs the phase-shifted fringe patterns through the Hilbert transform. Experimental results demonstrate that the proposed methods effectively suppress periodic ripple phase errors and improve measurement efficiency by 34% compared to the traditional DNPSM.</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9 字形掺铒光纤激光器中的多孤子束缚态</w:t>
      </w:r>
    </w:p>
    <w:p>
      <w:r>
        <w:rPr>
          <w:rFonts w:ascii="Times New Roman" w:hAnsi="Times New Roman" w:eastAsia="宋体"/>
          <w:b/>
          <w:color w:val="003264"/>
          <w:sz w:val="24"/>
        </w:rPr>
        <w:t>Multi-soliton bound states in a figure-9 Er-doped fiber laser</w:t>
      </w:r>
    </w:p>
    <w:p>
      <w:r>
        <w:rPr>
          <w:rFonts w:ascii="Times New Roman" w:hAnsi="Times New Roman" w:eastAsia="宋体"/>
          <w:sz w:val="21"/>
        </w:rPr>
        <w:t>作者: Huiling Wu, Qiaochu Yang, Zhuoao Wen, Yuanzhu Zhou, Yuqi Sun, Yuezhang Hou, Zhenghao Li, Xinjian Pan, Tianshu Wang</w:t>
        <w:br/>
      </w:r>
      <w:r>
        <w:rPr>
          <w:rFonts w:ascii="Times New Roman" w:hAnsi="Times New Roman" w:eastAsia="宋体"/>
          <w:sz w:val="21"/>
        </w:rPr>
        <w:t xml:space="preserve">时间: 2026-02-02 | </w:t>
      </w:r>
      <w:r>
        <w:t xml:space="preserve">链接: </w:t>
      </w:r>
      <w:hyperlink r:id="rId72">
        <w:r>
          <w:rPr>
            <w:rFonts w:ascii="Times New Roman" w:hAnsi="Times New Roman" w:eastAsia="宋体"/>
            <w:color w:val="0000FF"/>
            <w:sz w:val="21"/>
            <w:u w:val="single"/>
          </w:rPr>
          <w:t>https://doi.org/10.1364/ao.583890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本文提出了一种自启动、全保偏 (PM) 9 字型掺铒光纤激光器，采用集成 PM 组合器。通过调节泵浦功率和腔内偏振态，可以有效地控制激光器的工作状态和脉冲特性，从而能够产生具有可调间隔和阶数的束缚孤子态。成功生成了多种束缚态配置，包括双孤子态、三孤子态、四孤子态和六孤子态。分析了这些不同束缚孤子态的形成机制和特征，为深入了解多个孤子之间的相互作用动力学提供了更深入的见解，并为进一步探索束缚态系统中的非线性动力学提供了有价值的指导。</w:t>
      </w:r>
    </w:p>
    <w:p>
      <w:pPr>
        <w:spacing w:before="120"/>
      </w:pPr>
      <w:r>
        <w:rPr>
          <w:rFonts w:ascii="Times New Roman" w:hAnsi="Times New Roman" w:eastAsia="宋体"/>
          <w:b/>
          <w:sz w:val="21"/>
        </w:rPr>
        <w:t>English Abstract:</w:t>
      </w:r>
    </w:p>
    <w:p>
      <w:r>
        <w:rPr>
          <w:rFonts w:ascii="Times New Roman" w:hAnsi="Times New Roman" w:eastAsia="宋体"/>
          <w:sz w:val="21"/>
        </w:rPr>
        <w:t>This paper presents a self-starting, all-polarization-maintaining (PM) figure-9 Er-doped fiber laser that employs an integrated PM combiner. By adjusting the pump power and intracavity polarization state, the operating regime and pulse characteristics of the laser can be effectively controlled, enabling the generation of bound soliton states with tunable separations and orders. Multiple bound-state configurations, including double-, triple-, quadruple-, and sextuple-soliton states, were successfully generated. The formation mechanisms and characteristics of these different bound soliton states were analyzed, providing deeper insight into the interaction dynamics between multiple solitons and offering valuable guidance for further exploration of nonlinear dynamics in bound-state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850 nm 多模双包层渐变折射率二氧化硅光子晶体光纤的模式滤波和传输性能</w:t>
      </w:r>
    </w:p>
    <w:p>
      <w:r>
        <w:rPr>
          <w:rFonts w:ascii="Times New Roman" w:hAnsi="Times New Roman" w:eastAsia="宋体"/>
          <w:b/>
          <w:color w:val="003264"/>
          <w:sz w:val="24"/>
        </w:rPr>
        <w:t>Mode filtering and transmission performance in multimode doubly clad graded-index silica photonic crystal fibers at 850 nm</w:t>
      </w:r>
    </w:p>
    <w:p>
      <w:r>
        <w:rPr>
          <w:rFonts w:ascii="Times New Roman" w:hAnsi="Times New Roman" w:eastAsia="宋体"/>
          <w:sz w:val="21"/>
        </w:rPr>
        <w:t>作者: Ana Simović, Branko Drljača, Konstantinos Aidinis, Xiong Deng, Svetislav Savović</w:t>
        <w:br/>
      </w:r>
      <w:r>
        <w:rPr>
          <w:rFonts w:ascii="Times New Roman" w:hAnsi="Times New Roman" w:eastAsia="宋体"/>
          <w:sz w:val="21"/>
        </w:rPr>
        <w:t xml:space="preserve">时间: 2026-01-30 | </w:t>
      </w:r>
      <w:r>
        <w:t xml:space="preserve">链接: </w:t>
      </w:r>
      <w:hyperlink r:id="rId154">
        <w:r>
          <w:rPr>
            <w:rFonts w:ascii="Times New Roman" w:hAnsi="Times New Roman" w:eastAsia="宋体"/>
            <w:color w:val="0000FF"/>
            <w:sz w:val="21"/>
            <w:u w:val="single"/>
          </w:rPr>
          <w:t>https://doi.org/10.1364/ao.585420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多模渐变折射率 (GI) 石英光纤广泛用于中短程数据传输，但面临带宽限制。实现更高的带宽需要创新的光纤设计，最大限度地减少模式色散并抑制高阶模式。在这里，我们使用功率流方程对其传输特性进行建模，从理论上分析了多模双包层（W 型）GI 二氧化硅光子晶体光纤（SPCF）。我们证明，对于较薄的内包层（δ = 0.24），平衡模式分布（EMD）和稳态分布（SSD）分别在光纤长度 L c = 36 m 和 z s = 95 m 时实现，而对于较厚的内包层（δ = 0.48），这些长度为 L c = 40 m 和 z s = 105 m。增加 δ 可减少漏模损耗并增加导模数量，从而延长达到 EMD 和 SSD 所需的长度。 EMD 实现得越早，带宽改善的速度就越快。具有 GI 纤芯分布的标准 OM4 和 OM5 多模石英光纤在 850 nm 处的带宽为 4.7GHz·km。这项工作中研究的 W 型 GI SPCF 在 850 nm 处实现了更高的带宽长度积 9.8GHz·km。这些发现表明，此类 SPCF 可以显着增强数据中心和电信的带宽性能，同时通过气孔几何形状调整提供更大的设计灵活性，而无需复杂的掺杂工艺。</w:t>
      </w:r>
    </w:p>
    <w:p>
      <w:pPr>
        <w:spacing w:before="120"/>
      </w:pPr>
      <w:r>
        <w:rPr>
          <w:rFonts w:ascii="Times New Roman" w:hAnsi="Times New Roman" w:eastAsia="宋体"/>
          <w:b/>
          <w:sz w:val="21"/>
        </w:rPr>
        <w:t>English Abstract:</w:t>
      </w:r>
    </w:p>
    <w:p>
      <w:r>
        <w:rPr>
          <w:rFonts w:ascii="Times New Roman" w:hAnsi="Times New Roman" w:eastAsia="宋体"/>
          <w:sz w:val="21"/>
        </w:rPr>
        <w:t>Multimode graded-index (GI) silica optical fibers are widely used for short- to medium-range data transmission but face bandwidth limitations. Achieving higher bandwidths requires innovative fiber designs that minimize modal dispersion and suppress higher-order modes. Here, we theoretically analyze a multimode doubly clad (W-type) GI silica photonic crystal fiber (SPCF) using the power flow equation to model its transmission characteristics. We demonstrated that for thinner inner cladding ( δ =0.24), the equilibrium mode distribution (EMD) and steady-state distribution (SSD) are achieved at fiber lengths of L c =36m and z s =95m, respectively, while for thicker inner cladding ( δ =0.48), these lengths are L c =40m and z s =105m. Increasing δ reduces leaky mode losses and increases the number of guided modes, thereby extending the lengths required to reach EMD and SSD. The sooner the EMD is achieved, the faster the bandwidth improvement occurs. The standard OM4 and OM5 multimode silica optical fibers with GI core distribution have a bandwidth of 4.7GHz⋅km at 850 nm. The W-type GI SPCF investigated in this work achieves a much higher bandwidth-length product of 9.8GHz⋅km at 850 nm. These findings suggest that such SPCFs can significantly enhance bandwidth performance in data centers and telecommunications, while offering greater design flexibility through air-hole geometry adjustments without complex doping processes.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高效钙钛矿太阳能电池：采用嵌入式核壳等离子体纳米粒子的双吸收体设计</w:t>
      </w:r>
    </w:p>
    <w:p>
      <w:r>
        <w:rPr>
          <w:rFonts w:ascii="Times New Roman" w:hAnsi="Times New Roman" w:eastAsia="宋体"/>
          <w:b/>
          <w:color w:val="003264"/>
          <w:sz w:val="24"/>
        </w:rPr>
        <w:t>High-efficiency perovskite solar cells: dual-absorber design featuring embedded core–shell plasmonic nanoparticles</w:t>
      </w:r>
    </w:p>
    <w:p>
      <w:r>
        <w:rPr>
          <w:rFonts w:ascii="Times New Roman" w:hAnsi="Times New Roman" w:eastAsia="宋体"/>
          <w:sz w:val="21"/>
        </w:rPr>
        <w:t>作者: Amir Hossein Mohammadian Fard, Samiye Matloub</w:t>
        <w:br/>
      </w:r>
      <w:r>
        <w:rPr>
          <w:rFonts w:ascii="Times New Roman" w:hAnsi="Times New Roman" w:eastAsia="宋体"/>
          <w:sz w:val="21"/>
        </w:rPr>
        <w:t xml:space="preserve">时间: 2026-02-03 | </w:t>
      </w:r>
      <w:r>
        <w:t xml:space="preserve">链接: </w:t>
      </w:r>
      <w:hyperlink r:id="rId155">
        <w:r>
          <w:rPr>
            <w:rFonts w:ascii="Times New Roman" w:hAnsi="Times New Roman" w:eastAsia="宋体"/>
            <w:color w:val="0000FF"/>
            <w:sz w:val="21"/>
            <w:u w:val="single"/>
          </w:rPr>
          <w:t>https://doi.org/10.1364/ao.586383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这项工作展示了一种高效钙钛矿太阳能电池 (PSC) 架构，通过一种新颖的、据我们所知的双增强策略实现了 29.2% 的功率转换效率 (PCE)。我们将堆叠双吸收剂设计 Cs 0.2 FA 0.8 Pb(I 0.7 Br 0.3 ) 3 /MASnI 3 与球形核壳银纳米颗粒 (NP) 的双层等离子体集成相结合。所得的 29.2% PCE (J sc =36.3mAcm -2 ) 与单独的双吸收器堆栈的 25.9% PCE 和传统单结基线的 22.0% PCE 相比有了显着改进。这种方法超越了传统的单结等离子体激元，并得到精确的三维有限元 (3D-FEM) 光电建模的支持。结果表明，薄膜太阳能电池有一条实用且可扩展的途径，可以超越传统的单吸收器设计，同时减少材料消耗。</w:t>
      </w:r>
    </w:p>
    <w:p>
      <w:pPr>
        <w:spacing w:before="120"/>
      </w:pPr>
      <w:r>
        <w:rPr>
          <w:rFonts w:ascii="Times New Roman" w:hAnsi="Times New Roman" w:eastAsia="宋体"/>
          <w:b/>
          <w:sz w:val="21"/>
        </w:rPr>
        <w:t>English Abstract:</w:t>
      </w:r>
    </w:p>
    <w:p>
      <w:r>
        <w:rPr>
          <w:rFonts w:ascii="Times New Roman" w:hAnsi="Times New Roman" w:eastAsia="宋体"/>
          <w:sz w:val="21"/>
        </w:rPr>
        <w:t>This work demonstrates a high-efficiency perovskite solar cell (PSC) architecture achieving a 29.2% power conversion efficiency (PCE) through a novel, to our knowledge, dual-enhancement strategy. We combined a stacked dual-absorber design, Cs 0.2 FA 0.8 Pb(I 0.7 Br 0.3 ) 3 /MASnI 3 , with dual-layer plasmonic integration of spherical core–shell Ag nanoparticles (NPs). The resulting 29.2% PCE ( J sc =36.3mAcm −2 ) represents a significant improvement over the 25.9% PCE of the dual-absorber stack alone and the 22.0% PCE of a conventional single-junction baseline. This approach, which extends beyond conventional single-junction plasmonics, is supported by accurate three-dimensional finite-element (3D-FEM) optical–electrical modeling. The results indicate a practical and scalable pathway for thin-film PSCs to outperform conventional single-absorber designs while reducing material consumption.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基于干涉和不等模分解的光学图像密码体制的密码分析</w:t>
      </w:r>
    </w:p>
    <w:p>
      <w:r>
        <w:rPr>
          <w:rFonts w:ascii="Times New Roman" w:hAnsi="Times New Roman" w:eastAsia="宋体"/>
          <w:b/>
          <w:color w:val="003264"/>
          <w:sz w:val="24"/>
        </w:rPr>
        <w:t>Cryptoanalysis on the optical image cryptosystem based on interference and unequal modulus decomposition</w:t>
      </w:r>
    </w:p>
    <w:p>
      <w:r>
        <w:rPr>
          <w:rFonts w:ascii="Times New Roman" w:hAnsi="Times New Roman" w:eastAsia="宋体"/>
          <w:sz w:val="21"/>
        </w:rPr>
        <w:t>作者: J. Liu, H. Xu, Y. Xiong</w:t>
        <w:br/>
      </w:r>
      <w:r>
        <w:rPr>
          <w:rFonts w:ascii="Times New Roman" w:hAnsi="Times New Roman" w:eastAsia="宋体"/>
          <w:sz w:val="21"/>
        </w:rPr>
        <w:t xml:space="preserve">时间: 2026-01-30 | </w:t>
      </w:r>
      <w:r>
        <w:t xml:space="preserve">链接: </w:t>
      </w:r>
      <w:hyperlink r:id="rId156">
        <w:r>
          <w:rPr>
            <w:rFonts w:ascii="Times New Roman" w:hAnsi="Times New Roman" w:eastAsia="宋体"/>
            <w:color w:val="0000FF"/>
            <w:sz w:val="21"/>
            <w:u w:val="single"/>
          </w:rPr>
          <w:t>https://doi.org/10.1364/ao.586419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文提供了集成干扰和不等模分解（EMD）的光学图像密码系统的安全性分析。与传统的基于干扰的密码系统利用从加密过程中导出的单相位掩码（POM）作为私钥相比，增强型密码系统使用两个随机相位掩码（RPM）和从相位保留（PR）结构导出的两个POM作为私钥。该修改通过扩展密钥空间解决了传统基于干扰的密码系统中固有的轮廓问题，从而增强了安全强度。然而，确定RPM R 2 (u，v)和POM P 2(x，y)表现出低密钥敏感性，从而限制了它们对安全性增强的影响。此外，由于与明文无关，用作私钥的 RPM 可以使用设计的已知明文攻击（KPA）来恢复。一旦 RPM 恢复，未知密钥的数量就会减少到两个。这样就可以通过后续的纯密文攻击 (COA) 从密文中恢复明文信息，而无需事先了解 POM。根据这些发现，据我们所知，提出了一种新颖的混合攻击策略，集成四个级联 KPA 和一个 COA，以有效破坏先进的干扰和基于 EMD 的密码系统。为了验证所提出的混合攻击的可行性和有效性，进行了数值模拟。</w:t>
      </w:r>
    </w:p>
    <w:p>
      <w:pPr>
        <w:spacing w:before="120"/>
      </w:pPr>
      <w:r>
        <w:rPr>
          <w:rFonts w:ascii="Times New Roman" w:hAnsi="Times New Roman" w:eastAsia="宋体"/>
          <w:b/>
          <w:sz w:val="21"/>
        </w:rPr>
        <w:t>English Abstract:</w:t>
      </w:r>
    </w:p>
    <w:p>
      <w:r>
        <w:rPr>
          <w:rFonts w:ascii="Times New Roman" w:hAnsi="Times New Roman" w:eastAsia="宋体"/>
          <w:sz w:val="21"/>
        </w:rPr>
        <w:t>This paper offers a security analysis of an optical image cryptosystem that integrates interference and unequal modulus decomposition (EMD). In contrast to the conventional interference-based cryptosystem, which utilizes a single phase-only mask (POM) derived from the encryption process as the private key, the enhanced cryptosystem employs two random phase masks (RPMs) and two POMs derived from the phase-reserved (PR) structure as private keys. This modification addresses the silhouette problem inherent in the conventional interference-based cryptosystem by expanding the key space, thereby enhancing security strength. However, it is determined that the RPM R 2 ( u , v ) and the POM P 2 ( x , y ) exhibited low key sensitivity, thereby limiting their impact on the security enhancement. Additionally, due to the independence from the plaintext, the RPMs employed as private keys can be recovered using a designed known-plaintext attack (KPA). Once the RPMs are recovered, the number of unknown keys is reduced to two. This enables the recovery of plaintext information from its ciphertexts via a subsequent ciphertext-only attack (COA) without any prior knowledge of the POMs. In light of these findings, a novel hybrid attack strategy, to our knowledge, is proposed, integrating four cascaded KPAs and a COA, to effectively compromise the advanced interference and EMD-based cryptosystem. To validate the feasibility and effectiveness of the proposed hybrid attack, numerical simulations have been conducted.</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双埃尔米特-高斯光束手性粒子的散射特性</w:t>
      </w:r>
    </w:p>
    <w:p>
      <w:r>
        <w:rPr>
          <w:rFonts w:ascii="Times New Roman" w:hAnsi="Times New Roman" w:eastAsia="宋体"/>
          <w:b/>
          <w:color w:val="003264"/>
          <w:sz w:val="24"/>
        </w:rPr>
        <w:t>Scattering characteristics of chiral particles by dual Hermite–Gaussian beams</w:t>
      </w:r>
    </w:p>
    <w:p>
      <w:r>
        <w:rPr>
          <w:rFonts w:ascii="Times New Roman" w:hAnsi="Times New Roman" w:eastAsia="宋体"/>
          <w:sz w:val="21"/>
        </w:rPr>
        <w:t>作者: Xin-Wei Wang, Jing Bai, Wen-Hao Ma, Cheng-Xian Ge, Tan Qu, Zhen-Sen Wu</w:t>
        <w:br/>
      </w:r>
      <w:r>
        <w:rPr>
          <w:rFonts w:ascii="Times New Roman" w:hAnsi="Times New Roman" w:eastAsia="宋体"/>
          <w:sz w:val="21"/>
        </w:rPr>
        <w:t xml:space="preserve">时间: 2026-01-28 | </w:t>
      </w:r>
      <w:r>
        <w:t xml:space="preserve">链接: </w:t>
      </w:r>
      <w:hyperlink r:id="rId157">
        <w:r>
          <w:rPr>
            <w:rFonts w:ascii="Times New Roman" w:hAnsi="Times New Roman" w:eastAsia="宋体"/>
            <w:color w:val="0000FF"/>
            <w:sz w:val="21"/>
            <w:u w:val="single"/>
          </w:rPr>
          <w:t>https://doi.org/10.1364/ao.585711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本研究研究了双埃尔米特高斯光束 (HGB) 以任意入射角照射的手性介电球的散射特性。利用广义洛伦兹-米氏理论（GLMT），我们通过坐标加法定理推导了双 HGB 的光束形状因子。通过应用相关边界条件，我们获得了手性粒子对双 HGB 散射的解析解。为了验证所提出方法的准确性，我们建立了两个简化模型：单 HGB 和双高斯光束。将这些模型的散射结果与参考数据进行比较，证实了算法的可靠性。基于这些经过验证的结果，我们对受双 HGB 影响的手性粒子内的远场雷达截面 (RCS) 和内部电场分布进行了全面分析。我们彻底研究了各种参数对数值结果的影响，包括光束顺序、入射角、偏振角、腰半径、粒径和手性参数。这项研究的结果为双光束照明下手性粒子的散射行为提供了有价值的见解，并对多光束操纵技术和生物粒子识别方法的发展具有重要意义。</w:t>
      </w:r>
    </w:p>
    <w:p>
      <w:pPr>
        <w:spacing w:before="120"/>
      </w:pPr>
      <w:r>
        <w:rPr>
          <w:rFonts w:ascii="Times New Roman" w:hAnsi="Times New Roman" w:eastAsia="宋体"/>
          <w:b/>
          <w:sz w:val="21"/>
        </w:rPr>
        <w:t>English Abstract:</w:t>
      </w:r>
    </w:p>
    <w:p>
      <w:r>
        <w:rPr>
          <w:rFonts w:ascii="Times New Roman" w:hAnsi="Times New Roman" w:eastAsia="宋体"/>
          <w:sz w:val="21"/>
        </w:rPr>
        <w:t>This study investigates the scattering properties of chiral dielectric spheres illuminated by dual Hermite––Gaussian beams (HGBs) at arbitrary incident angles. Utilizing generalized Lorenz–Mie theory (GLMT), we derive the beam shape factor for dual HGBs through the coordinate addition theorem. By applying relevant boundary conditions, we obtain an analytical solution for the scattering of dual HGBs by chiral particles. To validate the proposed method’s accuracy, we establish two simplified models: a single HGB and dual Gaussian beams. The scattering results from these models are compared with reference data, confirming the algorithm’s reliability. Building on these validated results, we conduct a comprehensive analysis of the far-field radar cross-section (RCS) and the internal electric field distribution within chiral particles affected by dual HGBs. We thoroughly examine the impact of various parameters on the numerical outcomes, including beam order, incident angle, polarization angle, waist radius, particle sizes, and chirality parameters. The findings of this research offer valuable insights into the scattering behavior of chiral particles under dual-beam illumination and have significant implications for the development of multi-beam manipulation technologies and bio-particle identification methods.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具有通道选择性相位梯度恢复的基于多色偏振的剪切干涉测量</w:t>
      </w:r>
    </w:p>
    <w:p>
      <w:r>
        <w:rPr>
          <w:rFonts w:ascii="Times New Roman" w:hAnsi="Times New Roman" w:eastAsia="宋体"/>
          <w:b/>
          <w:color w:val="003264"/>
          <w:sz w:val="24"/>
        </w:rPr>
        <w:t>Polychromatic polarization-based shearing interferometry with channel-selective phase-gradient recovery</w:t>
      </w:r>
    </w:p>
    <w:p>
      <w:r>
        <w:rPr>
          <w:rFonts w:ascii="Times New Roman" w:hAnsi="Times New Roman" w:eastAsia="宋体"/>
          <w:sz w:val="21"/>
        </w:rPr>
        <w:t>作者: Noel-Ivan Toto-Arellano, Ana Karen Reyes, Jose Escamilla Angeles</w:t>
        <w:br/>
      </w:r>
      <w:r>
        <w:rPr>
          <w:rFonts w:ascii="Times New Roman" w:hAnsi="Times New Roman" w:eastAsia="宋体"/>
          <w:sz w:val="21"/>
        </w:rPr>
        <w:t xml:space="preserve">时间: 2026-01-30 | </w:t>
      </w:r>
      <w:r>
        <w:t xml:space="preserve">链接: </w:t>
      </w:r>
      <w:hyperlink r:id="rId158">
        <w:r>
          <w:rPr>
            <w:rFonts w:ascii="Times New Roman" w:hAnsi="Times New Roman" w:eastAsia="宋体"/>
            <w:color w:val="0000FF"/>
            <w:sz w:val="21"/>
            <w:u w:val="single"/>
          </w:rPr>
          <w:t>https://doi.org/10.1364/ao.586119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提出了一种在宽带照明下运行的偏振编码干涉系统，用于在单次曝光中检索静态和时变透明样品的光学相位导数。该装置采用偏振循环路径干涉仪 (PCPI) 与复制级相结合，能够生成具有标称 π /2 相位步长的四个相移干涉图。尽管使用白光源，但在 RGB 分离后，每个颜色通道的相位重建都是独立执行的，从而无需轴向扫描即可进行通道特定的单色处理。绿色和红色通道对于相位恢复表现出足够的条纹可见度，而蓝色通道由于光谱衰减和相机响应度而表现出有限的灵敏度。因此，该方法有效地充当双波长通道选择性干涉仪，而不是完整的多波长干涉系统。基于 100 次测量的稳定性和可重复性评估证实了所提出方法的稳健性。从静态像差样本和动态光学事件获得的实验结果证明了在宽带照明下无需机械扫描的实时相位导数传感的可行性。</w:t>
      </w:r>
    </w:p>
    <w:p>
      <w:pPr>
        <w:spacing w:before="120"/>
      </w:pPr>
      <w:r>
        <w:rPr>
          <w:rFonts w:ascii="Times New Roman" w:hAnsi="Times New Roman" w:eastAsia="宋体"/>
          <w:b/>
          <w:sz w:val="21"/>
        </w:rPr>
        <w:t>English Abstract:</w:t>
      </w:r>
    </w:p>
    <w:p>
      <w:r>
        <w:rPr>
          <w:rFonts w:ascii="Times New Roman" w:hAnsi="Times New Roman" w:eastAsia="宋体"/>
          <w:sz w:val="21"/>
        </w:rPr>
        <w:t>A polarization-encoded interferometric system operating under broadband illumination is presented to retrieve the optical phase derivative of static and time-varying transparent samples in a single exposure. The setup employs a polarized cyclic-path interferometer (PCPI) combined with a replication stage, enabling the generation of four phase-shifted interferograms with nominal π /2 phase steps. Although a white-light source is used, the phase reconstruction is performed independently for each color channel after RGB separation, allowing channel-specific monochromatic processing without axial scanning. The green and red channels exhibit sufficient fringe visibility for phase retrieval, whereas the blue channel shows limited sensitivity due to spectral attenuation and camera responsivity. Therefore, the method functions effectively as a two-wavelength channel-selective interferometer rather than a full multiwavelength interferometric system. A stability and repeatability assessment based on 100 measurements confirmed the robustness of the proposed approach. Experimental results obtained from static aberrated samples and dynamic optical events demonstrate the feasibility of real-time phase-derivative sensing under broadband illumination without mechanical scanning.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用于动态询问光纤法布里-珀罗传感器的高稳定性正交点解调技术</w:t>
      </w:r>
    </w:p>
    <w:p>
      <w:r>
        <w:rPr>
          <w:rFonts w:ascii="Times New Roman" w:hAnsi="Times New Roman" w:eastAsia="宋体"/>
          <w:b/>
          <w:color w:val="003264"/>
          <w:sz w:val="24"/>
        </w:rPr>
        <w:t>High-stability quadrature-point demodulation technique for dynamic interrogation of fiber Fabry–Perot sensors</w:t>
      </w:r>
    </w:p>
    <w:p>
      <w:r>
        <w:rPr>
          <w:rFonts w:ascii="Times New Roman" w:hAnsi="Times New Roman" w:eastAsia="宋体"/>
          <w:sz w:val="21"/>
        </w:rPr>
        <w:t>作者: Wei Ye, Qianyu Ren, Huarui Wang, Guowen An, Haiyang Wang, Jia Liu, Pinggang Jia</w:t>
        <w:br/>
      </w:r>
      <w:r>
        <w:rPr>
          <w:rFonts w:ascii="Times New Roman" w:hAnsi="Times New Roman" w:eastAsia="宋体"/>
          <w:sz w:val="21"/>
        </w:rPr>
        <w:t xml:space="preserve">时间: 2026-01-30 | </w:t>
      </w:r>
      <w:r>
        <w:t xml:space="preserve">链接: </w:t>
      </w:r>
      <w:hyperlink r:id="rId159">
        <w:r>
          <w:rPr>
            <w:rFonts w:ascii="Times New Roman" w:hAnsi="Times New Roman" w:eastAsia="宋体"/>
            <w:color w:val="0000FF"/>
            <w:sz w:val="21"/>
            <w:u w:val="single"/>
          </w:rPr>
          <w:t>https://doi.org/10.1364/ao.585838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光纤法布里-珀罗干涉（FPI）传感器的传统强度解调方法由于光源波动、光纤扰动、光纤衰减和温度引起的正交点漂移而存在高误差和有限可靠性。为了解决这些问题，提出了一种高稳定性正交点解调技术，利用宽窄带比处理来抑制光学系统噪声的影响，并采用有源正交点控制技术来消除传感器温度引起的零点漂移。实验结果表明，FPI传感器具有出色的温度稳定性：在25-300°C范围内，解调非线性误差不超过1.5%。即使在光纤弯曲导致光纤衰减（半径不小于10毫米）的情况下，解调误差也能保持在1%以下。该技术成功克服了传统强度解调的固有缺陷，保留了其结构简单、复用容量高、解调速度快等固有优势，同时为苛刻的工程应用提供了卓越的环境适应性和测量稳定性。</w:t>
      </w:r>
    </w:p>
    <w:p>
      <w:pPr>
        <w:spacing w:before="120"/>
      </w:pPr>
      <w:r>
        <w:rPr>
          <w:rFonts w:ascii="Times New Roman" w:hAnsi="Times New Roman" w:eastAsia="宋体"/>
          <w:b/>
          <w:sz w:val="21"/>
        </w:rPr>
        <w:t>English Abstract:</w:t>
      </w:r>
    </w:p>
    <w:p>
      <w:r>
        <w:rPr>
          <w:rFonts w:ascii="Times New Roman" w:hAnsi="Times New Roman" w:eastAsia="宋体"/>
          <w:sz w:val="21"/>
        </w:rPr>
        <w:t>The traditional intensity demodulation method for fiber Fabry–Perot interferometric (FPI) sensors suffers from high error and limited reliability due to light source fluctuation, fiber perturbation, fiber attenuation, and temperature-induced quadrature-point drift. To address these issues, a high-stability quadrature-point demodulation technique is proposed that utilizes wide-and-narrow band ratio processing to suppress the influence of optical system noise and employs an active quadrature-point control technique to eliminate the sensor’s temperature-induced zero-point drift. The experimental results demonstrated excellent temperature stability: the demodulation non-linearity error for the FPI sensors did not exceed 1.5% within 25–300°C. The demodulation error was maintained below 1%, even under conditions of optical fiber attenuation introduced by fiber bending, where the radius was no less than 10 mm. This technique successfully overcomes the intrinsic drawbacks of traditional intensity demodulation, retaining its inherent advantages such as a simple architecture, high multiplexing capacity, and high-speed demodulation, while simultaneously achieving superior environmental adaptability and measurement stability for demanding engineering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通过吸光差光谱检测黄疸的多波长光学传感器</w:t>
      </w:r>
    </w:p>
    <w:p>
      <w:r>
        <w:rPr>
          <w:rFonts w:ascii="Times New Roman" w:hAnsi="Times New Roman" w:eastAsia="宋体"/>
          <w:b/>
          <w:color w:val="003264"/>
          <w:sz w:val="24"/>
        </w:rPr>
        <w:t>Multi-wavelength optical sensor for jaundice detection via absorbance difference spectroscopy</w:t>
      </w:r>
    </w:p>
    <w:p>
      <w:r>
        <w:rPr>
          <w:rFonts w:ascii="Times New Roman" w:hAnsi="Times New Roman" w:eastAsia="宋体"/>
          <w:sz w:val="21"/>
        </w:rPr>
        <w:t>作者: Doaa Bahbry, Sara AlSafran, Marwah Alotaibi, Wala’a Almuraikhi, Wael Yafooz, Mohammed Al-Hariri, Gameel Saleh</w:t>
        <w:br/>
      </w:r>
      <w:r>
        <w:rPr>
          <w:rFonts w:ascii="Times New Roman" w:hAnsi="Times New Roman" w:eastAsia="宋体"/>
          <w:sz w:val="21"/>
        </w:rPr>
        <w:t xml:space="preserve">时间: 2026-01-27 | </w:t>
      </w:r>
      <w:r>
        <w:t xml:space="preserve">链接: </w:t>
      </w:r>
      <w:hyperlink r:id="rId160">
        <w:r>
          <w:rPr>
            <w:rFonts w:ascii="Times New Roman" w:hAnsi="Times New Roman" w:eastAsia="宋体"/>
            <w:color w:val="0000FF"/>
            <w:sz w:val="21"/>
            <w:u w:val="single"/>
          </w:rPr>
          <w:t>https://doi.org/10.1364/ao.575790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我们展示了一种使用 470 nm（胆红素敏感）和 560 nm（血红蛋白等吸光）LED 进行新生儿黄疸检测的低成本光学传感器。该系统应用吸光度差光谱来分离模拟皮肤模型中的胆红素信号，与分光光度法相比，实现了 387mV/mg⋅dL −1 的灵敏度和 13.5% 的误差。光学表征证实新生儿真皮中的穿透深度为 470 nm（约 0.65 毫米）。机器学习分类器预测风险严重程度的准确度为 99.5%。比较分析表明，与基于反射率的设备相比，具有卓越的性价比。这项工作通过优化的波长选择和传输模式检测实现了高胆红素血症监测。</w:t>
      </w:r>
    </w:p>
    <w:p>
      <w:pPr>
        <w:spacing w:before="120"/>
      </w:pPr>
      <w:r>
        <w:rPr>
          <w:rFonts w:ascii="Times New Roman" w:hAnsi="Times New Roman" w:eastAsia="宋体"/>
          <w:b/>
          <w:sz w:val="21"/>
        </w:rPr>
        <w:t>English Abstract:</w:t>
      </w:r>
    </w:p>
    <w:p>
      <w:r>
        <w:rPr>
          <w:rFonts w:ascii="Times New Roman" w:hAnsi="Times New Roman" w:eastAsia="宋体"/>
          <w:sz w:val="21"/>
        </w:rPr>
        <w:t>We demonstrate a low-cost optical sensor for neonatal jaundice detection using 470 nm (bilirubin-sensitive) and 560 nm (hemoglobin isosbestic) LEDs. The system applies absorbance difference spectroscopy to isolate bilirubin signals in skin-mimicking phantoms, achieving 387mV/mg⋅dL −1 sensitivity and 13.5% error versus spectrophotometry. Optical characterization confirms 470 nm penetration depth (≈0.65mm) in neonatal dermis. A machine learning classifier predicts risk severity with 99.5% accuracy. Comparative analysis shows a superior cost-performance trade-off versus reflectance-based devices. This work enables accessible hyperbilirubinemia monitoring through optimized wavelength selection and transmission-mode detection.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利用优化的光子晶体纳米腔的高性能全光学压力传感器</w:t>
      </w:r>
    </w:p>
    <w:p>
      <w:r>
        <w:rPr>
          <w:rFonts w:ascii="Times New Roman" w:hAnsi="Times New Roman" w:eastAsia="宋体"/>
          <w:b/>
          <w:color w:val="003264"/>
          <w:sz w:val="24"/>
        </w:rPr>
        <w:t>High-performance all-optical pressure sensor utilizing optimized photonic crystal nanocavity</w:t>
      </w:r>
    </w:p>
    <w:p>
      <w:r>
        <w:rPr>
          <w:rFonts w:ascii="Times New Roman" w:hAnsi="Times New Roman" w:eastAsia="宋体"/>
          <w:sz w:val="21"/>
        </w:rPr>
        <w:t>作者: Shivesh Kumar, Mrinal Sen, Tanmoy Datta</w:t>
        <w:br/>
      </w:r>
      <w:r>
        <w:rPr>
          <w:rFonts w:ascii="Times New Roman" w:hAnsi="Times New Roman" w:eastAsia="宋体"/>
          <w:sz w:val="21"/>
        </w:rPr>
        <w:t xml:space="preserve">时间: 2026-01-30 | </w:t>
      </w:r>
      <w:r>
        <w:t xml:space="preserve">链接: </w:t>
      </w:r>
      <w:hyperlink r:id="rId161">
        <w:r>
          <w:rPr>
            <w:rFonts w:ascii="Times New Roman" w:hAnsi="Times New Roman" w:eastAsia="宋体"/>
            <w:color w:val="0000FF"/>
            <w:sz w:val="21"/>
            <w:u w:val="single"/>
          </w:rPr>
          <w:t>https://doi.org/10.1364/ao.575879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本文介绍了一种基于二维光子晶体纳米腔的光学压力传感器的设计和开发，其工作波长范围为1950.2–2091.4 nm。传感机制基于谐振波长的偏移与外部施加压力引起的腔的折射率变化之间的线性关系。使用 COMSOL Multiphysics 对折射率变化进行建模，并通过调整腔内和周围气孔的尺寸和数量来彻底优化腔设计，以实现高质量因数和增强的灵敏度。分别使用平面波展开和有限差分时域技术评估和分析光子能带结构和传感参数。结果表明，随着压力的增加，谐振波长发生红移，实现了 1.0443×10 6 的极高品质因数和 20.17 nm/GPa 的压力灵敏度。此外，该传感器表现出506.184 nm/RIU的最大折射率灵敏度、2.4155×10 5 RIU -1 的高品质因数和4.14×10 -7 RIU的低检测限，共同表明了优异的传感性能。此外，该传感器在较宽的温度范围（0°C–540°C）下表现出稳定运行，并且进行了详细的研究以评估制造引起的粗糙度对整体性能的影响。</w:t>
      </w:r>
    </w:p>
    <w:p>
      <w:pPr>
        <w:spacing w:before="120"/>
      </w:pPr>
      <w:r>
        <w:rPr>
          <w:rFonts w:ascii="Times New Roman" w:hAnsi="Times New Roman" w:eastAsia="宋体"/>
          <w:b/>
          <w:sz w:val="21"/>
        </w:rPr>
        <w:t>English Abstract:</w:t>
      </w:r>
    </w:p>
    <w:p>
      <w:r>
        <w:rPr>
          <w:rFonts w:ascii="Times New Roman" w:hAnsi="Times New Roman" w:eastAsia="宋体"/>
          <w:sz w:val="21"/>
        </w:rPr>
        <w:t>This paper presents the design and development of an optical pressure sensor based on a two-dimensional photonic crystal nanocavity, operating within the wavelength range of 1950.2–2091.4 nm. The sensing mechanism is based on the linear relationship between the shift in resonance wavelength and the refractive index variation of the cavity induced by the external applied pressure. The refractive index variation is modeled using COMSOL Multiphysics, and the cavity design is thoroughly optimized by adjusting the size and number of air holes in and around the cavity to achieve a high-quality factor and enhanced sensitivity. The photonic band structure and sensing parameters are evaluated and analyzed using plane wave expansion and finite-difference time-domain techniques, respectively. The results indicate a red shift in the resonant wavelength with increasing pressure, achieving an extraordinary high-quality factor of 1.0443×10 6 , and a pressure sensitivity of 20.17 nm/GPa. Furthermore, the sensor exhibits a maximum refractive index sensitivity of 506.184 nm/RIU, a high figure of merit of 2.4155×10 5 RIU −1 , and a low detection limit of 4.14×10 −7 RIU, collectively indicating excellent sensing performance. In addition, the sensor demonstrates stable operation in a wide temperature range (0°C–540°C), and a detailed investigation is conducted to evaluate the impact of fabrication-induced roughness on overall performance.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arXiv: Holography &amp; CGH</w:t>
      </w:r>
    </w:p>
    <w:p>
      <w:pPr>
        <w:jc w:val="center"/>
      </w:pPr>
      <w:r>
        <w:t>--- 更新: 11:28 ---</w:t>
      </w:r>
    </w:p>
    <w:p>
      <w:pPr>
        <w:pStyle w:val="Heading2"/>
      </w:pPr>
      <w:r/>
      <w:r>
        <w:rPr>
          <w:rFonts w:ascii="Times New Roman" w:hAnsi="Times New Roman" w:eastAsia="宋体"/>
          <w:b/>
          <w:color w:val="000000"/>
          <w:sz w:val="24"/>
        </w:rPr>
        <w:t>像差对基于 SLM 的远场全息术的影响</w:t>
      </w:r>
    </w:p>
    <w:p>
      <w:r>
        <w:rPr>
          <w:rFonts w:ascii="Times New Roman" w:hAnsi="Times New Roman" w:eastAsia="宋体"/>
          <w:b/>
          <w:color w:val="003264"/>
          <w:sz w:val="24"/>
        </w:rPr>
        <w:t>Impact of aberrations in SLM-based far-field holography</w:t>
      </w:r>
    </w:p>
    <w:p>
      <w:r>
        <w:rPr>
          <w:rFonts w:ascii="Times New Roman" w:hAnsi="Times New Roman" w:eastAsia="宋体"/>
          <w:sz w:val="21"/>
        </w:rPr>
        <w:t>作者: Stephan Reichelt</w:t>
        <w:br/>
      </w:r>
      <w:r>
        <w:rPr>
          <w:rFonts w:ascii="Times New Roman" w:hAnsi="Times New Roman" w:eastAsia="宋体"/>
          <w:sz w:val="21"/>
        </w:rPr>
        <w:t xml:space="preserve">时间: 2026-02-04T08:47:57Z | </w:t>
      </w:r>
      <w:r>
        <w:t xml:space="preserve">链接: </w:t>
      </w:r>
      <w:hyperlink r:id="rId73">
        <w:r>
          <w:rPr>
            <w:rFonts w:ascii="Times New Roman" w:hAnsi="Times New Roman" w:eastAsia="宋体"/>
            <w:color w:val="0000FF"/>
            <w:sz w:val="21"/>
            <w:u w:val="single"/>
          </w:rPr>
          <w:t>https://arxiv.org/abs/2602.04330v1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我们使用环路相机校准来校准远场全息图设置中的纯相位空间光调制器 (SLM)。记录的强度分布与计算结果高度一致，表明对最突出的像差进行了精确的校准和充分的建模。在这项工作中，我们讨论了建模像差，并检查了通过在校准中包含或排除建模像差而获得的图像质量和衍射效率的改善或损失。我们进一步展示像差对散斑减少全息图的影响并评估散斑对比度。</w:t>
      </w:r>
    </w:p>
    <w:p>
      <w:pPr>
        <w:spacing w:before="120"/>
      </w:pPr>
      <w:r>
        <w:rPr>
          <w:rFonts w:ascii="Times New Roman" w:hAnsi="Times New Roman" w:eastAsia="宋体"/>
          <w:b/>
          <w:sz w:val="21"/>
        </w:rPr>
        <w:t>English Abstract:</w:t>
      </w:r>
    </w:p>
    <w:p>
      <w:r>
        <w:rPr>
          <w:rFonts w:ascii="Times New Roman" w:hAnsi="Times New Roman" w:eastAsia="宋体"/>
          <w:sz w:val="21"/>
        </w:rPr>
        <w:t>We use camera-in-the-loop calibration to calibrate a phase-only spatial light modulator (SLM) in a far-field hologram setup. The recorded intensity distributions achieve a high degree of consistency with the calculated results, indicating a precise calibration and sufficient modeling of the most prominent aberrations. In this work, we discuss the modeled aberrations and examine the improvement or loss in image quality and diffraction efficiency that is obtained by including or excluding the modeled aberrations in the calibration. We further show the influence of aberrations on speckle-reduced holograms and evaluate the speckle contrast.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HoloHema：数字全息血液分析仪</w:t>
      </w:r>
    </w:p>
    <w:p>
      <w:r>
        <w:rPr>
          <w:rFonts w:ascii="Times New Roman" w:hAnsi="Times New Roman" w:eastAsia="宋体"/>
          <w:b/>
          <w:color w:val="003264"/>
          <w:sz w:val="24"/>
        </w:rPr>
        <w:t>HoloHema: Digital Holographic Hematology Analyzer</w:t>
      </w:r>
    </w:p>
    <w:p>
      <w:r>
        <w:rPr>
          <w:rFonts w:ascii="Times New Roman" w:hAnsi="Times New Roman" w:eastAsia="宋体"/>
          <w:sz w:val="21"/>
        </w:rPr>
        <w:t>作者: Andreas Erik Gejl Madsen</w:t>
        <w:br/>
      </w:r>
      <w:r>
        <w:rPr>
          <w:rFonts w:ascii="Times New Roman" w:hAnsi="Times New Roman" w:eastAsia="宋体"/>
          <w:sz w:val="21"/>
        </w:rPr>
        <w:t xml:space="preserve">时间: 2026-02-04T14:46:30Z | </w:t>
      </w:r>
      <w:r>
        <w:t xml:space="preserve">链接: </w:t>
      </w:r>
      <w:hyperlink r:id="rId74">
        <w:r>
          <w:rPr>
            <w:rFonts w:ascii="Times New Roman" w:hAnsi="Times New Roman" w:eastAsia="宋体"/>
            <w:color w:val="0000FF"/>
            <w:sz w:val="21"/>
            <w:u w:val="single"/>
          </w:rPr>
          <w:t>https://arxiv.org/abs/2602.04618v1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这位工业博士。该项目由 Radiometer Medical ApS 和南丹麦大学 SDU 光子工程中心合作开展，探索了使用数字全息显微镜 (DHM) 在急症护理环境中的护理点 (PoC) 设备中对白细胞计数 (dWBC) 进行分类。开发了两种 DHM 原型；最初的基于透镜的系统作为算法开发和方法实验验证的基础，在三部分差分上实现了 89.6% 的分类精度，以及随后的无透镜系统，用于简化设计和增加视场 (FoV)。两种原型都采用卷积神经网络（CNN）进行细胞分类。经过进一步优化，无透镜系统在三部分和五部分差分上分别实现了 92.65% 和 89.44% 的分类精度。利用无透镜系统，还证明了单核细胞分布宽度（MDW）（败血症的生物标志物）的推导。此外，还研究了像素超分辨率和多波长 DHM 方法，以增强获得的细胞信息。最后，实现了用于全息重建的原理验证物理信息神经网络（PINN），展示了机器学习（ML）重建技术的潜力。总之，这项工作代表了 PoC 设备中 dWBC DHM 的初步探索，为未来的研究奠定了基础。</w:t>
      </w:r>
    </w:p>
    <w:p>
      <w:pPr>
        <w:spacing w:before="120"/>
      </w:pPr>
      <w:r>
        <w:rPr>
          <w:rFonts w:ascii="Times New Roman" w:hAnsi="Times New Roman" w:eastAsia="宋体"/>
          <w:b/>
          <w:sz w:val="21"/>
        </w:rPr>
        <w:t>English Abstract:</w:t>
      </w:r>
    </w:p>
    <w:p>
      <w:r>
        <w:rPr>
          <w:rFonts w:ascii="Times New Roman" w:hAnsi="Times New Roman" w:eastAsia="宋体"/>
          <w:sz w:val="21"/>
        </w:rPr>
        <w:t>This industrial Ph.D. project, carried out in collaboration between Radiometer Medical ApS and SDU Centre for Photonics Engineering at the University of Southern Denmark, explored the use of digital holographic microscopy (DHM) for the purposes of differential white blood cell counts (dWBCs) in point-of-care (PoC) devices for acute care settings. Two DHM prototypes were developed; an initial lens-based system serving as the foundation for algorithm development, and experimental validation of the approach, achieving 89.6% classification accuracy on a 3-part differential, and a subsequent lensless system for simplified design and increased field-of-view (FoV). Both prototypes employed convolutional neural networks (CNNs) for cell classification. With further optimizations, the lensless system achieved classification accuracies of 92.65% and 89.44% on the 3-part and 5-part differential, respectively. With the lensless system, the derivation of the monocyte distribution width (MDW), a biomarker for sepsis, was also demonstrated. Additionally, pixel super-resolution and multi-wavelength DHM approaches were investigated to enhance the obtained cell information. Finally, a proof-of-principle physics-informed neural network (PINN) for holographic reconstruction was implemented, demonstrating the potential for machine learning (ML) reconstruction techniques. In summary, this work represents an initial exploration of DHM for dWBC in PoC devices, laying the groundwork for future research.</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arXiv: Wave &amp; Ray Optics</w:t>
      </w:r>
    </w:p>
    <w:p>
      <w:pPr>
        <w:jc w:val="center"/>
      </w:pPr>
      <w:r>
        <w:t>--- 更新: 11:28 ---</w:t>
      </w:r>
    </w:p>
    <w:p>
      <w:pPr>
        <w:pStyle w:val="Heading2"/>
      </w:pPr>
      <w:r/>
      <w:r>
        <w:rPr>
          <w:rFonts w:ascii="Times New Roman" w:hAnsi="Times New Roman" w:eastAsia="宋体"/>
          <w:b/>
          <w:color w:val="000000"/>
          <w:sz w:val="24"/>
        </w:rPr>
        <w:t>复杂介质中波速景观的基于物理的学习</w:t>
      </w:r>
    </w:p>
    <w:p>
      <w:r>
        <w:rPr>
          <w:rFonts w:ascii="Times New Roman" w:hAnsi="Times New Roman" w:eastAsia="宋体"/>
          <w:b/>
          <w:color w:val="003264"/>
          <w:sz w:val="24"/>
        </w:rPr>
        <w:t>Physics-Based Learning of the Wave Speed Landscape in Complex Media</w:t>
      </w:r>
    </w:p>
    <w:p>
      <w:r>
        <w:rPr>
          <w:rFonts w:ascii="Times New Roman" w:hAnsi="Times New Roman" w:eastAsia="宋体"/>
          <w:sz w:val="21"/>
        </w:rPr>
        <w:t>作者: Alexandre Aubry</w:t>
        <w:br/>
      </w:r>
      <w:r>
        <w:rPr>
          <w:rFonts w:ascii="Times New Roman" w:hAnsi="Times New Roman" w:eastAsia="宋体"/>
          <w:sz w:val="21"/>
        </w:rPr>
        <w:t xml:space="preserve">时间: 2026-02-03T09:04:49Z | </w:t>
      </w:r>
      <w:r>
        <w:t xml:space="preserve">链接: </w:t>
      </w:r>
      <w:hyperlink r:id="rId75">
        <w:r>
          <w:rPr>
            <w:rFonts w:ascii="Times New Roman" w:hAnsi="Times New Roman" w:eastAsia="宋体"/>
            <w:color w:val="0000FF"/>
            <w:sz w:val="21"/>
            <w:u w:val="single"/>
          </w:rPr>
          <w:t>https://arxiv.org/abs/2602.03281v2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波速是复杂介质成像的关键参数，但体内测量通常仅限于反射几何形状，其中只能获得来自短尺度异质性的反向散射波。因此，传统的反射成像无法恢复波速景观的大规模变化。在这里，我们证明矩阵成像通过利用波聚焦的质量作为内在导星来克服这一限制。我们将波传播建模为可训练的多层网络，利用优化和深度学习工具来推断波速分布。我们通过对模拟组织模型和人体乳腺组织的超声实验验证了这种方法，证明了其在肿瘤检测和表征方面的潜力。我们的方法广泛适用于可以测量反射矩阵的任何类型的波和介质。</w:t>
      </w:r>
    </w:p>
    <w:p>
      <w:pPr>
        <w:spacing w:before="120"/>
      </w:pPr>
      <w:r>
        <w:rPr>
          <w:rFonts w:ascii="Times New Roman" w:hAnsi="Times New Roman" w:eastAsia="宋体"/>
          <w:b/>
          <w:sz w:val="21"/>
        </w:rPr>
        <w:t>English Abstract:</w:t>
      </w:r>
    </w:p>
    <w:p>
      <w:r>
        <w:rPr>
          <w:rFonts w:ascii="Times New Roman" w:hAnsi="Times New Roman" w:eastAsia="宋体"/>
          <w:sz w:val="21"/>
        </w:rPr>
        <w:t>Wave velocity is a key parameter for imaging complex media, but in vivo measurements are typically limited to reflection geometries, where only backscattered waves from short-scale heterogeneities are accessible. As a result, conventional reflection imaging fails to recover large-scale variations of the wave velocity landscape. Here we show that matrix imaging overcomes this limitation by exploiting the quality of wave focusing as an intrinsic guide star. We model wave propagation as a trainable multi-layer network that leverages optimization and deep learning tools to infer the wave velocity distribution. We validate this approach through ultrasound experiments on tissue-mimicking phantoms and human breast tissues, demonstrating its potential for tumour detection and characterization. Our method is broadly applicable to any kind of waves and media for which a reflection matrix can be measured.</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系外行星气候红外望远镜（EXCITE）：一项气球载任务，测量凌日热木星的光谱相位曲线</w:t>
      </w:r>
    </w:p>
    <w:p>
      <w:r>
        <w:rPr>
          <w:rFonts w:ascii="Times New Roman" w:hAnsi="Times New Roman" w:eastAsia="宋体"/>
          <w:b/>
          <w:color w:val="003264"/>
          <w:sz w:val="24"/>
        </w:rPr>
        <w:t>The EXoplanet Climate Infrared TElescope (EXCITE): A balloon-borne mission to measure spectroscopic phase curves of transiting hot Jupiters</w:t>
      </w:r>
    </w:p>
    <w:p>
      <w:r>
        <w:rPr>
          <w:rFonts w:ascii="Times New Roman" w:hAnsi="Times New Roman" w:eastAsia="宋体"/>
          <w:sz w:val="21"/>
        </w:rPr>
        <w:t>作者: Ingo Waldmann</w:t>
        <w:br/>
      </w:r>
      <w:r>
        <w:rPr>
          <w:rFonts w:ascii="Times New Roman" w:hAnsi="Times New Roman" w:eastAsia="宋体"/>
          <w:sz w:val="21"/>
        </w:rPr>
        <w:t xml:space="preserve">时间: 2026-02-04T18:31:08Z | </w:t>
      </w:r>
      <w:r>
        <w:t xml:space="preserve">链接: </w:t>
      </w:r>
      <w:hyperlink r:id="rId76">
        <w:r>
          <w:rPr>
            <w:rFonts w:ascii="Times New Roman" w:hAnsi="Times New Roman" w:eastAsia="宋体"/>
            <w:color w:val="0000FF"/>
            <w:sz w:val="21"/>
            <w:u w:val="single"/>
          </w:rPr>
          <w:t>https://arxiv.org/abs/2602.04840v1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系外行星气候红外望远镜（EXCITE）是一项气球载任务，致力于测量热木星型系外行星的光谱相位曲线。相位曲线测量可用于表征系外行星与经度相关的大气成分和能量循环模式。 EXCITE 配备 0.5 m 主镜和中等分辨率衍射极限光谱仪，光谱覆盖范围为 0.8--3.5 um。 EXCITE 设计用于从长时气球 (LDB) 上飞行。 EXCITE 将通过目标光谱能量分布 (SED) 的峰值以及氢和含碳分子的光谱特征进行观察。在本文中，我们介绍了 EXCITE 的科学目标，详细介绍了竣工仪器，并讨论了其在 2024 年从新墨西哥州萨姆纳堡起飞的工程飞行中的性能。</w:t>
      </w:r>
    </w:p>
    <w:p>
      <w:pPr>
        <w:spacing w:before="120"/>
      </w:pPr>
      <w:r>
        <w:rPr>
          <w:rFonts w:ascii="Times New Roman" w:hAnsi="Times New Roman" w:eastAsia="宋体"/>
          <w:b/>
          <w:sz w:val="21"/>
        </w:rPr>
        <w:t>English Abstract:</w:t>
      </w:r>
    </w:p>
    <w:p>
      <w:r>
        <w:rPr>
          <w:rFonts w:ascii="Times New Roman" w:hAnsi="Times New Roman" w:eastAsia="宋体"/>
          <w:sz w:val="21"/>
        </w:rPr>
        <w:t>The EXoplanet Climate Infrared TElescope (EXCITE) is a balloon-borne mission dedicated to measuring spectroscopic phase curves of hot Jupiter-type exoplanets. Phase curve measurements can be used to characterize an exoplanet's longitude-dependent atmospheric composition and energy circulation patterns. EXCITE carries a 0.5 m primary mirror and moderate resolution diffraction-limited spectrograph with spectral coverage from 0.8--3.5 um. EXCITE is designed to fly from a long-duration balloon (LDB). EXCITE will observe through the peak of a target's spectral energy distribution (SED) and through spectral signatures of hydrogen and carbon-containing molecules. In this paper, we present the science goals of EXCITE, detail the as-built instrument, and discuss its performance during a 2024 engineering flight from Fort Sumner, New Mexico.</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arXiv: Ptychography &amp; Microscopy</w:t>
      </w:r>
    </w:p>
    <w:p>
      <w:pPr>
        <w:jc w:val="center"/>
      </w:pPr>
      <w:r>
        <w:t>--- 更新: 11:28 ---</w:t>
      </w:r>
    </w:p>
    <w:p>
      <w:pPr>
        <w:pStyle w:val="Heading2"/>
      </w:pPr>
      <w:r/>
      <w:r>
        <w:rPr>
          <w:rFonts w:ascii="Times New Roman" w:hAnsi="Times New Roman" w:eastAsia="宋体"/>
          <w:b/>
          <w:color w:val="000000"/>
          <w:sz w:val="24"/>
        </w:rPr>
        <w:t>ConvRML：使用随机多焦点小透镜的高质量无透镜成像</w:t>
      </w:r>
    </w:p>
    <w:p>
      <w:r>
        <w:rPr>
          <w:rFonts w:ascii="Times New Roman" w:hAnsi="Times New Roman" w:eastAsia="宋体"/>
          <w:b/>
          <w:color w:val="003264"/>
          <w:sz w:val="24"/>
        </w:rPr>
        <w:t>ConvRML: High-Quality Lensless Imaging with Random Multi-Focal Lenslets</w:t>
      </w:r>
    </w:p>
    <w:p>
      <w:r>
        <w:rPr>
          <w:rFonts w:ascii="Times New Roman" w:hAnsi="Times New Roman" w:eastAsia="宋体"/>
          <w:sz w:val="21"/>
        </w:rPr>
        <w:t>作者: Laura Waller</w:t>
        <w:br/>
      </w:r>
      <w:r>
        <w:rPr>
          <w:rFonts w:ascii="Times New Roman" w:hAnsi="Times New Roman" w:eastAsia="宋体"/>
          <w:sz w:val="21"/>
        </w:rPr>
        <w:t xml:space="preserve">时间: 2026-02-04T18:25:13Z | </w:t>
      </w:r>
      <w:r>
        <w:t xml:space="preserve">链接: </w:t>
      </w:r>
      <w:hyperlink r:id="rId77">
        <w:r>
          <w:rPr>
            <w:rFonts w:ascii="Times New Roman" w:hAnsi="Times New Roman" w:eastAsia="宋体"/>
            <w:color w:val="0000FF"/>
            <w:sz w:val="21"/>
            <w:u w:val="single"/>
          </w:rPr>
          <w:t>https://arxiv.org/abs/2602.04834v1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基于掩模的无透镜成像仪使用简单的光学和计算重建来设计具有压缩成像能力的紧凑型相机。然而，这些成像仪的重建质量普遍较差。在这里，我们描述了硬件和软件方面的几项进步，这些进步可提高无镜头成像质量。首先，我们使用精密制造的随机多焦点小透镜 (RML) 相位掩模来通过减少复用来产生改进的测量。接下来，我们实现了基于 ConvNeXt 的重建架构，与最先进的基于注意力的架构相比，它的峰值信噪比提高了 6.68 dB。最后，我们建立了一个并行成像装置，可以同时使用 RML、扩散器和透镜系统对场景进行成像，并通过该装置收集每个系统 100,000 个测量值的数据集，用于重建模型训练和评估。使用这个标准化系统，我们使用调制传递函数和互信息来量化 RML 与扩散器相比改进的测量质量。我们的 ConvRML 系统受益于这项工作中提出的光学和计算发展，我们的贡献建立了资源来支持高质量、紧凑型和压缩无透镜成像器的持续开发。</w:t>
      </w:r>
    </w:p>
    <w:p>
      <w:pPr>
        <w:spacing w:before="120"/>
      </w:pPr>
      <w:r>
        <w:rPr>
          <w:rFonts w:ascii="Times New Roman" w:hAnsi="Times New Roman" w:eastAsia="宋体"/>
          <w:b/>
          <w:sz w:val="21"/>
        </w:rPr>
        <w:t>English Abstract:</w:t>
      </w:r>
    </w:p>
    <w:p>
      <w:r>
        <w:rPr>
          <w:rFonts w:ascii="Times New Roman" w:hAnsi="Times New Roman" w:eastAsia="宋体"/>
          <w:sz w:val="21"/>
        </w:rPr>
        <w:t>Mask-based lensless imagers use simple optics and computational reconstruction to design compact form factor cameras with compressive imaging ability. However, these imagers generally suffer from poor reconstruction quality. Here, we describe several advances in both hardware and software that result in improved lensless imaging quality. First, we use a precision-manufactured random multi-focal lenslet (RML) phase mask to produce improved measurements with reduced multiplexing. Next, we implement a ConvNeXt-based reconstruction architecture, which provides up to 6.68 dB improvement in peak signal-to-noise ratio over state-of-the-art attention-based architectures. Finally, we establish a parallel imaging setup that simultaneously images a scene with RML, diffuser and lens systems, with which we collect datasets with 100,000 measurements for each system, to be used for reconstruction model training and evaluation. Using this standardized system, we quantify the improved measurement quality of the RML compared to a diffuser using the modulation transfer function and mutual information. Our ConvRML system benefits from both the optical and the computational developments presented in this work, and our contributions establish resources to support continued development of high-quality, compact, and compressive lensless imagers.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arXiv: Physics - Optics</w:t>
      </w:r>
    </w:p>
    <w:p>
      <w:pPr>
        <w:jc w:val="center"/>
      </w:pPr>
      <w:r>
        <w:t>--- 更新: 11:28 ---</w:t>
      </w:r>
    </w:p>
    <w:p>
      <w:pPr>
        <w:pStyle w:val="Heading2"/>
      </w:pPr>
      <w:r/>
      <w:r>
        <w:rPr>
          <w:rFonts w:ascii="Times New Roman" w:hAnsi="Times New Roman" w:eastAsia="宋体"/>
          <w:b/>
          <w:color w:val="000000"/>
          <w:sz w:val="24"/>
        </w:rPr>
        <w:t>先进的超定向天线</w:t>
      </w:r>
    </w:p>
    <w:p>
      <w:r>
        <w:rPr>
          <w:rFonts w:ascii="Times New Roman" w:hAnsi="Times New Roman" w:eastAsia="宋体"/>
          <w:b/>
          <w:color w:val="003264"/>
          <w:sz w:val="24"/>
        </w:rPr>
        <w:t>Advanced Superdirective Antennas</w:t>
      </w:r>
    </w:p>
    <w:p>
      <w:r>
        <w:rPr>
          <w:rFonts w:ascii="Times New Roman" w:hAnsi="Times New Roman" w:eastAsia="宋体"/>
          <w:sz w:val="21"/>
        </w:rPr>
        <w:t>作者: Alex Krasnok</w:t>
        <w:br/>
      </w:r>
      <w:r>
        <w:rPr>
          <w:rFonts w:ascii="Times New Roman" w:hAnsi="Times New Roman" w:eastAsia="宋体"/>
          <w:sz w:val="21"/>
        </w:rPr>
        <w:t xml:space="preserve">时间: 2026-02-04T01:30:08Z | </w:t>
      </w:r>
      <w:r>
        <w:t xml:space="preserve">链接: </w:t>
      </w:r>
      <w:hyperlink r:id="rId78">
        <w:r>
          <w:rPr>
            <w:rFonts w:ascii="Times New Roman" w:hAnsi="Times New Roman" w:eastAsia="宋体"/>
            <w:color w:val="0000FF"/>
            <w:sz w:val="21"/>
            <w:u w:val="single"/>
          </w:rPr>
          <w:t>https://arxiv.org/abs/2602.04121v1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超定向（超级增益）天线旨在从电学尺寸与波长相比较小的辐射器产生窄主波束。它们不是扩大物理孔径，而是依靠强耦合电流、近场能量存储和受控模态干扰，从而使紧凑的结构辐射出增强的方向性。本次审查强调与链路相关的评估和报告：参考规定的阻抗平面实现的增益、明确规定的带宽定义（阻抗和性能）以及对制造扩展和平台/环境负载的稳健性。调查了两种实际的实施路线。第一种使用谐振、紧密耦合阵列，包括完全驱动阵列和基于寄生或反应负载元件的单链设计。第二种使用单体辐射器，通过一个或几个馈源强制实现多极或谐振/特征模式的目标混合，包括对称破缺介电谐振器和混合电磁设计。在射频、微波和光学领域，随着超方向性的推动，同样的惩罚会再次出现：辐射电阻降低、阻抗快速变化、可用带宽窄以及对小扰动的高度敏感。除了几何合成和多谐振堆叠之外，该评论还强调了可以在特定系统环境中改变这些权衡的新兴杠杆：低损耗材料和低温操作，以提高效率和频率稳定性，以及时变加载和匹配（Floquet/参数方法），可以放松线性时不变带宽约束，但代价是增加控制复杂性和频谱转换。</w:t>
      </w:r>
    </w:p>
    <w:p>
      <w:pPr>
        <w:spacing w:before="120"/>
      </w:pPr>
      <w:r>
        <w:rPr>
          <w:rFonts w:ascii="Times New Roman" w:hAnsi="Times New Roman" w:eastAsia="宋体"/>
          <w:b/>
          <w:sz w:val="21"/>
        </w:rPr>
        <w:t>English Abstract:</w:t>
      </w:r>
    </w:p>
    <w:p>
      <w:r>
        <w:rPr>
          <w:rFonts w:ascii="Times New Roman" w:hAnsi="Times New Roman" w:eastAsia="宋体"/>
          <w:sz w:val="21"/>
        </w:rPr>
        <w:t>Superdirective (supergain) antennas aim to produce a narrow main beam from radiators that are electrically small compared with the wavelength. Instead of enlarging the physical aperture, they rely on strongly coupled currents, near-field energy storage, and controlled modal interference so that a compact structure radiates with enhanced directivity. This review emphasizes link-relevant evaluation and reporting: realized gain referenced to a stated impedance plane, clearly stated bandwidth definitions (impedance and performance), and robustness to fabrication spread and platform/environmental loading. Two practical implementation routes are surveyed. The first uses resonant, tightly coupled arrays, including fully driven arrays and single-chain designs based on parasitic or reactively loaded elements. The second uses single-body radiators that enforce a targeted mixture of multipoles or resonant/characteristic modes with one or a few feeds, including symmetry-broken dielectric resonators and mixed electric--magnetic designs. Across RF, microwave, and optical regimes, the same penalties recur as superdirectivity is pushed: reduced radiation resistance, rapid impedance variation, narrow usable bandwidth, and strong sensitivity to small perturbations. Beyond geometric synthesis and multi-resonant stacking, the review highlights emerging levers that can shift these trade-offs in specific system contexts: low-loss materials and cryogenic operation to improve efficiency and frequency stability, and time-varying loading and matching (Floquet/parametric approaches) that can relax linear time-invariant bandwidth constraints, at the cost of added control complexity and spectral conversion.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自然界有损一维波的通用波导质能关系</w:t>
      </w:r>
    </w:p>
    <w:p>
      <w:r>
        <w:rPr>
          <w:rFonts w:ascii="Times New Roman" w:hAnsi="Times New Roman" w:eastAsia="宋体"/>
          <w:b/>
          <w:color w:val="003264"/>
          <w:sz w:val="24"/>
        </w:rPr>
        <w:t>A universal waveguide mass--energy relation for lossy one-dimensional waves in nature</w:t>
      </w:r>
    </w:p>
    <w:p>
      <w:r>
        <w:rPr>
          <w:rFonts w:ascii="Times New Roman" w:hAnsi="Times New Roman" w:eastAsia="宋体"/>
          <w:sz w:val="21"/>
        </w:rPr>
        <w:t>作者: Bishuang Chen</w:t>
        <w:br/>
      </w:r>
      <w:r>
        <w:rPr>
          <w:rFonts w:ascii="Times New Roman" w:hAnsi="Times New Roman" w:eastAsia="宋体"/>
          <w:sz w:val="21"/>
        </w:rPr>
        <w:t xml:space="preserve">时间: 2026-02-04T03:12:53Z | </w:t>
      </w:r>
      <w:r>
        <w:t xml:space="preserve">链接: </w:t>
      </w:r>
      <w:hyperlink r:id="rId79">
        <w:r>
          <w:rPr>
            <w:rFonts w:ascii="Times New Roman" w:hAnsi="Times New Roman" w:eastAsia="宋体"/>
            <w:color w:val="0000FF"/>
            <w:sz w:val="21"/>
            <w:u w:val="single"/>
          </w:rPr>
          <w:t>https://arxiv.org/abs/2602.04171v1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有限的有损波导无处不在：部分反射的分布式衰减会在电磁、声学、光子、量子传输和电化学界面上产生反馈、共振、延迟和衰减。然而，标准阻抗/散射工具和弱损耗谐振器近似无法提供在固有不对称性和现实边界下保持预测性的低维不变量，也无法将总吸收与传递到负载的有用功率清晰地分开。在这里，我们为线性、单模、一维系统开发了一个统一的质能框架，其中类能量和功率流变量 $(\mathcal{U},\mathcal{S})$ 满足通用不变量 $\mathcal{U}^2-\mathcal{S}^2=|Г_g|^2$，有效驻波“质量”$|Г_g|$ 在不对称下变得与状态相关。 Cai--Smith 图给出了稳定性、反馈接近度和操作状态的有界状态空间图，并明确了损失情况下最大吸收和有用传递之间的差异。我们导出了控制吸收和发射的四个定律，通过使用独立于基的 SVD 准则（协调二次与四次接近零缩放）在特殊点处通过相干完美吸收来验证多端口光学的不变量，并通过从双模正交拟合中提取 $|Γ_g|$ 将电化学极化映射到相同的几何结构上，以揭示跨 pH 范围的通用存储到传输转换。该框架为耗散边界控制系统提供了可转移的设计语言。</w:t>
      </w:r>
    </w:p>
    <w:p>
      <w:pPr>
        <w:spacing w:before="120"/>
      </w:pPr>
      <w:r>
        <w:rPr>
          <w:rFonts w:ascii="Times New Roman" w:hAnsi="Times New Roman" w:eastAsia="宋体"/>
          <w:b/>
          <w:sz w:val="21"/>
        </w:rPr>
        <w:t>English Abstract:</w:t>
      </w:r>
    </w:p>
    <w:p>
      <w:r>
        <w:rPr>
          <w:rFonts w:ascii="Times New Roman" w:hAnsi="Times New Roman" w:eastAsia="宋体"/>
          <w:sz w:val="21"/>
        </w:rPr>
        <w:t>Finite, lossy waveguides are ubiquitous: distributed attenuation with partial reflections produces feedback, resonance, delays and decay across electromagnetic, acoustic, photonic, quantum-transport and electrochemical interfaces. Yet standard impedance/scattering tools and weak-loss resonator approximations do not provide low-dimensional invariants that remain predictive under intrinsic asymmetry and realistic boundaries, nor do they cleanly separate total absorption from useful power delivered to a load. Here we develop a unified mass--energy framework for linear, single-mode, one-dimensional systems, in which energy-like and power-flow variables $(\mathcal{U},\mathcal{S})$ satisfy the universal invariant $\mathcal{U}^2-\mathcal{S}^2=|Γ_g|^2$, with the effective standing-wave ``mass'' $|Γ_g|$ becoming state-dependent under asymmetry. The Cai--Smith chart gives a bounded state-space map of stability, feedback proximity and operating states, and makes explicit the divergence between maximum absorption and useful delivery under loss. We derive four laws governing absorption and emission, validate the invariant in multiport optics via coherent perfect absorption at exceptional points using a basis-independent SVD criterion (reconciling quadratic vs quartic near-zero scaling), and map electrochemical polarization onto the same geometry by extracting $|Γ_g|$ from two-mode orthogonal fits to reveal a universal storage-to-transfer transition across pH. This framework provides a transferable design language for dissipative, boundary-controlled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零空间几何相位对光的大规模相干均分</w:t>
      </w:r>
    </w:p>
    <w:p>
      <w:r>
        <w:rPr>
          <w:rFonts w:ascii="Times New Roman" w:hAnsi="Times New Roman" w:eastAsia="宋体"/>
          <w:b/>
          <w:color w:val="003264"/>
          <w:sz w:val="24"/>
        </w:rPr>
        <w:t>Massive coherent equipartition of light by the geometric phase of null space</w:t>
      </w:r>
    </w:p>
    <w:p>
      <w:r>
        <w:rPr>
          <w:rFonts w:ascii="Times New Roman" w:hAnsi="Times New Roman" w:eastAsia="宋体"/>
          <w:sz w:val="21"/>
        </w:rPr>
        <w:t>作者: Guancong Ma</w:t>
        <w:br/>
      </w:r>
      <w:r>
        <w:rPr>
          <w:rFonts w:ascii="Times New Roman" w:hAnsi="Times New Roman" w:eastAsia="宋体"/>
          <w:sz w:val="21"/>
        </w:rPr>
        <w:t xml:space="preserve">时间: 2026-02-04T06:44:58Z | </w:t>
      </w:r>
      <w:r>
        <w:t xml:space="preserve">链接: </w:t>
      </w:r>
      <w:hyperlink r:id="rId80">
        <w:r>
          <w:rPr>
            <w:rFonts w:ascii="Times New Roman" w:hAnsi="Times New Roman" w:eastAsia="宋体"/>
            <w:color w:val="0000FF"/>
            <w:sz w:val="21"/>
            <w:u w:val="single"/>
          </w:rPr>
          <w:t>https://arxiv.org/abs/2602.04259v1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光源是光子科学与技术的基础。然而，如何从单个片上光源生成和分配相干光并跨多个通道保持高相位稳定性仍然是一个重大挑战。集成激光器通常独立运行，传统的分光器（例如多模干涉仪）不能保证高级应用所需的相位相干性。在这里，我们报告了一种纯粹的几何方案，通过利用零特征值简并态跨越的零空间的几何相位，在光子芯片上实现相干光的大规模均分。零空间的演化映射到由特殊正交群 SO(N) 描述的实空间旋转，从而通过设计系统参数来实现对光分布的精确且可扩展的控制。我们通过实验在基于玻璃的光子芯片上制造的波导阵列上实现了多达一比九的光均分。该框架可以升级为一对 N 光分布。这项工作为集成相干光源建立了一个多功能且可扩展的平台，为量子光子学和光计算等集成光子应用铺平了道路。</w:t>
      </w:r>
    </w:p>
    <w:p>
      <w:pPr>
        <w:spacing w:before="120"/>
      </w:pPr>
      <w:r>
        <w:rPr>
          <w:rFonts w:ascii="Times New Roman" w:hAnsi="Times New Roman" w:eastAsia="宋体"/>
          <w:b/>
          <w:sz w:val="21"/>
        </w:rPr>
        <w:t>English Abstract:</w:t>
      </w:r>
    </w:p>
    <w:p>
      <w:r>
        <w:rPr>
          <w:rFonts w:ascii="Times New Roman" w:hAnsi="Times New Roman" w:eastAsia="宋体"/>
          <w:sz w:val="21"/>
        </w:rPr>
        <w:t>Light source is a foundational to photonic science and technology. However, a significant challenge remains in generating and distributing coherent light from a single on-chip source with high phase stability across multiple channels. Integrated lasers typically operate independently, and conventional splitters (e.g., multi-mode interferometers) do not guarantee the phase coherence required for advanced applications. Here, we report a purely geometric scheme for achieving massive equipartition of coherent light on a photonic chip by leveraging the geometric phases of a null space spanned by degenerate states with zero eigenvalue. The evolution of the null space maps to real-space rotation described by the special orthogonal group SO(N), thus enabling precise and scalable control over light distribution by engineering the system parameters. We experimentally realize up to one-to-nine equipartition of light on a waveguide array fabricated on a glass-based photonic chip. The framework can be upscaled for one-to-N light distribution. This work establishes a versatile and scalable platform for integrated coherent light sources, paving the way for integrated photonic applications such as quantum photonics and optical computing.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硅中磷掺杂剂谷轨道分裂态的相干电子拉曼激发</w:t>
      </w:r>
    </w:p>
    <w:p>
      <w:r>
        <w:rPr>
          <w:rFonts w:ascii="Times New Roman" w:hAnsi="Times New Roman" w:eastAsia="宋体"/>
          <w:b/>
          <w:color w:val="003264"/>
          <w:sz w:val="24"/>
        </w:rPr>
        <w:t>Coherent electronic Raman excitation of valley-orbit split states of phosphorus dopants in silicon</w:t>
      </w:r>
    </w:p>
    <w:p>
      <w:r>
        <w:rPr>
          <w:rFonts w:ascii="Times New Roman" w:hAnsi="Times New Roman" w:eastAsia="宋体"/>
          <w:sz w:val="21"/>
        </w:rPr>
        <w:t>作者: Martin Kozák</w:t>
        <w:br/>
      </w:r>
      <w:r>
        <w:rPr>
          <w:rFonts w:ascii="Times New Roman" w:hAnsi="Times New Roman" w:eastAsia="宋体"/>
          <w:sz w:val="21"/>
        </w:rPr>
        <w:t xml:space="preserve">时间: 2026-02-04T08:37:15Z | </w:t>
      </w:r>
      <w:r>
        <w:t xml:space="preserve">链接: </w:t>
      </w:r>
      <w:hyperlink r:id="rId81">
        <w:r>
          <w:rPr>
            <w:rFonts w:ascii="Times New Roman" w:hAnsi="Times New Roman" w:eastAsia="宋体"/>
            <w:color w:val="0000FF"/>
            <w:sz w:val="21"/>
            <w:u w:val="single"/>
          </w:rPr>
          <w:t>https://arxiv.org/abs/2602.04319v1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在这项研究中，我们证明了晶体硅中磷供体的 $1s\left(A_1\right)$ 和 $1s\left(E\right)$ 分裂态之间电子拉曼跃迁的相干光学激发。使用简并泵浦探测技术和中红外飞秒脉冲，通过探测脉冲的瞬态偏振各向异性，在时域中表征所生成的波包的动力学。此外，我们研究了谐振激发载流子的作用，结果表明电子波包的幅度和相干时间取决于预激发载流子密度。此外，我们证明在某些条件下，拉曼型激励会变为位移脉冲激励，这使我们能够解决 $1s\left(A_1\right)$ 和 $1s\left(T_1\right)$ 之间的拉曼禁止跃迁。</w:t>
      </w:r>
    </w:p>
    <w:p>
      <w:pPr>
        <w:spacing w:before="120"/>
      </w:pPr>
      <w:r>
        <w:rPr>
          <w:rFonts w:ascii="Times New Roman" w:hAnsi="Times New Roman" w:eastAsia="宋体"/>
          <w:b/>
          <w:sz w:val="21"/>
        </w:rPr>
        <w:t>English Abstract:</w:t>
      </w:r>
    </w:p>
    <w:p>
      <w:r>
        <w:rPr>
          <w:rFonts w:ascii="Times New Roman" w:hAnsi="Times New Roman" w:eastAsia="宋体"/>
          <w:sz w:val="21"/>
        </w:rPr>
        <w:t>In this study, we demonstrate coherent optical excitation of the electronic Raman transition between the $1s\left(A_1\right)$ and $1s\left(E\right)$ split states of phosphorus donor in crystalline silicon. The dynamics of the generated wavepacket is characterized in the time domain using a degenerate pump-probe technique with mid-infrared femtosecond pulses via transient polarization anisotropy of the probe pulse. In addition, we study the role of resonantly excited carriers, and we show that the amplitude and coherence time of the electronic wavepacket depend on the pre-excited carrier density. Further, we demonstrate that under certain conditions, the Raman-type excitation changes to displacive impulsive excitation, which allows us to address the Raman-forbidden transition between $1s\left(A_1\right)$ and $1s\left(T_1\right)$.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有限谐波约束光学超晶格的局域化机制</w:t>
      </w:r>
    </w:p>
    <w:p>
      <w:r>
        <w:rPr>
          <w:rFonts w:ascii="Times New Roman" w:hAnsi="Times New Roman" w:eastAsia="宋体"/>
          <w:b/>
          <w:color w:val="003264"/>
          <w:sz w:val="24"/>
        </w:rPr>
        <w:t>Mechanisms of localization in a finite harmonically confined optical superlattice</w:t>
      </w:r>
    </w:p>
    <w:p>
      <w:r>
        <w:rPr>
          <w:rFonts w:ascii="Times New Roman" w:hAnsi="Times New Roman" w:eastAsia="宋体"/>
          <w:sz w:val="21"/>
        </w:rPr>
        <w:t>作者: P. Schmelcher</w:t>
        <w:br/>
      </w:r>
      <w:r>
        <w:rPr>
          <w:rFonts w:ascii="Times New Roman" w:hAnsi="Times New Roman" w:eastAsia="宋体"/>
          <w:sz w:val="21"/>
        </w:rPr>
        <w:t xml:space="preserve">时间: 2026-02-04T10:24:42Z | </w:t>
      </w:r>
      <w:r>
        <w:t xml:space="preserve">链接: </w:t>
      </w:r>
      <w:hyperlink r:id="rId82">
        <w:r>
          <w:rPr>
            <w:rFonts w:ascii="Times New Roman" w:hAnsi="Times New Roman" w:eastAsia="宋体"/>
            <w:color w:val="0000FF"/>
            <w:sz w:val="21"/>
            <w:u w:val="single"/>
          </w:rPr>
          <w:t>https://arxiv.org/abs/2602.04395v1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我们研究了有限光学超晶格中谐波限制的影响，并揭示了可能导致局域态出现的不同机制。具有奇数或偶数个晶胞的光学超晶格可以表现出平凡或非平凡的基础拓扑，其特征在于相应的 Zak 相。我们专注于中谐波捕获频率范围内的独特定位机制。具体来说，该政权中的四个最低本征态在拓扑非平凡配置中形成了有效的四能级系统。较大的俘获频率值驱动系统进入谐波陷阱主导的状态，其特征是低能带所有状态的经典配对和局域化，就像在通常的光学晶格中一样。对于较低的捕获频率范围，讨论了拓扑边缘态的命运。我们的结果基于精确的对角化和将连续系统映射到离散系统的紧束缚近似。我们讨论了与光学超晶格实验实现相关的几个方面，并提供了动力学的简要说明，强调了观察和区分不同定位机制的直接方法。</w:t>
      </w:r>
    </w:p>
    <w:p>
      <w:pPr>
        <w:spacing w:before="120"/>
      </w:pPr>
      <w:r>
        <w:rPr>
          <w:rFonts w:ascii="Times New Roman" w:hAnsi="Times New Roman" w:eastAsia="宋体"/>
          <w:b/>
          <w:sz w:val="21"/>
        </w:rPr>
        <w:t>English Abstract:</w:t>
      </w:r>
    </w:p>
    <w:p>
      <w:r>
        <w:rPr>
          <w:rFonts w:ascii="Times New Roman" w:hAnsi="Times New Roman" w:eastAsia="宋体"/>
          <w:sz w:val="21"/>
        </w:rPr>
        <w:t>We investigate the impact of harmonic confinement in a finite optical superlattice and reveal the different mechanisms that can lead to the emergence of localized states. The optical superlattice, with odd or even number of unit cells, can exhibit either a trivial or a non-trivial underlying topology, characterized by the corresponding Zak phase. We focus on a distinct localization mechanism in the intermediate harmonic trapping frequency regime. Specifically, the four lowest-lying eigenstates in this regime form an effective four-level system in the topologically non-trivial configuration. Larger trapping frequency values drive the system into a harmonic trap dominated regime, featuring classical pairing and localization of all states of the lower band, as in a usual optical lattice. For the lower trapping frequency regime, the fate of topological edge states is discussed. Our results are based on exact diagonalization and on a tight-binding approximation that maps the continuous to a discrete system. We address several aspects relevant to the experimental implementation of optical superlattices and provide a brief illustration of the dynamics, highlighting direct ways to observe and distinguish between the different localization mechanisms.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通过现实世界的自由空间链接光学斯格明子的拓扑鲁棒性</w:t>
      </w:r>
    </w:p>
    <w:p>
      <w:r>
        <w:rPr>
          <w:rFonts w:ascii="Times New Roman" w:hAnsi="Times New Roman" w:eastAsia="宋体"/>
          <w:b/>
          <w:color w:val="003264"/>
          <w:sz w:val="24"/>
        </w:rPr>
        <w:t>Topological robustness of optical skyrmions through a real-world free-space link</w:t>
      </w:r>
    </w:p>
    <w:p>
      <w:r>
        <w:rPr>
          <w:rFonts w:ascii="Times New Roman" w:hAnsi="Times New Roman" w:eastAsia="宋体"/>
          <w:sz w:val="21"/>
        </w:rPr>
        <w:t>作者: Andrew Forbes</w:t>
        <w:br/>
      </w:r>
      <w:r>
        <w:rPr>
          <w:rFonts w:ascii="Times New Roman" w:hAnsi="Times New Roman" w:eastAsia="宋体"/>
          <w:sz w:val="21"/>
        </w:rPr>
        <w:t xml:space="preserve">时间: 2026-02-04T11:16:45Z | </w:t>
      </w:r>
      <w:r>
        <w:t xml:space="preserve">链接: </w:t>
      </w:r>
      <w:hyperlink r:id="rId83">
        <w:r>
          <w:rPr>
            <w:rFonts w:ascii="Times New Roman" w:hAnsi="Times New Roman" w:eastAsia="宋体"/>
            <w:color w:val="0000FF"/>
            <w:sz w:val="21"/>
            <w:u w:val="single"/>
          </w:rPr>
          <w:t>https://arxiv.org/abs/2602.04446v1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结构光为现代光网络日益增长的数据需求提供了一种有前途的解决方案，开辟了新的自由度，可用于更大的通道容量和每光子更多的比特数。然而，其实现受到现实世界扭曲的阻碍，例如自由空间中的大气湍流，其严重且快速演变的相位扰动会改变光束的幅度、相位和矢量偏振结构。在这里，我们证明了斯格明子形式的光学拓扑对于现实世界大气湍流的影响具有很强的弹性。我们通过 270 米自由空间光学链路创建并传输这些类似粒子的光拓扑，揭示了它们在各种条件和湍流强度下的鲁棒性。虽然我们观察到状态的基本自由度存在严重扭曲，但我们表明拓扑数在所有情况下都得到保留。我们通过探测状态的退相干来解释介质的快速变化，其中通道产生统计平均结果，表明虽然偏振度因此衰减，但拓扑保持完整。使用拓扑结构，我们表明在大多数情况下信息可以通过通道以几乎完美的保真度 (&gt;98%) 传输，在最严酷的测试条件下仅下降到 86%。我们的工作首次证明了光学拓扑在现实环境中作为可靠且强大的信息载体的潜力，并指出了其他复杂通道的潜力，为经典通信和量子通信提供了有吸引力的功能。</w:t>
      </w:r>
    </w:p>
    <w:p>
      <w:pPr>
        <w:spacing w:before="120"/>
      </w:pPr>
      <w:r>
        <w:rPr>
          <w:rFonts w:ascii="Times New Roman" w:hAnsi="Times New Roman" w:eastAsia="宋体"/>
          <w:b/>
          <w:sz w:val="21"/>
        </w:rPr>
        <w:t>English Abstract:</w:t>
      </w:r>
    </w:p>
    <w:p>
      <w:r>
        <w:rPr>
          <w:rFonts w:ascii="Times New Roman" w:hAnsi="Times New Roman" w:eastAsia="宋体"/>
          <w:sz w:val="21"/>
        </w:rPr>
        <w:t>Structured light offers a promising solution for the increasing data demands of modern optical networks, opening up new degrees of freedom that can be leveraged for greater channel capacity and more bits per photon. However, its implementation is hindered by real-world distortions, for example, atmospheric turbulence in free-space, with severe and rapidly evolving phase perturbations that alter the amplitude, phase and vectorial polarization structure of the beam. Here, we demonstrate that optical topologies in the form of skyrmions are highly resilient to the effects of real-world atmospheric turbulence. We create and transmit these particle-like topologies of light through a 270~m free-space optical link, revealing their robustness across a wide variety of conditions and turbulence strengths. While we observe severe distortion in the states' underlying degrees of freedom, we show that the topological numbers are preserved in all cases. We account for fast changes to the medium, where the channel produces statistically averaged outcomes, by probing the state's decoherence, showing that while the degree of polarisation consequently decays, the topology remains intact. Using topology, we show information can be transmitted through the channel with almost perfect fidelity (&gt;98%) in most cases, only decreasing to 86% in the most severe conditions tested. Our work is the first to demonstrate the potential for optical topologies as reliable and robust information carriers in a real-world environment and points to the potential for other complex channels too, offering attractive features for classical and quantum communication alike.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被动非相干超快中红外上转换成像及其校准</w:t>
      </w:r>
    </w:p>
    <w:p>
      <w:r>
        <w:rPr>
          <w:rFonts w:ascii="Times New Roman" w:hAnsi="Times New Roman" w:eastAsia="宋体"/>
          <w:b/>
          <w:color w:val="003264"/>
          <w:sz w:val="24"/>
        </w:rPr>
        <w:t>Passive Incoherent Ultrafast Mid-Infrared Upconversion Imaging and Its Calibration</w:t>
      </w:r>
    </w:p>
    <w:p>
      <w:r>
        <w:rPr>
          <w:rFonts w:ascii="Times New Roman" w:hAnsi="Times New Roman" w:eastAsia="宋体"/>
          <w:sz w:val="21"/>
        </w:rPr>
        <w:t>作者: Bao-Sen Shi</w:t>
        <w:br/>
      </w:r>
      <w:r>
        <w:rPr>
          <w:rFonts w:ascii="Times New Roman" w:hAnsi="Times New Roman" w:eastAsia="宋体"/>
          <w:sz w:val="21"/>
        </w:rPr>
        <w:t xml:space="preserve">时间: 2026-02-04T12:09:38Z | </w:t>
      </w:r>
      <w:r>
        <w:t xml:space="preserve">链接: </w:t>
      </w:r>
      <w:hyperlink r:id="rId84">
        <w:r>
          <w:rPr>
            <w:rFonts w:ascii="Times New Roman" w:hAnsi="Times New Roman" w:eastAsia="宋体"/>
            <w:color w:val="0000FF"/>
            <w:sz w:val="21"/>
            <w:u w:val="single"/>
          </w:rPr>
          <w:t>https://arxiv.org/abs/2602.04483v1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超快中红外 (MIR) 成像是监测科学诊断和工业安全中瞬态热和等离子体现象的关键功能。然而，传统的低温 MIR 相机面临帧速率、噪声和像素格式之间的基本权衡。在此，我们报告了一种无源、非相干 MIR 成像平台，该平台利用线性调频周期性极化铌酸锂 (CPLN) 中的和频上转换将宽带 3--5um 场景转换为近红外，从而实现在硅基增强 CCD (iCCD) 上的超快采集。在快速动力学模式下，我们通过微秒级的门控制实现了 100kHz 的物理帧速率，并且直接捕获了空气击穿电弧的完整演化过程，解决了其快速点火、膨胀和衰变动力学问题。除了演示超快无源成像之外，我们还引入了基于艾伦偏差分析的漂移感知校准工作流程，以在现实的慢漂移和乘性噪声下定量选择栅极宽度和平均策略。这种组合功能——超快被动中红外成像加上具有操作意义的校准——为危险快速瞬变的实时热监视和预警系统提供了一条实用途径。</w:t>
      </w:r>
    </w:p>
    <w:p>
      <w:pPr>
        <w:spacing w:before="120"/>
      </w:pPr>
      <w:r>
        <w:rPr>
          <w:rFonts w:ascii="Times New Roman" w:hAnsi="Times New Roman" w:eastAsia="宋体"/>
          <w:b/>
          <w:sz w:val="21"/>
        </w:rPr>
        <w:t>English Abstract:</w:t>
      </w:r>
    </w:p>
    <w:p>
      <w:r>
        <w:rPr>
          <w:rFonts w:ascii="Times New Roman" w:hAnsi="Times New Roman" w:eastAsia="宋体"/>
          <w:sz w:val="21"/>
        </w:rPr>
        <w:t>Ultrafast mid-infrared (MIR) imaging is a key enabling capability for monitoring transient thermal and plasma phenomena in scientific diagnostics and industrial safety. However, conventional cryogenic MIR cameras face a fundamental trade-off between frame rate, noise, and pixel format. Here we report a passive, incoherent MIR imaging platform that leverages sum-frequency upconversion in chirped periodically poled lithium niobate (CPLN) to translate broadband 3--5um scenes to the near-infrared, enabling ultrafast acquisition on a silicon-based intensified CCD (iCCD). In fast-kinetics mode we achieve a physical frame rate of 100kHz with microsecond-scale gate control, and we directly capture the full evolution of an air-breakdown electric arc, resolving its rapid ignition, expansion, and decay dynamics. Beyond demonstrating ultrafast passive imaging, we introduce a drift-aware calibration workflow based on Allan deviation analysis to quantitatively select the gate width and averaging strategy under realistic slow-drift and multiplicative noise. This combined capability -- ultrafast passive MIR imaging plus operationally meaningful calibration -- provides a practical route toward real-time thermal surveillance and early-warning systems for hazardous fast transients.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PhoQuPy：用于量子光学实验自动化的 Python 框架</w:t>
      </w:r>
    </w:p>
    <w:p>
      <w:r>
        <w:rPr>
          <w:rFonts w:ascii="Times New Roman" w:hAnsi="Times New Roman" w:eastAsia="宋体"/>
          <w:b/>
          <w:color w:val="003264"/>
          <w:sz w:val="24"/>
        </w:rPr>
        <w:t>PhoQuPy: A Python framework for Automation of Quantum Optics experiments</w:t>
      </w:r>
    </w:p>
    <w:p>
      <w:r>
        <w:rPr>
          <w:rFonts w:ascii="Times New Roman" w:hAnsi="Times New Roman" w:eastAsia="宋体"/>
          <w:sz w:val="21"/>
        </w:rPr>
        <w:t>作者: Anshuman Kumar</w:t>
        <w:br/>
      </w:r>
      <w:r>
        <w:rPr>
          <w:rFonts w:ascii="Times New Roman" w:hAnsi="Times New Roman" w:eastAsia="宋体"/>
          <w:sz w:val="21"/>
        </w:rPr>
        <w:t xml:space="preserve">时间: 2026-02-04T12:52:32Z | </w:t>
      </w:r>
      <w:r>
        <w:t xml:space="preserve">链接: </w:t>
      </w:r>
      <w:hyperlink r:id="rId85">
        <w:r>
          <w:rPr>
            <w:rFonts w:ascii="Times New Roman" w:hAnsi="Times New Roman" w:eastAsia="宋体"/>
            <w:color w:val="0000FF"/>
            <w:sz w:val="21"/>
            <w:u w:val="single"/>
          </w:rPr>
          <w:t>https://arxiv.org/abs/2602.04505v1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我们展示了共焦光致发光 (PL) 扫描系统的自动化，用于识别和表征量子材料中的单光子发射器 (SPE)。该装置用激光激发样品，并以光栅扫描模式获取每个空间坐标处的光谱。双采集方法用于通过比较同一空间坐标处的后续测量来消除宇宙射线伪影。一旦确定，发射器将通过 HBT 设置进一步表征，从而测量寿命以及二阶自相关 g(2) 测量，以确认单光子发射。该系统集成了基于 Python 的硬件控制，用于电动平台、光谱仪采集和后处理，并迁移到振镜扫描方法，将其与低温恒温器一起使用进行低温测量。我们的结果展示了空间分辨的 PL 图和温度相关光谱，突出了该装置有效基准 SPE 性能的能力。我们进一步继续执行其他实验的自动化，例如使用未检测到的光进行量子成像的非线性干涉测量装置，以及使用公共路径双折射干涉仪来获取样品的高光谱图像的傅里叶变换成像光谱。</w:t>
      </w:r>
    </w:p>
    <w:p>
      <w:pPr>
        <w:spacing w:before="120"/>
      </w:pPr>
      <w:r>
        <w:rPr>
          <w:rFonts w:ascii="Times New Roman" w:hAnsi="Times New Roman" w:eastAsia="宋体"/>
          <w:b/>
          <w:sz w:val="21"/>
        </w:rPr>
        <w:t>English Abstract:</w:t>
      </w:r>
    </w:p>
    <w:p>
      <w:r>
        <w:rPr>
          <w:rFonts w:ascii="Times New Roman" w:hAnsi="Times New Roman" w:eastAsia="宋体"/>
          <w:sz w:val="21"/>
        </w:rPr>
        <w:t>We present the automation of a confocal photoluminescence (PL) scanning system for the identification and characterization of single-photon emitters (SPEs) in quantum materials. The setup excites the sample with a laser and acquires a spectrum at each spatial coordinate in a raster scan pattern. A double-acquisition method is used to remove cosmic ray artifacts by comparing subsequent measurements at the same spatial coordinate. Once identified, the emitter is further characterized via a HBT setup, thereby measuring lifetime as well as second-order autocorrelation g(2) measurements to confirm singlephoton emission. The system integrates Python-based hardware control for motorized stages, spectrometer acquisition, and post-processing, with a migration to a galvo-mirror scanning approach for using it along with a cryostat for low temperature measurements. Our results demonstrate spatially resolved PL maps and temperature-dependent spectra, highlighting the capability of the setup to efficiently benchmark SPE performance. We further went on to perform automation of other experiments such as a Non-Linear Interferometry setup for Quantum Imaging with Undetected Light and a Fourier Transform Imaging Spectroscopy using a common path birefringence Interferometer to obtain hyperspectral images of our samples.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结晶 AlGaAs 镜面涂层中的光双折射效应</w:t>
      </w:r>
    </w:p>
    <w:p>
      <w:r>
        <w:rPr>
          <w:rFonts w:ascii="Times New Roman" w:hAnsi="Times New Roman" w:eastAsia="宋体"/>
          <w:b/>
          <w:color w:val="003264"/>
          <w:sz w:val="24"/>
        </w:rPr>
        <w:t>Photo-birefringent effects in crystalline AlGaAs mirror coatings</w:t>
      </w:r>
    </w:p>
    <w:p>
      <w:r>
        <w:rPr>
          <w:rFonts w:ascii="Times New Roman" w:hAnsi="Times New Roman" w:eastAsia="宋体"/>
          <w:sz w:val="21"/>
        </w:rPr>
        <w:t>作者: Uwe Sterr</w:t>
        <w:br/>
      </w:r>
      <w:r>
        <w:rPr>
          <w:rFonts w:ascii="Times New Roman" w:hAnsi="Times New Roman" w:eastAsia="宋体"/>
          <w:sz w:val="21"/>
        </w:rPr>
        <w:t xml:space="preserve">时间: 2026-02-04T16:32:17Z | </w:t>
      </w:r>
      <w:r>
        <w:t xml:space="preserve">链接: </w:t>
      </w:r>
      <w:hyperlink r:id="rId86">
        <w:r>
          <w:rPr>
            <w:rFonts w:ascii="Times New Roman" w:hAnsi="Times New Roman" w:eastAsia="宋体"/>
            <w:color w:val="0000FF"/>
            <w:sz w:val="21"/>
            <w:u w:val="single"/>
          </w:rPr>
          <w:t>https://arxiv.org/abs/2602.04724v1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与传统介电涂层相比，高反射晶体 $GaAs/Al_{0.92}Ga_{0.08}As$ 涂层的布朗噪声有所降低。然而，一些超稳定激光系统观察到额外的噪声源，这些噪声源阻碍了频率稳定性预期改进的实现。这些额外的噪声源与涂层的双折射及其通过腔内光的修改有关。双折射的起源尚不清楚，并且其通过照明的改变仍然无法解释。在这里，我们对腔内光和使用室温下光学腔在不同波长下的均匀照明对双折射的稳态和瞬态修改进行了广泛的研究。我们发现了一个统一的描述，表明光子能量低于 GaAs 带隙的主要双光子过程，或更高能量的单光子过程。添加外部照明可以通过在更有利的低腔内功率下平衡反射镜的光热光响应和光双折射效应来减少激光功率波动引起的噪声。</w:t>
      </w:r>
    </w:p>
    <w:p>
      <w:pPr>
        <w:spacing w:before="120"/>
      </w:pPr>
      <w:r>
        <w:rPr>
          <w:rFonts w:ascii="Times New Roman" w:hAnsi="Times New Roman" w:eastAsia="宋体"/>
          <w:b/>
          <w:sz w:val="21"/>
        </w:rPr>
        <w:t>English Abstract:</w:t>
      </w:r>
    </w:p>
    <w:p>
      <w:r>
        <w:rPr>
          <w:rFonts w:ascii="Times New Roman" w:hAnsi="Times New Roman" w:eastAsia="宋体"/>
          <w:sz w:val="21"/>
        </w:rPr>
        <w:t>High-reflective crystalline $GaAs/Al_{0.92}Ga_{0.08}As$ coatings show reduced Brownian noise compared to conventional dielectric coatings. However, several ultra stable laser systems observed additional noise sources that hinder the realization of the expected improvements in frequency stability. These additional noise sources are related to the birefringence of the coatings and its modification by intracavity light. The origin of the birefringence is not yet well understood and its modification via illumination remains unexplained. Here we present an extensive study on the steady-state and transient modification of the birefringence by intracavity light and by uniform illumination at various wavelengths using an optical cavity at room temperature. We find a unified description that suggests a primary two-photon process for photon energies below the bandgap of GaAs, or a single-photon process at higher energies. Adding external illumination allows to reduce noise induced by laser power fluctuations by balancing the photo-thermal-optic response of the mirrors and the photo-birefringent effect at a more favorable low intracavity power.</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arXiv: Computational Imaging</w:t>
      </w:r>
    </w:p>
    <w:p>
      <w:pPr>
        <w:jc w:val="center"/>
      </w:pPr>
      <w:r>
        <w:t>--- 更新: 11:29 ---</w:t>
      </w:r>
    </w:p>
    <w:p>
      <w:pPr>
        <w:pStyle w:val="Heading2"/>
      </w:pPr>
      <w:r/>
      <w:r>
        <w:rPr>
          <w:rFonts w:ascii="Times New Roman" w:hAnsi="Times New Roman" w:eastAsia="宋体"/>
          <w:b/>
          <w:color w:val="000000"/>
          <w:sz w:val="24"/>
        </w:rPr>
        <w:t>AtlasPatch：计算病理学中整个载玻片图像预处理的高效且可扩展的工具</w:t>
      </w:r>
    </w:p>
    <w:p>
      <w:r>
        <w:rPr>
          <w:rFonts w:ascii="Times New Roman" w:hAnsi="Times New Roman" w:eastAsia="宋体"/>
          <w:b/>
          <w:color w:val="003264"/>
          <w:sz w:val="24"/>
        </w:rPr>
        <w:t>AtlasPatch: An Efficient and Scalable Tool for Whole Slide Image Preprocessing in Computational Pathology</w:t>
      </w:r>
    </w:p>
    <w:p>
      <w:r>
        <w:rPr>
          <w:rFonts w:ascii="Times New Roman" w:hAnsi="Times New Roman" w:eastAsia="宋体"/>
          <w:sz w:val="21"/>
        </w:rPr>
        <w:t>作者: Mahdi S. Hosseini</w:t>
        <w:br/>
      </w:r>
      <w:r>
        <w:rPr>
          <w:rFonts w:ascii="Times New Roman" w:hAnsi="Times New Roman" w:eastAsia="宋体"/>
          <w:sz w:val="21"/>
        </w:rPr>
        <w:t xml:space="preserve">时间: 2026-02-03T20:32:07Z | </w:t>
      </w:r>
      <w:r>
        <w:t xml:space="preserve">链接: </w:t>
      </w:r>
      <w:hyperlink r:id="rId87">
        <w:r>
          <w:rPr>
            <w:rFonts w:ascii="Times New Roman" w:hAnsi="Times New Roman" w:eastAsia="宋体"/>
            <w:color w:val="0000FF"/>
            <w:sz w:val="21"/>
            <w:u w:val="single"/>
          </w:rPr>
          <w:t>https://arxiv.org/abs/2602.03998v1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全玻片图像 (WSI) 预处理通常包括组织检测和斑块提取，是人工智能驱动的计算病理学工作流程的基础。这仍然是一个主要的计算瓶颈，因为现有工具要么依赖于不准确的启发式阈值进行组织检测，要么采用基于人工智能的方法，这些方法是在补丁级别运行的有限多样性数据上进行训练的，从而导致大量的计算复杂性。我们推出了 AtlasPatch，这是一种高效且可扩展的载玻片预处理框架，用于以最小的计算开销进行精确的组织检测和高通量斑块提取。 AtlasPatch 的组织检测模块使用 Segment-Anything 模型的高效微调，在约 30,000 个 WSI 缩略图的异构半手动注释数据集上进行训练。该工具将组织掩模从缩略图推断为全分辨率幻灯片，以用户指定的放大倍数提取补丁坐标，并可选择将补丁直接流式传输到通用图像编码器中以嵌入或存储补丁图像，所有这些都在 CPU 和 GPU 上高效并行。我们评估 AtlasPatch 的分割精度、计算复杂性和下游多实例学习，匹配最先进的性能，同时以一小部分计算成本运行。 AtlasPatch 是开源的，可从 https://github.com/AtlasAnalyticsLab/AtlasPatch 获取。</w:t>
      </w:r>
    </w:p>
    <w:p>
      <w:pPr>
        <w:spacing w:before="120"/>
      </w:pPr>
      <w:r>
        <w:rPr>
          <w:rFonts w:ascii="Times New Roman" w:hAnsi="Times New Roman" w:eastAsia="宋体"/>
          <w:b/>
          <w:sz w:val="21"/>
        </w:rPr>
        <w:t>English Abstract:</w:t>
      </w:r>
    </w:p>
    <w:p>
      <w:r>
        <w:rPr>
          <w:rFonts w:ascii="Times New Roman" w:hAnsi="Times New Roman" w:eastAsia="宋体"/>
          <w:sz w:val="21"/>
        </w:rPr>
        <w:t>Whole-slide image (WSI) preprocessing, typically comprising tissue detection followed by patch extraction, is foundational to AI-driven computational pathology workflows. This remains a major computational bottleneck as existing tools either rely on inaccurate heuristic thresholding for tissue detection, or adopt AI-based approaches trained on limited-diversity data that operate at the patch level, incurring substantial computational complexity. We present AtlasPatch, an efficient and scalable slide preprocessing framework for accurate tissue detection and high-throughput patch extraction with minimal computational overhead. AtlasPatch's tissue detection module is trained on a heterogeneous and semi-manually annotated dataset of ~30,000 WSI thumbnails, using efficient fine-tuning of the Segment-Anything model. The tool extrapolates tissue masks from thumbnails to full-resolution slides to extract patch coordinates at user-specified magnifications, with options to stream patches directly into common image encoders for embedding or store patch images, all efficiently parallelized across CPUs and GPUs. We assess AtlasPatch across segmentation precision, computational complexity, and downstream multiple-instance learning, matching state-of-the-art performance while operating at a fraction of their computational cost. AtlasPatch is open-source and available at https://github.com/AtlasAnalyticsLab/AtlasPatch.</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MS-SCANet：基于多尺度 Transformer 的架构，具有双重关注功能，用于无参考图像质量评估</w:t>
      </w:r>
    </w:p>
    <w:p>
      <w:r>
        <w:rPr>
          <w:rFonts w:ascii="Times New Roman" w:hAnsi="Times New Roman" w:eastAsia="宋体"/>
          <w:b/>
          <w:color w:val="003264"/>
          <w:sz w:val="24"/>
        </w:rPr>
        <w:t>MS-SCANet: A Multiscale Transformer-Based Architecture with Dual Attention for No-Reference Image Quality Assessment</w:t>
      </w:r>
    </w:p>
    <w:p>
      <w:r>
        <w:rPr>
          <w:rFonts w:ascii="Times New Roman" w:hAnsi="Times New Roman" w:eastAsia="宋体"/>
          <w:sz w:val="21"/>
        </w:rPr>
        <w:t>作者: Mylene C. Q. Farias</w:t>
        <w:br/>
      </w:r>
      <w:r>
        <w:rPr>
          <w:rFonts w:ascii="Times New Roman" w:hAnsi="Times New Roman" w:eastAsia="宋体"/>
          <w:sz w:val="21"/>
        </w:rPr>
        <w:t xml:space="preserve">时间: 2026-02-03T21:43:15Z | </w:t>
      </w:r>
      <w:r>
        <w:t xml:space="preserve">链接: </w:t>
      </w:r>
      <w:hyperlink r:id="rId88">
        <w:r>
          <w:rPr>
            <w:rFonts w:ascii="Times New Roman" w:hAnsi="Times New Roman" w:eastAsia="宋体"/>
            <w:color w:val="0000FF"/>
            <w:sz w:val="21"/>
            <w:u w:val="single"/>
          </w:rPr>
          <w:t>https://arxiv.org/abs/2602.04032v1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我们提出了多尺度空间通道注意网络（MS-SCANet），这是一种基于变压器的架构，专为无参考图像质量评估（IQA）而设计。 MS-SCANet采用双分支结构，可以在多个尺度上处理图像，有效捕获精细和粗糙的细节，这是对传统单尺度方法的改进。通过集成定制的空间和通道注意机制，我们的模型强调基本特征，同时最大限度地减少计算复杂性。 MS-SCANet 的一个关键组成部分是其跨分支注意力机制，它增强了不同尺度特征的集成，解决了以前方法的局限性。我们还引入了两个新的一致性损失函数，跨分支一致性损失和自适应池一致性损失，它们在特征缩放期间保持空间完整性，优于传统的线性和双线性技术。对 KonIQ-10k、LIVE、LIVE Challenge 和 CSIQ 等数据集的广泛评估表明，MS-SCANet 始终超越最先进的方法，提供了一个与主观人类评分具有更强相关性的强大框架。</w:t>
      </w:r>
    </w:p>
    <w:p>
      <w:pPr>
        <w:spacing w:before="120"/>
      </w:pPr>
      <w:r>
        <w:rPr>
          <w:rFonts w:ascii="Times New Roman" w:hAnsi="Times New Roman" w:eastAsia="宋体"/>
          <w:b/>
          <w:sz w:val="21"/>
        </w:rPr>
        <w:t>English Abstract:</w:t>
      </w:r>
    </w:p>
    <w:p>
      <w:r>
        <w:rPr>
          <w:rFonts w:ascii="Times New Roman" w:hAnsi="Times New Roman" w:eastAsia="宋体"/>
          <w:sz w:val="21"/>
        </w:rPr>
        <w:t>We present the Multi-Scale Spatial Channel Attention Network (MS-SCANet), a transformer-based architecture designed for no-reference image quality assessment (IQA). MS-SCANet features a dual-branch structure that processes images at multiple scales, effectively capturing both fine and coarse details, an improvement over traditional single-scale methods. By integrating tailored spatial and channel attention mechanisms, our model emphasizes essential features while minimizing computational complexity. A key component of MS-SCANet is its cross-branch attention mechanism, which enhances the integration of features across different scales, addressing limitations in previous approaches. We also introduce two new consistency loss functions, Cross-Branch Consistency Loss and Adaptive Pooling Consistency Loss, which maintain spatial integrity during feature scaling, outperforming conventional linear and bilinear techniques. Extensive evaluations on datasets like KonIQ-10k, LIVE, LIVE Challenge, and CSIQ show that MS-SCANet consistently surpasses state-of-the-art methods, offering a robust framework with stronger correlations with subjective human scores.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利用层间一致随机性改进 3D 医学成像的 2D 扩散模型</w:t>
      </w:r>
    </w:p>
    <w:p>
      <w:r>
        <w:rPr>
          <w:rFonts w:ascii="Times New Roman" w:hAnsi="Times New Roman" w:eastAsia="宋体"/>
          <w:b/>
          <w:color w:val="003264"/>
          <w:sz w:val="24"/>
        </w:rPr>
        <w:t>Improving 2D Diffusion Models for 3D Medical Imaging with Inter-Slice Consistent Stochasticity</w:t>
      </w:r>
    </w:p>
    <w:p>
      <w:r>
        <w:rPr>
          <w:rFonts w:ascii="Times New Roman" w:hAnsi="Times New Roman" w:eastAsia="宋体"/>
          <w:sz w:val="21"/>
        </w:rPr>
        <w:t>作者: Yuyao Zhang</w:t>
        <w:br/>
      </w:r>
      <w:r>
        <w:rPr>
          <w:rFonts w:ascii="Times New Roman" w:hAnsi="Times New Roman" w:eastAsia="宋体"/>
          <w:sz w:val="21"/>
        </w:rPr>
        <w:t xml:space="preserve">时间: 2026-02-04T02:54:08Z | </w:t>
      </w:r>
      <w:r>
        <w:t xml:space="preserve">链接: </w:t>
      </w:r>
      <w:hyperlink r:id="rId89">
        <w:r>
          <w:rPr>
            <w:rFonts w:ascii="Times New Roman" w:hAnsi="Times New Roman" w:eastAsia="宋体"/>
            <w:color w:val="0000FF"/>
            <w:sz w:val="21"/>
            <w:u w:val="single"/>
          </w:rPr>
          <w:t>https://arxiv.org/abs/2602.04162v1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3D 医学成像的需求量很大，对于临床诊断和科学研究至关重要。目前，扩散模型（DM）因其学习丰富、高质量先验数据的能力而成为医学成像重建的有效工具。然而，在医学成像中使用 DM 学习 3D 数据分布具有挑战性，这不仅是因为数据收集困难，还因为模型训练期间的巨大计算负担。常见的折衷方案是根据 2D 数据先验训练 DM，并重建堆叠的 2D 切片以解决 3D 医学逆问题。然而，扩散采样的内在随机性会导致重建 3D 体积的严重层间不连续性。现有方法通常沿 z 轴强制连续正则化，这会引入敏感的超参数，并可能导致过度平滑的结果。在这项工作中，我们重新审视了扩散采样中随机性的起源，并引入了层间一致随机性（ISCS），这是一种简单而有效的策略，可以在扩散采样过程中鼓励层间一致性。我们的关键思想是在扩散采样过程中控制随机噪声分量的一致性，从而在不添加任何新的损失项或优化步骤的情况下对齐它们的采样轨迹。重要的是，所提出的 ISCS 是即插即用的，可以放入任何基于 2D 训练扩散的 3D 重建管道中，而无需额外的计算成本。对多个医学成像问题的实验表明，我们的方法可以有效提高基于2D扩散模型的医学3D成像问题的性能。我们的研究结果表明，控制层间随机性是实现具有 2D 扩散先验的高保真 3D 医学成像的原则性且具有实际吸引力的途径。代码位于：https://github.com/duchenhe/ISCS</w:t>
      </w:r>
    </w:p>
    <w:p>
      <w:pPr>
        <w:spacing w:before="120"/>
      </w:pPr>
      <w:r>
        <w:rPr>
          <w:rFonts w:ascii="Times New Roman" w:hAnsi="Times New Roman" w:eastAsia="宋体"/>
          <w:b/>
          <w:sz w:val="21"/>
        </w:rPr>
        <w:t>English Abstract:</w:t>
      </w:r>
    </w:p>
    <w:p>
      <w:r>
        <w:rPr>
          <w:rFonts w:ascii="Times New Roman" w:hAnsi="Times New Roman" w:eastAsia="宋体"/>
          <w:sz w:val="21"/>
        </w:rPr>
        <w:t>3D medical imaging is in high demand and essential for clinical diagnosis and scientific research. Currently, diffusion models (DMs) have become an effective tool for medical imaging reconstruction thanks to their ability to learn rich, high-quality data priors. However, learning the 3D data distribution with DMs in medical imaging is challenging, not only due to the difficulties in data collection but also because of the significant computational burden during model training. A common compromise is to train the DMs on 2D data priors and reconstruct stacked 2D slices to address 3D medical inverse problems. However, the intrinsic randomness of diffusion sampling causes severe inter-slice discontinuities of reconstructed 3D volumes. Existing methods often enforce continuity regularizations along the z-axis, which introduces sensitive hyper-parameters and may lead to over-smoothing results. In this work, we revisit the origin of stochasticity in diffusion sampling and introduce Inter-Slice Consistent Stochasticity (ISCS), a simple yet effective strategy that encourages interslice consistency during diffusion sampling. Our key idea is to control the consistency of stochastic noise components during diffusion sampling, thereby aligning their sampling trajectories without adding any new loss terms or optimization steps. Importantly, the proposed ISCS is plug-and-play and can be dropped into any 2D trained diffusion based 3D reconstruction pipeline without additional computational cost. Experiments on several medical imaging problems show that our method can effectively improve the performance of medical 3D imaging problems based on 2D diffusion models. Our findings suggest that controlling inter-slice stochasticity is a principled and practically attractive route toward high-fidelity 3D medical imaging with 2D diffusion priors. The code is available at: https://github.com/duchenhe/ISCS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SAR-RAG：通过语义搜索、检索和 MLLM 生成进行 ATR 视觉问答</w:t>
      </w:r>
    </w:p>
    <w:p>
      <w:r>
        <w:rPr>
          <w:rFonts w:ascii="Times New Roman" w:hAnsi="Times New Roman" w:eastAsia="宋体"/>
          <w:b/>
          <w:color w:val="003264"/>
          <w:sz w:val="24"/>
        </w:rPr>
        <w:t>SAR-RAG: ATR Visual Question Answering by Semantic Search, Retrieval, and MLLM Generation</w:t>
      </w:r>
    </w:p>
    <w:p>
      <w:r>
        <w:rPr>
          <w:rFonts w:ascii="Times New Roman" w:hAnsi="Times New Roman" w:eastAsia="宋体"/>
          <w:sz w:val="21"/>
        </w:rPr>
        <w:t>作者: Andreas Spanias</w:t>
        <w:br/>
      </w:r>
      <w:r>
        <w:rPr>
          <w:rFonts w:ascii="Times New Roman" w:hAnsi="Times New Roman" w:eastAsia="宋体"/>
          <w:sz w:val="21"/>
        </w:rPr>
        <w:t xml:space="preserve">时间: 2026-02-04T16:23:16Z | </w:t>
      </w:r>
      <w:r>
        <w:t xml:space="preserve">链接: </w:t>
      </w:r>
      <w:hyperlink r:id="rId90">
        <w:r>
          <w:rPr>
            <w:rFonts w:ascii="Times New Roman" w:hAnsi="Times New Roman" w:eastAsia="宋体"/>
            <w:color w:val="0000FF"/>
            <w:sz w:val="21"/>
            <w:u w:val="single"/>
          </w:rPr>
          <w:t>https://arxiv.org/abs/2602.04712v1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我们提出了一种视觉上下文图像检索增强生成（ImageRAG）辅助人工智能代理，用于合成孔径雷达（SAR）的自动目标识别（ATR）。 SAR 是一种用于国防和安全应用的遥感方法，用于检测和监控军用车辆的位置，这些车辆在图像中可能无法区分。研究人员广泛研究了 SAR ATR，以提高车辆类型、特性和测量值的区分和识别。可以将测试示例与已知的车辆目标类型进行比较，以改进识别任务。新方法增强了神经网络、变压器注意力和多模态大语言模型的能力。可以开发代理人工智能方法来利用一组定义的工具，例如搜索类似示例的库。我们提出的方法 SAR 检索增强生成 (SAR-RAG) 将多模态大语言模型 (MLLM) 与语义嵌入向量数据库相结合，以支持对具有已知质量的图像样本的上下文搜索。通过恢复具有已知真实目标类型的过去图像示例，我们的 SAR-RAG 系统可以比较相似的车辆类别，从而提高 ATR 预测精度。我们通过搜索和检索指标、分类准确度以及车辆尺寸的数值回归来评估这一点。当 SAR-RAG 作为附加 ATR 内存库添加到 MLLM 基线方法中时，这些指标都显示出改进。</w:t>
      </w:r>
    </w:p>
    <w:p>
      <w:pPr>
        <w:spacing w:before="120"/>
      </w:pPr>
      <w:r>
        <w:rPr>
          <w:rFonts w:ascii="Times New Roman" w:hAnsi="Times New Roman" w:eastAsia="宋体"/>
          <w:b/>
          <w:sz w:val="21"/>
        </w:rPr>
        <w:t>English Abstract:</w:t>
      </w:r>
    </w:p>
    <w:p>
      <w:r>
        <w:rPr>
          <w:rFonts w:ascii="Times New Roman" w:hAnsi="Times New Roman" w:eastAsia="宋体"/>
          <w:sz w:val="21"/>
        </w:rPr>
        <w:t>We present a visual-context image retrieval-augmented generation (ImageRAG) assisted AI agent for automatic target recognition (ATR) of synthetic aperture radar (SAR). SAR is a remote sensing method used in defense and security applications to detect and monitor the positions of military vehicles, which may appear indistinguishable in images. Researchers have extensively studied SAR ATR to improve the differentiation and identification of vehicle types, characteristics, and measurements. Test examples can be compared with known vehicle target types to improve recognition tasks. New methods enhance the capabilities of neural networks, transformer attention, and multimodal large language models. An agentic AI method may be developed to utilize a defined set of tools, such as searching through a library of similar examples. Our proposed method, SAR Retrieval-Augmented Generation (SAR-RAG), combines a multimodal large language model (MLLM) with a vector database of semantic embeddings to support contextual search for image exemplars with known qualities. By recovering past image examples with known true target types, our SAR-RAG system can compare similar vehicle categories, achieving improved ATR prediction accuracy. We evaluate this through search and retrieval metrics, categorical classification accuracy, and numeric regression of vehicle dimensions. These metrics all show improvements when SAR-RAG is added to an MLLM baseline method as an attached ATR memory bank.</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arXiv: AI &amp; Vision (Optics)</w:t>
      </w:r>
    </w:p>
    <w:p>
      <w:pPr>
        <w:jc w:val="center"/>
      </w:pPr>
      <w:r>
        <w:t>--- 更新: 11:29 ---</w:t>
      </w:r>
    </w:p>
    <w:p>
      <w:pPr>
        <w:pStyle w:val="Heading2"/>
      </w:pPr>
      <w:r/>
      <w:r>
        <w:rPr>
          <w:rFonts w:ascii="Times New Roman" w:hAnsi="Times New Roman" w:eastAsia="宋体"/>
          <w:b/>
          <w:color w:val="000000"/>
          <w:sz w:val="24"/>
        </w:rPr>
        <w:t>PromptSplit：揭示生成模型中的提示级分歧</w:t>
      </w:r>
    </w:p>
    <w:p>
      <w:r>
        <w:rPr>
          <w:rFonts w:ascii="Times New Roman" w:hAnsi="Times New Roman" w:eastAsia="宋体"/>
          <w:b/>
          <w:color w:val="003264"/>
          <w:sz w:val="24"/>
        </w:rPr>
        <w:t>PromptSplit: Revealing Prompt-Level Disagreement in Generative Models</w:t>
      </w:r>
    </w:p>
    <w:p>
      <w:r>
        <w:rPr>
          <w:rFonts w:ascii="Times New Roman" w:hAnsi="Times New Roman" w:eastAsia="宋体"/>
          <w:sz w:val="21"/>
        </w:rPr>
        <w:t>作者: Farzan Farnia</w:t>
        <w:br/>
      </w:r>
      <w:r>
        <w:rPr>
          <w:rFonts w:ascii="Times New Roman" w:hAnsi="Times New Roman" w:eastAsia="宋体"/>
          <w:sz w:val="21"/>
        </w:rPr>
        <w:t xml:space="preserve">时间: 2026-02-03T20:53:10Z | </w:t>
      </w:r>
      <w:r>
        <w:t xml:space="preserve">链接: </w:t>
      </w:r>
      <w:hyperlink r:id="rId91">
        <w:r>
          <w:rPr>
            <w:rFonts w:ascii="Times New Roman" w:hAnsi="Times New Roman" w:eastAsia="宋体"/>
            <w:color w:val="0000FF"/>
            <w:sz w:val="21"/>
            <w:u w:val="single"/>
          </w:rPr>
          <w:t>https://arxiv.org/abs/2602.04009v1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即时引导的生成人工智能模型已迅速扩展到视觉和语言领域，从文本输入产生现实且多样化的输出。此类模型的种类越来越多，并使用不同的数据和架构进行训练，需要有原则的方法来识别哪些类型的提示会导致不同的模型行为。在这项工作中，我们提出了 PromptSplit，一个基于内核的框架，用于检测和分析生成模型之间与提示相关的分歧。对于每个比较的模型对，PromptSplit 通过形成提示和图像（或文本）特征的张量积嵌入来构造联合提示-输出表示，然后计算相应的核协方差矩阵。我们利用这些矩阵之间的加权差异的特征空间来识别提示之间行为差异的主要方向。为了确保可扩展性，我们采用随机投影近似，将投影维度 $r$ 的计算复杂度降低至 $O(nr^2 + r^3)$。我们进一步提供了理论分析，表明这种近似产生了一个特征结构估计，其与全维结果的预期偏差受到 $O(1/r^2)$ 的限制。跨文本到图像、文本到文本和图像字幕设置的实验表明，PromptSplit 可以准确检测真实行为差异并隔离负责的提示，从而提供可解释的工具来检测生成模型不一致的地方。</w:t>
      </w:r>
    </w:p>
    <w:p>
      <w:pPr>
        <w:spacing w:before="120"/>
      </w:pPr>
      <w:r>
        <w:rPr>
          <w:rFonts w:ascii="Times New Roman" w:hAnsi="Times New Roman" w:eastAsia="宋体"/>
          <w:b/>
          <w:sz w:val="21"/>
        </w:rPr>
        <w:t>English Abstract:</w:t>
      </w:r>
    </w:p>
    <w:p>
      <w:r>
        <w:rPr>
          <w:rFonts w:ascii="Times New Roman" w:hAnsi="Times New Roman" w:eastAsia="宋体"/>
          <w:sz w:val="21"/>
        </w:rPr>
        <w:t>Prompt-guided generative AI models have rapidly expanded across vision and language domains, producing realistic and diverse outputs from textual inputs. The growing variety of such models, trained with different data and architectures, calls for principled methods to identify which types of prompts lead to distinct model behaviors. In this work, we propose PromptSplit, a kernel-based framework for detecting and analyzing prompt-dependent disagreement between generative models. For each compared model pair, PromptSplit constructs a joint prompt--output representation by forming tensor-product embeddings of the prompt and image (or text) features, and then computes the corresponding kernel covariance matrix. We utilize the eigenspace of the weighted difference between these matrices to identify the main directions of behavioral difference across prompts. To ensure scalability, we employ a random-projection approximation that reduces computational complexity to $O(nr^2 + r^3)$ for projection dimension $r$. We further provide a theoretical analysis showing that this approximation yields an eigenstructure estimate whose expected deviation from the full-dimensional result is bounded by $O(1/r^2)$. Experiments across text-to-image, text-to-text, and image-captioning settings demonstrate that PromptSplit accurately detects ground-truth behavioral differences and isolates the prompts responsible, offering an interpretable tool for detecting where generative models disagree.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TiCLS：紧耦合语言文本识别器</w:t>
      </w:r>
    </w:p>
    <w:p>
      <w:r>
        <w:rPr>
          <w:rFonts w:ascii="Times New Roman" w:hAnsi="Times New Roman" w:eastAsia="宋体"/>
          <w:b/>
          <w:color w:val="003264"/>
          <w:sz w:val="24"/>
        </w:rPr>
        <w:t>TiCLS : Tightly Coupled Language Text Spotter</w:t>
      </w:r>
    </w:p>
    <w:p>
      <w:r>
        <w:rPr>
          <w:rFonts w:ascii="Times New Roman" w:hAnsi="Times New Roman" w:eastAsia="宋体"/>
          <w:sz w:val="21"/>
        </w:rPr>
        <w:t>作者: Jerod Weinman</w:t>
        <w:br/>
      </w:r>
      <w:r>
        <w:rPr>
          <w:rFonts w:ascii="Times New Roman" w:hAnsi="Times New Roman" w:eastAsia="宋体"/>
          <w:sz w:val="21"/>
        </w:rPr>
        <w:t xml:space="preserve">时间: 2026-02-03T21:38:05Z | </w:t>
      </w:r>
      <w:r>
        <w:t xml:space="preserve">链接: </w:t>
      </w:r>
      <w:hyperlink r:id="rId92">
        <w:r>
          <w:rPr>
            <w:rFonts w:ascii="Times New Roman" w:hAnsi="Times New Roman" w:eastAsia="宋体"/>
            <w:color w:val="0000FF"/>
            <w:sz w:val="21"/>
            <w:u w:val="single"/>
          </w:rPr>
          <w:t>https://arxiv.org/abs/2602.04030v1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场景文本识别旨在检测和识别现实世界图像中的文本，其中实例通常很短、支离破碎或视觉上模糊。现有的方法主要依赖于视觉线索并隐式捕获本地字符依赖性，但它们忽视了外部语言知识的好处。先前集成语言模型的尝试要么在没有外部知识的情况下适应语言建模目标，要么应用与场景文本的字级粒度不一致的预训练模型。我们提出了 TiCLS，一种端到端文本识别器，它明确地结合了来自字符级预训练语言模型的外部语言知识。 TiCLS 引入了一种融合视觉和语言特征的语言解码器，但可以通过预训练的语言模型进行初始化，从而能够稳健地识别模糊或碎片文本。 ICDAR 2015 和 Total-Text 上的实验表明 TiCLS 实现了最先进的性能，验证了 PLM 引导的语言集成在场景文本识别中的有效性。</w:t>
      </w:r>
    </w:p>
    <w:p>
      <w:pPr>
        <w:spacing w:before="120"/>
      </w:pPr>
      <w:r>
        <w:rPr>
          <w:rFonts w:ascii="Times New Roman" w:hAnsi="Times New Roman" w:eastAsia="宋体"/>
          <w:b/>
          <w:sz w:val="21"/>
        </w:rPr>
        <w:t>English Abstract:</w:t>
      </w:r>
    </w:p>
    <w:p>
      <w:r>
        <w:rPr>
          <w:rFonts w:ascii="Times New Roman" w:hAnsi="Times New Roman" w:eastAsia="宋体"/>
          <w:sz w:val="21"/>
        </w:rPr>
        <w:t>Scene text spotting aims to detect and recognize text in real-world images, where instances are often short, fragmented, or visually ambiguous. Existing methods primarily rely on visual cues and implicitly capture local character dependencies, but they overlook the benefits of external linguistic knowledge. Prior attempts to integrate language models either adapt language modeling objectives without external knowledge or apply pretrained models that are misaligned with the word-level granularity of scene text. We propose TiCLS, an end-to-end text spotter that explicitly incorporates external linguistic knowledge from a character-level pretrained language model. TiCLS introduces a linguistic decoder that fuses visual and linguistic features, yet can be initialized by a pretrained language model, enabling robust recognition of ambiguous or fragmented text. Experiments on ICDAR 2015 and Total-Text demonstrate that TiCLS achieves state-of-the-art performance, validating the effectiveness of PLM-guided linguistic integration for scene text spotting.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AnyStyle：3D 高斯泼溅的单通道多模态风格化</w:t>
      </w:r>
    </w:p>
    <w:p>
      <w:r>
        <w:rPr>
          <w:rFonts w:ascii="Times New Roman" w:hAnsi="Times New Roman" w:eastAsia="宋体"/>
          <w:b/>
          <w:color w:val="003264"/>
          <w:sz w:val="24"/>
        </w:rPr>
        <w:t>AnyStyle: Single-Pass Multimodal Stylization for 3D Gaussian Splatting</w:t>
      </w:r>
    </w:p>
    <w:p>
      <w:r>
        <w:rPr>
          <w:rFonts w:ascii="Times New Roman" w:hAnsi="Times New Roman" w:eastAsia="宋体"/>
          <w:sz w:val="21"/>
        </w:rPr>
        <w:t>作者: Marek Kowalski</w:t>
        <w:br/>
      </w:r>
      <w:r>
        <w:rPr>
          <w:rFonts w:ascii="Times New Roman" w:hAnsi="Times New Roman" w:eastAsia="宋体"/>
          <w:sz w:val="21"/>
        </w:rPr>
        <w:t xml:space="preserve">时间: 2026-02-03T22:19:58Z | </w:t>
      </w:r>
      <w:r>
        <w:t xml:space="preserve">链接: </w:t>
      </w:r>
      <w:hyperlink r:id="rId93">
        <w:r>
          <w:rPr>
            <w:rFonts w:ascii="Times New Roman" w:hAnsi="Times New Roman" w:eastAsia="宋体"/>
            <w:color w:val="0000FF"/>
            <w:sz w:val="21"/>
            <w:u w:val="single"/>
          </w:rPr>
          <w:t>https://arxiv.org/abs/2602.04043v1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对快速且可扩展的 3D 资产创建的需求不断增长，引发了人们对前馈 3D 重建方法的兴趣，其中 3D 高斯分布 (3DGS) 成为一种有效的场景表示。虽然最近的方法已经证明了从未摆姿势的图像集合中进行无姿势重建，但将风格化或外观控制集成到此类管道中仍然尚未得到充分探索。现有的尝试很大程度上依赖于基于图像的调节，这限制了可控性和灵活性。在这项工作中，我们引入了 AnyStyle，这是一种前馈 3D 重建和风格化框架，可通过多模态调节实现无姿势、零镜头风格化。我们的方法支持文本和视觉风格输入，允许用户使用自然语言描述或参考图像来控制场景外观。我们提出了一种模块化风格化架构，该架构仅需要最少的架构修改，并且可以集成到现有的前馈 3D 重建主干中。实验表明，与之前的前馈风格化方法相比，AnyStyle 提高了风格可控性，同时保留了高质量的几何重建。一项用户研究进一步证实，与现有的最先进方法相比，AnyStyle 实现了卓越的风格化质量。存储库：https://github.com/joaxkal/AnyStyle。</w:t>
      </w:r>
    </w:p>
    <w:p>
      <w:pPr>
        <w:spacing w:before="120"/>
      </w:pPr>
      <w:r>
        <w:rPr>
          <w:rFonts w:ascii="Times New Roman" w:hAnsi="Times New Roman" w:eastAsia="宋体"/>
          <w:b/>
          <w:sz w:val="21"/>
        </w:rPr>
        <w:t>English Abstract:</w:t>
      </w:r>
    </w:p>
    <w:p>
      <w:r>
        <w:rPr>
          <w:rFonts w:ascii="Times New Roman" w:hAnsi="Times New Roman" w:eastAsia="宋体"/>
          <w:sz w:val="21"/>
        </w:rPr>
        <w:t>The growing demand for rapid and scalable 3D asset creation has driven interest in feed-forward 3D reconstruction methods, with 3D Gaussian Splatting (3DGS) emerging as an effective scene representation. While recent approaches have demonstrated pose-free reconstruction from unposed image collections, integrating stylization or appearance control into such pipelines remains underexplored. Existing attempts largely rely on image-based conditioning, which limits both controllability and flexibility. In this work, we introduce AnyStyle, a feed-forward 3D reconstruction and stylization framework that enables pose-free, zero-shot stylization through multimodal conditioning. Our method supports both textual and visual style inputs, allowing users to control the scene appearance using natural language descriptions or reference images. We propose a modular stylization architecture that requires only minimal architectural modifications and can be integrated into existing feed-forward 3D reconstruction backbones. Experiments demonstrate that AnyStyle improves style controllability over prior feed-forward stylization methods while preserving high-quality geometric reconstruction. A user study further confirms that AnyStyle achieves superior stylization quality compared to an existing state-of-the-art approach. Repository: https://github.com/joaxkal/AnyStyle.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用于多染色组织学全玻片对配准质量评估的快速、无监督框架</w:t>
      </w:r>
    </w:p>
    <w:p>
      <w:r>
        <w:rPr>
          <w:rFonts w:ascii="Times New Roman" w:hAnsi="Times New Roman" w:eastAsia="宋体"/>
          <w:b/>
          <w:color w:val="003264"/>
          <w:sz w:val="24"/>
        </w:rPr>
        <w:t>Fast, Unsupervised Framework for Registration Quality Assessment of Multi-stain Histological Whole Slide Pairs</w:t>
      </w:r>
    </w:p>
    <w:p>
      <w:r>
        <w:rPr>
          <w:rFonts w:ascii="Times New Roman" w:hAnsi="Times New Roman" w:eastAsia="宋体"/>
          <w:sz w:val="21"/>
        </w:rPr>
        <w:t>作者: Erik Ames Burlingame</w:t>
        <w:br/>
      </w:r>
      <w:r>
        <w:rPr>
          <w:rFonts w:ascii="Times New Roman" w:hAnsi="Times New Roman" w:eastAsia="宋体"/>
          <w:sz w:val="21"/>
        </w:rPr>
        <w:t xml:space="preserve">时间: 2026-02-03T22:30:00Z | </w:t>
      </w:r>
      <w:r>
        <w:t xml:space="preserve">链接: </w:t>
      </w:r>
      <w:hyperlink r:id="rId94">
        <w:r>
          <w:rPr>
            <w:rFonts w:ascii="Times New Roman" w:hAnsi="Times New Roman" w:eastAsia="宋体"/>
            <w:color w:val="0000FF"/>
            <w:sz w:val="21"/>
            <w:u w:val="single"/>
          </w:rPr>
          <w:t>https://arxiv.org/abs/2602.04046v1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组织病理学全切片图像 (WSI)（例如苏木精和伊红 (H&amp;E) 和免疫组织化学 (IHC)）的高保真配准对于综合分子分析至关重要，但在没有真实 (GT) 注释的情况下很难进行评估。现有的 WSI 级别评估（使用带注释的地标或基于强度的相似性度量）通常非常耗时、不可靠且计算量大，限制了大规模适用性。本研究提出了一种快速、无监督的框架，联合采用基于下采样组织掩模和变形的指标来对注册的 H&amp;E 和 IHC WSI 对进行注册质量评估 (RQA)。基于掩模的指标测量全局结构对应性，而基于变形的指标评估局部平滑度、连续性和变换真实性。多个 IHC 标记物和多专家评估的验证表明，自动化指标和人工评估之间存在很强的相关性。在没有 GT 的情况下，该框架提供可靠、实时的 RQA，具有高保真度和最少的计算资源，使其适合数字病理学中的大规模质量控制。</w:t>
      </w:r>
    </w:p>
    <w:p>
      <w:pPr>
        <w:spacing w:before="120"/>
      </w:pPr>
      <w:r>
        <w:rPr>
          <w:rFonts w:ascii="Times New Roman" w:hAnsi="Times New Roman" w:eastAsia="宋体"/>
          <w:b/>
          <w:sz w:val="21"/>
        </w:rPr>
        <w:t>English Abstract:</w:t>
      </w:r>
    </w:p>
    <w:p>
      <w:r>
        <w:rPr>
          <w:rFonts w:ascii="Times New Roman" w:hAnsi="Times New Roman" w:eastAsia="宋体"/>
          <w:sz w:val="21"/>
        </w:rPr>
        <w:t>High-fidelity registration of histopathological whole slide images (WSIs), such as hematoxylin &amp; eosin (H&amp;E) and immunohistochemistry (IHC), is vital for integrated molecular analysis but challenging to evaluate without ground-truth (GT) annotations. Existing WSI-level assessments -- using annotated landmarks or intensity-based similarity metrics -- are often time-consuming, unreliable, and computationally intensive, limiting large-scale applicability. This study proposes a fast, unsupervised framework that jointly employs down-sampled tissue masks- and deformations-based metrics for registration quality assessment (RQA) of registered H&amp;E and IHC WSI pairs. The masks-based metrics measure global structural correspondence, while the deformations-based metrics evaluate local smoothness, continuity, and transformation realism. Validation across multiple IHC markers and multi-expert assessments demonstrate a strong correlation between automated metrics and human evaluations. In the absence of GT, this framework offers reliable, real-time RQA with high fidelity and minimal computational resources, making it suitable for large-scale quality control in digital pathology.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AFM 中的伪影去除和图像恢复：结构化掩模引导的定向修复方法</w:t>
      </w:r>
    </w:p>
    <w:p>
      <w:r>
        <w:rPr>
          <w:rFonts w:ascii="Times New Roman" w:hAnsi="Times New Roman" w:eastAsia="宋体"/>
          <w:b/>
          <w:color w:val="003264"/>
          <w:sz w:val="24"/>
        </w:rPr>
        <w:t>Artifact Removal and Image Restoration in AFM:A Structured Mask-Guided Directional Inpainting Approach</w:t>
      </w:r>
    </w:p>
    <w:p>
      <w:r>
        <w:rPr>
          <w:rFonts w:ascii="Times New Roman" w:hAnsi="Times New Roman" w:eastAsia="宋体"/>
          <w:sz w:val="21"/>
        </w:rPr>
        <w:t>作者: Aditya Balu</w:t>
        <w:br/>
      </w:r>
      <w:r>
        <w:rPr>
          <w:rFonts w:ascii="Times New Roman" w:hAnsi="Times New Roman" w:eastAsia="宋体"/>
          <w:sz w:val="21"/>
        </w:rPr>
        <w:t xml:space="preserve">时间: 2026-02-03T22:37:22Z | </w:t>
      </w:r>
      <w:r>
        <w:t xml:space="preserve">链接: </w:t>
      </w:r>
      <w:hyperlink r:id="rId95">
        <w:r>
          <w:rPr>
            <w:rFonts w:ascii="Times New Roman" w:hAnsi="Times New Roman" w:eastAsia="宋体"/>
            <w:color w:val="0000FF"/>
            <w:sz w:val="21"/>
            <w:u w:val="single"/>
          </w:rPr>
          <w:t>https://arxiv.org/abs/2602.04051v1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原子力显微镜 (AFM) 可实现纳米级的高分辨率表面成像，但输出常常因环境噪声、扫描缺陷和尖端与样品相互作用引入的伪影而降低。为了应对这一挑战，提出了一种用于 AFM 图像分析中的伪影检测和恢复的轻量级全自动框架。该流程从一个分类模型开始，该模型确定 AFM 图像是否包含伪影。如有必要，可以应用根据 AFM 数据定制设计和训练的轻量级语义分割网络来生成精确的伪影掩模。这些掩模根据其结构方向自适应扩展，然后使用基于方向邻居的插值策略进行修复，以保持 3D 表面连续性。然后应用局部高斯平滑操作进行无缝恢复。该系统集成到用户友好的GUI中，支持实时参数调整和批量处理。实验结果表明，可以有效去除伪影，同时保留纳米级结构细节，为高保真 AFM 数据解释提供强大的几何感知解决方案。</w:t>
      </w:r>
    </w:p>
    <w:p>
      <w:pPr>
        <w:spacing w:before="120"/>
      </w:pPr>
      <w:r>
        <w:rPr>
          <w:rFonts w:ascii="Times New Roman" w:hAnsi="Times New Roman" w:eastAsia="宋体"/>
          <w:b/>
          <w:sz w:val="21"/>
        </w:rPr>
        <w:t>English Abstract:</w:t>
      </w:r>
    </w:p>
    <w:p>
      <w:r>
        <w:rPr>
          <w:rFonts w:ascii="Times New Roman" w:hAnsi="Times New Roman" w:eastAsia="宋体"/>
          <w:sz w:val="21"/>
        </w:rPr>
        <w:t>Atomic Force Microscopy (AFM) enables high-resolution surface imaging at the nanoscale, yet the output is often degraded by artifacts introduced by environmental noise, scanning imperfections, and tip-sample interactions. To address this challenge, a lightweight and fully automated framework for artifact detection and restoration in AFM image analysis is presented. The pipeline begins with a classification model that determines whether an AFM image contains artifacts. If necessary, a lightweight semantic segmentation network, custom-designed and trained on AFM data, is applied to generate precise artifact masks. These masks are adaptively expanded based on their structural orientation and then inpainted using a directional neighbor-based interpolation strategy to preserve 3D surface continuity. A localized Gaussian smoothing operation is then applied for seamless restoration. The system is integrated into a user-friendly GUI that supports real-time parameter adjustments and batch processing. Experimental results demonstrate the effective artifact removal while preserving nanoscale structural details, providing a robust, geometry-aware solution for high-fidelity AFM data interpretation.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透视杂乱：通过迭代对象移除重建结构化 3D 场景</w:t>
      </w:r>
    </w:p>
    <w:p>
      <w:r>
        <w:rPr>
          <w:rFonts w:ascii="Times New Roman" w:hAnsi="Times New Roman" w:eastAsia="宋体"/>
          <w:b/>
          <w:color w:val="003264"/>
          <w:sz w:val="24"/>
        </w:rPr>
        <w:t>Seeing Through Clutter: Structured 3D Scene Reconstruction via Iterative Object Removal</w:t>
      </w:r>
    </w:p>
    <w:p>
      <w:r>
        <w:rPr>
          <w:rFonts w:ascii="Times New Roman" w:hAnsi="Times New Roman" w:eastAsia="宋体"/>
          <w:sz w:val="21"/>
        </w:rPr>
        <w:t>作者: Matheus Gadelha</w:t>
        <w:br/>
      </w:r>
      <w:r>
        <w:rPr>
          <w:rFonts w:ascii="Times New Roman" w:hAnsi="Times New Roman" w:eastAsia="宋体"/>
          <w:sz w:val="21"/>
        </w:rPr>
        <w:t xml:space="preserve">时间: 2026-02-03T22:37:43Z | </w:t>
      </w:r>
      <w:r>
        <w:t xml:space="preserve">链接: </w:t>
      </w:r>
      <w:hyperlink r:id="rId96">
        <w:r>
          <w:rPr>
            <w:rFonts w:ascii="Times New Roman" w:hAnsi="Times New Roman" w:eastAsia="宋体"/>
            <w:color w:val="0000FF"/>
            <w:sz w:val="21"/>
            <w:u w:val="single"/>
          </w:rPr>
          <w:t>https://arxiv.org/abs/2602.04053v1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我们提出了 SeeingThroughClutter，一种通过单独分割和建模对象来从单个图像重建结构化 3D 表示的方法。先前的方法依赖于语义分割和深度估计等中间任务，这些任务在复杂场景中通常表现不佳，特别是在存在遮挡和杂乱的情况下。我们通过引入迭代对象移除和重建管道来解决这个问题，该管道将复杂的场景分解为一系列更简单的子任务。使用 VLM 作为协调器，通过检测、分割、对象删除和 3D 拟合一次删除一个前景对象。我们表明，即使在高度遮挡的场景中，删除对象也可以对后续对象进行更清晰的分割。我们的方法不需要特定于任务的培训，并且直接受益于基础模型的不断进步。我们在 3D-Front 和 ADE20K 数据集上展示了最先进的稳健性。项目页面：https://rioak.github.io/seeingthroughclutter/</w:t>
      </w:r>
    </w:p>
    <w:p>
      <w:pPr>
        <w:spacing w:before="120"/>
      </w:pPr>
      <w:r>
        <w:rPr>
          <w:rFonts w:ascii="Times New Roman" w:hAnsi="Times New Roman" w:eastAsia="宋体"/>
          <w:b/>
          <w:sz w:val="21"/>
        </w:rPr>
        <w:t>English Abstract:</w:t>
      </w:r>
    </w:p>
    <w:p>
      <w:r>
        <w:rPr>
          <w:rFonts w:ascii="Times New Roman" w:hAnsi="Times New Roman" w:eastAsia="宋体"/>
          <w:sz w:val="21"/>
        </w:rPr>
        <w:t>We present SeeingThroughClutter, a method for reconstructing structured 3D representations from single images by segmenting and modeling objects individually. Prior approaches rely on intermediate tasks such as semantic segmentation and depth estimation, which often underperform in complex scenes, particularly in the presence of occlusion and clutter. We address this by introducing an iterative object removal and reconstruction pipeline that decomposes complex scenes into a sequence of simpler subtasks. Using VLMs as orchestrators, foreground objects are removed one at a time via detection, segmentation, object removal, and 3D fitting. We show that removing objects allows for cleaner segmentations of subsequent objects, even in highly occluded scenes. Our method requires no task-specific training and benefits directly from ongoing advances in foundation models. We demonstrate stateof-the-art robustness on 3D-Front and ADE20K datasets. Project Page: https://rioak.github.io/seeingthroughclutter/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iSight：迈向专家人工智能联合评估以改进免疫组织化学染色解释</w:t>
      </w:r>
    </w:p>
    <w:p>
      <w:r>
        <w:rPr>
          <w:rFonts w:ascii="Times New Roman" w:hAnsi="Times New Roman" w:eastAsia="宋体"/>
          <w:b/>
          <w:color w:val="003264"/>
          <w:sz w:val="24"/>
        </w:rPr>
        <w:t>iSight: Towards expert-AI co-assessment for improved immunohistochemistry staining interpretation</w:t>
      </w:r>
    </w:p>
    <w:p>
      <w:r>
        <w:rPr>
          <w:rFonts w:ascii="Times New Roman" w:hAnsi="Times New Roman" w:eastAsia="宋体"/>
          <w:sz w:val="21"/>
        </w:rPr>
        <w:t>作者: Zhi Huang</w:t>
        <w:br/>
      </w:r>
      <w:r>
        <w:rPr>
          <w:rFonts w:ascii="Times New Roman" w:hAnsi="Times New Roman" w:eastAsia="宋体"/>
          <w:sz w:val="21"/>
        </w:rPr>
        <w:t xml:space="preserve">时间: 2026-02-03T22:49:08Z | </w:t>
      </w:r>
      <w:r>
        <w:t xml:space="preserve">链接: </w:t>
      </w:r>
      <w:hyperlink r:id="rId97">
        <w:r>
          <w:rPr>
            <w:rFonts w:ascii="Times New Roman" w:hAnsi="Times New Roman" w:eastAsia="宋体"/>
            <w:color w:val="0000FF"/>
            <w:sz w:val="21"/>
            <w:u w:val="single"/>
          </w:rPr>
          <w:t>https://arxiv.org/abs/2602.04063v1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免疫组织化学 (IHC) 提供组织切片中蛋白质表达的信息，通常用于支持病理诊断和疾病分类。虽然 H\&amp;E 染色载玻片的 AI 模型显示出良好的前景，但由于特定领域的变化，它们在 IHC 中的适用性受到限制。在这里，我们介绍 HPA10M，该数据集包含来自人类蛋白质图谱的 10,495,672 个 IHC 图像以及全面的元数据，涵盖 45 种正常组织类型和 20 种主要癌症类型。基于 HPA10M，我们训练了 iSight，这是一个用于自动化 IHC 染色评估的多任务学习框架。 iSight 通过标记级注意力机制将全玻片图像的视觉特征与组织元数据结合起来，同时预测染色强度、位置、数量、组织类型和恶性肿瘤状态。在保留的数据上，iSight 的位置准确度为 85.5%，强度准确度为 76.6%，数量准确度为 75.7%，比微调基础模型（PLIP、CONCH）高出 2.5--10.2%。此外，iSight 还展示了经过良好校准的预测，预期校准误差为 0.0150-0.0408。此外，在一项由 8 名病理学家评估两个数据集的 200 张图像的用户研究中，iSight 的表现优于病理学家对保留的 HPA 数据集的初始评估（位置为 79\% vs 68\%，强度为 70\% vs 57\%，数量为 68\% vs 52\%）。在保留的 HPA（Cohen 的 $κ$ 从 0.63 增加到 0.70）和斯坦福 TMAD 数据集（从 0.74 增加到 0.76）中的 AI 协助后，病理学家间的一致性也有所改善，这表明专家与 AI 共同评估可以改善 IHC 解释。这项工作为人工智能系统奠定了基础，可以提高 IHC 诊断的准确性，并强调将 iSight 集成到临床工作流程中以增强 IHC 评估的一致性和可靠性的潜力。</w:t>
      </w:r>
    </w:p>
    <w:p>
      <w:pPr>
        <w:spacing w:before="120"/>
      </w:pPr>
      <w:r>
        <w:rPr>
          <w:rFonts w:ascii="Times New Roman" w:hAnsi="Times New Roman" w:eastAsia="宋体"/>
          <w:b/>
          <w:sz w:val="21"/>
        </w:rPr>
        <w:t>English Abstract:</w:t>
      </w:r>
    </w:p>
    <w:p>
      <w:r>
        <w:rPr>
          <w:rFonts w:ascii="Times New Roman" w:hAnsi="Times New Roman" w:eastAsia="宋体"/>
          <w:sz w:val="21"/>
        </w:rPr>
        <w:t>Immunohistochemistry (IHC) provides information on protein expression in tissue sections and is commonly used to support pathology diagnosis and disease triage. While AI models for H\&amp;E-stained slides show promise, their applicability to IHC is limited due to domain-specific variations. Here we introduce HPA10M, a dataset that contains 10,495,672 IHC images from the Human Protein Atlas with comprehensive metadata included, and encompasses 45 normal tissue types and 20 major cancer types. Based on HPA10M, we trained iSight, a multi-task learning framework for automated IHC staining assessment. iSight combines visual features from whole-slide images with tissue metadata through a token-level attention mechanism, simultaneously predicting staining intensity, location, quantity, tissue type, and malignancy status. On held-out data, iSight achieved 85.5\% accuracy for location, 76.6\% for intensity, and 75.7\% for quantity, outperforming fine-tuned foundation models (PLIP, CONCH) by 2.5--10.2\%. In addition, iSight demonstrates well-calibrated predictions with expected calibration errors of 0.0150-0.0408. Furthermore, in a user study with eight pathologists evaluating 200 images from two datasets, iSight outperformed initial pathologist assessments on the held-out HPA dataset (79\% vs 68\% for location, 70\% vs 57\% for intensity, 68\% vs 52\% for quantity). Inter-pathologist agreement also improved after AI assistance in both held-out HPA (Cohen's $κ$ increased from 0.63 to 0.70) and Stanford TMAD datasets (from 0.74 to 0.76), suggesting expert--AI co-assessment can improve IHC interpretation. This work establishes a foundation for AI systems that can improve IHC diagnostic accuracy and highlights the potential for integrating iSight into clinical workflows to enhance the consistency and reliability of IHC assessment.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DMS2F-HAD：基于双分支 Mamba 的空间光谱融合网络，用于高光谱异常检测</w:t>
      </w:r>
    </w:p>
    <w:p>
      <w:r>
        <w:rPr>
          <w:rFonts w:ascii="Times New Roman" w:hAnsi="Times New Roman" w:eastAsia="宋体"/>
          <w:b/>
          <w:color w:val="003264"/>
          <w:sz w:val="24"/>
        </w:rPr>
        <w:t>DMS2F-HAD: A Dual-branch Mamba-based Spatial-Spectral Fusion Network for Hyperspectral Anomaly Detection</w:t>
      </w:r>
    </w:p>
    <w:p>
      <w:r>
        <w:rPr>
          <w:rFonts w:ascii="Times New Roman" w:hAnsi="Times New Roman" w:eastAsia="宋体"/>
          <w:sz w:val="21"/>
        </w:rPr>
        <w:t>作者: Sunil Aryal</w:t>
        <w:br/>
      </w:r>
      <w:r>
        <w:rPr>
          <w:rFonts w:ascii="Times New Roman" w:hAnsi="Times New Roman" w:eastAsia="宋体"/>
          <w:sz w:val="21"/>
        </w:rPr>
        <w:t xml:space="preserve">时间: 2026-02-04T00:37:29Z | </w:t>
      </w:r>
      <w:r>
        <w:t xml:space="preserve">链接: </w:t>
      </w:r>
      <w:hyperlink r:id="rId98">
        <w:r>
          <w:rPr>
            <w:rFonts w:ascii="Times New Roman" w:hAnsi="Times New Roman" w:eastAsia="宋体"/>
            <w:color w:val="0000FF"/>
            <w:sz w:val="21"/>
            <w:u w:val="single"/>
          </w:rPr>
          <w:t>https://arxiv.org/abs/2602.04102v1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高光谱异常检测（HAD）旨在识别高维高光谱图像（HSI）中罕见和不规则的目标，这些图像通常是噪声和未标记的数据。现有的深度学习方法要么无法捕获长程谱依赖性（例如，卷积神经网络），要么遭受高计算成本（例如，Transformers）。为了应对这些挑战，我们提出了 DMS2F-HAD，一种基于 Mamba 的新型双分支模型。我们的架构利用 Mamba 的线性时间建模来有效学习专门分支中的独特空间和光谱特征，然后通过动态门控融合机制进行集成，以增强异常定位。在 14 个基准 HSI 数据集上，我们提出的 DMS2F-HAD 不仅实现了 98.78% 的最先进的平均 AUC，而且还表现出卓越的效率，推理速度比同类深度学习方法快 4.6 倍。结果凸显了 DMS2FHAD 强大的通用性和可扩展性，使其成为实际 HAD 应用的有力候选者。</w:t>
      </w:r>
    </w:p>
    <w:p>
      <w:pPr>
        <w:spacing w:before="120"/>
      </w:pPr>
      <w:r>
        <w:rPr>
          <w:rFonts w:ascii="Times New Roman" w:hAnsi="Times New Roman" w:eastAsia="宋体"/>
          <w:b/>
          <w:sz w:val="21"/>
        </w:rPr>
        <w:t>English Abstract:</w:t>
      </w:r>
    </w:p>
    <w:p>
      <w:r>
        <w:rPr>
          <w:rFonts w:ascii="Times New Roman" w:hAnsi="Times New Roman" w:eastAsia="宋体"/>
          <w:sz w:val="21"/>
        </w:rPr>
        <w:t>Hyperspectral anomaly detection (HAD) aims to identify rare and irregular targets in high-dimensional hyperspectral images (HSIs), which are often noisy and unlabelled data. Existing deep learning methods either fail to capture long-range spectral dependencies (e.g., convolutional neural networks) or suffer from high computational cost (e.g., Transformers). To address these challenges, we propose DMS2F-HAD, a novel dual-branch Mamba-based model. Our architecture utilizes Mamba's linear-time modeling to efficiently learn distinct spatial and spectral features in specialized branches, which are then integrated by a dynamic gated fusion mechanism to enhance anomaly localization. Across fourteen benchmark HSI datasets, our proposed DMS2F-HAD not only achieves a state-of-the-art average AUC of 98.78%, but also demonstrates superior efficiency with an inference speed 4.6 times faster than comparable deep learning methods. The results highlight DMS2FHAD's strong generalization and scalability, positioning it as a strong candidate for practical HAD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JSynFlow：使用大型语言模型构建的日语综合流程图视觉问答数据集</w:t>
      </w:r>
    </w:p>
    <w:p>
      <w:r>
        <w:rPr>
          <w:rFonts w:ascii="Times New Roman" w:hAnsi="Times New Roman" w:eastAsia="宋体"/>
          <w:b/>
          <w:color w:val="003264"/>
          <w:sz w:val="24"/>
        </w:rPr>
        <w:t>JSynFlow: Japanese Synthesised Flowchart Visual Question Answering Dataset built with Large Language Models</w:t>
      </w:r>
    </w:p>
    <w:p>
      <w:r>
        <w:rPr>
          <w:rFonts w:ascii="Times New Roman" w:hAnsi="Times New Roman" w:eastAsia="宋体"/>
          <w:sz w:val="21"/>
        </w:rPr>
        <w:t>作者: Hiroshi Sasaki</w:t>
        <w:br/>
      </w:r>
      <w:r>
        <w:rPr>
          <w:rFonts w:ascii="Times New Roman" w:hAnsi="Times New Roman" w:eastAsia="宋体"/>
          <w:sz w:val="21"/>
        </w:rPr>
        <w:t xml:space="preserve">时间: 2026-02-04T02:24:32Z | </w:t>
      </w:r>
      <w:r>
        <w:t xml:space="preserve">链接: </w:t>
      </w:r>
      <w:hyperlink r:id="rId99">
        <w:r>
          <w:rPr>
            <w:rFonts w:ascii="Times New Roman" w:hAnsi="Times New Roman" w:eastAsia="宋体"/>
            <w:color w:val="0000FF"/>
            <w:sz w:val="21"/>
            <w:u w:val="single"/>
          </w:rPr>
          <w:t>https://arxiv.org/abs/2602.04142v1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视觉和语言模型 (VLM) 有望通过问答 (QA) 界面分析复杂的文档，例如包含流程图的文档。人们对识别和解释这些流程图的能力有着很高的需求，因为它们提供了纯文本解释中无法提供的有价值的见解。然而，开发具有精确流程图理解的 VLM 需要大规模的流程图图像和相应文本数据集，其创建非常耗时。为了应对这一挑战，我们引入了 JSynFlow，这是一个使用大型语言模型 (LLM) 生成的日语流程图的合成视觉 QA 数据集。我们的数据集包括各种业务职业的任务描述、从领域特定语言（DSL）代码呈现的相应流程图图像以及相关的问答对。本文详细介绍了数据集的合成过程，并证明使用 JSynFlow 进行微调可显着提高基于流程图的 QA 任务的 VLM 性能。我们的数据集可在 https://huggingface.co/datasets/jri-advtechlab/jsynflow 上公开获取。</w:t>
      </w:r>
    </w:p>
    <w:p>
      <w:pPr>
        <w:spacing w:before="120"/>
      </w:pPr>
      <w:r>
        <w:rPr>
          <w:rFonts w:ascii="Times New Roman" w:hAnsi="Times New Roman" w:eastAsia="宋体"/>
          <w:b/>
          <w:sz w:val="21"/>
        </w:rPr>
        <w:t>English Abstract:</w:t>
      </w:r>
    </w:p>
    <w:p>
      <w:r>
        <w:rPr>
          <w:rFonts w:ascii="Times New Roman" w:hAnsi="Times New Roman" w:eastAsia="宋体"/>
          <w:sz w:val="21"/>
        </w:rPr>
        <w:t>Vision and language models (VLMs) are expected to analyse complex documents, such as those containing flowcharts, through a question-answering (QA) interface. The ability to recognise and interpret these flowcharts is in high demand, as they provide valuable insights unavailable in text-only explanations. However, developing VLMs with precise flowchart understanding requires large-scale datasets of flowchart images and corresponding text, the creation of which is highly time-consuming. To address this challenge, we introduce JSynFlow, a synthesised visual QA dataset for Japanese flowcharts, generated using large language models (LLMs). Our dataset comprises task descriptions for various business occupations, the corresponding flowchart images rendered from domain-specific language (DSL) code, and related QA pairs. This paper details the dataset's synthesis procedure and demonstrates that fine-tuning with JSynFlow significantly improves VLM performance on flowchart-based QA tasks. Our dataset is publicly available at https://huggingface.co/datasets/jri-advtechlab/jsynflow.</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上下文决定材料分割的最佳架构</w:t>
      </w:r>
    </w:p>
    <w:p>
      <w:r>
        <w:rPr>
          <w:rFonts w:ascii="Times New Roman" w:hAnsi="Times New Roman" w:eastAsia="宋体"/>
          <w:b/>
          <w:color w:val="003264"/>
          <w:sz w:val="24"/>
        </w:rPr>
        <w:t>Context Determines Optimal Architecture in Materials Segmentation</w:t>
      </w:r>
    </w:p>
    <w:p>
      <w:r>
        <w:rPr>
          <w:rFonts w:ascii="Times New Roman" w:hAnsi="Times New Roman" w:eastAsia="宋体"/>
          <w:sz w:val="21"/>
        </w:rPr>
        <w:t>作者: Yinghui Wu</w:t>
        <w:br/>
      </w:r>
      <w:r>
        <w:rPr>
          <w:rFonts w:ascii="Times New Roman" w:hAnsi="Times New Roman" w:eastAsia="宋体"/>
          <w:sz w:val="21"/>
        </w:rPr>
        <w:t xml:space="preserve">时间: 2026-02-04T02:44:52Z | </w:t>
      </w:r>
      <w:r>
        <w:t xml:space="preserve">链接: </w:t>
      </w:r>
      <w:hyperlink r:id="rId100">
        <w:r>
          <w:rPr>
            <w:rFonts w:ascii="Times New Roman" w:hAnsi="Times New Roman" w:eastAsia="宋体"/>
            <w:color w:val="0000FF"/>
            <w:sz w:val="21"/>
            <w:u w:val="single"/>
          </w:rPr>
          <w:t>https://arxiv.org/abs/2602.04154v1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分段架构通常以单一成像模式为基准，从而掩盖了与部署相关的性能变化：最适合一种模式的架构可能在另一种模式上表现不佳。我们提出了一个用于材料图像分割的跨模式评估框架，涵盖 SEM、AFM、XCT 和光学显微镜。我们对七个数据集的六种编码器-解码器组合的评估表明，最佳架构会因环境而系统地变化：UNet 擅长高对比度 2D 成像，而 DeepLabv3+ 则更适合最困难的情况。该框架还通过分布外检测和反事实解释提供部署反馈，揭示哪些微观结构特征驱动预测。架构指导、可靠性信号和可解释性工具共同解决了材料表征方面的实际差距，即研究人员缺乏为其特定成像设置选择架构或评估模型何时可以在新样本上可信的工具。</w:t>
      </w:r>
    </w:p>
    <w:p>
      <w:pPr>
        <w:spacing w:before="120"/>
      </w:pPr>
      <w:r>
        <w:rPr>
          <w:rFonts w:ascii="Times New Roman" w:hAnsi="Times New Roman" w:eastAsia="宋体"/>
          <w:b/>
          <w:sz w:val="21"/>
        </w:rPr>
        <w:t>English Abstract:</w:t>
      </w:r>
    </w:p>
    <w:p>
      <w:r>
        <w:rPr>
          <w:rFonts w:ascii="Times New Roman" w:hAnsi="Times New Roman" w:eastAsia="宋体"/>
          <w:sz w:val="21"/>
        </w:rPr>
        <w:t>Segmentation architectures are typically benchmarked on single imaging modalities, obscuring deployment-relevant performance variations: an architecture optimal for one modality may underperform on another. We present a cross-modal evaluation framework for materials image segmentation spanning SEM, AFM, XCT, and optical microscopy. Our evaluation of six encoder-decoder combinations across seven datasets reveals that optimal architectures vary systematically by context: UNet excels for high-contrast 2D imaging while DeepLabv3+ is preferred for the hardest cases. The framework also provides deployment feedback via out-of-distribution detection and counterfactual explanations that reveal which microstructural features drive predictions. Together, the architecture guidance, reliability signals, and interpretability tools address a practical gap in materials characterization, where researchers lack tools to select architectures for their specific imaging setup or assess when models can be trusted on new samples.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部分环扫描：重新审视视觉状态空间模型中的扫描顺序</w:t>
      </w:r>
    </w:p>
    <w:p>
      <w:r>
        <w:rPr>
          <w:rFonts w:ascii="Times New Roman" w:hAnsi="Times New Roman" w:eastAsia="宋体"/>
          <w:b/>
          <w:color w:val="003264"/>
          <w:sz w:val="24"/>
        </w:rPr>
        <w:t>Partial Ring Scan: Revisiting Scan Order in Vision State Space Models</w:t>
      </w:r>
    </w:p>
    <w:p>
      <w:r>
        <w:rPr>
          <w:rFonts w:ascii="Times New Roman" w:hAnsi="Times New Roman" w:eastAsia="宋体"/>
          <w:sz w:val="21"/>
        </w:rPr>
        <w:t>作者: Yu-Chee Tseng</w:t>
        <w:br/>
      </w:r>
      <w:r>
        <w:rPr>
          <w:rFonts w:ascii="Times New Roman" w:hAnsi="Times New Roman" w:eastAsia="宋体"/>
          <w:sz w:val="21"/>
        </w:rPr>
        <w:t xml:space="preserve">时间: 2026-02-04T03:07:41Z | </w:t>
      </w:r>
      <w:r>
        <w:t xml:space="preserve">链接: </w:t>
      </w:r>
      <w:hyperlink r:id="rId101">
        <w:r>
          <w:rPr>
            <w:rFonts w:ascii="Times New Roman" w:hAnsi="Times New Roman" w:eastAsia="宋体"/>
            <w:color w:val="0000FF"/>
            <w:sz w:val="21"/>
            <w:u w:val="single"/>
          </w:rPr>
          <w:t>https://arxiv.org/abs/2602.04170v1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状态空间模型 (SSM) 已成为视觉任务注意力的有效替代方案，提供具有竞争精度的线性时间序列处理。然而，视觉 SSM 需要按照预定义的扫描顺序将 2D 图像序列化为 1D 令牌序列，这是一个经常被忽视的因素。我们表明，扫描顺序通过改变空间邻接性、破坏对象连续性以及在旋转等几何变换下放大退化来严重影响性能。我们提出了部分环扫描 Mamba (PRISMamba)，这是一种旋转稳健的遍历，它将图像划分为同心环，在每个环内执行与顺序无关的聚合，并通过一组短径向 SSM 跨环传播上下文。通过部分通道过滤进一步提高了效率，部分通道过滤仅通过循环环路径路由信息最丰富的通道，同时将其余通道保留在轻量级剩余分支上。在 ImageNet-1K 上，PRISMamba 在 A100 上以 3.9G FLOP 和 3,054 img/s 的速度实现了 84.5% 的 Top-1，在精度和吞吐量方面均优于 VMamba，同时需要更少的 FLOP。它在旋转下也能保持性能，而固定路径扫描则下降 1~2%。这些结果凸显了扫描顺序设计以及通道滤波对于视觉 SSM 的准确性、效率和旋转鲁棒性而言是一个尚未充分探索的关键因素。代码将在接受后发布。</w:t>
      </w:r>
    </w:p>
    <w:p>
      <w:pPr>
        <w:spacing w:before="120"/>
      </w:pPr>
      <w:r>
        <w:rPr>
          <w:rFonts w:ascii="Times New Roman" w:hAnsi="Times New Roman" w:eastAsia="宋体"/>
          <w:b/>
          <w:sz w:val="21"/>
        </w:rPr>
        <w:t>English Abstract:</w:t>
      </w:r>
    </w:p>
    <w:p>
      <w:r>
        <w:rPr>
          <w:rFonts w:ascii="Times New Roman" w:hAnsi="Times New Roman" w:eastAsia="宋体"/>
          <w:sz w:val="21"/>
        </w:rPr>
        <w:t>State Space Models (SSMs) have emerged as efficient alternatives to attention for vision tasks, offering lineartime sequence processing with competitive accuracy. Vision SSMs, however, require serializing 2D images into 1D token sequences along a predefined scan order, a factor often overlooked. We show that scan order critically affects performance by altering spatial adjacency, fracturing object continuity, and amplifying degradation under geometric transformations such as rotation. We present Partial RIng Scan Mamba (PRISMamba), a rotation-robust traversal that partitions an image into concentric rings, performs order-agnostic aggregation within each ring, and propagates context across rings through a set of short radial SSMs. Efficiency is further improved via partial channel filtering, which routes only the most informative channels through the recurrent ring pathway while keeping the rest on a lightweight residual branch. On ImageNet-1K, PRISMamba achieves 84.5% Top-1 with 3.9G FLOPs and 3,054 img/s on A100, outperforming VMamba in both accuracy and throughput while requiring fewer FLOPs. It also maintains performance under rotation, whereas fixed-path scans drop by 1~2%. These results highlight scan-order design, together with channel filtering, as a crucial, underexplored factor for accuracy, efficiency, and rotation robustness in Vision SSMs. Code will be released upon acceptance.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HoloEv-Net：通过全息空间嵌入和全局光谱门控进行高效的基于事件的动作识别</w:t>
      </w:r>
    </w:p>
    <w:p>
      <w:r>
        <w:rPr>
          <w:rFonts w:ascii="Times New Roman" w:hAnsi="Times New Roman" w:eastAsia="宋体"/>
          <w:b/>
          <w:color w:val="003264"/>
          <w:sz w:val="24"/>
        </w:rPr>
        <w:t>HoloEv-Net: Efficient Event-based Action Recognition via Holographic Spatial Embedding and Global Spectral Gating</w:t>
      </w:r>
    </w:p>
    <w:p>
      <w:r>
        <w:rPr>
          <w:rFonts w:ascii="Times New Roman" w:hAnsi="Times New Roman" w:eastAsia="宋体"/>
          <w:sz w:val="21"/>
        </w:rPr>
        <w:t>作者: Weidong Hao</w:t>
        <w:br/>
      </w:r>
      <w:r>
        <w:rPr>
          <w:rFonts w:ascii="Times New Roman" w:hAnsi="Times New Roman" w:eastAsia="宋体"/>
          <w:sz w:val="21"/>
        </w:rPr>
        <w:t xml:space="preserve">时间: 2026-02-04T03:42:42Z | </w:t>
      </w:r>
      <w:r>
        <w:t xml:space="preserve">链接: </w:t>
      </w:r>
      <w:hyperlink r:id="rId102">
        <w:r>
          <w:rPr>
            <w:rFonts w:ascii="Times New Roman" w:hAnsi="Times New Roman" w:eastAsia="宋体"/>
            <w:color w:val="0000FF"/>
            <w:sz w:val="21"/>
            <w:u w:val="single"/>
          </w:rPr>
          <w:t>https://arxiv.org/abs/2602.04182v1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基于事件的动作识别（EAR）由于事件相机的高时间分辨率和高动态范围而引起了极大的关注。然而，现有方法通常遭受（i）密集体素表示的计算冗余，（ii）多分支架构中固有的结构冗余，以及（iii）在捕获全局运动模式时光谱信息的利用不足。为了应对这些挑战，我们提出了一个名为 HoloEv-Net 的高效 EAR 框架。首先，为了同时解决表示和结构冗余问题，我们引入了紧凑全息时空表示（CHSR）。与计算成本高昂的体素网格不同，CHSR 隐式地将水平空间线索嵌入到时间高度 (T-H) 视图中，从而有效地在 2D 表示中保留 3D 时空上下文。其次，为了利用被忽视的光谱线索，我们设计了全局光谱门控（GSG）模块。通过利用快速傅立叶变换 (FFT) 在频域中进行全局令牌混合，GSG 以可忽略的参数开销增强了表示能力。大量的实验证明了我们框架的可扩展性和有效性。具体来说，HoloEv-Net-Base 在 THU-EACT-50-CHL、HARDVS 和 DailyDVS-200 上实现了最先进的性能，分别比现有方法高出 10.29%、1.71% 和 6.25%。此外，我们的轻量级变体 HoloEv-Net-Small 提供了极具竞争力的精度，同时提供极高的效率，与重型基线相比，参数减少了 5.4 倍，FLOP 减少了 300 倍，延迟减少了 2.4 倍，展示了其边缘部署的潜力。</w:t>
      </w:r>
    </w:p>
    <w:p>
      <w:pPr>
        <w:spacing w:before="120"/>
      </w:pPr>
      <w:r>
        <w:rPr>
          <w:rFonts w:ascii="Times New Roman" w:hAnsi="Times New Roman" w:eastAsia="宋体"/>
          <w:b/>
          <w:sz w:val="21"/>
        </w:rPr>
        <w:t>English Abstract:</w:t>
      </w:r>
    </w:p>
    <w:p>
      <w:r>
        <w:rPr>
          <w:rFonts w:ascii="Times New Roman" w:hAnsi="Times New Roman" w:eastAsia="宋体"/>
          <w:sz w:val="21"/>
        </w:rPr>
        <w:t>Event-based Action Recognition (EAR) has attracted significant attention due to the high temporal resolution and high dynamic range of event cameras. However, existing methods typically suffer from (i) the computational redundancy of dense voxel representations, (ii) structural redundancy inherent in multi-branch architectures, and (iii) the under-utilization of spectral information in capturing global motion patterns. To address these challenges, we propose an efficient EAR framework named HoloEv-Net. First, to simultaneously tackle representation and structural redundancies, we introduce a Compact Holographic Spatiotemporal Representation (CHSR). Departing from computationally expensive voxel grids, CHSR implicitly embeds horizontal spatial cues into the Time-Height (T-H) view, effectively preserving 3D spatiotemporal contexts within a 2D representation. Second, to exploit the neglected spectral cues, we design a Global Spectral Gating (GSG) module. By leveraging the Fast Fourier Transform (FFT) for global token mixing in the frequency domain, GSG enhances the representation capability with negligible parameter overhead. Extensive experiments demonstrate the scalability and effectiveness of our framework. Specifically, HoloEv-Net-Base achieves state-of-the-art performance on THU-EACT-50-CHL, HARDVS and DailyDVS-200, outperforming existing methods by 10.29%, 1.71% and 6.25%, respectively. Furthermore, our lightweight variant, HoloEv-Net-Small, delivers highly competitive accuracy while offering extreme efficiency, reducing parameters by 5.4 times, FLOPs by 300times, and latency by 2.4times compared to heavy baselines, demonstrating its potential for edge deployment.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使用视觉-语言-动作模型进行自动驾驶中场景响应式人在环运动规划的自然语言指令</w:t>
      </w:r>
    </w:p>
    <w:p>
      <w:r>
        <w:rPr>
          <w:rFonts w:ascii="Times New Roman" w:hAnsi="Times New Roman" w:eastAsia="宋体"/>
          <w:b/>
          <w:color w:val="003264"/>
          <w:sz w:val="24"/>
        </w:rPr>
        <w:t>Natural Language Instructions for Scene-Responsive Human-in-the-Loop Motion Planning in Autonomous Driving using Vision-Language-Action Models</w:t>
      </w:r>
    </w:p>
    <w:p>
      <w:r>
        <w:rPr>
          <w:rFonts w:ascii="Times New Roman" w:hAnsi="Times New Roman" w:eastAsia="宋体"/>
          <w:sz w:val="21"/>
        </w:rPr>
        <w:t>作者: Ross Greer</w:t>
        <w:br/>
      </w:r>
      <w:r>
        <w:rPr>
          <w:rFonts w:ascii="Times New Roman" w:hAnsi="Times New Roman" w:eastAsia="宋体"/>
          <w:sz w:val="21"/>
        </w:rPr>
        <w:t xml:space="preserve">时间: 2026-02-04T03:44:56Z | </w:t>
      </w:r>
      <w:r>
        <w:t xml:space="preserve">链接: </w:t>
      </w:r>
      <w:hyperlink r:id="rId103">
        <w:r>
          <w:rPr>
            <w:rFonts w:ascii="Times New Roman" w:hAnsi="Times New Roman" w:eastAsia="宋体"/>
            <w:color w:val="0000FF"/>
            <w:sz w:val="21"/>
            <w:u w:val="single"/>
          </w:rPr>
          <w:t>https://arxiv.org/abs/2602.04184v1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基于指令的驾驶，即乘客语言指导轨迹规划，要求车辆在运动前理解意图。然而，大多数先前的指令遵循规划器依赖于模拟或固定命令词汇，限制了现实世界的概括。 doScenes 是第一个将自由格式指令（具有参考性）与 nuScenes 地面实况运动链接起来的现实世界数据集，可实现指令条件规划。在这项工作中，我们将 OpenEMMA（一种基于开源 MLLM 的端到端驾驶框架，摄取前置摄像头视图和自我状态并输出 10 步速度曲率轨迹）应用于此设置，在 doScenes 上呈现可重复的指令条件基线，并研究人类指令提示对预测驾驶行为的影响。我们将 doScenes 指令作为乘客式提示集成到 OpenEMMA 的视觉语言界面中，从而在轨迹生成之前实现语言调节。使用 ADE 对 849 个带注释的场景进行评估，我们观察到指令调节通过防止极端基线故障显着提高了鲁棒性，使平均 ADE 降低了 98.7%。当此类异常值被移除后，指令仍然会影响轨迹对齐，措辞恰当的提示可将 ADE 提高高达 5.1%。我们使用此分析来讨论什么才是 OpenEMMA 框架的“好”指令。我们发布评估提示和脚本，为指令感知规划建立可重复的基线。 GitHub：https://github.com/Mi3-Lab/doScenes-VLM-Planning</w:t>
      </w:r>
    </w:p>
    <w:p>
      <w:pPr>
        <w:spacing w:before="120"/>
      </w:pPr>
      <w:r>
        <w:rPr>
          <w:rFonts w:ascii="Times New Roman" w:hAnsi="Times New Roman" w:eastAsia="宋体"/>
          <w:b/>
          <w:sz w:val="21"/>
        </w:rPr>
        <w:t>English Abstract:</w:t>
      </w:r>
    </w:p>
    <w:p>
      <w:r>
        <w:rPr>
          <w:rFonts w:ascii="Times New Roman" w:hAnsi="Times New Roman" w:eastAsia="宋体"/>
          <w:sz w:val="21"/>
        </w:rPr>
        <w:t>Instruction-grounded driving, where passenger language guides trajectory planning, requires vehicles to understand intent before motion. However, most prior instruction-following planners rely on simulation or fixed command vocabularies, limiting real-world generalization. doScenes, the first real-world dataset linking free-form instructions (with referentiality) to nuScenes ground-truth motion, enables instruction-conditioned planning. In this work, we adapt OpenEMMA, an open-source MLLM-based end-to-end driving framework that ingests front-camera views and ego-state and outputs 10-step speed-curvature trajectories, to this setting, presenting a reproducible instruction-conditioned baseline on doScenes and investigate the effects of human instruction prompts on predicted driving behavior. We integrate doScenes directives as passenger-style prompts within OpenEMMA's vision-language interface, enabling linguistic conditioning before trajectory generation. Evaluated on 849 annotated scenes using ADE, we observe that instruction conditioning substantially improves robustness by preventing extreme baseline failures, yielding a 98.7% reduction in mean ADE. When such outliers are removed, instructions still influence trajectory alignment, with well-phrased prompts improving ADE by up to 5.1%. We use this analysis to discuss what makes a "good" instruction for the OpenEMMA framework. We release the evaluation prompts and scripts to establish a reproducible baseline for instruction-aware planning. GitHub: https://github.com/Mi3-Lab/doScenes-VLM-Planning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通过潜在流匹配进行连续退化建模以实现现实世界的超分辨率</w:t>
      </w:r>
    </w:p>
    <w:p>
      <w:r>
        <w:rPr>
          <w:rFonts w:ascii="Times New Roman" w:hAnsi="Times New Roman" w:eastAsia="宋体"/>
          <w:b/>
          <w:color w:val="003264"/>
          <w:sz w:val="24"/>
        </w:rPr>
        <w:t>Continuous Degradation Modeling via Latent Flow Matching for Real-World Super-Resolution</w:t>
      </w:r>
    </w:p>
    <w:p>
      <w:r>
        <w:rPr>
          <w:rFonts w:ascii="Times New Roman" w:hAnsi="Times New Roman" w:eastAsia="宋体"/>
          <w:sz w:val="21"/>
        </w:rPr>
        <w:t>作者: Tae Hyun Kim</w:t>
        <w:br/>
      </w:r>
      <w:r>
        <w:rPr>
          <w:rFonts w:ascii="Times New Roman" w:hAnsi="Times New Roman" w:eastAsia="宋体"/>
          <w:sz w:val="21"/>
        </w:rPr>
        <w:t xml:space="preserve">时间: 2026-02-04T04:16:38Z | </w:t>
      </w:r>
      <w:r>
        <w:t xml:space="preserve">链接: </w:t>
      </w:r>
      <w:hyperlink r:id="rId104">
        <w:r>
          <w:rPr>
            <w:rFonts w:ascii="Times New Roman" w:hAnsi="Times New Roman" w:eastAsia="宋体"/>
            <w:color w:val="0000FF"/>
            <w:sz w:val="21"/>
            <w:u w:val="single"/>
          </w:rPr>
          <w:t>https://arxiv.org/abs/2602.04193v1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虽然基于深度学习的超分辨率 (SR) 方法在双三次下采样等合成退化场景中显示出令人印象深刻的结果，但它们经常难以在具有复杂、非线性退化（如噪声、模糊和压缩伪影）的现实世界图像上表现良好。最近解决这个问题的努力涉及真实的低分辨率（LR）和高分辨率（HR）图像对的艰苦编译，通常仅限于几个特定的​​缩小因素。为了应对这些挑战，我们的工作引入了一种新颖的框架，能够通过利用流匹配的潜在退化空间从单个 HR 图像合成真实的 LR 图像。我们的方法生成具有看不见的退化水平的真实伪影的 LR 图像，这有助于创建大规模的、真实世界的 SR 训练数据集。全面的定量和定性评估验证了我们的合成 LR 图像准确地复制了现实世界的退化情况。此外，使用我们的数据集训练的传统和任意规模的 SR 模型始终能产生更好的 HR 结果。</w:t>
      </w:r>
    </w:p>
    <w:p>
      <w:pPr>
        <w:spacing w:before="120"/>
      </w:pPr>
      <w:r>
        <w:rPr>
          <w:rFonts w:ascii="Times New Roman" w:hAnsi="Times New Roman" w:eastAsia="宋体"/>
          <w:b/>
          <w:sz w:val="21"/>
        </w:rPr>
        <w:t>English Abstract:</w:t>
      </w:r>
    </w:p>
    <w:p>
      <w:r>
        <w:rPr>
          <w:rFonts w:ascii="Times New Roman" w:hAnsi="Times New Roman" w:eastAsia="宋体"/>
          <w:sz w:val="21"/>
        </w:rPr>
        <w:t>While deep learning-based super-resolution (SR) methods have shown impressive outcomes with synthetic degradation scenarios such as bicubic downsampling, they frequently struggle to perform well on real-world images that feature complex, nonlinear degradations like noise, blur, and compression artifacts. Recent efforts to address this issue have involved the painstaking compilation of real low-resolution (LR) and high-resolution (HR) image pairs, usually limited to several specific downscaling factors. To address these challenges, our work introduces a novel framework capable of synthesizing authentic LR images from a single HR image by leveraging the latent degradation space with flow matching. Our approach generates LR images with realistic artifacts at unseen degradation levels, which facilitates the creation of large-scale, real-world SR training datasets. Comprehensive quantitative and qualitative assessments verify that our synthetic LR images accurately replicate real-world degradations. Furthermore, both traditional and arbitrary-scale SR models trained using our datasets consistently yield much better HR outcomes.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直观模糊逻辑驱动的 UNet 架构：在脑图像分割中的应用</w:t>
      </w:r>
    </w:p>
    <w:p>
      <w:r>
        <w:rPr>
          <w:rFonts w:ascii="Times New Roman" w:hAnsi="Times New Roman" w:eastAsia="宋体"/>
          <w:b/>
          <w:color w:val="003264"/>
          <w:sz w:val="24"/>
        </w:rPr>
        <w:t>An Intuitionistic Fuzzy Logic Driven UNet architecture: Application to Brain Image segmentation</w:t>
      </w:r>
    </w:p>
    <w:p>
      <w:r>
        <w:rPr>
          <w:rFonts w:ascii="Times New Roman" w:hAnsi="Times New Roman" w:eastAsia="宋体"/>
          <w:sz w:val="21"/>
        </w:rPr>
        <w:t>作者: Akshansh Gupta</w:t>
        <w:br/>
      </w:r>
      <w:r>
        <w:rPr>
          <w:rFonts w:ascii="Times New Roman" w:hAnsi="Times New Roman" w:eastAsia="宋体"/>
          <w:sz w:val="21"/>
        </w:rPr>
        <w:t xml:space="preserve">时间: 2026-02-04T05:27:35Z | </w:t>
      </w:r>
      <w:r>
        <w:t xml:space="preserve">链接: </w:t>
      </w:r>
      <w:hyperlink r:id="rId105">
        <w:r>
          <w:rPr>
            <w:rFonts w:ascii="Times New Roman" w:hAnsi="Times New Roman" w:eastAsia="宋体"/>
            <w:color w:val="0000FF"/>
            <w:sz w:val="21"/>
            <w:u w:val="single"/>
          </w:rPr>
          <w:t>https://arxiv.org/abs/2602.04227v1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MRI脑图像的精确分割对于图像分析、神经系统疾病的诊断和医学图像计算至关重要。在深度学习方法中，卷积神经网络（CNN），尤其是UNet，广泛应用于医学图像分割。然而，由于脑图像中的部分体积效应，很难处理不确定性。为了克服这一限制，我们提出了一种增强的框架，名为 UNet with intuitionistic fuzzylogic (IF-UNet)，它将直觉模糊逻辑合并到 UNet 中。该模型根据隶属度、非隶属度和犹豫度处理输入数据，使其能够更好地解决由部分体积效应和边界不确定性引起的组织模糊性。所提出的架构在互联网大脑分割存储库（IBSR）数据集上进行评估，并使用准确度、Dice 系数和并集交集（IoU）计算其性能。实验结果证实 IF-UNet 通过处理大脑图像的不确定性提高了分割质量。</w:t>
      </w:r>
    </w:p>
    <w:p>
      <w:pPr>
        <w:spacing w:before="120"/>
      </w:pPr>
      <w:r>
        <w:rPr>
          <w:rFonts w:ascii="Times New Roman" w:hAnsi="Times New Roman" w:eastAsia="宋体"/>
          <w:b/>
          <w:sz w:val="21"/>
        </w:rPr>
        <w:t>English Abstract:</w:t>
      </w:r>
    </w:p>
    <w:p>
      <w:r>
        <w:rPr>
          <w:rFonts w:ascii="Times New Roman" w:hAnsi="Times New Roman" w:eastAsia="宋体"/>
          <w:sz w:val="21"/>
        </w:rPr>
        <w:t>Accurate segmentation of MRI brain images is essential for image analysis, diagnosis of neuro-logical disorders and medical image computing. In the deep learning approach, the convolutional neural networks (CNNs), especially UNet, are widely applied in medical image segmentation. However, it is difficult to deal with uncertainty due to the partial volume effect in brain images. To overcome this limitation, we propose an enhanced framework, named UNet with intuitionistic fuzzy logic (IF-UNet), which incorporates intuitionistic fuzzy logic into UNet. The model processes input data in terms of membership, nonmembership, and hesitation degrees, allowing it to better address tissue ambiguity resulting from partial volume effects and boundary uncertainties. The proposed architecture is evaluated on the Internet Brain Segmentation Repository (IBSR) dataset, and its performance is computed using accuracy, Dice coefficient, and intersection over union (IoU). Experimental results confirm that IF-UNet improves segmentation quality with handling uncertainty in brain images.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一种改进的非光滑函数Boost DC算法及其在图像恢复中的应用</w:t>
      </w:r>
    </w:p>
    <w:p>
      <w:r>
        <w:rPr>
          <w:rFonts w:ascii="Times New Roman" w:hAnsi="Times New Roman" w:eastAsia="宋体"/>
          <w:b/>
          <w:color w:val="003264"/>
          <w:sz w:val="24"/>
        </w:rPr>
        <w:t>An Improved Boosted DC Algorithm for Nonsmooth Functions with Applications in Image Recovery</w:t>
      </w:r>
    </w:p>
    <w:p>
      <w:r>
        <w:rPr>
          <w:rFonts w:ascii="Times New Roman" w:hAnsi="Times New Roman" w:eastAsia="宋体"/>
          <w:sz w:val="21"/>
        </w:rPr>
        <w:t>作者: TieYong Zeng</w:t>
        <w:br/>
      </w:r>
      <w:r>
        <w:rPr>
          <w:rFonts w:ascii="Times New Roman" w:hAnsi="Times New Roman" w:eastAsia="宋体"/>
          <w:sz w:val="21"/>
        </w:rPr>
        <w:t xml:space="preserve">时间: 2026-02-04T05:54:28Z | </w:t>
      </w:r>
      <w:r>
        <w:t xml:space="preserve">链接: </w:t>
      </w:r>
      <w:hyperlink r:id="rId106">
        <w:r>
          <w:rPr>
            <w:rFonts w:ascii="Times New Roman" w:hAnsi="Times New Roman" w:eastAsia="宋体"/>
            <w:color w:val="0000FF"/>
            <w:sz w:val="21"/>
            <w:u w:val="single"/>
          </w:rPr>
          <w:t>https://arxiv.org/abs/2602.04237v1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我们提出了一种新方法，对涉及凸函数差值的非光滑和非凸问题执行增强凸函数差值算法（BDCA）。最近提出的 BDCA 使用从经典 DC 算法（DCA）计算的点开始的外推步骤，通过下降方向的线搜索过程来进一步减少目标函数并加速 DCA 的收敛。然而，当DC分解中的第一个函数是非光滑的时，BDCA计算的方向可以是上升的，并且不能进行单调线搜索。在这项工作中，我们针对某些类型的非光滑 DC 程序提出了一种单调改进的凸函数增强差分算法 (IBDCA)，即那些可以表示为可能非光滑函数与光滑函数之差的程序。我们证明，IBDCA 生成的序列的任何聚类点都是所考虑问题的关键点，并且相应的目标值是单调递减且收敛的。我们还提出了 Kurdyka-Lojasiewicz 性质下的全局收敛性和收敛率。 IBDCA 在图像恢复中的应用表明了我们提出的方法的有效性。相应的数值实验表明，我们的 IBDCA 在计算时间和迭代次数方面均优于 DCA 和其他最先进的 DC 方法。</w:t>
      </w:r>
    </w:p>
    <w:p>
      <w:pPr>
        <w:spacing w:before="120"/>
      </w:pPr>
      <w:r>
        <w:rPr>
          <w:rFonts w:ascii="Times New Roman" w:hAnsi="Times New Roman" w:eastAsia="宋体"/>
          <w:b/>
          <w:sz w:val="21"/>
        </w:rPr>
        <w:t>English Abstract:</w:t>
      </w:r>
    </w:p>
    <w:p>
      <w:r>
        <w:rPr>
          <w:rFonts w:ascii="Times New Roman" w:hAnsi="Times New Roman" w:eastAsia="宋体"/>
          <w:sz w:val="21"/>
        </w:rPr>
        <w:t>We propose a new approach to perform the boosted difference of convex functions algorithm (BDCA) on non-smooth and non-convex problems involving the difference of convex (DC) functions. The recently proposed BDCA uses an extrapolation step from the point computed by the classical DC algorithm (DCA) via a line search procedure in a descent direction to get an additional decrease of the objective function and accelerate the convergence of DCA. However, when the first function in DC decomposition is non-smooth, the direction computed by BDCA can be ascent and a monotone line search cannot be performed. In this work, we proposed a monotone improved boosted difference of convex functions algorithm (IBDCA) for certain types of non-smooth DC programs, namely those that can be formulated as the difference of a possibly non-smooth function and a smooth one. We show that any cluster point of the sequence generated by IBDCA is a critical point of the problem under consideration and that the corresponding objective value is monotonically decreasing and convergent. We also present the global convergence and the convergent rate under the Kurdyka-Lojasiewicz property. The applications of IBDCA in image recovery show the effectiveness of our proposed method. The corresponding numerical experiments demonstrate that our IBDCA outperforms DCA and other state-of-the-art DC methods in both computational time and number of iterations.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SPOT-Occ：用于基于相机的 3D 占用预测的稀疏原型引导变压器</w:t>
      </w:r>
    </w:p>
    <w:p>
      <w:r>
        <w:rPr>
          <w:rFonts w:ascii="Times New Roman" w:hAnsi="Times New Roman" w:eastAsia="宋体"/>
          <w:b/>
          <w:color w:val="003264"/>
          <w:sz w:val="24"/>
        </w:rPr>
        <w:t>SPOT-Occ: Sparse Prototype-guided Transformer for Camera-based 3D Occupancy Prediction</w:t>
      </w:r>
    </w:p>
    <w:p>
      <w:r>
        <w:rPr>
          <w:rFonts w:ascii="Times New Roman" w:hAnsi="Times New Roman" w:eastAsia="宋体"/>
          <w:sz w:val="21"/>
        </w:rPr>
        <w:t>作者: Ying-Cong Chen</w:t>
        <w:br/>
      </w:r>
      <w:r>
        <w:rPr>
          <w:rFonts w:ascii="Times New Roman" w:hAnsi="Times New Roman" w:eastAsia="宋体"/>
          <w:sz w:val="21"/>
        </w:rPr>
        <w:t xml:space="preserve">时间: 2026-02-04T05:59:24Z | </w:t>
      </w:r>
      <w:r>
        <w:t xml:space="preserve">链接: </w:t>
      </w:r>
      <w:hyperlink r:id="rId107">
        <w:r>
          <w:rPr>
            <w:rFonts w:ascii="Times New Roman" w:hAnsi="Times New Roman" w:eastAsia="宋体"/>
            <w:color w:val="0000FF"/>
            <w:sz w:val="21"/>
            <w:u w:val="single"/>
          </w:rPr>
          <w:t>https://arxiv.org/abs/2602.04240v1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通过摄像头实现高度准确和实时的 3D 占用预测是自动驾驶车辆安全和实际部署的关键要求。虽然这种向稀疏 3D 表示的转变解决了编码瓶颈，但它给解码器带来了新的挑战：如何有效地聚合来自稀疏、非均匀分布的体素特征集的信息，而不诉诸计算上令人望而却步的密集注意力。在本文中，我们提出了一种新颖的基于原型的稀疏变换器解码器，它用引导特征选择和集中聚合的高效两阶段过程取代了这种昂贵的交互。我们的核心思想是让解码器的注意力以原型为导向。我们通过稀疏原型选择机制来实现这一点，其中每个查询自适应地识别一组最显着的体素特征（称为原型），以进行集中特征聚合。为了确保这种动态选择稳定有效，我们引入了互补的去噪范例。这种方法利用真实掩码来提供明确的指导，保证跨解码器层的一致的查询原型关联。我们的模型被称为 SPOT-Occ，其速度显着优于以前的方法，同时还提高了准确性。源代码发布于 https://github.com/chensuzeyu/SpotOcc。</w:t>
      </w:r>
    </w:p>
    <w:p>
      <w:pPr>
        <w:spacing w:before="120"/>
      </w:pPr>
      <w:r>
        <w:rPr>
          <w:rFonts w:ascii="Times New Roman" w:hAnsi="Times New Roman" w:eastAsia="宋体"/>
          <w:b/>
          <w:sz w:val="21"/>
        </w:rPr>
        <w:t>English Abstract:</w:t>
      </w:r>
    </w:p>
    <w:p>
      <w:r>
        <w:rPr>
          <w:rFonts w:ascii="Times New Roman" w:hAnsi="Times New Roman" w:eastAsia="宋体"/>
          <w:sz w:val="21"/>
        </w:rPr>
        <w:t>Achieving highly accurate and real-time 3D occupancy prediction from cameras is a critical requirement for the safe and practical deployment of autonomous vehicles. While this shift to sparse 3D representations solves the encoding bottleneck, it creates a new challenge for the decoder: how to efficiently aggregate information from a sparse, non-uniformly distributed set of voxel features without resorting to computationally prohibitive dense attention. In this paper, we propose a novel Prototype-based Sparse Transformer Decoder that replaces this costly interaction with an efficient, two-stage process of guided feature selection and focused aggregation. Our core idea is to make the decoder's attention prototype-guided. We achieve this through a sparse prototype selection mechanism, where each query adaptively identifies a compact set of the most salient voxel features, termed prototypes, for focused feature aggregation. To ensure this dynamic selection is stable and effective, we introduce a complementary denoising paradigm. This approach leverages ground-truth masks to provide explicit guidance, guaranteeing a consistent query-prototype association across decoder layers. Our model, dubbed SPOT-Occ, outperforms previous methods with a significant margin in speed while also improving accuracy. Source code is released at https://github.com/chensuzeyu/SpotOcc.</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SkeletonGaussian：通过高斯骨架化生成可编辑的 4D</w:t>
      </w:r>
    </w:p>
    <w:p>
      <w:r>
        <w:rPr>
          <w:rFonts w:ascii="Times New Roman" w:hAnsi="Times New Roman" w:eastAsia="宋体"/>
          <w:b/>
          <w:color w:val="003264"/>
          <w:sz w:val="24"/>
        </w:rPr>
        <w:t>SkeletonGaussian: Editable 4D Generation through Gaussian Skeletonization</w:t>
      </w:r>
    </w:p>
    <w:p>
      <w:r>
        <w:rPr>
          <w:rFonts w:ascii="Times New Roman" w:hAnsi="Times New Roman" w:eastAsia="宋体"/>
          <w:sz w:val="21"/>
        </w:rPr>
        <w:t>作者: Tianzhu Zhang</w:t>
        <w:br/>
      </w:r>
      <w:r>
        <w:rPr>
          <w:rFonts w:ascii="Times New Roman" w:hAnsi="Times New Roman" w:eastAsia="宋体"/>
          <w:sz w:val="21"/>
        </w:rPr>
        <w:t xml:space="preserve">时间: 2026-02-04T07:00:44Z | </w:t>
      </w:r>
      <w:r>
        <w:t xml:space="preserve">链接: </w:t>
      </w:r>
      <w:hyperlink r:id="rId108">
        <w:r>
          <w:rPr>
            <w:rFonts w:ascii="Times New Roman" w:hAnsi="Times New Roman" w:eastAsia="宋体"/>
            <w:color w:val="0000FF"/>
            <w:sz w:val="21"/>
            <w:u w:val="single"/>
          </w:rPr>
          <w:t>https://arxiv.org/abs/2602.04271v1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4D 生成在从输入文本、图像或视频合成动态 3D 对象方面取得了显着进展。然而，现有方法通常将运动表示为隐式变形场，这限制了直接控制和可编辑性。为了解决这个问题，我们提出了 SkeletonGaussian，这是一种从单目视频输入生成可编辑动态 3D 高斯的新颖框架。我们的方法引入了分层铰接表示，将运动分解为由骨架显式驱动的稀疏刚性运动和细粒度非刚性运动。具体来说，我们提取稳健的骨架并通过线性混合蒙皮驱动刚性运动，然后对非刚性变形进行基于六角平面的细化，从而增强可解释性和可编辑性。实验结果表明，SkeletonGaussian 在生成质量上超越了现有方法，同时实现了直观的运动编辑，为可编辑 4D 生成建立了新的范例。项目页面：https://wusar.github.io/projects/sculpturegaussian/</w:t>
      </w:r>
    </w:p>
    <w:p>
      <w:pPr>
        <w:spacing w:before="120"/>
      </w:pPr>
      <w:r>
        <w:rPr>
          <w:rFonts w:ascii="Times New Roman" w:hAnsi="Times New Roman" w:eastAsia="宋体"/>
          <w:b/>
          <w:sz w:val="21"/>
        </w:rPr>
        <w:t>English Abstract:</w:t>
      </w:r>
    </w:p>
    <w:p>
      <w:r>
        <w:rPr>
          <w:rFonts w:ascii="Times New Roman" w:hAnsi="Times New Roman" w:eastAsia="宋体"/>
          <w:sz w:val="21"/>
        </w:rPr>
        <w:t>4D generation has made remarkable progress in synthesizing dynamic 3D objects from input text, images, or videos. However, existing methods often represent motion as an implicit deformation field, which limits direct control and editability. To address this issue, we propose SkeletonGaussian, a novel framework for generating editable dynamic 3D Gaussians from monocular video input. Our approach introduces a hierarchical articulated representation that decomposes motion into sparse rigid motion explicitly driven by a skeleton and fine-grained non-rigid motion. Concretely, we extract a robust skeleton and drive rigid motion via linear blend skinning, followed by a hexplane-based refinement for non-rigid deformations, enhancing interpretability and editability. Experimental results demonstrate that SkeletonGaussian surpasses existing methods in generation quality while enabling intuitive motion editing, establishing a new paradigm for editable 4D generation. Project page: https://wusar.github.io/projects/skeletongaussian/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超越静态裁剪：层自适应视觉定位和解码增强</w:t>
      </w:r>
    </w:p>
    <w:p>
      <w:r>
        <w:rPr>
          <w:rFonts w:ascii="Times New Roman" w:hAnsi="Times New Roman" w:eastAsia="宋体"/>
          <w:b/>
          <w:color w:val="003264"/>
          <w:sz w:val="24"/>
        </w:rPr>
        <w:t>Beyond Static Cropping: Layer-Adaptive Visual Localization and Decoding Enhancement</w:t>
      </w:r>
    </w:p>
    <w:p>
      <w:r>
        <w:rPr>
          <w:rFonts w:ascii="Times New Roman" w:hAnsi="Times New Roman" w:eastAsia="宋体"/>
          <w:sz w:val="21"/>
        </w:rPr>
        <w:t>作者: Lin Gui</w:t>
        <w:br/>
      </w:r>
      <w:r>
        <w:rPr>
          <w:rFonts w:ascii="Times New Roman" w:hAnsi="Times New Roman" w:eastAsia="宋体"/>
          <w:sz w:val="21"/>
        </w:rPr>
        <w:t xml:space="preserve">时间: 2026-02-04T08:13:01Z | </w:t>
      </w:r>
      <w:r>
        <w:t xml:space="preserve">链接: </w:t>
      </w:r>
      <w:hyperlink r:id="rId109">
        <w:r>
          <w:rPr>
            <w:rFonts w:ascii="Times New Roman" w:hAnsi="Times New Roman" w:eastAsia="宋体"/>
            <w:color w:val="0000FF"/>
            <w:sz w:val="21"/>
            <w:u w:val="single"/>
          </w:rPr>
          <w:t>https://arxiv.org/abs/2602.04304v1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大视觉语言模型（LVLM）通过将视觉块与文本嵌入空间对齐而迅速发展，但固定的视觉标记预算迫使图像大小调整为统一的预训练分辨率，通常会擦除细粒度的细节，并因过度依赖语言先验而导致幻觉。最近的注意力引导增强（例如，裁剪或以区域为中心的注意力分配）缓解了这一点，但它通常取决于在简单识别基准上凭经验选择的静态“魔法层”，因此可能无法转移到复杂的推理任务。与这种静态假设相反，我们提出了视觉基础的动态视角。通过分层敏感性分析，我们证明视觉基础是一个动态过程：简单的物体识别任务依赖于中间层，而复杂的视觉搜索和推理任务则需要在更深的层重新激活视觉信息。基于这一观察，我们引入了查询视觉激活（VAQ），这是一种通过测量对输入查询的注意力敏感度来识别其注意力图与特定于查询的视觉基础最相关的层的指标。在 VAQ 的基础上，我们进一步提出 LASER（层自适应注意力引导选择性视觉和解码增强推理），这是一种无需训练的推理过程，可以自适应地选择适合任务的层进行视觉定位和问题回答。跨不同 VQA 基准的实验表明，LASER 显着提高了不同复杂程度任务的 VQA 准确性。</w:t>
      </w:r>
    </w:p>
    <w:p>
      <w:pPr>
        <w:spacing w:before="120"/>
      </w:pPr>
      <w:r>
        <w:rPr>
          <w:rFonts w:ascii="Times New Roman" w:hAnsi="Times New Roman" w:eastAsia="宋体"/>
          <w:b/>
          <w:sz w:val="21"/>
        </w:rPr>
        <w:t>English Abstract:</w:t>
      </w:r>
    </w:p>
    <w:p>
      <w:r>
        <w:rPr>
          <w:rFonts w:ascii="Times New Roman" w:hAnsi="Times New Roman" w:eastAsia="宋体"/>
          <w:sz w:val="21"/>
        </w:rPr>
        <w:t>Large Vision-Language Models (LVLMs) have advanced rapidly by aligning visual patches with the text embedding space, but a fixed visual-token budget forces images to be resized to a uniform pretraining resolution, often erasing fine-grained details and causing hallucinations via over-reliance on language priors. Recent attention-guided enhancement (e.g., cropping or region-focused attention allocation) alleviates this, yet it commonly hinges on a static "magic layer" empirically chosen on simple recognition benchmarks and thus may not transfer to complex reasoning tasks. In contrast to this static assumption, we propose a dynamic perspective on visual grounding. Through a layer-wise sensitivity analysis, we demonstrate that visual grounding is a dynamic process: while simple object recognition tasks rely on middle layers, complex visual search and reasoning tasks require visual information to be reactivated at deeper layers. Based on this observation, we introduce Visual Activation by Query (VAQ), a metric that identifies the layer whose attention map is most relevant to query-specific visual grounding by measuring attention sensitivity to the input query. Building on VAQ, we further propose LASER (Layer-adaptive Attention-guided Selective visual and decoding Enhancement for Reasoning), a training-free inference procedure that adaptively selects task-appropriate layers for visual localization and question answering. Experiments across diverse VQA benchmarks show that LASER significantly improves VQA accuracy across tasks with varying levels of complexity.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GeneralVLA：具有知识引导轨迹规划的可推广视觉-语言-动作模型</w:t>
      </w:r>
    </w:p>
    <w:p>
      <w:r>
        <w:rPr>
          <w:rFonts w:ascii="Times New Roman" w:hAnsi="Times New Roman" w:eastAsia="宋体"/>
          <w:b/>
          <w:color w:val="003264"/>
          <w:sz w:val="24"/>
        </w:rPr>
        <w:t>GeneralVLA: Generalizable Vision-Language-Action Models with Knowledge-Guided Trajectory Planning</w:t>
      </w:r>
    </w:p>
    <w:p>
      <w:r>
        <w:rPr>
          <w:rFonts w:ascii="Times New Roman" w:hAnsi="Times New Roman" w:eastAsia="宋体"/>
          <w:sz w:val="21"/>
        </w:rPr>
        <w:t>作者: Hao Tang</w:t>
        <w:br/>
      </w:r>
      <w:r>
        <w:rPr>
          <w:rFonts w:ascii="Times New Roman" w:hAnsi="Times New Roman" w:eastAsia="宋体"/>
          <w:sz w:val="21"/>
        </w:rPr>
        <w:t xml:space="preserve">时间: 2026-02-04T08:30:27Z | </w:t>
      </w:r>
      <w:r>
        <w:t xml:space="preserve">链接: </w:t>
      </w:r>
      <w:hyperlink r:id="rId110">
        <w:r>
          <w:rPr>
            <w:rFonts w:ascii="Times New Roman" w:hAnsi="Times New Roman" w:eastAsia="宋体"/>
            <w:color w:val="0000FF"/>
            <w:sz w:val="21"/>
            <w:u w:val="single"/>
          </w:rPr>
          <w:t>https://arxiv.org/abs/2602.04315v1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大型基础模型已经对视觉和语言中的复杂问题表现出了强大的开放世界泛化能力，但机器人技术尚未达到类似的泛化水平。一个根本挑战是模型表现出有限的零样本能力，这阻碍了它们有效推广到未见过的场景的能力。在这项工作中，我们提出了 GeneralVLA（具有知识引导轨迹规划的通用视觉语言动作模型），这是一种分层视觉语言动作（VLA）模型，可以更有效地利用基础模型的泛化，实现零样本操作并自动生成机器人数据。特别是，我们研究了一类分层 VLA 模型，其中高级 ASM（可供性分割模块）经过微调以感知场景的图像关键点可供性；中级 3DAgent 执行任务理解、技能知识和轨迹规划，以生成指示所需机器人末端执行器轨迹的 3D 路径。然后，中间 3D 路径预测将作为能够精确操纵的低级 3D 感知控制策略的指导。与其他方法相比，我们的方法不需要现实世界的机器人数据收集或人工演示，这使得它更适合不同的任务和观点。根据经验，GeneralVLA 成功生成了 14 项任务的轨迹，明显优于 VoxPoser 等最先进的方法。与使用人类演示或通过 VoxPoser、Scaling-up 和 Code-As-Policies 生成的数据进行训练相比，生成的演示可以训练更强大的行为克隆策略。我们相信 GeneralVLA 可以成为一种可扩展的方法，既可以为机器人生成数据，也可以在零样本环境中解决新任务。代码：https://github.com/AIGeeksGroup/GeneralVLA。网站：https://aigeeksgroup.github.io/GeneralVLA。</w:t>
      </w:r>
    </w:p>
    <w:p>
      <w:pPr>
        <w:spacing w:before="120"/>
      </w:pPr>
      <w:r>
        <w:rPr>
          <w:rFonts w:ascii="Times New Roman" w:hAnsi="Times New Roman" w:eastAsia="宋体"/>
          <w:b/>
          <w:sz w:val="21"/>
        </w:rPr>
        <w:t>English Abstract:</w:t>
      </w:r>
    </w:p>
    <w:p>
      <w:r>
        <w:rPr>
          <w:rFonts w:ascii="Times New Roman" w:hAnsi="Times New Roman" w:eastAsia="宋体"/>
          <w:sz w:val="21"/>
        </w:rPr>
        <w:t>Large foundation models have shown strong open-world generalization to complex problems in vision and language, but similar levels of generalization have yet to be achieved in robotics. One fundamental challenge is that the models exhibit limited zero-shot capability, which hampers their ability to generalize effectively to unseen scenarios. In this work, we propose GeneralVLA (Generalizable Vision-Language-Action Models with Knowledge-Guided Trajectory Planning), a hierarchical vision-language-action (VLA) model that can be more effective in utilizing the generalization of foundation models, enabling zero-shot manipulation and automatically generating data for robotics. In particular, we study a class of hierarchical VLA model where the high-level ASM (Affordance Segmentation Module) is finetuned to perceive image keypoint affordances of the scene; the mid-level 3DAgent carries out task understanding, skill knowledge, and trajectory planning to produce a 3D path indicating the desired robot end-effector trajectory. The intermediate 3D path prediction is then served as guidance to the low-level, 3D-aware control policy capable of precise manipulation. Compared to alternative approaches, our method requires no real-world robotic data collection or human demonstration, making it much more scalable to diverse tasks and viewpoints. Empirically, GeneralVLA successfully generates trajectories for 14 tasks, significantly outperforming state-of-the-art methods such as VoxPoser. The generated demonstrations can train more robust behavior cloning policies than training with human demonstrations or from data generated by VoxPoser, Scaling-up, and Code-As-Policies. We believe GeneralVLA can be the scalable method for both generating data for robotics and solving novel tasks in a zero-shot setting. Code: https://github.com/AIGeeksGroup/GeneralVLA. Website: https://aigeeksgroup.github.io/GeneralVLA.</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JOintGS：用于野外单目重建的相机、机身和 3D 高斯的联合优化</w:t>
      </w:r>
    </w:p>
    <w:p>
      <w:r>
        <w:rPr>
          <w:rFonts w:ascii="Times New Roman" w:hAnsi="Times New Roman" w:eastAsia="宋体"/>
          <w:b/>
          <w:color w:val="003264"/>
          <w:sz w:val="24"/>
        </w:rPr>
        <w:t>JOintGS: Joint Optimization of Cameras, Bodies and 3D Gaussians for In-the-Wild Monocular Reconstruction</w:t>
      </w:r>
    </w:p>
    <w:p>
      <w:r>
        <w:rPr>
          <w:rFonts w:ascii="Times New Roman" w:hAnsi="Times New Roman" w:eastAsia="宋体"/>
          <w:sz w:val="21"/>
        </w:rPr>
        <w:t>作者: Jing Zhang</w:t>
        <w:br/>
      </w:r>
      <w:r>
        <w:rPr>
          <w:rFonts w:ascii="Times New Roman" w:hAnsi="Times New Roman" w:eastAsia="宋体"/>
          <w:sz w:val="21"/>
        </w:rPr>
        <w:t xml:space="preserve">时间: 2026-02-04T08:33:51Z | </w:t>
      </w:r>
      <w:r>
        <w:t xml:space="preserve">链接: </w:t>
      </w:r>
      <w:hyperlink r:id="rId111">
        <w:r>
          <w:rPr>
            <w:rFonts w:ascii="Times New Roman" w:hAnsi="Times New Roman" w:eastAsia="宋体"/>
            <w:color w:val="0000FF"/>
            <w:sz w:val="21"/>
            <w:u w:val="single"/>
          </w:rPr>
          <w:t>https://arxiv.org/abs/2602.04317v1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从单眼 RGB 视频重建高保真可动画 3D 人体头像仍然具有挑战性，特别是在不受约束的野外场景中，其中来自现成方法（例如 COLMAP、HMR2.0）的相机参数和人体姿势通常不准确。 Splatting (3DGS) 的进步展示了令人印象深刻的渲染质量和实时性能，它们严重依赖于精确的相机校准和姿势注释，限制了它们在现实世界设置中的适用性。我们提出了 JOintGS，这是一个统一的框架，通过协同细化机制，从粗初始化中联合优化相机外在参数、人体姿势和 3D 高斯表示。我们的主要见解是，明确的前景-背景解开可以相互增强：通过多视图一致性进行静态背景高斯锚定相机估计；精致的摄像头通过精确的时间对应来改善人体对齐；优化的人体姿势通过消除静态约束中的动态伪影来增强场景重建。我们进一步引入了一个时间动态模块来捕获细粒度的姿势相关变形和一个残余色场来模拟照明变化。在 NeuMan 和 EMDB 数据集上进行的大量实验表明，JOintGS 实现了卓越的重建质量，与 NeuMan 数据集上最先进的方法相比，PSNR 提高了 2.1~dB，同时保持了实时渲染。值得注意的是，与基线相比，我们的方法显示出对噪声初始化的鲁棒性显着增强。我们的源代码可在 https://github.com/MiliLab/JOintGS 获取。</w:t>
      </w:r>
    </w:p>
    <w:p>
      <w:pPr>
        <w:spacing w:before="120"/>
      </w:pPr>
      <w:r>
        <w:rPr>
          <w:rFonts w:ascii="Times New Roman" w:hAnsi="Times New Roman" w:eastAsia="宋体"/>
          <w:b/>
          <w:sz w:val="21"/>
        </w:rPr>
        <w:t>English Abstract:</w:t>
      </w:r>
    </w:p>
    <w:p>
      <w:r>
        <w:rPr>
          <w:rFonts w:ascii="Times New Roman" w:hAnsi="Times New Roman" w:eastAsia="宋体"/>
          <w:sz w:val="21"/>
        </w:rPr>
        <w:t>Reconstructing high-fidelity animatable 3D human avatars from monocular RGB videos remains challenging, particularly in unconstrained in-the-wild scenarios where camera parameters and human poses from off-the-shelf methods (e.g., COLMAP, HMR2.0) are often inaccurate. Splatting (3DGS) advances demonstrate impressive rendering quality and real-time performance, they critically depend on precise camera calibration and pose annotations, limiting their applicability in real-world settings. We present JOintGS, a unified framework that jointly optimizes camera extrinsics, human poses, and 3D Gaussian representations from coarse initialization through a synergistic refinement mechanism. Our key insight is that explicit foreground-background disentanglement enables mutual reinforcement: static background Gaussians anchor camera estimation via multi-view consistency; refined cameras improve human body alignment through accurate temporal correspondence; optimized human poses enhance scene reconstruction by removing dynamic artifacts from static constraints. We further introduce a temporal dynamics module to capture fine-grained pose-dependent deformations and a residual color field to model illumination variations. Extensive experiments on NeuMan and EMDB datasets demonstrate that JOintGS achieves superior reconstruction quality, with 2.1~dB PSNR improvement over state-of-the-art methods on NeuMan dataset, while maintaining real-time rendering. Notably, our method shows significantly enhanced robustness to noisy initialization compared to the baseline.Our source code is available at https://github.com/MiliLab/JOintGS.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通过双提示调谐对主动 CLIP 适应进行显式不确定性建模</w:t>
      </w:r>
    </w:p>
    <w:p>
      <w:r>
        <w:rPr>
          <w:rFonts w:ascii="Times New Roman" w:hAnsi="Times New Roman" w:eastAsia="宋体"/>
          <w:b/>
          <w:color w:val="003264"/>
          <w:sz w:val="24"/>
        </w:rPr>
        <w:t>Explicit Uncertainty Modeling for Active CLIP Adaptation with Dual Prompt Tuning</w:t>
      </w:r>
    </w:p>
    <w:p>
      <w:r>
        <w:rPr>
          <w:rFonts w:ascii="Times New Roman" w:hAnsi="Times New Roman" w:eastAsia="宋体"/>
          <w:sz w:val="21"/>
        </w:rPr>
        <w:t>作者: Shu-Tao Xia</w:t>
        <w:br/>
      </w:r>
      <w:r>
        <w:rPr>
          <w:rFonts w:ascii="Times New Roman" w:hAnsi="Times New Roman" w:eastAsia="宋体"/>
          <w:sz w:val="21"/>
        </w:rPr>
        <w:t xml:space="preserve">时间: 2026-02-04T09:01:55Z | </w:t>
      </w:r>
      <w:r>
        <w:t xml:space="preserve">链接: </w:t>
      </w:r>
      <w:hyperlink r:id="rId112">
        <w:r>
          <w:rPr>
            <w:rFonts w:ascii="Times New Roman" w:hAnsi="Times New Roman" w:eastAsia="宋体"/>
            <w:color w:val="0000FF"/>
            <w:sz w:val="21"/>
            <w:u w:val="single"/>
          </w:rPr>
          <w:t>https://arxiv.org/abs/2602.04340v1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CLIP 等预先训练的视觉语言模型表现出很强的可移植性，但在有限的注释预算下使它们适应下游图像分类任务仍然具有挑战性。在主动学习设置中，模型必须从大量未标记数据中选择信息最丰富的样本进行注释。现有方法通常通过基于熵的标准或表示聚类来估计不确定性，而不是从模型角度明确地建模不确定性。在这项工作中，我们提出了一种基于双提示调整的主动 CLIP 自适应鲁棒不确定性建模框架。我们在 CLIP 的文本分支中引入了两个可学习的提示。积极提示增强了与轻量级调整视觉嵌入相对应的特定于任务的文本嵌入的可辨别性，从而提高了分类可靠性。同时，以相反的方式训练负面提示，以明确地模拟预测标签正确的概率，为指导主动样本选择提供原则上的不确定性信号。跨不同微调范式的大量实验表明，在相同的注释预算下，我们的方法始终优于现有的主动学习方法。</w:t>
      </w:r>
    </w:p>
    <w:p>
      <w:pPr>
        <w:spacing w:before="120"/>
      </w:pPr>
      <w:r>
        <w:rPr>
          <w:rFonts w:ascii="Times New Roman" w:hAnsi="Times New Roman" w:eastAsia="宋体"/>
          <w:b/>
          <w:sz w:val="21"/>
        </w:rPr>
        <w:t>English Abstract:</w:t>
      </w:r>
    </w:p>
    <w:p>
      <w:r>
        <w:rPr>
          <w:rFonts w:ascii="Times New Roman" w:hAnsi="Times New Roman" w:eastAsia="宋体"/>
          <w:sz w:val="21"/>
        </w:rPr>
        <w:t>Pre-trained vision-language models such as CLIP exhibit strong transferability, yet adapting them to downstream image classification tasks under limited annotation budgets remains challenging. In active learning settings, the model must select the most informative samples for annotation from a large pool of unlabeled data. Existing approaches typically estimate uncertainty via entropy-based criteria or representation clustering, without explicitly modeling uncertainty from the model perspective. In this work, we propose a robust uncertainty modeling framework for active CLIP adaptation based on dual-prompt tuning. We introduce two learnable prompts in the textual branch of CLIP. The positive prompt enhances the discriminability of task-specific textual embeddings corresponding to light-weight tuned visual embeddings, improving classification reliability. Meanwhile, the negative prompt is trained in an reversed manner to explicitly model the probability that the predicted label is correct, providing a principled uncertainty signal for guiding active sample selection. Extensive experiments across different fine-tuning paradigms demonstrate that our method consistently outperforms existing active learning methods under the same annotation budget.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寻找 NeMO：用于少镜头感知的模板视图的几何感知表示</w:t>
      </w:r>
    </w:p>
    <w:p>
      <w:r>
        <w:rPr>
          <w:rFonts w:ascii="Times New Roman" w:hAnsi="Times New Roman" w:eastAsia="宋体"/>
          <w:b/>
          <w:color w:val="003264"/>
          <w:sz w:val="24"/>
        </w:rPr>
        <w:t>Finding NeMO: A Geometry-Aware Representation of Template Views for Few-Shot Perception</w:t>
      </w:r>
    </w:p>
    <w:p>
      <w:r>
        <w:rPr>
          <w:rFonts w:ascii="Times New Roman" w:hAnsi="Times New Roman" w:eastAsia="宋体"/>
          <w:sz w:val="21"/>
        </w:rPr>
        <w:t>作者: Maximilian Durner</w:t>
        <w:br/>
      </w:r>
      <w:r>
        <w:rPr>
          <w:rFonts w:ascii="Times New Roman" w:hAnsi="Times New Roman" w:eastAsia="宋体"/>
          <w:sz w:val="21"/>
        </w:rPr>
        <w:t xml:space="preserve">时间: 2026-02-04T09:12:05Z | </w:t>
      </w:r>
      <w:r>
        <w:t xml:space="preserve">链接: </w:t>
      </w:r>
      <w:hyperlink r:id="rId113">
        <w:r>
          <w:rPr>
            <w:rFonts w:ascii="Times New Roman" w:hAnsi="Times New Roman" w:eastAsia="宋体"/>
            <w:color w:val="0000FF"/>
            <w:sz w:val="21"/>
            <w:u w:val="single"/>
          </w:rPr>
          <w:t>https://arxiv.org/abs/2602.04343v1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我们提出了神经记忆对象（NeMO），这是一种新颖的以对象为中心的表示，可用于使用 RGB 图像检测、分割和估计在训练期间未见过的对象的 6DoF 姿态。我们的方法由一个编码器组成，该编码器仅需要几个描述对象的 RGB 模板视图，即可使用包含语义和几何信息的学习 UDF 生成稀疏的类对象点云。接下来，解码器将对象编码与查询图像一起生成各种密集预测。通过大量的实验，我们表明我们的方法可以用于少镜头物体感知，而不需要任何特定于相机的参数或对目标数据进行重新训练。我们提出的概念是在 NeMO 中外包对象信息并使用单个网络执行多个感知任务，从而增强了与新对象的交互，通过无需重新训练或大量预处理即可实现快速对象加载来提高可扩展性和效率。我们报告了国际收支基准的各种数据集和感知任务的竞争性和最先进的结果，展示了我们方法的多功能性。 https://github.com/DLR-RM/nemo</w:t>
      </w:r>
    </w:p>
    <w:p>
      <w:pPr>
        <w:spacing w:before="120"/>
      </w:pPr>
      <w:r>
        <w:rPr>
          <w:rFonts w:ascii="Times New Roman" w:hAnsi="Times New Roman" w:eastAsia="宋体"/>
          <w:b/>
          <w:sz w:val="21"/>
        </w:rPr>
        <w:t>English Abstract:</w:t>
      </w:r>
    </w:p>
    <w:p>
      <w:r>
        <w:rPr>
          <w:rFonts w:ascii="Times New Roman" w:hAnsi="Times New Roman" w:eastAsia="宋体"/>
          <w:sz w:val="21"/>
        </w:rPr>
        <w:t>We present Neural Memory Object (NeMO), a novel object-centric representation that can be used to detect, segment and estimate the 6DoF pose of objects unseen during training using RGB images. Our method consists of an encoder that requires only a few RGB template views depicting an object to generate a sparse object-like point cloud using a learned UDF containing semantic and geometric information. Next, a decoder takes the object encoding together with a query image to generate a variety of dense predictions. Through extensive experiments, we show that our method can be used for few-shot object perception without requiring any camera-specific parameters or retraining on target data. Our proposed concept of outsourcing object information in a NeMO and using a single network for multiple perception tasks enhances interaction with novel objects, improving scalability and efficiency by enabling quick object onboarding without retraining or extensive pre-processing. We report competitive and state-of-the-art results on various datasets and perception tasks of the BOP benchmark, demonstrating the versatility of our approach. https://github.com/DLR-RM/nemo</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VecSet-Edit：释放预训练的 LRM，用于从单个图像进行网格编辑</w:t>
      </w:r>
    </w:p>
    <w:p>
      <w:r>
        <w:rPr>
          <w:rFonts w:ascii="Times New Roman" w:hAnsi="Times New Roman" w:eastAsia="宋体"/>
          <w:b/>
          <w:color w:val="003264"/>
          <w:sz w:val="24"/>
        </w:rPr>
        <w:t>VecSet-Edit: Unleashing Pre-trained LRM for Mesh Editing from Single Image</w:t>
      </w:r>
    </w:p>
    <w:p>
      <w:r>
        <w:rPr>
          <w:rFonts w:ascii="Times New Roman" w:hAnsi="Times New Roman" w:eastAsia="宋体"/>
          <w:sz w:val="21"/>
        </w:rPr>
        <w:t>作者: Hong-Han Shuai</w:t>
        <w:br/>
      </w:r>
      <w:r>
        <w:rPr>
          <w:rFonts w:ascii="Times New Roman" w:hAnsi="Times New Roman" w:eastAsia="宋体"/>
          <w:sz w:val="21"/>
        </w:rPr>
        <w:t xml:space="preserve">时间: 2026-02-04T09:16:12Z | </w:t>
      </w:r>
      <w:r>
        <w:t xml:space="preserve">链接: </w:t>
      </w:r>
      <w:hyperlink r:id="rId114">
        <w:r>
          <w:rPr>
            <w:rFonts w:ascii="Times New Roman" w:hAnsi="Times New Roman" w:eastAsia="宋体"/>
            <w:color w:val="0000FF"/>
            <w:sz w:val="21"/>
            <w:u w:val="single"/>
          </w:rPr>
          <w:t>https://arxiv.org/abs/2602.04349v1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3D 编辑已成为一个重要的研究领域，为用户提供对 3D 资产的灵活控制。虽然当前的编辑方法主要集中在 3D 高斯喷射或多视图图像，但 3D 网格的直接编辑仍未得到充分探索。之前的尝试（例如 VoxHammer）依赖于基于体素的表示，但分辨率有限，并且需要劳动密集型的 3D 掩模。为了解决这些限制，我们提出 \textbf{VecSet-Edit}，这是第一个利用高保真 VecSet 大型重建模型（LRM）作为网格编辑骨干的管道。我们的方法基于对 VecSet 令牌中的空间属性的分析，揭示了令牌子集管理不同的几何区域。基于这一见解，我们引入了掩模引导的令牌播种和注意力对齐的令牌门控策略，仅使用 2D 图像条件即可精确定位目标区域。此外，考虑到 VecSet 扩散过程与体素之间的差异，我们设计了一个漂移感知令牌修剪，以在去噪过程中拒绝几何异常值。最后，我们的细节保留纹理烘焙模块确保我们不仅保留原始网格的几何细节，还保留纹理信息。更多详细信息可以在我们的项目页面中找到：https://github.com/BlueDyee/VecSet-Edit/tree/main</w:t>
      </w:r>
    </w:p>
    <w:p>
      <w:pPr>
        <w:spacing w:before="120"/>
      </w:pPr>
      <w:r>
        <w:rPr>
          <w:rFonts w:ascii="Times New Roman" w:hAnsi="Times New Roman" w:eastAsia="宋体"/>
          <w:b/>
          <w:sz w:val="21"/>
        </w:rPr>
        <w:t>English Abstract:</w:t>
      </w:r>
    </w:p>
    <w:p>
      <w:r>
        <w:rPr>
          <w:rFonts w:ascii="Times New Roman" w:hAnsi="Times New Roman" w:eastAsia="宋体"/>
          <w:sz w:val="21"/>
        </w:rPr>
        <w:t>3D editing has emerged as a critical research area to provide users with flexible control over 3D assets. While current editing approaches predominantly focus on 3D Gaussian Splatting or multi-view images, the direct editing of 3D meshes remains underexplored. Prior attempts, such as VoxHammer, rely on voxel-based representations that suffer from limited resolution and necessitate labor-intensive 3D mask. To address these limitations, we propose \textbf{VecSet-Edit}, the first pipeline that leverages the high-fidelity VecSet Large Reconstruction Model (LRM) as a backbone for mesh editing. Our approach is grounded on a analysis of the spatial properties in VecSet tokens, revealing that token subsets govern distinct geometric regions. Based on this insight, we introduce Mask-guided Token Seeding and Attention-aligned Token Gating strategies to precisely localize target regions using only 2D image conditions. Also, considering the difference between VecSet diffusion process versus voxel we design a Drift-aware Token Pruning to reject geometric outliers during the denoising process. Finally, our Detail-preserving Texture Baking module ensures that we not only preserve the geometric details of original mesh but also the textural information. More details can be found in our project page: https://github.com/BlueDyee/VecSet-Edit/tree/main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何时何地进攻？对大视觉语言模型的分阶段注意力引导对抗性攻击</w:t>
      </w:r>
    </w:p>
    <w:p>
      <w:r>
        <w:rPr>
          <w:rFonts w:ascii="Times New Roman" w:hAnsi="Times New Roman" w:eastAsia="宋体"/>
          <w:b/>
          <w:color w:val="003264"/>
          <w:sz w:val="24"/>
        </w:rPr>
        <w:t>When and Where to Attack? Stage-wise Attention-Guided Adversarial Attack on Large Vision Language Models</w:t>
      </w:r>
    </w:p>
    <w:p>
      <w:r>
        <w:rPr>
          <w:rFonts w:ascii="Times New Roman" w:hAnsi="Times New Roman" w:eastAsia="宋体"/>
          <w:sz w:val="21"/>
        </w:rPr>
        <w:t>作者: Se-Young Yun</w:t>
        <w:br/>
      </w:r>
      <w:r>
        <w:rPr>
          <w:rFonts w:ascii="Times New Roman" w:hAnsi="Times New Roman" w:eastAsia="宋体"/>
          <w:sz w:val="21"/>
        </w:rPr>
        <w:t xml:space="preserve">时间: 2026-02-04T09:29:10Z | </w:t>
      </w:r>
      <w:r>
        <w:t xml:space="preserve">链接: </w:t>
      </w:r>
      <w:hyperlink r:id="rId115">
        <w:r>
          <w:rPr>
            <w:rFonts w:ascii="Times New Roman" w:hAnsi="Times New Roman" w:eastAsia="宋体"/>
            <w:color w:val="0000FF"/>
            <w:sz w:val="21"/>
            <w:u w:val="single"/>
          </w:rPr>
          <w:t>https://arxiv.org/abs/2602.04356v1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针对大型视觉语言模型（LVLM）的对抗性攻击对于暴露现代多模式系统中的安全漏洞至关重要。最近基于输入变换（例如随机裁剪）的攻击表明，空间局部扰动可能比全局图像处理更有效。然而，随机裁剪整个图像本质上是随机的，并且无法有效地使用有限的每像素扰动预算。我们做出两个关键观察：（i）区域注意力得分与对抗性损失敏感性正相关，（ii）攻击高注意力区域会导致注意力向后续显着区域的结构化重新分配。基于这些发现，我们提出了阶段式注意力引导攻击（SAGA），这是一种注意力引导框架，逐步将扰动集中在高注意力区域。 SAGA 能够更有效地使用受限扰动预算，产生高度难以察觉的对抗性示例，同时在 10 个 LVLM 中持续实现最先进的攻击成功率。源代码可在 https://github.com/jackwaky/SAGA 获取。</w:t>
      </w:r>
    </w:p>
    <w:p>
      <w:pPr>
        <w:spacing w:before="120"/>
      </w:pPr>
      <w:r>
        <w:rPr>
          <w:rFonts w:ascii="Times New Roman" w:hAnsi="Times New Roman" w:eastAsia="宋体"/>
          <w:b/>
          <w:sz w:val="21"/>
        </w:rPr>
        <w:t>English Abstract:</w:t>
      </w:r>
    </w:p>
    <w:p>
      <w:r>
        <w:rPr>
          <w:rFonts w:ascii="Times New Roman" w:hAnsi="Times New Roman" w:eastAsia="宋体"/>
          <w:sz w:val="21"/>
        </w:rPr>
        <w:t>Adversarial attacks against Large Vision-Language Models (LVLMs) are crucial for exposing safety vulnerabilities in modern multimodal systems. Recent attacks based on input transformations, such as random cropping, suggest that spatially localized perturbations can be more effective than global image manipulation. However, randomly cropping the entire image is inherently stochastic and fails to use the limited per-pixel perturbation budget efficiently. We make two key observations: (i) regional attention scores are positively correlated with adversarial loss sensitivity, and (ii) attacking high-attention regions induces a structured redistribution of attention toward subsequent salient regions. Based on these findings, we propose Stage-wise Attention-Guided Attack (SAGA), an attention-guided framework that progressively concentrates perturbations on high-attention regions. SAGA enables more efficient use of constrained perturbation budgets, producing highly imperceptible adversarial examples while consistently achieving state-of-the-art attack success rates across ten LVLMs. The source code is available at https://github.com/jackwaky/SAGA.</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SparVAR：探索视觉自回归建模中的稀疏性以实现免训练加速</w:t>
      </w:r>
    </w:p>
    <w:p>
      <w:r>
        <w:rPr>
          <w:rFonts w:ascii="Times New Roman" w:hAnsi="Times New Roman" w:eastAsia="宋体"/>
          <w:b/>
          <w:color w:val="003264"/>
          <w:sz w:val="24"/>
        </w:rPr>
        <w:t>SparVAR: Exploring Sparsity in Visual AutoRegressive Modeling for Training-Free Acceleration</w:t>
      </w:r>
    </w:p>
    <w:p>
      <w:r>
        <w:rPr>
          <w:rFonts w:ascii="Times New Roman" w:hAnsi="Times New Roman" w:eastAsia="宋体"/>
          <w:sz w:val="21"/>
        </w:rPr>
        <w:t>作者: Jian Cheng</w:t>
        <w:br/>
      </w:r>
      <w:r>
        <w:rPr>
          <w:rFonts w:ascii="Times New Roman" w:hAnsi="Times New Roman" w:eastAsia="宋体"/>
          <w:sz w:val="21"/>
        </w:rPr>
        <w:t xml:space="preserve">时间: 2026-02-04T09:34:06Z | </w:t>
      </w:r>
      <w:r>
        <w:t xml:space="preserve">链接: </w:t>
      </w:r>
      <w:hyperlink r:id="rId116">
        <w:r>
          <w:rPr>
            <w:rFonts w:ascii="Times New Roman" w:hAnsi="Times New Roman" w:eastAsia="宋体"/>
            <w:color w:val="0000FF"/>
            <w:sz w:val="21"/>
            <w:u w:val="single"/>
          </w:rPr>
          <w:t>https://arxiv.org/abs/2602.04361v1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视觉自回归（VAR）建模因其创新的下一代预测范式而受到广泛关注。然而，主流 VAR 范式在每个自回归步骤中都考虑到历史尺度上的所有代币。随着下一个尺度分辨率的增长，注意力的计算复杂性随着分辨率的增加呈四倍增长，从而导致大量的延迟。先前的加速通常会跳过高分辨率尺度，这会加快推理速度，但会丢弃高频细节并损害图像质量。为了解决这些问题，我们提出了 SparVAR，这是一种无需训练的加速框架，它利用了 VAR 注意力的三个属性：（i）强大的注意力池，（ii）跨尺度激活相似性，以及（iii）明显的局部性。具体来说，我们从稀疏决策尺度动态预测后续高分辨率尺度的稀疏注意力模式，并通过有效的索引映射机制构造尺度自相似稀疏注意力，从而实现大规模的高效稀疏注意力计算。此外，我们提出了跨尺度局部稀疏注意力并实现了高效的分块稀疏内核，其前进速度比 FlashAttention 快 $\mathbf{&gt; 5\times}$。大量实验表明，所提出的 SparseVAR 可以将 8B 模型生成 $1024\times1024$ 高分辨率图像的生成时间减少到 1 秒，而无需跳过最后一个尺度。与 FlashAttention 加速的 VAR 基线相比，我们的方法实现了 $\mathbf{1.57\times}$ 加速，同时保留了几乎所有高频细节。当与现有的尺度跳跃策略相结合时，SparseVAR 可以获得高达 $\mathbf{2.28\times}$ 的加速，同时保持具有竞争力的视觉生成质量。代码可在 https://github.com/CAS-CLab/SparVAR 获取。</w:t>
      </w:r>
    </w:p>
    <w:p>
      <w:pPr>
        <w:spacing w:before="120"/>
      </w:pPr>
      <w:r>
        <w:rPr>
          <w:rFonts w:ascii="Times New Roman" w:hAnsi="Times New Roman" w:eastAsia="宋体"/>
          <w:b/>
          <w:sz w:val="21"/>
        </w:rPr>
        <w:t>English Abstract:</w:t>
      </w:r>
    </w:p>
    <w:p>
      <w:r>
        <w:rPr>
          <w:rFonts w:ascii="Times New Roman" w:hAnsi="Times New Roman" w:eastAsia="宋体"/>
          <w:sz w:val="21"/>
        </w:rPr>
        <w:t>Visual AutoRegressive (VAR) modeling has garnered significant attention for its innovative next-scale prediction paradigm. However, mainstream VAR paradigms attend to all tokens across historical scales at each autoregressive step. As the next scale resolution grows, the computational complexity of attention increases quartically with resolution, causing substantial latency. Prior accelerations often skip high-resolution scales, which speeds up inference but discards high-frequency details and harms image quality. To address these problems, we present SparVAR, a training-free acceleration framework that exploits three properties of VAR attention: (i) strong attention sinks, (ii) cross-scale activation similarity, and (iii) pronounced locality. Specifically, we dynamically predict the sparse attention pattern of later high-resolution scales from a sparse decision scale, and construct scale self-similar sparse attention via an efficient index-mapping mechanism, enabling high-efficiency sparse attention computation at large scales. Furthermore, we propose cross-scale local sparse attention and implement an efficient block-wise sparse kernel, which achieves $\mathbf{&gt; 5\times}$ faster forward speed than FlashAttention. Extensive experiments demonstrate that the proposed SparseVAR can reduce the generation time of an 8B model producing $1024\times1024$ high-resolution images to the 1s, without skipping the last scales. Compared with the VAR baseline accelerated by FlashAttention, our method achieves a $\mathbf{1.57\times}$ speed-up while preserving almost all high-frequency details. When combined with existing scale-skipping strategies, SparseVAR attains up to a $\mathbf{2.28\times}$ acceleration, while maintaining competitive visual generation quality. Code is available at https://github.com/CAS-CLab/SparVAR.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通过超轻量级架构在商品 CPU 上实现实时结肠镜息肉分割</w:t>
      </w:r>
    </w:p>
    <w:p>
      <w:r>
        <w:rPr>
          <w:rFonts w:ascii="Times New Roman" w:hAnsi="Times New Roman" w:eastAsia="宋体"/>
          <w:b/>
          <w:color w:val="003264"/>
          <w:sz w:val="24"/>
        </w:rPr>
        <w:t>Enabling Real-Time Colonoscopic Polyp Segmentation on Commodity CPUs via Ultra-Lightweight Architecture</w:t>
      </w:r>
    </w:p>
    <w:p>
      <w:r>
        <w:rPr>
          <w:rFonts w:ascii="Times New Roman" w:hAnsi="Times New Roman" w:eastAsia="宋体"/>
          <w:sz w:val="21"/>
        </w:rPr>
        <w:t>作者: Lan Ma</w:t>
        <w:br/>
      </w:r>
      <w:r>
        <w:rPr>
          <w:rFonts w:ascii="Times New Roman" w:hAnsi="Times New Roman" w:eastAsia="宋体"/>
          <w:sz w:val="21"/>
        </w:rPr>
        <w:t xml:space="preserve">时间: 2026-02-04T10:04:30Z | </w:t>
      </w:r>
      <w:r>
        <w:t xml:space="preserve">链接: </w:t>
      </w:r>
      <w:hyperlink r:id="rId117">
        <w:r>
          <w:rPr>
            <w:rFonts w:ascii="Times New Roman" w:hAnsi="Times New Roman" w:eastAsia="宋体"/>
            <w:color w:val="0000FF"/>
            <w:sz w:val="21"/>
            <w:u w:val="single"/>
          </w:rPr>
          <w:t>https://arxiv.org/abs/2602.04381v1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结直肠癌的早期发现取决于实时、准确的息肉识别和切除。然而，当前的高精度分割模型依赖于 GPU，这使得它们在基层医院、移动内窥镜设备或胶囊机器人中部署不切实际。为了弥补这一差距，我们推出了 UltraSeg 系列，在极端压缩状态（&lt;0.3 M 参数）下运行。 UltraSeg-108K（0.108 M 参数）针对单中心数据进行了优化，而 UltraSeg-130K（0.13 M 参数）则推广到多中心、多模态图像。通过联合优化编码器-解码器宽度、结合约束扩张卷积来扩大感受野，以及集成跨层轻量级融合模块，这些模型在单个 CPU 核心上实现了 90 FPS，且不牺牲精度。在七个公共数据集上进行评估后，UltraSeg 保留了 31 M 参数 U-Net 94% 以上的 Dice 分数，同时仅利用了 0.4% 的参数，为极端压缩领域建立了强大的、临床上可行的基线，并为资源有限的环境提供了可立即部署的解决方案。这项工作不仅为结肠镜检查提供了 CPU 原生解决方案，还为更广泛的微创手术视觉应用提供了可重复的蓝图。源代码是公开的，以确保可重复性并促进未来的基准测试。</w:t>
      </w:r>
    </w:p>
    <w:p>
      <w:pPr>
        <w:spacing w:before="120"/>
      </w:pPr>
      <w:r>
        <w:rPr>
          <w:rFonts w:ascii="Times New Roman" w:hAnsi="Times New Roman" w:eastAsia="宋体"/>
          <w:b/>
          <w:sz w:val="21"/>
        </w:rPr>
        <w:t>English Abstract:</w:t>
      </w:r>
    </w:p>
    <w:p>
      <w:r>
        <w:rPr>
          <w:rFonts w:ascii="Times New Roman" w:hAnsi="Times New Roman" w:eastAsia="宋体"/>
          <w:sz w:val="21"/>
        </w:rPr>
        <w:t>Early detection of colorectal cancer hinges on real-time, accurate polyp identification and resection. Yet current high-precision segmentation models rely on GPUs, making them impractical to deploy in primary hospitals, mobile endoscopy units, or capsule robots. To bridge this gap, we present the UltraSeg family, operating in an extreme-compression regime (&lt;0.3 M parameters). UltraSeg-108K (0.108 M parameters) is optimized for single-center data, while UltraSeg-130K (0.13 M parameters) generalizes to multi-center, multi-modal images. By jointly optimizing encoder-decoder widths, incorporating constrained dilated convolutions to enlarge receptive fields, and integrating a cross-layer lightweight fusion module, the models achieve 90 FPS on a single CPU core without sacrificing accuracy. Evaluated on seven public datasets, UltraSeg retains &gt;94% of the Dice score of a 31 M-parameter U-Net while utilizing only 0.4% of its parameters, establishing a strong, clinically viable baseline for the extreme-compression domain and offering an immediately deployable solution for resource-constrained settings. This work provides not only a CPU-native solution for colonoscopy but also a reproducible blueprint for broader minimally invasive surgical vision applications. Source code is publicly available to ensure reproducibility and facilitate future benchmarking.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视觉位置识别中可靠工作点选择的分位数转移</w:t>
      </w:r>
    </w:p>
    <w:p>
      <w:r>
        <w:rPr>
          <w:rFonts w:ascii="Times New Roman" w:hAnsi="Times New Roman" w:eastAsia="宋体"/>
          <w:b/>
          <w:color w:val="003264"/>
          <w:sz w:val="24"/>
        </w:rPr>
        <w:t>Quantile Transfer for Reliable Operating Point Selection in Visual Place Recognition</w:t>
      </w:r>
    </w:p>
    <w:p>
      <w:r>
        <w:rPr>
          <w:rFonts w:ascii="Times New Roman" w:hAnsi="Times New Roman" w:eastAsia="宋体"/>
          <w:sz w:val="21"/>
        </w:rPr>
        <w:t>作者: Tobias Fischer</w:t>
        <w:br/>
      </w:r>
      <w:r>
        <w:rPr>
          <w:rFonts w:ascii="Times New Roman" w:hAnsi="Times New Roman" w:eastAsia="宋体"/>
          <w:sz w:val="21"/>
        </w:rPr>
        <w:t xml:space="preserve">时间: 2026-02-04T10:31:29Z | </w:t>
      </w:r>
      <w:r>
        <w:t xml:space="preserve">链接: </w:t>
      </w:r>
      <w:hyperlink r:id="rId118">
        <w:r>
          <w:rPr>
            <w:rFonts w:ascii="Times New Roman" w:hAnsi="Times New Roman" w:eastAsia="宋体"/>
            <w:color w:val="0000FF"/>
            <w:sz w:val="21"/>
            <w:u w:val="single"/>
          </w:rPr>
          <w:t>https://arxiv.org/abs/2602.04401v1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视觉地点识别 (VPR) 是 GNSS 拒绝环境中定位的关键组件，但其性能关键取决于选择平衡精度和召回率的图像匹配阈值（操作点）。阈值通常针对特定环境进行离线手动调整，并在部署期间固定，从而导致环境变化时性能下降。我们提出了一种方法，根据用户定义的精度要求，自动选择 VPR 系统的工作点以最大化召回率。该方法使用具有已知对应关系的小型校准遍历，并通过相似性分数分布的分位数归一化将阈值转移到部署。这种分位数转移可确保阈值在校准大小和查询子集中保持稳定，从而使该方法对采样变异性具有鲁棒性。使用多种最先进的 VPR 技术和数据集进行的实验表明，所提出的方法始终优于最先进的方法，在高精度操作方案中将召回率提高了 25%。该方法通过适应新环境和跨操作条件进行推广，消除了手动调整。我们的代码将在接受后发布。</w:t>
      </w:r>
    </w:p>
    <w:p>
      <w:pPr>
        <w:spacing w:before="120"/>
      </w:pPr>
      <w:r>
        <w:rPr>
          <w:rFonts w:ascii="Times New Roman" w:hAnsi="Times New Roman" w:eastAsia="宋体"/>
          <w:b/>
          <w:sz w:val="21"/>
        </w:rPr>
        <w:t>English Abstract:</w:t>
      </w:r>
    </w:p>
    <w:p>
      <w:r>
        <w:rPr>
          <w:rFonts w:ascii="Times New Roman" w:hAnsi="Times New Roman" w:eastAsia="宋体"/>
          <w:sz w:val="21"/>
        </w:rPr>
        <w:t>Visual Place Recognition (VPR) is a key component for localisation in GNSS-denied environments, but its performance critically depends on selecting an image matching threshold (operating point) that balances precision and recall. Thresholds are typically hand-tuned offline for a specific environment and fixed during deployment, leading to degraded performance under environmental change. We propose a method that, given a user-defined precision requirement, automatically selects the operating point of a VPR system to maximise recall. The method uses a small calibration traversal with known correspondences and transfers thresholds to deployment via quantile normalisation of similarity score distributions. This quantile transfer ensures that thresholds remain stable across calibration sizes and query subsets, making the method robust to sampling variability. Experiments with multiple state-of-the-art VPR techniques and datasets show that the proposed approach consistently outperforms the state-of-the-art, delivering up to 25% higher recall in high-precision operating regimes. The method eliminates manual tuning by adapting to new environments and generalising across operating conditions. Our code will be released upon acceptance.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用于多模态图像融合的交互式空间频率融合 Mamba</w:t>
      </w:r>
    </w:p>
    <w:p>
      <w:r>
        <w:rPr>
          <w:rFonts w:ascii="Times New Roman" w:hAnsi="Times New Roman" w:eastAsia="宋体"/>
          <w:b/>
          <w:color w:val="003264"/>
          <w:sz w:val="24"/>
        </w:rPr>
        <w:t>Interactive Spatial-Frequency Fusion Mamba for Multi-Modal Image Fusion</w:t>
      </w:r>
    </w:p>
    <w:p>
      <w:r>
        <w:rPr>
          <w:rFonts w:ascii="Times New Roman" w:hAnsi="Times New Roman" w:eastAsia="宋体"/>
          <w:sz w:val="21"/>
        </w:rPr>
        <w:t>作者: Huchuan Lu</w:t>
        <w:br/>
      </w:r>
      <w:r>
        <w:rPr>
          <w:rFonts w:ascii="Times New Roman" w:hAnsi="Times New Roman" w:eastAsia="宋体"/>
          <w:sz w:val="21"/>
        </w:rPr>
        <w:t xml:space="preserve">时间: 2026-02-04T10:35:55Z | </w:t>
      </w:r>
      <w:r>
        <w:t xml:space="preserve">链接: </w:t>
      </w:r>
      <w:hyperlink r:id="rId119">
        <w:r>
          <w:rPr>
            <w:rFonts w:ascii="Times New Roman" w:hAnsi="Times New Roman" w:eastAsia="宋体"/>
            <w:color w:val="0000FF"/>
            <w:sz w:val="21"/>
            <w:u w:val="single"/>
          </w:rPr>
          <w:t>https://arxiv.org/abs/2602.04405v1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多模态图像融合（MMIF）旨在组合来自不同模态的图像以生成融合图像，保留纹理细节并保留重要信息。最近，一些 MMIF 方法结合了频域信息来增强空间特征。然而，这些方法通常依赖于简单的串行或并行空间频率融合，而无需交互。在本文中，我们为 MMIF 提出了一种新颖的交互式空间频率融合 Mamba (ISFM) 框架。具体来说，我们从模态特定提取器（MSE）开始，从不同模态中提取特征。它以线性计算复杂度对整个图像的远程依赖性进行建模。为了有效地利用频率信息，我们提出了多尺度频率融合（MFF）。它自适应地集成多个尺度的低频和高频分量，从而实现频率特征的稳健表示。更重要的是，我们进一步提出了交互式空间频率融合（ISF）。它结合了频率特征来指导跨模态的空间特征，增强互补表示。在六个 MMIF 数据集上进行了广泛的实验。实验结果表明，我们的 ISFM 可以比其他最先进的方法取得更好的性能。源代码可在 https://github.com/Namn23/ISFM 获取。</w:t>
      </w:r>
    </w:p>
    <w:p>
      <w:pPr>
        <w:spacing w:before="120"/>
      </w:pPr>
      <w:r>
        <w:rPr>
          <w:rFonts w:ascii="Times New Roman" w:hAnsi="Times New Roman" w:eastAsia="宋体"/>
          <w:b/>
          <w:sz w:val="21"/>
        </w:rPr>
        <w:t>English Abstract:</w:t>
      </w:r>
    </w:p>
    <w:p>
      <w:r>
        <w:rPr>
          <w:rFonts w:ascii="Times New Roman" w:hAnsi="Times New Roman" w:eastAsia="宋体"/>
          <w:sz w:val="21"/>
        </w:rPr>
        <w:t>Multi-Modal Image Fusion (MMIF) aims to combine images from different modalities to produce fused images, retaining texture details and preserving significant information. Recently, some MMIF methods incorporate frequency domain information to enhance spatial features. However, these methods typically rely on simple serial or parallel spatial-frequency fusion without interaction. In this paper, we propose a novel Interactive Spatial-Frequency Fusion Mamba (ISFM) framework for MMIF. Specifically, we begin with a Modality-Specific Extractor (MSE) to extract features from different modalities. It models long-range dependencies across the image with linear computational complexity. To effectively leverage frequency information, we then propose a Multi-scale Frequency Fusion (MFF). It adaptively integrates low-frequency and high-frequency components across multiple scales, enabling robust representations of frequency features. More importantly, we further propose an Interactive Spatial-Frequency Fusion (ISF). It incorporates frequency features to guide spatial features across modalities, enhancing complementary representations. Extensive experiments are conducted on six MMIF datasets. The experimental results demonstrate that our ISFM can achieve better performances than other state-of-the-art methods. The source code is available at https://github.com/Namn23/ISFM.</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LCUDiff：潜在能力升级扩散，实现人体忠实恢复</w:t>
      </w:r>
    </w:p>
    <w:p>
      <w:r>
        <w:rPr>
          <w:rFonts w:ascii="Times New Roman" w:hAnsi="Times New Roman" w:eastAsia="宋体"/>
          <w:b/>
          <w:color w:val="003264"/>
          <w:sz w:val="24"/>
        </w:rPr>
        <w:t>LCUDiff: Latent Capacity Upgrade Diffusion for Faithful Human Body Restoration</w:t>
      </w:r>
    </w:p>
    <w:p>
      <w:r>
        <w:rPr>
          <w:rFonts w:ascii="Times New Roman" w:hAnsi="Times New Roman" w:eastAsia="宋体"/>
          <w:sz w:val="21"/>
        </w:rPr>
        <w:t>作者: Yulun Zhang</w:t>
        <w:br/>
      </w:r>
      <w:r>
        <w:rPr>
          <w:rFonts w:ascii="Times New Roman" w:hAnsi="Times New Roman" w:eastAsia="宋体"/>
          <w:sz w:val="21"/>
        </w:rPr>
        <w:t xml:space="preserve">时间: 2026-02-04T10:37:46Z | </w:t>
      </w:r>
      <w:r>
        <w:t xml:space="preserve">链接: </w:t>
      </w:r>
      <w:hyperlink r:id="rId120">
        <w:r>
          <w:rPr>
            <w:rFonts w:ascii="Times New Roman" w:hAnsi="Times New Roman" w:eastAsia="宋体"/>
            <w:color w:val="0000FF"/>
            <w:sz w:val="21"/>
            <w:u w:val="single"/>
          </w:rPr>
          <w:t>https://arxiv.org/abs/2602.04406v1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现有的用于恢复退化的以人为中心的图像的方法常常因保真度不足而苦苦挣扎，特别是在人体恢复（HBR）方面。最近基于扩散的恢复方法通常采用预先训练的文本到图像扩散模型，其中变分自动编码器（VAE）会严重阻碍恢复保真度。我们提出了 LCUDiff，一种稳定的一步框架，将预训练的潜在扩散模型从 ​​4 通道潜在空间升级到 16 通道潜在空间。对于 VAE 微调，通道分割蒸馏 (CSD) 用于保持前四个通道与预训练先验保持一致，同时分配附加通道以有效编码高频细节。我们进一步设计了先验保留自适应（PPA），以平滑地弥合 4 通道扩散主干和高维 16 通道潜在网络之间的不匹配。此外，我们提出了一种解码器路由器（DeR），用于使用恢复质量分数注释进行每个样本解码器路由，这提高了不同条件下的视觉质量。对合成数据集和真实世界数据集的实验显示出具有竞争力的结果，在轻度退化的情况下具有更高的保真度和更少的伪影，同时保持一步效率。代码和模型位于 https://github.com/gobunu/LCUDiff。</w:t>
      </w:r>
    </w:p>
    <w:p>
      <w:pPr>
        <w:spacing w:before="120"/>
      </w:pPr>
      <w:r>
        <w:rPr>
          <w:rFonts w:ascii="Times New Roman" w:hAnsi="Times New Roman" w:eastAsia="宋体"/>
          <w:b/>
          <w:sz w:val="21"/>
        </w:rPr>
        <w:t>English Abstract:</w:t>
      </w:r>
    </w:p>
    <w:p>
      <w:r>
        <w:rPr>
          <w:rFonts w:ascii="Times New Roman" w:hAnsi="Times New Roman" w:eastAsia="宋体"/>
          <w:sz w:val="21"/>
        </w:rPr>
        <w:t>Existing methods for restoring degraded human-centric images often struggle with insufficient fidelity, particularly in human body restoration (HBR). Recent diffusion-based restoration methods commonly adapt pre-trained text-to-image diffusion models, where the variational autoencoder (VAE) can significantly bottleneck restoration fidelity. We propose LCUDiff, a stable one-step framework that upgrades a pre-trained latent diffusion model from the 4-channel latent space to the 16-channel latent space. For VAE fine-tuning, channel splitting distillation (CSD) is used to keep the first four channels aligned with pre-trained priors while allocating the additional channels to effectively encode high-frequency details. We further design prior-preserving adaptation (PPA) to smoothly bridge the mismatch between 4-channel diffusion backbones and the higher-dimensional 16-channel latent. In addition, we propose a decoder router (DeR) for per-sample decoder routing using restoration-quality score annotations, which improves visual quality across diverse conditions. Experiments on synthetic and real-world datasets show competitive results with higher fidelity and fewer artifacts under mild degradations, while preserving one-step efficiency. The code and model will be at https://github.com/gobunu/LCUDiff.</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Med-MMFL：医疗保健领域的多模式联合学习基准</w:t>
      </w:r>
    </w:p>
    <w:p>
      <w:r>
        <w:rPr>
          <w:rFonts w:ascii="Times New Roman" w:hAnsi="Times New Roman" w:eastAsia="宋体"/>
          <w:b/>
          <w:color w:val="003264"/>
          <w:sz w:val="24"/>
        </w:rPr>
        <w:t>Med-MMFL: A Multimodal Federated Learning Benchmark in Healthcare</w:t>
      </w:r>
    </w:p>
    <w:p>
      <w:r>
        <w:rPr>
          <w:rFonts w:ascii="Times New Roman" w:hAnsi="Times New Roman" w:eastAsia="宋体"/>
          <w:sz w:val="21"/>
        </w:rPr>
        <w:t>作者: Binod Bhattarai</w:t>
        <w:br/>
      </w:r>
      <w:r>
        <w:rPr>
          <w:rFonts w:ascii="Times New Roman" w:hAnsi="Times New Roman" w:eastAsia="宋体"/>
          <w:sz w:val="21"/>
        </w:rPr>
        <w:t xml:space="preserve">时间: 2026-02-04T10:50:15Z | </w:t>
      </w:r>
      <w:r>
        <w:t xml:space="preserve">链接: </w:t>
      </w:r>
      <w:hyperlink r:id="rId121">
        <w:r>
          <w:rPr>
            <w:rFonts w:ascii="Times New Roman" w:hAnsi="Times New Roman" w:eastAsia="宋体"/>
            <w:color w:val="0000FF"/>
            <w:sz w:val="21"/>
            <w:u w:val="single"/>
          </w:rPr>
          <w:t>https://arxiv.org/abs/2602.04416v1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联邦学习（FL）支持跨分散医疗机构的协作模型训练，同时保护数据隐私。然而，医学 FL 基准仍然稀缺，现有的工作主要集中在单模态或双模态以及有限范围的医疗任务上。这一差距强调了标准化评估的必要性，以促进对医学多模式 FL (MMFL) 的系统理解。为此，我们推出 Med-MMFL，这是医学领域第一个全面的 MMFL 基准，涵盖不同的模式、任务和联合场景。我们的基准评估了六种具有代表性的最先进的 FL 算法，涵盖不同的聚合策略、损失公式和正则化技术。它涵盖 2 到 4 种模式的数据集，总共包括 10 种独特的医学模式，包括文本、病理图像、心电图、X 射线、放射学报告和多个 MRI 序列。在自然联合、合成 IID 和合成非 IID 设置中进行实验，以模拟现实世界的异构性。我们评估分割、分类、模态对齐（检索）和 VQA 任务。为了支持未来多模态联合学习（MMFL）方法在现实医疗环境下的可重复性和公平比较，我们在 https://github.com/bhattarailab/Med-MMFL-Benchmark 上发布了完整的基准实现，包括数据处理和分区管道。</w:t>
      </w:r>
    </w:p>
    <w:p>
      <w:pPr>
        <w:spacing w:before="120"/>
      </w:pPr>
      <w:r>
        <w:rPr>
          <w:rFonts w:ascii="Times New Roman" w:hAnsi="Times New Roman" w:eastAsia="宋体"/>
          <w:b/>
          <w:sz w:val="21"/>
        </w:rPr>
        <w:t>English Abstract:</w:t>
      </w:r>
    </w:p>
    <w:p>
      <w:r>
        <w:rPr>
          <w:rFonts w:ascii="Times New Roman" w:hAnsi="Times New Roman" w:eastAsia="宋体"/>
          <w:sz w:val="21"/>
        </w:rPr>
        <w:t>Federated learning (FL) enables collaborative model training across decentralized medical institutions while preserving data privacy. However, medical FL benchmarks remain scarce, with existing efforts focusing mainly on unimodal or bimodal modalities and a limited range of medical tasks. This gap underscores the need for standardized evaluation to advance systematic understanding in medical MultiModal FL (MMFL). To this end, we introduce Med-MMFL, the first comprehensive MMFL benchmark for the medical domain, encompassing diverse modalities, tasks, and federation scenarios. Our benchmark evaluates six representative state-of-the-art FL algorithms, covering different aggregation strategies, loss formulations, and regularization techniques. It spans datasets with 2 to 4 modalities, comprising a total of 10 unique medical modalities, including text, pathology images, ECG, X-ray, radiology reports, and multiple MRI sequences. Experiments are conducted across naturally federated, synthetic IID, and synthetic non-IID settings to simulate real-world heterogeneity. We assess segmentation, classification, modality alignment (retrieval), and VQA tasks. To support reproducibility and fair comparison of future multimodal federated learning (MMFL) methods under realistic medical settings, we release the complete benchmark implementation, including data processing and partitioning pipelines, at https://github.com/bhattarailab/Med-MMFL-Benchmark .</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TrajVG：3D 轨迹耦合视觉几何学习</w:t>
      </w:r>
    </w:p>
    <w:p>
      <w:r>
        <w:rPr>
          <w:rFonts w:ascii="Times New Roman" w:hAnsi="Times New Roman" w:eastAsia="宋体"/>
          <w:b/>
          <w:color w:val="003264"/>
          <w:sz w:val="24"/>
        </w:rPr>
        <w:t>TrajVG: 3D Trajectory-Coupled Visual Geometry Learning</w:t>
      </w:r>
    </w:p>
    <w:p>
      <w:r>
        <w:rPr>
          <w:rFonts w:ascii="Times New Roman" w:hAnsi="Times New Roman" w:eastAsia="宋体"/>
          <w:sz w:val="21"/>
        </w:rPr>
        <w:t>作者: Junting Dong</w:t>
        <w:br/>
      </w:r>
      <w:r>
        <w:rPr>
          <w:rFonts w:ascii="Times New Roman" w:hAnsi="Times New Roman" w:eastAsia="宋体"/>
          <w:sz w:val="21"/>
        </w:rPr>
        <w:t xml:space="preserve">时间: 2026-02-04T11:13:55Z | </w:t>
      </w:r>
      <w:r>
        <w:t xml:space="preserve">链接: </w:t>
      </w:r>
      <w:hyperlink r:id="rId122">
        <w:r>
          <w:rPr>
            <w:rFonts w:ascii="Times New Roman" w:hAnsi="Times New Roman" w:eastAsia="宋体"/>
            <w:color w:val="0000FF"/>
            <w:sz w:val="21"/>
            <w:u w:val="single"/>
          </w:rPr>
          <w:t>https://arxiv.org/abs/2602.04439v1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前馈多帧 3D 重建模型在处理具有对象运动的视频时通常会降级。全局参考在多个运动下变得模糊，而局部点图严重依赖估计的相对姿势并且可能漂移，导致跨帧未对准和重复的结构。我们提出了 TrajVG，一种重建框架，通过估计相机坐标 3D 轨迹，使跨帧 3D 对应成为显式预测。我们将稀疏轨迹、每帧局部点图和相对相机姿态与几何一致性目标结合起来：（i）具有受控梯度流的双向轨迹点图一致性，以及（ii）由抑制动态区域梯度的静态轨迹锚点驱动的姿态一致性目标。为了将训练扩展到 3D 轨迹标签稀缺的野外视频，我们仅使用伪 2D 轨迹将相同的耦合约束重新表述为自监督目标，从而实现混合监督的统一训练。 3D 跟踪、姿态估计、点图重建和视频深度方面的大量实验表明 TrajVG 超越了当前的前馈性能基线。</w:t>
      </w:r>
    </w:p>
    <w:p>
      <w:pPr>
        <w:spacing w:before="120"/>
      </w:pPr>
      <w:r>
        <w:rPr>
          <w:rFonts w:ascii="Times New Roman" w:hAnsi="Times New Roman" w:eastAsia="宋体"/>
          <w:b/>
          <w:sz w:val="21"/>
        </w:rPr>
        <w:t>English Abstract:</w:t>
      </w:r>
    </w:p>
    <w:p>
      <w:r>
        <w:rPr>
          <w:rFonts w:ascii="Times New Roman" w:hAnsi="Times New Roman" w:eastAsia="宋体"/>
          <w:sz w:val="21"/>
        </w:rPr>
        <w:t>Feed-forward multi-frame 3D reconstruction models often degrade on videos with object motion. Global-reference becomes ambiguous under multiple motions, while the local pointmap relies heavily on estimated relative poses and can drift, causing cross-frame misalignment and duplicated structures. We propose TrajVG, a reconstruction framework that makes cross-frame 3D correspondence an explicit prediction by estimating camera-coordinate 3D trajectories. We couple sparse trajectories, per-frame local point maps, and relative camera poses with geometric consistency objectives: (i) bidirectional trajectory-pointmap consistency with controlled gradient flow, and (ii) a pose consistency objective driven by static track anchors that suppresses gradients from dynamic regions. To scale training to in-the-wild videos where 3D trajectory labels are scarce, we reformulate the same coupling constraints into self-supervised objectives using only pseudo 2D tracks, enabling unified training with mixed supervision. Extensive experiments across 3D tracking, pose estimation, pointmap reconstruction, and video depth show that TrajVG surpasses the current feedforward performance baseline.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中央视觉的时间缓慢推动语义对象学习</w:t>
      </w:r>
    </w:p>
    <w:p>
      <w:r>
        <w:rPr>
          <w:rFonts w:ascii="Times New Roman" w:hAnsi="Times New Roman" w:eastAsia="宋体"/>
          <w:b/>
          <w:color w:val="003264"/>
          <w:sz w:val="24"/>
        </w:rPr>
        <w:t>Temporal Slowness in Central Vision Drives Semantic Object Learning</w:t>
      </w:r>
    </w:p>
    <w:p>
      <w:r>
        <w:rPr>
          <w:rFonts w:ascii="Times New Roman" w:hAnsi="Times New Roman" w:eastAsia="宋体"/>
          <w:sz w:val="21"/>
        </w:rPr>
        <w:t>作者: Jochen Triesch</w:t>
        <w:br/>
      </w:r>
      <w:r>
        <w:rPr>
          <w:rFonts w:ascii="Times New Roman" w:hAnsi="Times New Roman" w:eastAsia="宋体"/>
          <w:sz w:val="21"/>
        </w:rPr>
        <w:t xml:space="preserve">时间: 2026-02-04T11:47:58Z | </w:t>
      </w:r>
      <w:r>
        <w:t xml:space="preserve">链接: </w:t>
      </w:r>
      <w:hyperlink r:id="rId123">
        <w:r>
          <w:rPr>
            <w:rFonts w:ascii="Times New Roman" w:hAnsi="Times New Roman" w:eastAsia="宋体"/>
            <w:color w:val="0000FF"/>
            <w:sz w:val="21"/>
            <w:u w:val="single"/>
          </w:rPr>
          <w:t>https://arxiv.org/abs/2602.04462v1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人类在最少的监督下从以自我为中心的视觉流中获取语义对象表示。重要的是，视觉系统仅以高分辨率处理其视野的中心，并学习及时发生的视觉输入的类似表示。这强调了注视位置周围信息的缓慢变化。这项研究调查了中央视觉和缓慢学习在从类人视觉体验中形成语义对象表示中的作用。我们使用 Ego4D 数据集模拟五个月的类人视觉体验，并使用最先进的注视预测模型生成注视坐标。利用这些预测，我们提取模仿中心视觉的作物，并在其上训练时间对比自我监督学习模型。我们的结果表明，时间缓慢性和中心视觉的结合改善了对象表示的不同语义方面的编码。具体来说，关注中心视觉可以加强对前景物体特征的提取，同时考虑时间缓慢性，特别是在注视眼球运动期间，使模型能够编码有关物体的更广泛的语义信息。这些发现为人类从自然视觉体验中开发语义对象表示的机制提供了新的见解。</w:t>
      </w:r>
    </w:p>
    <w:p>
      <w:pPr>
        <w:spacing w:before="120"/>
      </w:pPr>
      <w:r>
        <w:rPr>
          <w:rFonts w:ascii="Times New Roman" w:hAnsi="Times New Roman" w:eastAsia="宋体"/>
          <w:b/>
          <w:sz w:val="21"/>
        </w:rPr>
        <w:t>English Abstract:</w:t>
      </w:r>
    </w:p>
    <w:p>
      <w:r>
        <w:rPr>
          <w:rFonts w:ascii="Times New Roman" w:hAnsi="Times New Roman" w:eastAsia="宋体"/>
          <w:sz w:val="21"/>
        </w:rPr>
        <w:t>Humans acquire semantic object representations from egocentric visual streams with minimal supervision. Importantly, the visual system processes with high resolution only the center of its field of view and learns similar representations for visual inputs occurring close in time. This emphasizes slowly changing information around gaze locations. This study investigates the role of central vision and slowness learning in the formation of semantic object representations from human-like visual experience. We simulate five months of human-like visual experience using the Ego4D dataset and generate gaze coordinates with a state-of-the-art gaze prediction model. Using these predictions, we extract crops that mimic central vision and train a time-contrastive Self-Supervised Learning model on them. Our results show that combining temporal slowness and central vision improves the encoding of different semantic facets of object representations. Specifically, focusing on central vision strengthens the extraction of foreground object features, while considering temporal slowness, especially during fixational eye movements, allows the model to encode broader semantic information about objects. These findings provide new insights into the mechanisms by which humans may develop semantic object representations from natural visual experience.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SALAD-Pan：用于全色锐化的传感器无关的潜在自适应扩散</w:t>
      </w:r>
    </w:p>
    <w:p>
      <w:r>
        <w:rPr>
          <w:rFonts w:ascii="Times New Roman" w:hAnsi="Times New Roman" w:eastAsia="宋体"/>
          <w:b/>
          <w:color w:val="003264"/>
          <w:sz w:val="24"/>
        </w:rPr>
        <w:t>SALAD-Pan: Sensor-Agnostic Latent Adaptive Diffusion for Pan-Sharpening</w:t>
      </w:r>
    </w:p>
    <w:p>
      <w:r>
        <w:rPr>
          <w:rFonts w:ascii="Times New Roman" w:hAnsi="Times New Roman" w:eastAsia="宋体"/>
          <w:sz w:val="21"/>
        </w:rPr>
        <w:t>作者: Chunhua Shen</w:t>
        <w:br/>
      </w:r>
      <w:r>
        <w:rPr>
          <w:rFonts w:ascii="Times New Roman" w:hAnsi="Times New Roman" w:eastAsia="宋体"/>
          <w:sz w:val="21"/>
        </w:rPr>
        <w:t xml:space="preserve">时间: 2026-02-04T12:01:07Z | </w:t>
      </w:r>
      <w:r>
        <w:t xml:space="preserve">链接: </w:t>
      </w:r>
      <w:hyperlink r:id="rId124">
        <w:r>
          <w:rPr>
            <w:rFonts w:ascii="Times New Roman" w:hAnsi="Times New Roman" w:eastAsia="宋体"/>
            <w:color w:val="0000FF"/>
            <w:sz w:val="21"/>
            <w:u w:val="single"/>
          </w:rPr>
          <w:t>https://arxiv.org/abs/2602.04473v1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最近，扩散模型为全色锐化带来了新的见解，并显着提高了融合精度。然而，大多数现有模型在像素空间中进行扩散，并为不同的多光谱 (MS) 图像训练不同的模型，但存在高延迟和特定于传感器的限制。在本文中，我们提出了 SALAD-Pan，一种与传感器无关的潜在空间扩散方法，用于高效全色锐化。具体来说，SALAD-Pan 训练带状单通道 VAE，将高分辨率多光谱 (HRMS) 编码为紧凑的潜在表示，支持具有各种通道数的 MS 图像并建立加速基础。然后，光谱物理特性与PAN和MS图像分别通过单向和双向交互控制结构注入扩散主干，在扩散过程中实现高精度融合。最后，在扩散模型的中心层添加了一个轻量级的跨光谱注意模块，加强光谱连接以提高光谱一致性并进一步提高融合精度。 GauFen-2、QuickBird 和 WorldView-3 上的实验结果表明，SALAD-Pan 在所有三个数据集上均优于最先进的基于扩散的方法，实现了 2-3 倍的推理加速，并表现出强大的零样本（跨传感器）能力。</w:t>
      </w:r>
    </w:p>
    <w:p>
      <w:pPr>
        <w:spacing w:before="120"/>
      </w:pPr>
      <w:r>
        <w:rPr>
          <w:rFonts w:ascii="Times New Roman" w:hAnsi="Times New Roman" w:eastAsia="宋体"/>
          <w:b/>
          <w:sz w:val="21"/>
        </w:rPr>
        <w:t>English Abstract:</w:t>
      </w:r>
    </w:p>
    <w:p>
      <w:r>
        <w:rPr>
          <w:rFonts w:ascii="Times New Roman" w:hAnsi="Times New Roman" w:eastAsia="宋体"/>
          <w:sz w:val="21"/>
        </w:rPr>
        <w:t>Recently, diffusion models bring novel insights for Pan-sharpening and notably boost fusion precision. However, most existing models perform diffusion in the pixel space and train distinct models for different multispectral (MS) imagery, suffering from high latency and sensor-specific limitations. In this paper, we present SALAD-Pan, a sensor-agnostic latent space diffusion method for efficient pansharpening. Specifically, SALAD-Pan trains a band-wise single-channel VAE to encode high-resolution multispectral (HRMS) into compact latent representations, supporting MS images with various channel counts and establishing a basis for acceleration. Then spectral physical properties, along with PAN and MS images, are injected into the diffusion backbone through unidirectional and bidirectional interactive control structures respectively, achieving high-precision fusion in the diffusion process. Finally, a lightweight cross-spectral attention module is added to the central layer of diffusion model, reinforcing spectral connections to boost spectral consistency and further elevate fusion precision. Experimental results on GaoFen-2, QuickBird, and WorldView-3 demonstrate that SALAD-Pan outperforms state-of-the-art diffusion-based methods across all three datasets, attains a 2-3x inference speedup, and exhibits robust zero-shot (cross-sensor) capability.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S-MUSt3R：滑动多视图 3D 重建</w:t>
      </w:r>
    </w:p>
    <w:p>
      <w:r>
        <w:rPr>
          <w:rFonts w:ascii="Times New Roman" w:hAnsi="Times New Roman" w:eastAsia="宋体"/>
          <w:b/>
          <w:color w:val="003264"/>
          <w:sz w:val="24"/>
        </w:rPr>
        <w:t>S-MUSt3R: Sliding Multi-view 3D Reconstruction</w:t>
      </w:r>
    </w:p>
    <w:p>
      <w:r>
        <w:rPr>
          <w:rFonts w:ascii="Times New Roman" w:hAnsi="Times New Roman" w:eastAsia="宋体"/>
          <w:sz w:val="21"/>
        </w:rPr>
        <w:t>作者: Jerome Revaud</w:t>
        <w:br/>
      </w:r>
      <w:r>
        <w:rPr>
          <w:rFonts w:ascii="Times New Roman" w:hAnsi="Times New Roman" w:eastAsia="宋体"/>
          <w:sz w:val="21"/>
        </w:rPr>
        <w:t xml:space="preserve">时间: 2026-02-04T13:07:14Z | </w:t>
      </w:r>
      <w:r>
        <w:t xml:space="preserve">链接: </w:t>
      </w:r>
      <w:hyperlink r:id="rId125">
        <w:r>
          <w:rPr>
            <w:rFonts w:ascii="Times New Roman" w:hAnsi="Times New Roman" w:eastAsia="宋体"/>
            <w:color w:val="0000FF"/>
            <w:sz w:val="21"/>
            <w:u w:val="single"/>
          </w:rPr>
          <w:t>https://arxiv.org/abs/2602.04517v1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最近 3D 视觉范式的转变导致了基础模型的兴起，这些模型在未校准图像中具有卓越的 3D 感知能力。然而，由于内存限制，将这些模型扩展到大规模 RGB 流 3D 重建仍然具有挑战性。这项工作提出了 S-MUSt3R，这是一种简单而高效的流程，扩展了单目 3D 重建基础模型的限制。我们的方法通过简单的序列分割策略，然后是片段对齐和轻量级闭环优化，解决了基础模型的可扩展性瓶颈。无需模型重新训练，我们就能受益于 MUSt3R 模型卓越的 3D 重建能力，并实现与具有更复杂架构的传统方法相当的轨迹和重建性能。我们在 TUM、7-Scenes 和专有机器人导航数据集上评估 S-MUSt3R，并表明 S-MUSt3R 在长 RGB 序列上成功运行，并产生准确且一致的 3D 重建。我们的结果凸显了在现实环境中利用 MUSt3R 模型实现可扩展单目 3D 场景的潜力，并具有直接在度量空间中进行预测的重要优势。</w:t>
      </w:r>
    </w:p>
    <w:p>
      <w:pPr>
        <w:spacing w:before="120"/>
      </w:pPr>
      <w:r>
        <w:rPr>
          <w:rFonts w:ascii="Times New Roman" w:hAnsi="Times New Roman" w:eastAsia="宋体"/>
          <w:b/>
          <w:sz w:val="21"/>
        </w:rPr>
        <w:t>English Abstract:</w:t>
      </w:r>
    </w:p>
    <w:p>
      <w:r>
        <w:rPr>
          <w:rFonts w:ascii="Times New Roman" w:hAnsi="Times New Roman" w:eastAsia="宋体"/>
          <w:sz w:val="21"/>
        </w:rPr>
        <w:t>The recent paradigm shift in 3D vision led to the rise of foundation models with remarkable capabilities in 3D perception from uncalibrated images. However, extending these models to large-scale RGB stream 3D reconstruction remains challenging due to memory limitations. This work proposes S-MUSt3R, a simple and efficient pipeline that extends the limits of foundation models for monocular 3D reconstruction. Our approach addresses the scalability bottleneck of foundation models through a simple strategy of sequence segmentation followed by segment alignment and lightweight loop closure optimization. Without model retraining, we benefit from remarkable 3D reconstruction capacities of MUSt3R model and achieve trajectory and reconstruction performance comparable to traditional methods with more complex architecture. We evaluate S-MUSt3R on TUM, 7-Scenes and proprietary robot navigation datasets and show that S-MUSt3R runs successfully on long RGB sequences and produces accurate and consistent 3D reconstruction. Our results highlight the potential of leveraging the MUSt3R model for scalable monocular 3D scene in real-world settings, with an important advantage of making predictions directly in the metric space.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OmniRad：用于多任务医学图像分析的放射学基础模型</w:t>
      </w:r>
    </w:p>
    <w:p>
      <w:r>
        <w:rPr>
          <w:rFonts w:ascii="Times New Roman" w:hAnsi="Times New Roman" w:eastAsia="宋体"/>
          <w:b/>
          <w:color w:val="003264"/>
          <w:sz w:val="24"/>
        </w:rPr>
        <w:t>OmniRad: A Radiological Foundation Model for Multi-Task Medical Image Analysis</w:t>
      </w:r>
    </w:p>
    <w:p>
      <w:r>
        <w:rPr>
          <w:rFonts w:ascii="Times New Roman" w:hAnsi="Times New Roman" w:eastAsia="宋体"/>
          <w:sz w:val="21"/>
        </w:rPr>
        <w:t>作者: Cecilia Di Ruberto</w:t>
        <w:br/>
      </w:r>
      <w:r>
        <w:rPr>
          <w:rFonts w:ascii="Times New Roman" w:hAnsi="Times New Roman" w:eastAsia="宋体"/>
          <w:sz w:val="21"/>
        </w:rPr>
        <w:t xml:space="preserve">时间: 2026-02-04T13:38:51Z | </w:t>
      </w:r>
      <w:r>
        <w:t xml:space="preserve">链接: </w:t>
      </w:r>
      <w:hyperlink r:id="rId126">
        <w:r>
          <w:rPr>
            <w:rFonts w:ascii="Times New Roman" w:hAnsi="Times New Roman" w:eastAsia="宋体"/>
            <w:color w:val="0000FF"/>
            <w:sz w:val="21"/>
            <w:u w:val="single"/>
          </w:rPr>
          <w:t>https://arxiv.org/abs/2602.04547v1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放射学分析越来越受益于预训练的视觉表示，这些视觉表示可以支持跨成像模式的异构下游任务。在这项工作中，我们介绍了 OmniRad，这是一种在 120 万张医学图像上进行预训练的自监督放射学基础模型，其设计遵循放射学启发的原则，强调表示重用和跨任务可转移性。我们在多个下游适应机制下评估预训练的编码器，包括具有冻结主干的轻量级特定于任务的适配器以及用于分类的完整端到端微调，使我们能够评估表示质量和特定于任务的性能。 OmniRad 根据一系列广泛的公共基准进行评估，涵盖多种模式的分类和细分。在 MedMNISTv2 系列中，OmniRad 将分类 F1 比竞争基础模型提高了 2.05%。对于密集预测，当使用冻结表示时，OmniRad 在六个 MedSegBench 数据集上实现了平均 Dice 得分提高。定性分析和潜在空间可视化表明改进的特征聚类和模态相关的分离。</w:t>
      </w:r>
    </w:p>
    <w:p>
      <w:pPr>
        <w:spacing w:before="120"/>
      </w:pPr>
      <w:r>
        <w:rPr>
          <w:rFonts w:ascii="Times New Roman" w:hAnsi="Times New Roman" w:eastAsia="宋体"/>
          <w:b/>
          <w:sz w:val="21"/>
        </w:rPr>
        <w:t>English Abstract:</w:t>
      </w:r>
    </w:p>
    <w:p>
      <w:r>
        <w:rPr>
          <w:rFonts w:ascii="Times New Roman" w:hAnsi="Times New Roman" w:eastAsia="宋体"/>
          <w:sz w:val="21"/>
        </w:rPr>
        <w:t>Radiological analysis increasingly benefits from pretrained visual representations that can support heterogeneous downstream tasks across imaging modalities. In this work, we introduce OmniRad, a self-supervised radiological foundation model pretrained on 1.2 million medical images, designed with radiology-inspired principles emphasizing representation reuse and cross-task transferability. We evaluate the pretrained encoder under multiple downstream adaptation regimes, including lightweight task-specific adapters with a frozen backbone as well as full end-to-end fine-tuning for classification, allowing us to assess both representation quality and task-specific performance. OmniRad is evaluated on a broad suite of public benchmarks spanning classification and segmentation across multiple modalities. On the MedMNISTv2 collection, OmniRad improves classification F1 by up to 2.05% over competing foundation models. For dense prediction, OmniRad attains mean Dice score improvements across six MedSegBench datasets when using frozen representations. Qualitative analyses and latent-space visualizations suggest improved feature clustering and modality-related separation.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用视觉语言模型理解退化</w:t>
      </w:r>
    </w:p>
    <w:p>
      <w:r>
        <w:rPr>
          <w:rFonts w:ascii="Times New Roman" w:hAnsi="Times New Roman" w:eastAsia="宋体"/>
          <w:b/>
          <w:color w:val="003264"/>
          <w:sz w:val="24"/>
        </w:rPr>
        <w:t>Understanding Degradation with Vision Language Model</w:t>
      </w:r>
    </w:p>
    <w:p>
      <w:r>
        <w:rPr>
          <w:rFonts w:ascii="Times New Roman" w:hAnsi="Times New Roman" w:eastAsia="宋体"/>
          <w:sz w:val="21"/>
        </w:rPr>
        <w:t>作者: Xuelong Li</w:t>
        <w:br/>
      </w:r>
      <w:r>
        <w:rPr>
          <w:rFonts w:ascii="Times New Roman" w:hAnsi="Times New Roman" w:eastAsia="宋体"/>
          <w:sz w:val="21"/>
        </w:rPr>
        <w:t xml:space="preserve">时间: 2026-02-04T13:51:15Z | </w:t>
      </w:r>
      <w:r>
        <w:t xml:space="preserve">链接: </w:t>
      </w:r>
      <w:hyperlink r:id="rId127">
        <w:r>
          <w:rPr>
            <w:rFonts w:ascii="Times New Roman" w:hAnsi="Times New Roman" w:eastAsia="宋体"/>
            <w:color w:val="0000FF"/>
            <w:sz w:val="21"/>
            <w:u w:val="single"/>
          </w:rPr>
          <w:t>https://arxiv.org/abs/2602.04565v1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理解视觉退化是计算机视觉中一个关键但具有挑战性的问题。虽然最近的视觉语言模型 (VLM) 擅长定性描述，但它们通常无法理解图像退化背后的参数物理原理。在这项工作中，我们将退化理解重新定义为分层结构化预测任务，需要同时估计退化类型、参数键及其连续物理值。尽管这些子任务在不同的空间中运行，但我们证明它们可以在一个自回归下一个标记预测范式下统一，其误差受到值空间量化网格的限制。基于这一见解，我们引入了 DU-VLM，这是一种多模式思想链模型，通过使用结构化奖励的监督微调和强化学习进行训练。此外，我们还表明 DU-VLM 可以用作预训练扩散模型的零样本控制器，无需微调生成主干即可实现高保真图像恢复。我们还引入了 \textbf{DU-110k}，这是一个大型数据集，包含 110,000 个带有基础物理注释的干净退化对。大量的实验表明，我们的方法在准确性和鲁棒性方面都显着优于通才基线，表现出对看不见的分布的泛化能力。</w:t>
      </w:r>
    </w:p>
    <w:p>
      <w:pPr>
        <w:spacing w:before="120"/>
      </w:pPr>
      <w:r>
        <w:rPr>
          <w:rFonts w:ascii="Times New Roman" w:hAnsi="Times New Roman" w:eastAsia="宋体"/>
          <w:b/>
          <w:sz w:val="21"/>
        </w:rPr>
        <w:t>English Abstract:</w:t>
      </w:r>
    </w:p>
    <w:p>
      <w:r>
        <w:rPr>
          <w:rFonts w:ascii="Times New Roman" w:hAnsi="Times New Roman" w:eastAsia="宋体"/>
          <w:sz w:val="21"/>
        </w:rPr>
        <w:t>Understanding visual degradations is a critical yet challenging problem in computer vision. While recent Vision-Language Models (VLMs) excel at qualitative description, they often fall short in understanding the parametric physics underlying image degradations. In this work, we redefine degradation understanding as a hierarchical structured prediction task, necessitating the concurrent estimation of degradation types, parameter keys, and their continuous physical values. Although these sub-tasks operate in disparate spaces, we prove that they can be unified under one autoregressive next-token prediction paradigm, whose error is bounded by the value-space quantization grid. Building on this insight, we introduce DU-VLM, a multimodal chain-of-thought model trained with supervised fine-tuning and reinforcement learning using structured rewards. Furthermore, we show that DU-VLM can serve as a zero-shot controller for pre-trained diffusion models, enabling high-fidelity image restoration without fine-tuning the generative backbone. We also introduce \textbf{DU-110k}, a large-scale dataset comprising 110,000 clean-degraded pairs with grounded physical annotations. Extensive experiments demonstrate that our approach significantly outperforms generalist baselines in both accuracy and robustness, exhibiting generalization to unseen distributions.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PEPR：用于域泛化的基于特权事件的预测正则化</w:t>
      </w:r>
    </w:p>
    <w:p>
      <w:r>
        <w:rPr>
          <w:rFonts w:ascii="Times New Roman" w:hAnsi="Times New Roman" w:eastAsia="宋体"/>
          <w:b/>
          <w:color w:val="003264"/>
          <w:sz w:val="24"/>
        </w:rPr>
        <w:t>PEPR: Privileged Event-based Predictive Regularization for Domain Generalization</w:t>
      </w:r>
    </w:p>
    <w:p>
      <w:r>
        <w:rPr>
          <w:rFonts w:ascii="Times New Roman" w:hAnsi="Times New Roman" w:eastAsia="宋体"/>
          <w:sz w:val="21"/>
        </w:rPr>
        <w:t>作者: Pietro Pala</w:t>
        <w:br/>
      </w:r>
      <w:r>
        <w:rPr>
          <w:rFonts w:ascii="Times New Roman" w:hAnsi="Times New Roman" w:eastAsia="宋体"/>
          <w:sz w:val="21"/>
        </w:rPr>
        <w:t xml:space="preserve">时间: 2026-02-04T14:10:36Z | </w:t>
      </w:r>
      <w:r>
        <w:t xml:space="preserve">链接: </w:t>
      </w:r>
      <w:hyperlink r:id="rId128">
        <w:r>
          <w:rPr>
            <w:rFonts w:ascii="Times New Roman" w:hAnsi="Times New Roman" w:eastAsia="宋体"/>
            <w:color w:val="0000FF"/>
            <w:sz w:val="21"/>
            <w:u w:val="single"/>
          </w:rPr>
          <w:t>https://arxiv.org/abs/2602.04583v1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用于视觉感知的深度神经网络非常容易受到域转移的影响，这对在与训练数据不同的条件下进行实际部署提出了严峻的挑战。为了解决这一领域泛化挑战，我们在使用特权信息学习（LUPI）范式下提出了一个跨模态框架，用于训练鲁棒的单模态 RGB 模型。我们利用事件摄像机作为特权信息的来源，仅在训练期间可用。这两种模式表现出互补的特征：RGB 流在语义上是密集的，但与域相关，而事件流是稀疏的，但更具有域不变性。因此，它们之间的直接特征对齐并不是最优的，因为它迫使 RGB 编码器模仿稀疏事件表示，从而丢失语义细节。为了克服这个问题，我们引入了基于特权事件的预测正则化（PEPR），它将 LUPI 重新定义为共享潜在空间中的预测问题。我们没有强制执行直接跨模态对齐，而是使用 PEPR 训练 RGB 编码器来预测基于事件的潜在特征，在不牺牲语义丰富性的情况下提高鲁棒性。由此产生的独立 RGB 模型持续提高了对昼夜和其他域变化的鲁棒性，在对象检测和语义分割方面优于基于对齐的基线。</w:t>
      </w:r>
    </w:p>
    <w:p>
      <w:pPr>
        <w:spacing w:before="120"/>
      </w:pPr>
      <w:r>
        <w:rPr>
          <w:rFonts w:ascii="Times New Roman" w:hAnsi="Times New Roman" w:eastAsia="宋体"/>
          <w:b/>
          <w:sz w:val="21"/>
        </w:rPr>
        <w:t>English Abstract:</w:t>
      </w:r>
    </w:p>
    <w:p>
      <w:r>
        <w:rPr>
          <w:rFonts w:ascii="Times New Roman" w:hAnsi="Times New Roman" w:eastAsia="宋体"/>
          <w:sz w:val="21"/>
        </w:rPr>
        <w:t>Deep neural networks for visual perception are highly susceptible to domain shift, which poses a critical challenge for real-world deployment under conditions that differ from the training data. To address this domain generalization challenge, we propose a cross-modal framework under the learning using privileged information (LUPI) paradigm for training a robust, single-modality RGB model. We leverage event cameras as a source of privileged information, available only during training. The two modalities exhibit complementary characteristics: the RGB stream is semantically dense but domain-dependent, whereas the event stream is sparse yet more domain-invariant. Direct feature alignment between them is therefore suboptimal, as it forces the RGB encoder to mimic the sparse event representation, thereby losing semantic detail. To overcome this, we introduce Privileged Event-based Predictive Regularization (PEPR), which reframes LUPI as a predictive problem in a shared latent space. Instead of enforcing direct cross-modal alignment, we train the RGB encoder with PEPR to predict event-based latent features, distilling robustness without sacrificing semantic richness. The resulting standalone RGB model consistently improves robustness to day-to-night and other domain shifts, outperforming alignment-based baselines across object detection and semantic segmentation.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ImmuVis：用于成像质量细胞计数的超卷积基础模型</w:t>
      </w:r>
    </w:p>
    <w:p>
      <w:r>
        <w:rPr>
          <w:rFonts w:ascii="Times New Roman" w:hAnsi="Times New Roman" w:eastAsia="宋体"/>
          <w:b/>
          <w:color w:val="003264"/>
          <w:sz w:val="24"/>
        </w:rPr>
        <w:t>ImmuVis: Hyperconvolutional Foundation Model for Imaging Mass Cytometry</w:t>
      </w:r>
    </w:p>
    <w:p>
      <w:r>
        <w:rPr>
          <w:rFonts w:ascii="Times New Roman" w:hAnsi="Times New Roman" w:eastAsia="宋体"/>
          <w:sz w:val="21"/>
        </w:rPr>
        <w:t>作者: Ewa Szczurek</w:t>
        <w:br/>
      </w:r>
      <w:r>
        <w:rPr>
          <w:rFonts w:ascii="Times New Roman" w:hAnsi="Times New Roman" w:eastAsia="宋体"/>
          <w:sz w:val="21"/>
        </w:rPr>
        <w:t xml:space="preserve">时间: 2026-02-04T14:11:33Z | </w:t>
      </w:r>
      <w:r>
        <w:t xml:space="preserve">链接: </w:t>
      </w:r>
      <w:hyperlink r:id="rId129">
        <w:r>
          <w:rPr>
            <w:rFonts w:ascii="Times New Roman" w:hAnsi="Times New Roman" w:eastAsia="宋体"/>
            <w:color w:val="0000FF"/>
            <w:sz w:val="21"/>
            <w:u w:val="single"/>
          </w:rPr>
          <w:t>https://arxiv.org/abs/2602.04585v1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我们推出了 ImmuVis，一种用于成像质谱流式分析 (IMC) 的高效卷积基础模型，这是一种高通量多重成像技术，可将分子标记测量作为图像通道进行处理，并实现大规模空间组织分析。与自然图像不同，多重成像缺乏固定的通道空间，因为现实世界的标记集因研究而异，违反了标准视觉主干的核心假设。为了解决这个问题，ImmuVis 引入了标记自适应超卷积，它可以根据学习的标记嵌入生成卷积核，从而使单个模型能够在任意测量的标记子集上运行，而无需重新训练。我们使用自监督掩模重建在迄今为止最大的数据集 IMC17M（28 个队列、24,405 张图像、265 个标记、超过 1700 万个补丁）上对 ImmuVis 进行预训练。 ImmuVis 在虚拟染色和下游分类任务中的性能优于 SOTA 基线和消融，其计算成本远低于基于 Transformer 的替代方案，并且是唯一通过异方差似然目标提供校准不确定性的模型。这些结果使 ImmuVis 成为现实世界 IMC 建模的实用、高效的基础模型。</w:t>
      </w:r>
    </w:p>
    <w:p>
      <w:pPr>
        <w:spacing w:before="120"/>
      </w:pPr>
      <w:r>
        <w:rPr>
          <w:rFonts w:ascii="Times New Roman" w:hAnsi="Times New Roman" w:eastAsia="宋体"/>
          <w:b/>
          <w:sz w:val="21"/>
        </w:rPr>
        <w:t>English Abstract:</w:t>
      </w:r>
    </w:p>
    <w:p>
      <w:r>
        <w:rPr>
          <w:rFonts w:ascii="Times New Roman" w:hAnsi="Times New Roman" w:eastAsia="宋体"/>
          <w:sz w:val="21"/>
        </w:rPr>
        <w:t>We present ImmuVis, an efficient convolutional foundation model for imaging mass cytometry (IMC), a high-throughput multiplex imaging technology that handles molecular marker measurements as image channels and enables large-scale spatial tissue profiling. Unlike natural images, multiplex imaging lacks a fixed channel space, as real-world marker sets vary across studies, violating a core assumption of standard vision backbones. To address this, ImmuVis introduces marker-adaptive hyperconvolutions that generate convolutional kernels from learned marker embeddings, enabling a single model to operate on arbitrary measured marker subsets without retraining. We pretrain ImmuVis on the largest to-date dataset, IMC17M (28 cohorts, 24,405 images, 265 markers, over 17M patches), using self-supervised masked reconstruction. ImmuVis outperforms SOTA baselines and ablations in virtual staining and downstream classification tasks at substantially lower compute cost than transformer-based alternatives, and is the sole model that provides calibrated uncertainty via a heteroscedastic likelihood objective. These results position ImmuVis as a practical, efficient foundation model for real-world IMC modeling.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医疗人工智能模拟放血程序的标记数据集：用于对象检测和人机交互的多边形注释</w:t>
      </w:r>
    </w:p>
    <w:p>
      <w:r>
        <w:rPr>
          <w:rFonts w:ascii="Times New Roman" w:hAnsi="Times New Roman" w:eastAsia="宋体"/>
          <w:b/>
          <w:color w:val="003264"/>
          <w:sz w:val="24"/>
        </w:rPr>
        <w:t>A labeled dataset of simulated phlebotomy procedures for medical AI: polygon annotations for object detection and human-object interaction</w:t>
      </w:r>
    </w:p>
    <w:p>
      <w:r>
        <w:rPr>
          <w:rFonts w:ascii="Times New Roman" w:hAnsi="Times New Roman" w:eastAsia="宋体"/>
          <w:sz w:val="21"/>
        </w:rPr>
        <w:t>作者: Barbara Weber</w:t>
        <w:br/>
      </w:r>
      <w:r>
        <w:rPr>
          <w:rFonts w:ascii="Times New Roman" w:hAnsi="Times New Roman" w:eastAsia="宋体"/>
          <w:sz w:val="21"/>
        </w:rPr>
        <w:t xml:space="preserve">时间: 2026-02-04T14:54:46Z | </w:t>
      </w:r>
      <w:r>
        <w:t xml:space="preserve">链接: </w:t>
      </w:r>
      <w:hyperlink r:id="rId130">
        <w:r>
          <w:rPr>
            <w:rFonts w:ascii="Times New Roman" w:hAnsi="Times New Roman" w:eastAsia="宋体"/>
            <w:color w:val="0000FF"/>
            <w:sz w:val="21"/>
            <w:u w:val="single"/>
          </w:rPr>
          <w:t>https://arxiv.org/abs/2602.04624v1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本数据文章提供了包含 11,884 张标记图像的数据集，记录了在训练臂上执行的模拟血液抽取（静脉切开术）程序。图像是从在受控条件下录制的高清视频中提取的，并使用结构相似性指数测量 (SSIM) 过滤来减少冗余。在帧选择之前，对所有视频应用自动面部匿名化步骤。每个图像都包含五个医学相关类别的多边形注释：注射器、橡皮筋、消毒湿巾、手套和训练手臂。注释以与现代对象检测框架（例如 YOLOv8）兼容的分段格式导出，确保广泛的可用性。该数据集分为训练 (70%)、验证 (15%) 和测试 (15%) 子集，旨在推进医疗训练自动化和人机交互的研究。它支持多种应用，包括放血工具检测、程序步骤识别、工作流程分析、一致性检查以及开发向医学实习生提供结构化反馈的教育系统。数据和随附的标签文件可在 Zenodo 上公开获取。</w:t>
      </w:r>
    </w:p>
    <w:p>
      <w:pPr>
        <w:spacing w:before="120"/>
      </w:pPr>
      <w:r>
        <w:rPr>
          <w:rFonts w:ascii="Times New Roman" w:hAnsi="Times New Roman" w:eastAsia="宋体"/>
          <w:b/>
          <w:sz w:val="21"/>
        </w:rPr>
        <w:t>English Abstract:</w:t>
      </w:r>
    </w:p>
    <w:p>
      <w:r>
        <w:rPr>
          <w:rFonts w:ascii="Times New Roman" w:hAnsi="Times New Roman" w:eastAsia="宋体"/>
          <w:sz w:val="21"/>
        </w:rPr>
        <w:t>This data article presents a dataset of 11,884 labeled images documenting a simulated blood extraction (phlebotomy) procedure performed on a training arm. Images were extracted from high-definition videos recorded under controlled conditions and curated to reduce redundancy using Structural Similarity Index Measure (SSIM) filtering. An automated face-anonymization step was applied to all videos prior to frame selection. Each image contains polygon annotations for five medically relevant classes: syringe, rubber band, disinfectant wipe, gloves, and training arm. The annotations were exported in a segmentation format compatible with modern object detection frameworks (e.g., YOLOv8), ensuring broad usability. This dataset is partitioned into training (70%), validation (15%), and test (15%) subsets and is designed to advance research in medical training automation and human-object interaction. It enables multiple applications, including phlebotomy tool detection, procedural step recognition, workflow analysis, conformance checking, and the development of educational systems that provide structured feedback to medical trainees. The data and accompanying label files are publicly available on Zenodo.</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研究文本到图像模型中的残疾表示</w:t>
      </w:r>
    </w:p>
    <w:p>
      <w:r>
        <w:rPr>
          <w:rFonts w:ascii="Times New Roman" w:hAnsi="Times New Roman" w:eastAsia="宋体"/>
          <w:b/>
          <w:color w:val="003264"/>
          <w:sz w:val="24"/>
        </w:rPr>
        <w:t>Investigating Disability Representations in Text-to-Image Models</w:t>
      </w:r>
    </w:p>
    <w:p>
      <w:r>
        <w:rPr>
          <w:rFonts w:ascii="Times New Roman" w:hAnsi="Times New Roman" w:eastAsia="宋体"/>
          <w:sz w:val="21"/>
        </w:rPr>
        <w:t>作者: Sarah Ebling</w:t>
        <w:br/>
      </w:r>
      <w:r>
        <w:rPr>
          <w:rFonts w:ascii="Times New Roman" w:hAnsi="Times New Roman" w:eastAsia="宋体"/>
          <w:sz w:val="21"/>
        </w:rPr>
        <w:t xml:space="preserve">时间: 2026-02-04T15:54:25Z | </w:t>
      </w:r>
      <w:r>
        <w:t xml:space="preserve">链接: </w:t>
      </w:r>
      <w:hyperlink r:id="rId131">
        <w:r>
          <w:rPr>
            <w:rFonts w:ascii="Times New Roman" w:hAnsi="Times New Roman" w:eastAsia="宋体"/>
            <w:color w:val="0000FF"/>
            <w:sz w:val="21"/>
            <w:u w:val="single"/>
          </w:rPr>
          <w:t>https://arxiv.org/abs/2602.04687v1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文本到图像生成模型在根据文本描述生成高质量视觉内容方面取得了显着进展，但人们仍然担心它们如何代表社会群体。虽然性别和种族等特征受到越来越多的关注，但残疾代表性仍然没有得到充分探索。本研究通过使用结构化提示设计分析 Stable Diffusion XL 和 DALL-E 3 的输出，研究如何在 AI 生成的图像中呈现残疾人。我们通过比较一般残疾提示和涉及特定残疾类别的提示之间的图像相似性来分析残疾表征。此外，我们评估缓解策略如何影响残疾描绘，重点是通过情感极性分析评估情感框架，结合自动和人工评估。我们的研究结果揭示了持续存在的代表性失衡，并强调需要不断评估和完善生成模型，以促进对残疾的更加多样化和包容性的描述。</w:t>
      </w:r>
    </w:p>
    <w:p>
      <w:pPr>
        <w:spacing w:before="120"/>
      </w:pPr>
      <w:r>
        <w:rPr>
          <w:rFonts w:ascii="Times New Roman" w:hAnsi="Times New Roman" w:eastAsia="宋体"/>
          <w:b/>
          <w:sz w:val="21"/>
        </w:rPr>
        <w:t>English Abstract:</w:t>
      </w:r>
    </w:p>
    <w:p>
      <w:r>
        <w:rPr>
          <w:rFonts w:ascii="Times New Roman" w:hAnsi="Times New Roman" w:eastAsia="宋体"/>
          <w:sz w:val="21"/>
        </w:rPr>
        <w:t>Text-to-image generative models have made remarkable progress in producing high-quality visual content from textual descriptions, yet concerns remain about how they represent social groups. While characteristics like gender and race have received increasing attention, disability representations remain underexplored. This study investigates how people with disabilities are represented in AI-generated images by analyzing outputs from Stable Diffusion XL and DALL-E 3 using a structured prompt design. We analyze disability representations by comparing image similarities between generic disability prompts and prompts referring to specific disability categories. Moreover, we evaluate how mitigation strategies influence disability portrayals, with a focus on assessing affective framing through sentiment polarity analysis, combining both automatic and human evaluation. Our findings reveal persistent representational imbalances and highlight the need for continuous evaluation and refinement of generative models to foster more diverse and inclusive portrayals of disability.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DRMOT：RGBD 参考多对象跟踪的数据集和框架</w:t>
      </w:r>
    </w:p>
    <w:p>
      <w:r>
        <w:rPr>
          <w:rFonts w:ascii="Times New Roman" w:hAnsi="Times New Roman" w:eastAsia="宋体"/>
          <w:b/>
          <w:color w:val="003264"/>
          <w:sz w:val="24"/>
        </w:rPr>
        <w:t>DRMOT: A Dataset and Framework for RGBD Referring Multi-Object Tracking</w:t>
      </w:r>
    </w:p>
    <w:p>
      <w:r>
        <w:rPr>
          <w:rFonts w:ascii="Times New Roman" w:hAnsi="Times New Roman" w:eastAsia="宋体"/>
          <w:sz w:val="21"/>
        </w:rPr>
        <w:t>作者: Wenbing Tao</w:t>
        <w:br/>
      </w:r>
      <w:r>
        <w:rPr>
          <w:rFonts w:ascii="Times New Roman" w:hAnsi="Times New Roman" w:eastAsia="宋体"/>
          <w:sz w:val="21"/>
        </w:rPr>
        <w:t xml:space="preserve">时间: 2026-02-04T15:56:16Z | </w:t>
      </w:r>
      <w:r>
        <w:t xml:space="preserve">链接: </w:t>
      </w:r>
      <w:hyperlink r:id="rId132">
        <w:r>
          <w:rPr>
            <w:rFonts w:ascii="Times New Roman" w:hAnsi="Times New Roman" w:eastAsia="宋体"/>
            <w:color w:val="0000FF"/>
            <w:sz w:val="21"/>
            <w:u w:val="single"/>
          </w:rPr>
          <w:t>https://arxiv.org/abs/2602.04692v1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参考多目标跟踪（RMOT）旨在根据语言描述跟踪特定目标，对于机器人和自动驾驶等交互式人工智能系统至关重要。然而，现有的 RMOT 模型仅依赖于 2D RGB 数据，由于缺乏明确的 3D 空间信息，因此很难准确检测和关联以复杂空间语义为特征的目标（例如“最靠近相机的人”），并在严重遮挡下保持可靠的身份。在这项工作中，我们提出了一项新颖的任务：RGBD 参考多对象跟踪 (DRMOT)，它明确要求模型融合 RGB、深度 (D) 和语言 (L) 模态以实现 3D 感知跟踪。为了推进 DRMOT 任务的研究，我们构建了一个定制的 RGBD 参考多目标跟踪数据集，名为 DRSet，旨在评估模型的空间语义基础和跟踪能力。具体来说，DRSet 包含来自 187 个场景的 RGB 图像和深度图，以及 240 种语言描述，其中 56 种描述包含与深度相关的信息。此外，我们提出了 DRTrack，一种 MLLM 引导的深度参考跟踪框架。 DRTrack 通过联合 RGB-D-L 输入执行深度感知目标接地，并通过合并深度提示来强制执行稳健的轨迹关联。对 DRSet 数据集的大量实验证明了我们框架的有效性。</w:t>
      </w:r>
    </w:p>
    <w:p>
      <w:pPr>
        <w:spacing w:before="120"/>
      </w:pPr>
      <w:r>
        <w:rPr>
          <w:rFonts w:ascii="Times New Roman" w:hAnsi="Times New Roman" w:eastAsia="宋体"/>
          <w:b/>
          <w:sz w:val="21"/>
        </w:rPr>
        <w:t>English Abstract:</w:t>
      </w:r>
    </w:p>
    <w:p>
      <w:r>
        <w:rPr>
          <w:rFonts w:ascii="Times New Roman" w:hAnsi="Times New Roman" w:eastAsia="宋体"/>
          <w:sz w:val="21"/>
        </w:rPr>
        <w:t>Referring Multi-Object Tracking (RMOT) aims to track specific targets based on language descriptions and is vital for interactive AI systems such as robotics and autonomous driving. However, existing RMOT models rely solely on 2D RGB data, making it challenging to accurately detect and associate targets characterized by complex spatial semantics (e.g., ``the person closest to the camera'') and to maintain reliable identities under severe occlusion, due to the absence of explicit 3D spatial information. In this work, we propose a novel task, RGBD Referring Multi-Object Tracking (DRMOT), which explicitly requires models to fuse RGB, Depth (D), and Language (L) modalities to achieve 3D-aware tracking. To advance research on the DRMOT task, we construct a tailored RGBD referring multi-object tracking dataset, named DRSet, designed to evaluate models' spatial-semantic grounding and tracking capabilities. Specifically, DRSet contains RGB images and depth maps from 187 scenes, along with 240 language descriptions, among which 56 descriptions incorporate depth-related information. Furthermore, we propose DRTrack, a MLLM-guided depth-referring tracking framework. DRTrack performs depth-aware target grounding from joint RGB-D-L inputs and enforces robust trajectory association by incorporating depth cues. Extensive experiments on the DRSet dataset demonstrate the effectiveness of our framework.</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用于文本到图像生成的自适应提示启发</w:t>
      </w:r>
    </w:p>
    <w:p>
      <w:r>
        <w:rPr>
          <w:rFonts w:ascii="Times New Roman" w:hAnsi="Times New Roman" w:eastAsia="宋体"/>
          <w:b/>
          <w:color w:val="003264"/>
          <w:sz w:val="24"/>
        </w:rPr>
        <w:t>Adaptive Prompt Elicitation for Text-to-Image Generation</w:t>
      </w:r>
    </w:p>
    <w:p>
      <w:r>
        <w:rPr>
          <w:rFonts w:ascii="Times New Roman" w:hAnsi="Times New Roman" w:eastAsia="宋体"/>
          <w:sz w:val="21"/>
        </w:rPr>
        <w:t>作者: Antti Oulasvirta</w:t>
        <w:br/>
      </w:r>
      <w:r>
        <w:rPr>
          <w:rFonts w:ascii="Times New Roman" w:hAnsi="Times New Roman" w:eastAsia="宋体"/>
          <w:sz w:val="21"/>
        </w:rPr>
        <w:t xml:space="preserve">时间: 2026-02-04T16:24:46Z | </w:t>
      </w:r>
      <w:r>
        <w:t xml:space="preserve">链接: </w:t>
      </w:r>
      <w:hyperlink r:id="rId133">
        <w:r>
          <w:rPr>
            <w:rFonts w:ascii="Times New Roman" w:hAnsi="Times New Roman" w:eastAsia="宋体"/>
            <w:color w:val="0000FF"/>
            <w:sz w:val="21"/>
            <w:u w:val="single"/>
          </w:rPr>
          <w:t>https://arxiv.org/abs/2602.04713v1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对于提供模糊输入并与模型特性作斗争的用户来说，将文本到图像的生成与用户意图保持一致仍然具有挑战性。我们提出了自适应提示启发（APE），这是一种自适应地提出视觉查询的技术，可以帮助用户在无需大量书写的情况下完善提示。我们的技术贡献是在信息理论框架下制定交互式意图推理。 APE 使用语言模型先验将潜在意图表示为可解释的特征需求，自适应地生成视觉查询，并将引发的需求编译为有效的提示。 IDEA-Bench和DesignBench的评估表明，APE实现了更强的一致性并提高了效率。针对具有挑战性的用户定义任务的用户研究表明，在没有工作负载开销的情况下，一致性提高了 19.8%。我们的工作提供了一种有原则的提示方法，对于普通用户来说，为流行的基于提示的文本到图像模型的交互范例提供了有效且高效的补充。</w:t>
      </w:r>
    </w:p>
    <w:p>
      <w:pPr>
        <w:spacing w:before="120"/>
      </w:pPr>
      <w:r>
        <w:rPr>
          <w:rFonts w:ascii="Times New Roman" w:hAnsi="Times New Roman" w:eastAsia="宋体"/>
          <w:b/>
          <w:sz w:val="21"/>
        </w:rPr>
        <w:t>English Abstract:</w:t>
      </w:r>
    </w:p>
    <w:p>
      <w:r>
        <w:rPr>
          <w:rFonts w:ascii="Times New Roman" w:hAnsi="Times New Roman" w:eastAsia="宋体"/>
          <w:sz w:val="21"/>
        </w:rPr>
        <w:t>Aligning text-to-image generation with user intent remains challenging, for users who provide ambiguous inputs and struggle with model idiosyncrasies. We propose Adaptive Prompt Elicitation (APE), a technique that adaptively asks visual queries to help users refine prompts without extensive writing. Our technical contribution is a formulation of interactive intent inference under an information-theoretic framework. APE represents latent intent as interpretable feature requirements using language model priors, adaptively generates visual queries, and compiles elicited requirements into effective prompts. Evaluation on IDEA-Bench and DesignBench shows that APE achieves stronger alignment with improved efficiency. A user study with challenging user-defined tasks demonstrates 19.8% higher alignment without workload overhead. Our work contributes a principled approach to prompting that, for general users, offers an effective and efficient complement to the prevailing prompt-based interaction paradigm with text-to-image models.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如何重写星星：通过水果星座绘制随时间变化的果园图</w:t>
      </w:r>
    </w:p>
    <w:p>
      <w:r>
        <w:rPr>
          <w:rFonts w:ascii="Times New Roman" w:hAnsi="Times New Roman" w:eastAsia="宋体"/>
          <w:b/>
          <w:color w:val="003264"/>
          <w:sz w:val="24"/>
        </w:rPr>
        <w:t>How to rewrite the stars: Mapping your orchard over time through constellations of fruits</w:t>
      </w:r>
    </w:p>
    <w:p>
      <w:r>
        <w:rPr>
          <w:rFonts w:ascii="Times New Roman" w:hAnsi="Times New Roman" w:eastAsia="宋体"/>
          <w:sz w:val="21"/>
        </w:rPr>
        <w:t>作者: Ernesto M. Morgado</w:t>
        <w:br/>
      </w:r>
      <w:r>
        <w:rPr>
          <w:rFonts w:ascii="Times New Roman" w:hAnsi="Times New Roman" w:eastAsia="宋体"/>
          <w:sz w:val="21"/>
        </w:rPr>
        <w:t xml:space="preserve">时间: 2026-02-04T16:31:32Z | </w:t>
      </w:r>
      <w:r>
        <w:t xml:space="preserve">链接: </w:t>
      </w:r>
      <w:hyperlink r:id="rId134">
        <w:r>
          <w:rPr>
            <w:rFonts w:ascii="Times New Roman" w:hAnsi="Times New Roman" w:eastAsia="宋体"/>
            <w:color w:val="0000FF"/>
            <w:sz w:val="21"/>
            <w:u w:val="single"/>
          </w:rPr>
          <w:t>https://arxiv.org/abs/2602.04722v1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通过跟踪作物的生长周期，农民可以在早期阶段预测坐果和产量，但如果由必须使用卡尺或树木测量仪手动测量果实大小的人来执行，这是一项费力且不可扩展的任务。近年来，计算机视觉已被用于自动化精准农业中的多项任务，例如检测和计数水果以及估计其大小。然而，将给定日期收集的一个视频中的完全相同的水果与稍后日期收集的另一视频中可见的水果进行匹配的基本问题仍有待解决，这是跟踪水果随时间的生长所需的。很少有人尝试，但他们要么假设相机总是从相同的已知位置开始，并且有足够明显的特征来匹配，要么他们使用 GPS 等其他数据源。在这里，我们提出了一种基于 3D 质心星座的新范例来解决这个问题，并引入了非常稀疏的 3D 点云的描述符，可用于跨视频匹配水果。匹配星座而不是单个水果是处理非刚性、遮挡和具有挑战性的图像的关键，几乎没有明显的视觉特征需要跟踪。结果表明，所提出的方法可以成功地用于跨视频和跨时间的水果匹配，还可以构建果园地图，然后使用它来定位 6DoF 中的相机位姿，从而为果园中的机器人自主导航和选择性水果采摘等提供一种方法。</w:t>
      </w:r>
    </w:p>
    <w:p>
      <w:pPr>
        <w:spacing w:before="120"/>
      </w:pPr>
      <w:r>
        <w:rPr>
          <w:rFonts w:ascii="Times New Roman" w:hAnsi="Times New Roman" w:eastAsia="宋体"/>
          <w:b/>
          <w:sz w:val="21"/>
        </w:rPr>
        <w:t>English Abstract:</w:t>
      </w:r>
    </w:p>
    <w:p>
      <w:r>
        <w:rPr>
          <w:rFonts w:ascii="Times New Roman" w:hAnsi="Times New Roman" w:eastAsia="宋体"/>
          <w:sz w:val="21"/>
        </w:rPr>
        <w:t>Following crop growth through the vegetative cycle allows farmers to predict fruit setting and yield in early stages, but it is a laborious and non-scalable task if performed by a human who has to manually measure fruit sizes with a caliper or dendrometers. In recent years, computer vision has been used to automate several tasks in precision agriculture, such as detecting and counting fruits, and estimating their size. However, the fundamental problem of matching the exact same fruits from one video, collected on a given date, to the fruits visible in another video, collected on a later date, which is needed to track fruits' growth through time, remains to be solved. Few attempts were made, but they either assume that the camera always starts from the same known position and that there are sufficiently distinct features to match, or they used other sources of data like GPS. Here we propose a new paradigm to tackle this problem, based on constellations of 3D centroids, and introduce a descriptor for very sparse 3D point clouds that can be used to match fruits across videos. Matching constellations instead of individual fruits is key to deal with non-rigidity, occlusions and challenging imagery with few distinct visual features to track. The results show that the proposed method can be successfully used to match fruits across videos and through time, and also to build an orchard map and later use it to locate the camera pose in 6DoF, thus providing a method for autonomous navigation of robots in the orchard and for selective fruit picking, for example.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通过即时控制扩散增强减轻长尾偏差</w:t>
      </w:r>
    </w:p>
    <w:p>
      <w:r>
        <w:rPr>
          <w:rFonts w:ascii="Times New Roman" w:hAnsi="Times New Roman" w:eastAsia="宋体"/>
          <w:b/>
          <w:color w:val="003264"/>
          <w:sz w:val="24"/>
        </w:rPr>
        <w:t>Mitigating Long-Tail Bias via Prompt-Controlled Diffusion Augmentation</w:t>
      </w:r>
    </w:p>
    <w:p>
      <w:r>
        <w:rPr>
          <w:rFonts w:ascii="Times New Roman" w:hAnsi="Times New Roman" w:eastAsia="宋体"/>
          <w:sz w:val="21"/>
        </w:rPr>
        <w:t>作者: Vishal M. Patel</w:t>
        <w:br/>
      </w:r>
      <w:r>
        <w:rPr>
          <w:rFonts w:ascii="Times New Roman" w:hAnsi="Times New Roman" w:eastAsia="宋体"/>
          <w:sz w:val="21"/>
        </w:rPr>
        <w:t xml:space="preserve">时间: 2026-02-04T16:49:16Z | </w:t>
      </w:r>
      <w:r>
        <w:t xml:space="preserve">链接: </w:t>
      </w:r>
      <w:hyperlink r:id="rId135">
        <w:r>
          <w:rPr>
            <w:rFonts w:ascii="Times New Roman" w:hAnsi="Times New Roman" w:eastAsia="宋体"/>
            <w:color w:val="0000FF"/>
            <w:sz w:val="21"/>
            <w:u w:val="single"/>
          </w:rPr>
          <w:t>https://arxiv.org/abs/2602.04749v1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高分辨率遥感图像的语义分割对于城市测绘和土地覆盖监测至关重要，但训练数据通常表现出严重的长尾像素不平衡。在 LoveDA 数据集中，这一挑战因城市/乡村的明确划分、不同的外观和跨领域的类频率统计不一致而变得更加复杂。我们提出了一个提示控制的扩散增强框架，该框架可以合成配对的标签图像样本，并明确控制领域和语义组成。 Stage~A 使用领域感知、屏蔽比率条件离散扩散模型来生成满足用户指定的类比率目标的布局，同时尊重学习的共现结构。 Stage~B 使用稳定扩散和 ControlNet 指导将布局转换为逼真、域一致的图像。将所得比率和域控制的合成对与真实数据混合，可以在多个分割主干上产生一致的改进，增益集中于少数群体并改善城市和农村的泛化，证明可控增强是减轻遥感分割中长尾偏差的实用机制。源代码、预训练模型和合成数据集可在 \href{https://github.com/Buddhi19/SyntheticGen.git}{Github} 获取</w:t>
      </w:r>
    </w:p>
    <w:p>
      <w:pPr>
        <w:spacing w:before="120"/>
      </w:pPr>
      <w:r>
        <w:rPr>
          <w:rFonts w:ascii="Times New Roman" w:hAnsi="Times New Roman" w:eastAsia="宋体"/>
          <w:b/>
          <w:sz w:val="21"/>
        </w:rPr>
        <w:t>English Abstract:</w:t>
      </w:r>
    </w:p>
    <w:p>
      <w:r>
        <w:rPr>
          <w:rFonts w:ascii="Times New Roman" w:hAnsi="Times New Roman" w:eastAsia="宋体"/>
          <w:sz w:val="21"/>
        </w:rPr>
        <w:t>Semantic segmentation of high-resolution remote-sensing imagery is critical for urban mapping and land-cover monitoring, yet training data typically exhibits severe long-tailed pixel imbalance. In the dataset LoveDA, this challenge is compounded by an explicit Urban/Rural split with distinct appearance and inconsistent class-frequency statistics across domains. We present a prompt-controlled diffusion augmentation framework that synthesizes paired label--image samples with explicit control of both domain and semantic composition. Stage~A uses a domain-aware, masked ratio-conditioned discrete diffusion model to generate layouts that satisfy user-specified class-ratio targets while respecting learned co-occurrence structure. Stage~B translates layouts into photorealistic, domain-consistent images using Stable Diffusion with ControlNet guidance. Mixing the resulting ratio and domain-controlled synthetic pairs with real data yields consistent improvements across multiple segmentation backbones, with gains concentrated on minority classes and improved Urban and Rural generalization, demonstrating controllable augmentation as a practical mechanism to mitigate long-tail bias in remote-sensing segmentation. Source codes, pretrained models, and synthetic datasets are available at \href{https://github.com/Buddhi19/SyntheticGen.git}{Github}</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VISTA-Bench：视觉语言模型真的能理解可视化文本和纯文本吗？</w:t>
      </w:r>
    </w:p>
    <w:p>
      <w:r>
        <w:rPr>
          <w:rFonts w:ascii="Times New Roman" w:hAnsi="Times New Roman" w:eastAsia="宋体"/>
          <w:b/>
          <w:color w:val="003264"/>
          <w:sz w:val="24"/>
        </w:rPr>
        <w:t>VISTA-Bench: Do Vision-Language Models Really Understand Visualized Text as Well as Pure Text?</w:t>
      </w:r>
    </w:p>
    <w:p>
      <w:r>
        <w:rPr>
          <w:rFonts w:ascii="Times New Roman" w:hAnsi="Times New Roman" w:eastAsia="宋体"/>
          <w:sz w:val="21"/>
        </w:rPr>
        <w:t>作者: Huchuan Lu</w:t>
        <w:br/>
      </w:r>
      <w:r>
        <w:rPr>
          <w:rFonts w:ascii="Times New Roman" w:hAnsi="Times New Roman" w:eastAsia="宋体"/>
          <w:sz w:val="21"/>
        </w:rPr>
        <w:t xml:space="preserve">时间: 2026-02-04T17:48:55Z | </w:t>
      </w:r>
      <w:r>
        <w:t xml:space="preserve">链接: </w:t>
      </w:r>
      <w:hyperlink r:id="rId136">
        <w:r>
          <w:rPr>
            <w:rFonts w:ascii="Times New Roman" w:hAnsi="Times New Roman" w:eastAsia="宋体"/>
            <w:color w:val="0000FF"/>
            <w:sz w:val="21"/>
            <w:u w:val="single"/>
          </w:rPr>
          <w:t>https://arxiv.org/abs/2602.04802v1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视觉语言模型（VLM）在跨文本和视觉输入的跨模式理解方面取得了令人印象深刻的性能，但现有的基准主要集中在纯文本查询上。在现实场景中，语言也经常以嵌入图像中的可视化文本的形式出现，这就提出了一个问题：当前的 VLM 是否能够同等地处理此类输入请求。我们介绍 VISTA-Bench，这是一个从多模态感知、推理到单模态理解领域的系统基准。它通过在受控渲染条件下对比纯文本和可视化文本问题来评估可视化文本理解。对 20 多个代表性 VLM 的广泛评估揭示了明显的模态差距：当等效语义内容呈现为可视化文本时，在纯文本查询上表现良好的模型通常会大幅退化。这种差距因感知难度的增加而进一步放大，凸显了尽管语义不变但对渲染变化的敏感性。总体而言，VISTA-Bench 提供了一个原则性的评估框架来诊断这一限制，并指导在标记化文本和像素上实现更统一的语言表示。源数据集可在 https://github.com/QingAnLiu/VISTA-Bench 获取。</w:t>
      </w:r>
    </w:p>
    <w:p>
      <w:pPr>
        <w:spacing w:before="120"/>
      </w:pPr>
      <w:r>
        <w:rPr>
          <w:rFonts w:ascii="Times New Roman" w:hAnsi="Times New Roman" w:eastAsia="宋体"/>
          <w:b/>
          <w:sz w:val="21"/>
        </w:rPr>
        <w:t>English Abstract:</w:t>
      </w:r>
    </w:p>
    <w:p>
      <w:r>
        <w:rPr>
          <w:rFonts w:ascii="Times New Roman" w:hAnsi="Times New Roman" w:eastAsia="宋体"/>
          <w:sz w:val="21"/>
        </w:rPr>
        <w:t>Vision-Language Models (VLMs) have achieved impressive performance in cross-modal understanding across textual and visual inputs, yet existing benchmarks predominantly focus on pure-text queries. In real-world scenarios, language also frequently appears as visualized text embedded in images, raising the question of whether current VLMs handle such input requests comparably. We introduce VISTA-Bench, a systematic benchmark from multimodal perception, reasoning, to unimodal understanding domains. It evaluates visualized text understanding by contrasting pure-text and visualized-text questions under controlled rendering conditions. Extensive evaluation of over 20 representative VLMs reveals a pronounced modality gap: models that perform well on pure-text queries often degrade substantially when equivalent semantic content is presented as visualized text. This gap is further amplified by increased perceptual difficulty, highlighting sensitivity to rendering variations despite unchanged semantics. Overall, VISTA-Bench provides a principled evaluation framework to diagnose this limitation and to guide progress toward more unified language representations across tokenized text and pixels. The source dataset is available at https://github.com/QingAnLiu/VISTA-Bench.</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X2HDR：感知均匀空间中的 HDR 图像生成</w:t>
      </w:r>
    </w:p>
    <w:p>
      <w:r>
        <w:rPr>
          <w:rFonts w:ascii="Times New Roman" w:hAnsi="Times New Roman" w:eastAsia="宋体"/>
          <w:b/>
          <w:color w:val="003264"/>
          <w:sz w:val="24"/>
        </w:rPr>
        <w:t>X2HDR: HDR Image Generation in a Perceptually Uniform Space</w:t>
      </w:r>
    </w:p>
    <w:p>
      <w:r>
        <w:rPr>
          <w:rFonts w:ascii="Times New Roman" w:hAnsi="Times New Roman" w:eastAsia="宋体"/>
          <w:sz w:val="21"/>
        </w:rPr>
        <w:t>作者: Rafał K. Mantiuk</w:t>
        <w:br/>
      </w:r>
      <w:r>
        <w:rPr>
          <w:rFonts w:ascii="Times New Roman" w:hAnsi="Times New Roman" w:eastAsia="宋体"/>
          <w:sz w:val="21"/>
        </w:rPr>
        <w:t xml:space="preserve">时间: 2026-02-04T17:59:51Z | </w:t>
      </w:r>
      <w:r>
        <w:t xml:space="preserve">链接: </w:t>
      </w:r>
      <w:hyperlink r:id="rId137">
        <w:r>
          <w:rPr>
            <w:rFonts w:ascii="Times New Roman" w:hAnsi="Times New Roman" w:eastAsia="宋体"/>
            <w:color w:val="0000FF"/>
            <w:sz w:val="21"/>
            <w:u w:val="single"/>
          </w:rPr>
          <w:t>https://arxiv.org/abs/2602.04814v1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高动态范围 (HDR) 格式和显示器变得越来越普遍，但由于缺乏大规模 HDR 训练数据，最先进的图像生成器（例如稳定扩散和通量）通常仍仅限于低动态范围 (LDR) 输出。在这项工作中，我们表明现有的预训练扩散模型可以轻松适应 HDR 生成，而无需从头开始重新训练。一个关键的挑战是 HDR 图像本身以线性 RGB 表示，其强度和颜色统计数据与 sRGB 编码的 LDR 图像有很大不同。然而，可以通过将 HDR 输入转换为感知统一的编码（例如使用 PU21 或 PQ）来有效弥补这一差距。根据经验，我们发现 LDR 预训练的变分自动编码器 (VAE) 重建 PU21 编码的 HDR 输入，其保真度与 LDR 数据相当，而线性 RGB 输入会导致严重的退化。受这一发现的启发，我们描述了一种有效的适应策略，该策略冻结 VAE 并通过感知均匀空间中的低秩适应仅微调降噪器。这产生了统一的计算方法，支持文本到 HDR 合成和单图像 RAW 到 HDR 重建。实验表明，相对于以前的技术，我们的感知编码适应持续提高了感知保真度、文本图像对齐和有效动态范围。</w:t>
      </w:r>
    </w:p>
    <w:p>
      <w:pPr>
        <w:spacing w:before="120"/>
      </w:pPr>
      <w:r>
        <w:rPr>
          <w:rFonts w:ascii="Times New Roman" w:hAnsi="Times New Roman" w:eastAsia="宋体"/>
          <w:b/>
          <w:sz w:val="21"/>
        </w:rPr>
        <w:t>English Abstract:</w:t>
      </w:r>
    </w:p>
    <w:p>
      <w:r>
        <w:rPr>
          <w:rFonts w:ascii="Times New Roman" w:hAnsi="Times New Roman" w:eastAsia="宋体"/>
          <w:sz w:val="21"/>
        </w:rPr>
        <w:t>High-dynamic-range (HDR) formats and displays are becoming increasingly prevalent, yet state-of-the-art image generators (e.g., Stable Diffusion and FLUX) typically remain limited to low-dynamic-range (LDR) output due to the lack of large-scale HDR training data. In this work, we show that existing pretrained diffusion models can be easily adapted to HDR generation without retraining from scratch. A key challenge is that HDR images are natively represented in linear RGB, whose intensity and color statistics differ substantially from those of sRGB-encoded LDR images. This gap, however, can be effectively bridged by converting HDR inputs into perceptually uniform encodings (e.g., using PU21 or PQ). Empirically, we find that LDR-pretrained variational autoencoders (VAEs) reconstruct PU21-encoded HDR inputs with fidelity comparable to LDR data, whereas linear RGB inputs cause severe degradations. Motivated by this finding, we describe an efficient adaptation strategy that freezes the VAE and finetunes only the denoiser via low-rank adaptation in a perceptually uniform space. This results in a unified computational method that supports both text-to-HDR synthesis and single-image RAW-to-HDR reconstruction. Experiments demonstrate that our perceptually encoded adaptation consistently improves perceptual fidelity, text-image alignment, and effective dynamic range, relative to previous techniques.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XtraLight-MedMamba 用于肿瘤性管状腺瘤的分类</w:t>
      </w:r>
    </w:p>
    <w:p>
      <w:r>
        <w:rPr>
          <w:rFonts w:ascii="Times New Roman" w:hAnsi="Times New Roman" w:eastAsia="宋体"/>
          <w:b/>
          <w:color w:val="003264"/>
          <w:sz w:val="24"/>
        </w:rPr>
        <w:t>XtraLight-MedMamba for Classification of Neoplastic Tubular Adenomas</w:t>
      </w:r>
    </w:p>
    <w:p>
      <w:r>
        <w:rPr>
          <w:rFonts w:ascii="Times New Roman" w:hAnsi="Times New Roman" w:eastAsia="宋体"/>
          <w:sz w:val="21"/>
        </w:rPr>
        <w:t>作者: Vijayan K. Asari</w:t>
        <w:br/>
      </w:r>
      <w:r>
        <w:rPr>
          <w:rFonts w:ascii="Times New Roman" w:hAnsi="Times New Roman" w:eastAsia="宋体"/>
          <w:sz w:val="21"/>
        </w:rPr>
        <w:t xml:space="preserve">时间: 2026-02-04T18:07:51Z | </w:t>
      </w:r>
      <w:r>
        <w:t xml:space="preserve">链接: </w:t>
      </w:r>
      <w:hyperlink r:id="rId138">
        <w:r>
          <w:rPr>
            <w:rFonts w:ascii="Times New Roman" w:hAnsi="Times New Roman" w:eastAsia="宋体"/>
            <w:color w:val="0000FF"/>
            <w:sz w:val="21"/>
            <w:u w:val="single"/>
          </w:rPr>
          <w:t>https://arxiv.org/abs/2602.04819v1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常规结肠镜检查期间对癌前息肉进行准确的风险分层对于降低患结直肠癌（CRC）的风险至关重要。然而，低度不典型增生的评估仍然受到主观组织病理学解释的限制。数字病理学和深度学习的进步为识别与恶性进展相关的微妙形态模式提供了新的机会，而这些模式可能是人眼无法察觉的。在这项工作中，我们提出了 XtraLight-MedMamba，这是一种基于状态空间的超轻量级深度学习框架，用于从全幻灯片图像 (WSI) 中对肿瘤性管状腺瘤进行分类。该架构融合了基于 ConvNext 的浅层特征提取器和并行视觉 mamba，可有效地对长程和短程依赖关系以及图像泛化进行建模。空间和通道注意桥 (SCAB) 模块的集成增强了多尺度特征提取，而固定非负正交分类器 (FNOClassifier) 可以大幅减少参数并提高泛化能力。该模型根据从低级别管状腺瘤患者获取的整理数据集进行评估，并根据随后的 CRC 发展情况分为病例组和对照组。 XtraLight-MedMamba 使用大约 32,000 个参数实现了 97.18% 的准确率和 0.9767 的 F1 分数，优于基于 Transformer 的传统 Mamba 架构，但模型复杂性显着更高。</w:t>
      </w:r>
    </w:p>
    <w:p>
      <w:pPr>
        <w:spacing w:before="120"/>
      </w:pPr>
      <w:r>
        <w:rPr>
          <w:rFonts w:ascii="Times New Roman" w:hAnsi="Times New Roman" w:eastAsia="宋体"/>
          <w:b/>
          <w:sz w:val="21"/>
        </w:rPr>
        <w:t>English Abstract:</w:t>
      </w:r>
    </w:p>
    <w:p>
      <w:r>
        <w:rPr>
          <w:rFonts w:ascii="Times New Roman" w:hAnsi="Times New Roman" w:eastAsia="宋体"/>
          <w:sz w:val="21"/>
        </w:rPr>
        <w:t>Accurate risk stratification of precancerous polyps during routine colonoscopy screenings is essential for lowering the risk of developing colorectal cancer (CRC). However, assessment of low-grade dysplasia remains limited by subjective histopathologic interpretation. Advancements in digital pathology and deep learning provide new opportunities to identify subtle and fine morphologic patterns associated with malignant progression that may be imperceptible to the human eye. In this work, we propose XtraLight-MedMamba, an ultra-lightweight state-space-based deep learning framework for classifying neoplastic tubular adenomas from whole-slide images (WSIs). The architecture is a blend of ConvNext based shallow feature extractor with parallel vision mamba to efficiently model both long- and short-range dependencies and image generalization. An integration of Spatial and Channel Attention Bridge (SCAB) module enhances multiscale feature extraction, while Fixed Non-Negative Orthogonal Classifier (FNOClassifier) enables substantial parameter reduction and improved generalization. The model was evaluated on a curated dataset acquired from patients with low-grade tubular adenomas, stratified into case and control cohorts based on subsequent CRC development. XtraLight-MedMamba achieved an accuracy of 97.18% and an F1-score of 0.9767 using approximately 32,000 parameters, outperforming transformer-based and conventional Mamba architectures with significantly higher model complexity.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实现可靠且可解释的指甲疾病分类：利用对抗性训练和 Grad-CAM 可视化</w:t>
      </w:r>
    </w:p>
    <w:p>
      <w:r>
        <w:rPr>
          <w:rFonts w:ascii="Times New Roman" w:hAnsi="Times New Roman" w:eastAsia="宋体"/>
          <w:b/>
          <w:color w:val="003264"/>
          <w:sz w:val="24"/>
        </w:rPr>
        <w:t>Toward Reliable and Explainable Nail Disease Classification: Leveraging Adversarial Training and Grad-CAM Visualization</w:t>
      </w:r>
    </w:p>
    <w:p>
      <w:r>
        <w:rPr>
          <w:rFonts w:ascii="Times New Roman" w:hAnsi="Times New Roman" w:eastAsia="宋体"/>
          <w:sz w:val="21"/>
        </w:rPr>
        <w:t>作者: Nishat Tasnim Niloy</w:t>
        <w:br/>
      </w:r>
      <w:r>
        <w:rPr>
          <w:rFonts w:ascii="Times New Roman" w:hAnsi="Times New Roman" w:eastAsia="宋体"/>
          <w:sz w:val="21"/>
        </w:rPr>
        <w:t xml:space="preserve">时间: 2026-02-04T18:08:13Z | </w:t>
      </w:r>
      <w:r>
        <w:t xml:space="preserve">链接: </w:t>
      </w:r>
      <w:hyperlink r:id="rId139">
        <w:r>
          <w:rPr>
            <w:rFonts w:ascii="Times New Roman" w:hAnsi="Times New Roman" w:eastAsia="宋体"/>
            <w:color w:val="0000FF"/>
            <w:sz w:val="21"/>
            <w:u w:val="single"/>
          </w:rPr>
          <w:t>https://arxiv.org/abs/2602.04820v1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人类指甲疾病在所有年龄组中逐渐观察到，特别是在老年人中，通常被忽视，直到变得严重。早期发现和准确诊断此类疾病非常重要，因为它们有时会揭示我们身体的健康问题。但由于疾病类型之间推断的视觉差异，这是具有挑战性的。本文提出了一种基于机器学习的模型，用于基于公开数据集对指甲疾病进行自动分类，该数据集包含 6 个类别的 3,835 张图像。在 224x224 像素中，所有图像均已调整大小以确保一致性。为了评估性能，对四种著名的 CNN 模型——InceptionV3、DenseNet201、EfficientNetV2 和 ResNet50 进行了训练和分析。其中，InceptionV3 以 95.57% 的准确率领先其他网络，而 DenseNet201 以 94.79% 的准确率紧随其后。为了使模型更强大并且不太可能在棘手或嘈杂的图像上出错，我们使用了对抗性训练。为了帮助理解模型如何做出决策，我们使用 SHAP 来突出显示预测中的重要特征。该系统可以为医生提供有益的支持，使指甲疾病的诊断更加准确和快捷。</w:t>
      </w:r>
    </w:p>
    <w:p>
      <w:pPr>
        <w:spacing w:before="120"/>
      </w:pPr>
      <w:r>
        <w:rPr>
          <w:rFonts w:ascii="Times New Roman" w:hAnsi="Times New Roman" w:eastAsia="宋体"/>
          <w:b/>
          <w:sz w:val="21"/>
        </w:rPr>
        <w:t>English Abstract:</w:t>
      </w:r>
    </w:p>
    <w:p>
      <w:r>
        <w:rPr>
          <w:rFonts w:ascii="Times New Roman" w:hAnsi="Times New Roman" w:eastAsia="宋体"/>
          <w:sz w:val="21"/>
        </w:rPr>
        <w:t>Human nail diseases are gradually observed over all age groups, especially among older individuals, often going ignored until they become severe. Early detection and accurate diagnosis of such conditions are important because they sometimes reveal our body's health problems. But it is challenging due to the inferred visual differences between disease types. This paper presents a machine learning-based model for automated classification of nail diseases based on a publicly available dataset, which contains 3,835 images scaling six categories. In 224x224 pixels, all images were resized to ensure consistency. To evaluate performance, four well-known CNN models-InceptionV3, DenseNet201, EfficientNetV2, and ResNet50 were trained and analyzed. Among these, InceptionV3 outperformed the others with an accuracy of 95.57%, while DenseNet201 came next with 94.79%. To make the model stronger and less likely to make mistakes on tricky or noisy images, we used adversarial training. To help understand how the model makes decisions, we used SHAP to highlight important features in the predictions. This system could be a helpful support for doctors, making nail disease diagnosis more accurate and faster.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当 LLaVA 遇到物体时：视觉语言模型的代币构成</w:t>
      </w:r>
    </w:p>
    <w:p>
      <w:r>
        <w:rPr>
          <w:rFonts w:ascii="Times New Roman" w:hAnsi="Times New Roman" w:eastAsia="宋体"/>
          <w:b/>
          <w:color w:val="003264"/>
          <w:sz w:val="24"/>
        </w:rPr>
        <w:t>When LLaVA Meets Objects: Token Composition for Vision-Language-Models</w:t>
      </w:r>
    </w:p>
    <w:p>
      <w:r>
        <w:rPr>
          <w:rFonts w:ascii="Times New Roman" w:hAnsi="Times New Roman" w:eastAsia="宋体"/>
          <w:sz w:val="21"/>
        </w:rPr>
        <w:t>作者: Hilde Kuehne</w:t>
        <w:br/>
      </w:r>
      <w:r>
        <w:rPr>
          <w:rFonts w:ascii="Times New Roman" w:hAnsi="Times New Roman" w:eastAsia="宋体"/>
          <w:sz w:val="21"/>
        </w:rPr>
        <w:t xml:space="preserve">时间: 2026-02-04T18:50:46Z | </w:t>
      </w:r>
      <w:r>
        <w:t xml:space="preserve">链接: </w:t>
      </w:r>
      <w:hyperlink r:id="rId140">
        <w:r>
          <w:rPr>
            <w:rFonts w:ascii="Times New Roman" w:hAnsi="Times New Roman" w:eastAsia="宋体"/>
            <w:color w:val="0000FF"/>
            <w:sz w:val="21"/>
            <w:u w:val="single"/>
          </w:rPr>
          <w:t>https://arxiv.org/abs/2602.04864v1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当前的自回归视觉语言模型（VLM）通常依赖大量视觉标记来表示图像，导致需要更多的计算，尤其是在推理时。为了解决这个问题，我们提出了 Mask-LLaVA，这是一个利用不同级别的视觉特征为自回归 VLM 创建紧凑但信息丰富的视觉表示的框架。也就是说，我们将基于掩码的对象表示与全局标记和本地补丁标记结合在一起。虽然在训练期间使用了所有令牌，但它表明生成的模型可以灵活地减少，特别是在测试时基于掩码的对象令牌的数量，从而允许在推理期间调整令牌的数量，而无需重新训练模型，并且性能不会显着下降。我们在一套标准基准上评估了所提出的方法，显示出与当前令牌有效方法竞争的结果，并且与仅使用一小部分视觉令牌的原始 LLaVA 基线相当。我们的分析表明，结合多级功能可以使用更少的标记进行高效学习，同时允许在测试时进行动态标记选择以获得良好的性能。</w:t>
      </w:r>
    </w:p>
    <w:p>
      <w:pPr>
        <w:spacing w:before="120"/>
      </w:pPr>
      <w:r>
        <w:rPr>
          <w:rFonts w:ascii="Times New Roman" w:hAnsi="Times New Roman" w:eastAsia="宋体"/>
          <w:b/>
          <w:sz w:val="21"/>
        </w:rPr>
        <w:t>English Abstract:</w:t>
      </w:r>
    </w:p>
    <w:p>
      <w:r>
        <w:rPr>
          <w:rFonts w:ascii="Times New Roman" w:hAnsi="Times New Roman" w:eastAsia="宋体"/>
          <w:sz w:val="21"/>
        </w:rPr>
        <w:t>Current autoregressive Vision Language Models (VLMs) usually rely on a large number of visual tokens to represent images, resulting in a need for more compute especially at inference time. To address this problem, we propose Mask-LLaVA, a framework that leverages different levels of visual features to create a compact yet information-rich visual representation for autoregressive VLMs. Namely, we combine mask-based object representations together with global tokens and local patch tokens. While all tokens are used during training, it shows that the resulting model can flexibly drop especially the number of mask-based object-tokens at test time, allowing to adapt the number of tokens during inference without the need to retrain the model and without a significant drop in performance. We evaluate the proposed approach on a suite of standard benchmarks showing results competitive to current token efficient methods and comparable to the original LLaVA baseline using only a fraction of visual tokens. Our analysis demonstrates that combining multi-level features enables efficient learning with fewer tokens while allowing dynamic token selection at test time for good performance.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用于高效扩散的层压表示自动编码器</w:t>
      </w:r>
    </w:p>
    <w:p>
      <w:r>
        <w:rPr>
          <w:rFonts w:ascii="Times New Roman" w:hAnsi="Times New Roman" w:eastAsia="宋体"/>
          <w:b/>
          <w:color w:val="003264"/>
          <w:sz w:val="24"/>
        </w:rPr>
        <w:t>Laminating Representation Autoencoders for Efficient Diffusion</w:t>
      </w:r>
    </w:p>
    <w:p>
      <w:r>
        <w:rPr>
          <w:rFonts w:ascii="Times New Roman" w:hAnsi="Times New Roman" w:eastAsia="宋体"/>
          <w:sz w:val="21"/>
        </w:rPr>
        <w:t>作者: François Fleuret</w:t>
        <w:br/>
      </w:r>
      <w:r>
        <w:rPr>
          <w:rFonts w:ascii="Times New Roman" w:hAnsi="Times New Roman" w:eastAsia="宋体"/>
          <w:sz w:val="21"/>
        </w:rPr>
        <w:t xml:space="preserve">时间: 2026-02-04T18:57:33Z | </w:t>
      </w:r>
      <w:r>
        <w:t xml:space="preserve">链接: </w:t>
      </w:r>
      <w:hyperlink r:id="rId141">
        <w:r>
          <w:rPr>
            <w:rFonts w:ascii="Times New Roman" w:hAnsi="Times New Roman" w:eastAsia="宋体"/>
            <w:color w:val="0000FF"/>
            <w:sz w:val="21"/>
            <w:u w:val="single"/>
          </w:rPr>
          <w:t>https://arxiv.org/abs/2602.04873v1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最近的工作表明，扩散模型可以通过直接对 SSL 补丁特征而不是像素空间潜在变量进行操作来生成高质量图像。然而，来自 DINOv2 等编码器的密集补丁网格包含大量冗余，使得扩散不必要地昂贵。我们引入了 FlatDINO，一种变分自动编码器，它将这种表示形式压缩为仅包含 32 个连续标记的一维序列 - 序列长度减少了 8 倍，总维度压缩了 48 倍。在 ImageNet 256x256 上，与未压缩 DINOv2 特征上的扩散相比，在 FlatDINO 潜伏上训练的 DiT-XL 在无分类器指导下实现了 1.80 的 gFID，同时每次前向传递所需的 FLOP 数减少了 8 倍，每个训练步骤所需的 FLOP 数减少了 4.5 倍。这些是初步结果，这项工作正在进行中。</w:t>
      </w:r>
    </w:p>
    <w:p>
      <w:pPr>
        <w:spacing w:before="120"/>
      </w:pPr>
      <w:r>
        <w:rPr>
          <w:rFonts w:ascii="Times New Roman" w:hAnsi="Times New Roman" w:eastAsia="宋体"/>
          <w:b/>
          <w:sz w:val="21"/>
        </w:rPr>
        <w:t>English Abstract:</w:t>
      </w:r>
    </w:p>
    <w:p>
      <w:r>
        <w:rPr>
          <w:rFonts w:ascii="Times New Roman" w:hAnsi="Times New Roman" w:eastAsia="宋体"/>
          <w:sz w:val="21"/>
        </w:rPr>
        <w:t>Recent work has shown that diffusion models can generate high-quality images by operating directly on SSL patch features rather than pixel-space latents. However, the dense patch grids from encoders like DINOv2 contain significant redundancy, making diffusion needlessly expensive. We introduce FlatDINO, a variational autoencoder that compresses this representation into a one-dimensional sequence of just 32 continuous tokens -an 8x reduction in sequence length and 48x compression in total dimensionality. On ImageNet 256x256, a DiT-XL trained on FlatDINO latents achieves a gFID of 1.80 with classifier-free guidance while requiring 8x fewer FLOPs per forward pass and up to 4.5x fewer FLOPs per training step compared to diffusion on uncompressed DINOv2 features. These are preliminary results and this work is in progress.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PerpetualWonder：长视动作条件 4D 场景生成</w:t>
      </w:r>
    </w:p>
    <w:p>
      <w:r>
        <w:rPr>
          <w:rFonts w:ascii="Times New Roman" w:hAnsi="Times New Roman" w:eastAsia="宋体"/>
          <w:b/>
          <w:color w:val="003264"/>
          <w:sz w:val="24"/>
        </w:rPr>
        <w:t>PerpetualWonder: Long-Horizon Action-Conditioned 4D Scene Generation</w:t>
      </w:r>
    </w:p>
    <w:p>
      <w:r>
        <w:rPr>
          <w:rFonts w:ascii="Times New Roman" w:hAnsi="Times New Roman" w:eastAsia="宋体"/>
          <w:sz w:val="21"/>
        </w:rPr>
        <w:t>作者: Jiajun Wu</w:t>
        <w:br/>
      </w:r>
      <w:r>
        <w:rPr>
          <w:rFonts w:ascii="Times New Roman" w:hAnsi="Times New Roman" w:eastAsia="宋体"/>
          <w:sz w:val="21"/>
        </w:rPr>
        <w:t xml:space="preserve">时间: 2026-02-04T18:58:55Z | </w:t>
      </w:r>
      <w:r>
        <w:t xml:space="preserve">链接: </w:t>
      </w:r>
      <w:hyperlink r:id="rId142">
        <w:r>
          <w:rPr>
            <w:rFonts w:ascii="Times New Roman" w:hAnsi="Times New Roman" w:eastAsia="宋体"/>
            <w:color w:val="0000FF"/>
            <w:sz w:val="21"/>
            <w:u w:val="single"/>
          </w:rPr>
          <w:t>https://arxiv.org/abs/2602.04876v1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我们推出了 PerpetualWonder，这是一种混合生成模拟器，可以从单个图像生成长视野、动作条件的 4D 场景。目前的工作在这项任务上失败了，因为它们的物理状态与视觉表示脱钩，这阻止了生成性细化来更新后续交互的底层物理。 PerpetualWonder 通过引入第一个真正的闭环系统解决了这个问题。它具有新颖的统一表示形式，可在物理状态和视觉基元之间创建双向链接，从而允许生成细化来纠正动态和外观。它还引入了强大的更新机制，从多个角度收集监督以解决优化模糊性。实验表明，PerpetualWonder 可以通过单张图像成功模拟长视距动作的复杂、多步骤交互，保持物理合理性和视觉一致性。</w:t>
      </w:r>
    </w:p>
    <w:p>
      <w:pPr>
        <w:spacing w:before="120"/>
      </w:pPr>
      <w:r>
        <w:rPr>
          <w:rFonts w:ascii="Times New Roman" w:hAnsi="Times New Roman" w:eastAsia="宋体"/>
          <w:b/>
          <w:sz w:val="21"/>
        </w:rPr>
        <w:t>English Abstract:</w:t>
      </w:r>
    </w:p>
    <w:p>
      <w:r>
        <w:rPr>
          <w:rFonts w:ascii="Times New Roman" w:hAnsi="Times New Roman" w:eastAsia="宋体"/>
          <w:sz w:val="21"/>
        </w:rPr>
        <w:t>We introduce PerpetualWonder, a hybrid generative simulator that enables long-horizon, action-conditioned 4D scene generation from a single image. Current works fail at this task because their physical state is decoupled from their visual representation, which prevents generative refinements to update the underlying physics for subsequent interactions. PerpetualWonder solves this by introducing the first true closed-loop system. It features a novel unified representation that creates a bidirectional link between the physical state and visual primitives, allowing generative refinements to correct both the dynamics and appearance. It also introduces a robust update mechanism that gathers supervision from multiple viewpoints to resolve optimization ambiguity. Experiments demonstrate that from a single image, PerpetualWonder can successfully simulate complex, multi-step interactions from long-horizon actions, maintaining physical plausibility and visual consistency.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CoWTracker：通过扭曲而不是相关进行跟踪</w:t>
      </w:r>
    </w:p>
    <w:p>
      <w:r>
        <w:rPr>
          <w:rFonts w:ascii="Times New Roman" w:hAnsi="Times New Roman" w:eastAsia="宋体"/>
          <w:b/>
          <w:color w:val="003264"/>
          <w:sz w:val="24"/>
        </w:rPr>
        <w:t>CoWTracker: Tracking by Warping instead of Correlation</w:t>
      </w:r>
    </w:p>
    <w:p>
      <w:r>
        <w:rPr>
          <w:rFonts w:ascii="Times New Roman" w:hAnsi="Times New Roman" w:eastAsia="宋体"/>
          <w:sz w:val="21"/>
        </w:rPr>
        <w:t>作者: Andrea Vedaldi</w:t>
        <w:br/>
      </w:r>
      <w:r>
        <w:rPr>
          <w:rFonts w:ascii="Times New Roman" w:hAnsi="Times New Roman" w:eastAsia="宋体"/>
          <w:sz w:val="21"/>
        </w:rPr>
        <w:t xml:space="preserve">时间: 2026-02-04T18:58:59Z | </w:t>
      </w:r>
      <w:r>
        <w:t xml:space="preserve">链接: </w:t>
      </w:r>
      <w:hyperlink r:id="rId143">
        <w:r>
          <w:rPr>
            <w:rFonts w:ascii="Times New Roman" w:hAnsi="Times New Roman" w:eastAsia="宋体"/>
            <w:color w:val="0000FF"/>
            <w:sz w:val="21"/>
            <w:u w:val="single"/>
          </w:rPr>
          <w:t>https://arxiv.org/abs/2602.04877v1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密集点跟踪是计算机视觉中的一个基本问题，其应用范围从视频分析到机器人操作。最先进的跟踪器通常依赖于成本量来匹配跨帧的特征，但这种方法会导致空间分辨率的二次复杂性，限制可扩展性和效率。在本文中，我们提出了 \ 方法，一种新颖的密集点跟踪器，它避免了成本量而有利于扭曲。受光流最新进展的启发，我们的方法通过基于当前估计将特征从目标帧扭曲到查询帧来迭代地细化轨迹估计。结合在所有轨道上执行联合时空推理的变压器架构，我们的设计建立了远程对应关系，而无需计算特征相关性。我们的模型很简单，并且在标准密集点跟踪基准测试（包括 TAP-Vid-DAVIS、TAP-Vid-Kinetics 和 Robo-TAP）上实现了最先进的性能。值得注意的是，该模型在光流方面也表现出色，有时在 Sintel、KITTI 和 Spring 基准测试中优于专门方法。这些结果表明基于扭曲的架构可以统一密集点跟踪和光流估计。</w:t>
      </w:r>
    </w:p>
    <w:p>
      <w:pPr>
        <w:spacing w:before="120"/>
      </w:pPr>
      <w:r>
        <w:rPr>
          <w:rFonts w:ascii="Times New Roman" w:hAnsi="Times New Roman" w:eastAsia="宋体"/>
          <w:b/>
          <w:sz w:val="21"/>
        </w:rPr>
        <w:t>English Abstract:</w:t>
      </w:r>
    </w:p>
    <w:p>
      <w:r>
        <w:rPr>
          <w:rFonts w:ascii="Times New Roman" w:hAnsi="Times New Roman" w:eastAsia="宋体"/>
          <w:sz w:val="21"/>
        </w:rPr>
        <w:t>Dense point tracking is a fundamental problem in computer vision, with applications ranging from video analysis to robotic manipulation. State-of-the-art trackers typically rely on cost volumes to match features across frames, but this approach incurs quadratic complexity in spatial resolution, limiting scalability and efficiency. In this paper, we propose \method, a novel dense point tracker that eschews cost volumes in favor of warping. Inspired by recent advances in optical flow, our approach iteratively refines track estimates by warping features from the target frame to the query frame based on the current estimate. Combined with a transformer architecture that performs joint spatiotemporal reasoning across all tracks, our design establishes long-range correspondences without computing feature correlations. Our model is simple and achieves state-of-the-art performance on standard dense point tracking benchmarks, including TAP-Vid-DAVIS, TAP-Vid-Kinetics, and Robo-TAP. Remarkably, the model also excels at optical flow, sometimes outperforming specialized methods on the Sintel, KITTI, and Spring benchmarks. These results suggest that warping-based architectures can unify dense point tracking and optical flow estimation.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强化注意力学习</w:t>
      </w:r>
    </w:p>
    <w:p>
      <w:r>
        <w:rPr>
          <w:rFonts w:ascii="Times New Roman" w:hAnsi="Times New Roman" w:eastAsia="宋体"/>
          <w:b/>
          <w:color w:val="003264"/>
          <w:sz w:val="24"/>
        </w:rPr>
        <w:t>Reinforced Attention Learning</w:t>
      </w:r>
    </w:p>
    <w:p>
      <w:r>
        <w:rPr>
          <w:rFonts w:ascii="Times New Roman" w:hAnsi="Times New Roman" w:eastAsia="宋体"/>
          <w:sz w:val="21"/>
        </w:rPr>
        <w:t>作者: Derek Zhiyuan Cheng</w:t>
        <w:br/>
      </w:r>
      <w:r>
        <w:rPr>
          <w:rFonts w:ascii="Times New Roman" w:hAnsi="Times New Roman" w:eastAsia="宋体"/>
          <w:sz w:val="21"/>
        </w:rPr>
        <w:t xml:space="preserve">时间: 2026-02-04T18:59:52Z | </w:t>
      </w:r>
      <w:r>
        <w:t xml:space="preserve">链接: </w:t>
      </w:r>
      <w:hyperlink r:id="rId144">
        <w:r>
          <w:rPr>
            <w:rFonts w:ascii="Times New Roman" w:hAnsi="Times New Roman" w:eastAsia="宋体"/>
            <w:color w:val="0000FF"/>
            <w:sz w:val="21"/>
            <w:u w:val="single"/>
          </w:rPr>
          <w:t>https://arxiv.org/abs/2602.04884v1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强化学习 (RL) 的后训练通过测试时间扩展显着改善了大型语言模型 (LLM) 的推理能力。然而，通过冗长的原理将这种范式扩展到多模式法学硕士（MLLM）只会产生有限的感知收益，甚至会降低性能。我们提出了强化注意力学习（RAL），这是一种策略梯度框架，可以直接优化内部注意力分布而不是输出令牌序列。通过将优化从生成内容转向参加地点，RAL 促进了有效的信息分配并改善了复杂多式联运输入的基础。跨不同图像和视频基准的实验显示，与 GRPO 和其他基准相比，其获得了一致的增益。我们进一步引入了策略注意力蒸馏，证明转移潜在注意力行为比标准知识蒸馏产生更强的跨模式对齐。我们的结果将注意力政策定位为多模式后培训的原则性和通用替代方案。</w:t>
      </w:r>
    </w:p>
    <w:p>
      <w:pPr>
        <w:spacing w:before="120"/>
      </w:pPr>
      <w:r>
        <w:rPr>
          <w:rFonts w:ascii="Times New Roman" w:hAnsi="Times New Roman" w:eastAsia="宋体"/>
          <w:b/>
          <w:sz w:val="21"/>
        </w:rPr>
        <w:t>English Abstract:</w:t>
      </w:r>
    </w:p>
    <w:p>
      <w:r>
        <w:rPr>
          <w:rFonts w:ascii="Times New Roman" w:hAnsi="Times New Roman" w:eastAsia="宋体"/>
          <w:sz w:val="21"/>
        </w:rPr>
        <w:t>Post-training with Reinforcement Learning (RL) has substantially improved reasoning in Large Language Models (LLMs) via test-time scaling. However, extending this paradigm to Multimodal LLMs (MLLMs) through verbose rationales yields limited gains for perception and can even degrade performance. We propose Reinforced Attention Learning (RAL), a policy-gradient framework that directly optimizes internal attention distributions rather than output token sequences. By shifting optimization from what to generate to where to attend, RAL promotes effective information allocation and improved grounding in complex multimodal inputs. Experiments across diverse image and video benchmarks show consistent gains over GRPO and other baselines. We further introduce On-Policy Attention Distillation, demonstrating that transferring latent attention behaviors yields stronger cross-modal alignment than standard knowledge distillation. Our results position attention policies as a principled and general alternative for multimodal post-training.</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arXiv: Nerf &amp; Neural Fields</w:t>
      </w:r>
    </w:p>
    <w:p>
      <w:pPr>
        <w:jc w:val="center"/>
      </w:pPr>
      <w:r>
        <w:t>--- 更新: 11:31 ---</w:t>
      </w:r>
    </w:p>
    <w:p>
      <w:pPr>
        <w:pStyle w:val="Heading2"/>
      </w:pPr>
      <w:r/>
      <w:r>
        <w:rPr>
          <w:rFonts w:ascii="Times New Roman" w:hAnsi="Times New Roman" w:eastAsia="宋体"/>
          <w:b/>
          <w:color w:val="000000"/>
          <w:sz w:val="24"/>
        </w:rPr>
        <w:t>从稀疏传感器到连续场：时空重建的 STRIDE</w:t>
      </w:r>
    </w:p>
    <w:p>
      <w:r>
        <w:rPr>
          <w:rFonts w:ascii="Times New Roman" w:hAnsi="Times New Roman" w:eastAsia="宋体"/>
          <w:b/>
          <w:color w:val="003264"/>
          <w:sz w:val="24"/>
        </w:rPr>
        <w:t>From Sparse Sensors to Continuous Fields: STRIDE for Spatiotemporal Reconstruction</w:t>
      </w:r>
    </w:p>
    <w:p>
      <w:r>
        <w:rPr>
          <w:rFonts w:ascii="Times New Roman" w:hAnsi="Times New Roman" w:eastAsia="宋体"/>
          <w:sz w:val="21"/>
        </w:rPr>
        <w:t>作者: Peng Chen</w:t>
        <w:br/>
      </w:r>
      <w:r>
        <w:rPr>
          <w:rFonts w:ascii="Times New Roman" w:hAnsi="Times New Roman" w:eastAsia="宋体"/>
          <w:sz w:val="21"/>
        </w:rPr>
        <w:t xml:space="preserve">时间: 2026-02-04T04:39:23Z | </w:t>
      </w:r>
      <w:r>
        <w:t xml:space="preserve">链接: </w:t>
      </w:r>
      <w:hyperlink r:id="rId145">
        <w:r>
          <w:rPr>
            <w:rFonts w:ascii="Times New Roman" w:hAnsi="Times New Roman" w:eastAsia="宋体"/>
            <w:color w:val="0000FF"/>
            <w:sz w:val="21"/>
            <w:u w:val="single"/>
          </w:rPr>
          <w:t>https://arxiv.org/abs/2602.04201v1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从稀疏点传感器测量重建高维时空场是学习参数偏微分方程动力学的核心挑战。现有的方法通常很难在轨迹和参数设置之间进行泛化，或者依赖于离散化相关的解码器，而这些解码器不能自然地跨网格和分辨率进行传输。我们提出了 STRIDE（时空循环隐式解码器），这是一个两阶段框架，它使用时间编码器将传感器测量的短窗口映射到潜在状态，并使用调制隐式神经表示（INR）解码器在任意查询位置重建字段。使用傅里叶多分量多层神经网络 (FMMNN) 作为 INR 主干，可以改善复杂空间场的表示，并产生比基于正弦的 INR 更稳定的优化。我们提供了一个有条件的理论论证：在低维参数不变集上点测量的稳定延迟可观测性下，重建算子通过有限维嵌入进行因子分解，使 STRIDE 型架构成为自然逼近器。对涵盖混沌动力学和波传播的四个具有挑战性的基准进行的实验表明，STRIDE 在极其稀疏的传感下优于强基线，支持超分辨率，并且对噪声保持鲁棒性。</w:t>
      </w:r>
    </w:p>
    <w:p>
      <w:pPr>
        <w:spacing w:before="120"/>
      </w:pPr>
      <w:r>
        <w:rPr>
          <w:rFonts w:ascii="Times New Roman" w:hAnsi="Times New Roman" w:eastAsia="宋体"/>
          <w:b/>
          <w:sz w:val="21"/>
        </w:rPr>
        <w:t>English Abstract:</w:t>
      </w:r>
    </w:p>
    <w:p>
      <w:r>
        <w:rPr>
          <w:rFonts w:ascii="Times New Roman" w:hAnsi="Times New Roman" w:eastAsia="宋体"/>
          <w:sz w:val="21"/>
        </w:rPr>
        <w:t>Reconstructing high-dimensional spatiotemporal fields from sparse point-sensor measurements is a central challenge in learning parametric PDE dynamics. Existing approaches often struggle to generalize across trajectories and parameter settings, or rely on discretization-tied decoders that do not naturally transfer across meshes and resolutions. We propose STRIDE (Spatio-Temporal Recurrent Implicit DEcoder), a two-stage framework that maps a short window of sensor measurements to a latent state with a temporal encoder and reconstructs the field at arbitrary query locations with a modulated implicit neural representation (INR) decoder. Using the Fourier Multi-Component and Multi-Layer Neural Network (FMMNN) as the INR backbone improves representation of complex spatial fields and yields more stable optimization than sine-based INRs. We provide a conditional theoretical justification: under stable delay observability of point measurements on a low-dimensional parametric invariant set, the reconstruction operator factors through a finite-dimensional embedding, making STRIDE-type architectures natural approximators. Experiments on four challenging benchmarks spanning chaotic dynamics and wave propagation show that STRIDE outperforms strong baselines under extremely sparse sensing, supports super-resolution, and remains robust to noise.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Nature</w:t>
      </w:r>
    </w:p>
    <w:p>
      <w:pPr>
        <w:jc w:val="center"/>
      </w:pPr>
      <w:r>
        <w:t>--- 更新: 13:27 ---</w:t>
      </w:r>
    </w:p>
    <w:p>
      <w:pPr>
        <w:pStyle w:val="Heading2"/>
      </w:pPr>
      <w:r/>
      <w:r>
        <w:rPr>
          <w:rFonts w:ascii="Times New Roman" w:hAnsi="Times New Roman" w:eastAsia="宋体"/>
          <w:b/>
          <w:color w:val="000000"/>
          <w:sz w:val="24"/>
        </w:rPr>
        <w:t>蛋白质如何将维生素 B12 重新用作光传感器</w:t>
      </w:r>
    </w:p>
    <w:p>
      <w:r>
        <w:rPr>
          <w:rFonts w:ascii="Times New Roman" w:hAnsi="Times New Roman" w:eastAsia="宋体"/>
          <w:b/>
          <w:color w:val="003264"/>
          <w:sz w:val="24"/>
        </w:rPr>
        <w:t>How a protein repurposes vitamin B12 as a light sensor</w:t>
      </w:r>
    </w:p>
    <w:p>
      <w:r>
        <w:rPr>
          <w:rFonts w:ascii="Times New Roman" w:hAnsi="Times New Roman" w:eastAsia="宋体"/>
          <w:sz w:val="21"/>
        </w:rPr>
        <w:t>作者: Dante M. Avalos, Catherine L. Drennan</w:t>
        <w:br/>
      </w:r>
      <w:r>
        <w:rPr>
          <w:rFonts w:ascii="Times New Roman" w:hAnsi="Times New Roman" w:eastAsia="宋体"/>
          <w:sz w:val="21"/>
        </w:rPr>
        <w:t xml:space="preserve">时间: 2026-02-04 | </w:t>
      </w:r>
      <w:r>
        <w:t xml:space="preserve">链接: </w:t>
      </w:r>
      <w:hyperlink r:id="rId146">
        <w:r>
          <w:rPr>
            <w:rFonts w:ascii="Times New Roman" w:hAnsi="Times New Roman" w:eastAsia="宋体"/>
            <w:color w:val="0000FF"/>
            <w:sz w:val="21"/>
            <w:u w:val="single"/>
          </w:rPr>
          <w:t>https://doi.org/10.1038/d41586-026-00169-9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强烈的超短 X 射线脉冲已被用来探测光敏受体中发生的异常反应，解决了生化难题。</w:t>
      </w:r>
    </w:p>
    <w:p>
      <w:pPr>
        <w:spacing w:before="120"/>
      </w:pPr>
      <w:r>
        <w:rPr>
          <w:rFonts w:ascii="Times New Roman" w:hAnsi="Times New Roman" w:eastAsia="宋体"/>
          <w:b/>
          <w:sz w:val="21"/>
        </w:rPr>
        <w:t>English Abstract:</w:t>
      </w:r>
    </w:p>
    <w:p>
      <w:r>
        <w:rPr>
          <w:rFonts w:ascii="Times New Roman" w:hAnsi="Times New Roman" w:eastAsia="宋体"/>
          <w:sz w:val="21"/>
        </w:rPr>
        <w:t>Intense, ultrashort X-ray pulses have been used to probe the extraordinary reactions that occur in a light-sensing receptor, resolving a biochemical conundrum.</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粒子碰撞揭示了物质如何从看似真空的空间形成</w:t>
      </w:r>
    </w:p>
    <w:p>
      <w:r>
        <w:rPr>
          <w:rFonts w:ascii="Times New Roman" w:hAnsi="Times New Roman" w:eastAsia="宋体"/>
          <w:b/>
          <w:color w:val="003264"/>
          <w:sz w:val="24"/>
        </w:rPr>
        <w:t>Particle collisions cast light on how matter forms from seemingly empty space</w:t>
      </w:r>
    </w:p>
    <w:p>
      <w:r>
        <w:rPr>
          <w:rFonts w:ascii="Times New Roman" w:hAnsi="Times New Roman" w:eastAsia="宋体"/>
          <w:sz w:val="21"/>
        </w:rPr>
        <w:t>作者: Yasmine Amhis</w:t>
        <w:br/>
      </w:r>
      <w:r>
        <w:rPr>
          <w:rFonts w:ascii="Times New Roman" w:hAnsi="Times New Roman" w:eastAsia="宋体"/>
          <w:sz w:val="21"/>
        </w:rPr>
        <w:t xml:space="preserve">时间: 2026-02-04 | </w:t>
      </w:r>
      <w:r>
        <w:t xml:space="preserve">链接: </w:t>
      </w:r>
      <w:hyperlink r:id="rId147">
        <w:r>
          <w:rPr>
            <w:rFonts w:ascii="Times New Roman" w:hAnsi="Times New Roman" w:eastAsia="宋体"/>
            <w:color w:val="0000FF"/>
            <w:sz w:val="21"/>
            <w:u w:val="single"/>
          </w:rPr>
          <w:t>https://doi.org/10.1038/d41586-026-00036-7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称为夸克的基本粒子可以在量子相关对中产生。这些相关性可以传递给夸克形成的更大粒子。</w:t>
      </w:r>
    </w:p>
    <w:p>
      <w:pPr>
        <w:spacing w:before="120"/>
      </w:pPr>
      <w:r>
        <w:rPr>
          <w:rFonts w:ascii="Times New Roman" w:hAnsi="Times New Roman" w:eastAsia="宋体"/>
          <w:b/>
          <w:sz w:val="21"/>
        </w:rPr>
        <w:t>English Abstract:</w:t>
      </w:r>
    </w:p>
    <w:p>
      <w:r>
        <w:rPr>
          <w:rFonts w:ascii="Times New Roman" w:hAnsi="Times New Roman" w:eastAsia="宋体"/>
          <w:sz w:val="21"/>
        </w:rPr>
        <w:t>Fundamental particles called quarks can be created in quantum-correlated pairs. These correlations can be passed on to larger particles that form from the quarks.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and Laser Technology</w:t>
      </w:r>
    </w:p>
    <w:p>
      <w:pPr>
        <w:jc w:val="center"/>
      </w:pPr>
      <w:r>
        <w:t>--- 更新: 13:28 ---</w:t>
      </w:r>
    </w:p>
    <w:p>
      <w:pPr>
        <w:pStyle w:val="Heading2"/>
      </w:pPr>
      <w:r/>
      <w:r>
        <w:rPr>
          <w:rFonts w:ascii="Times New Roman" w:hAnsi="Times New Roman" w:eastAsia="宋体"/>
          <w:b/>
          <w:color w:val="000000"/>
          <w:sz w:val="24"/>
        </w:rPr>
        <w:t>在 FWM、SRS 和 ASE 噪声的三重影响下，使用 EDFA 的 DWDM/UDWDM 长途传输系统中的机器学习方法预测 OSNR</w:t>
      </w:r>
    </w:p>
    <w:p>
      <w:r>
        <w:rPr>
          <w:rFonts w:ascii="Times New Roman" w:hAnsi="Times New Roman" w:eastAsia="宋体"/>
          <w:b/>
          <w:color w:val="003264"/>
          <w:sz w:val="24"/>
        </w:rPr>
        <w:t>Prediction of OSNR with machine learning methods in DWDM/UDWDM long-haul transmission systems using EDFAs under the triple impact of FWM, SRS and ASE noise</w:t>
      </w:r>
    </w:p>
    <w:p>
      <w:r>
        <w:rPr>
          <w:rFonts w:ascii="Times New Roman" w:hAnsi="Times New Roman" w:eastAsia="宋体"/>
          <w:sz w:val="21"/>
        </w:rPr>
        <w:t>作者: Kübra Kılınçarslan, Sait Eser Karlık</w:t>
        <w:br/>
      </w:r>
      <w:r>
        <w:rPr>
          <w:rFonts w:ascii="Times New Roman" w:hAnsi="Times New Roman" w:eastAsia="宋体"/>
          <w:sz w:val="21"/>
        </w:rPr>
        <w:t xml:space="preserve">时间: 2026-05-01 | </w:t>
      </w:r>
      <w:r>
        <w:t xml:space="preserve">链接: </w:t>
      </w:r>
      <w:hyperlink r:id="rId153">
        <w:r>
          <w:rPr>
            <w:rFonts w:ascii="Times New Roman" w:hAnsi="Times New Roman" w:eastAsia="宋体"/>
            <w:color w:val="0000FF"/>
            <w:sz w:val="21"/>
            <w:u w:val="single"/>
          </w:rPr>
          <w:t>https://doi.org/10.1016/j.optlastec.2026.114832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APL Photonics</w:t>
      </w:r>
    </w:p>
    <w:p>
      <w:pPr>
        <w:jc w:val="center"/>
      </w:pPr>
      <w:r>
        <w:t>--- 更新: 13:29 ---</w:t>
      </w:r>
    </w:p>
    <w:p>
      <w:pPr>
        <w:pStyle w:val="Heading2"/>
      </w:pPr>
      <w:r/>
      <w:r>
        <w:rPr>
          <w:rFonts w:ascii="Times New Roman" w:hAnsi="Times New Roman" w:eastAsia="宋体"/>
          <w:b/>
          <w:color w:val="000000"/>
          <w:sz w:val="24"/>
        </w:rPr>
        <w:t>通过类庞加莱球表示法对轨道角动量梳进行高效相位测量</w:t>
      </w:r>
    </w:p>
    <w:p>
      <w:r>
        <w:rPr>
          <w:rFonts w:ascii="Times New Roman" w:hAnsi="Times New Roman" w:eastAsia="宋体"/>
          <w:b/>
          <w:color w:val="003264"/>
          <w:sz w:val="24"/>
        </w:rPr>
        <w:t>Efficient phase measurement for orbital angular momentum comb through Poincaré-sphere-like representation</w:t>
      </w:r>
    </w:p>
    <w:p>
      <w:r>
        <w:rPr>
          <w:rFonts w:ascii="Times New Roman" w:hAnsi="Times New Roman" w:eastAsia="宋体"/>
          <w:sz w:val="21"/>
        </w:rPr>
        <w:t>作者: Zi-Mo Cheng, Sheng-Qiang Jia, Hao Sheng, Chao Chen, Jianping Ding, Zhi-Cheng Ren, Xi-Lin Wang, Hui-Tian Wang</w:t>
        <w:br/>
      </w:r>
      <w:r>
        <w:rPr>
          <w:rFonts w:ascii="Times New Roman" w:hAnsi="Times New Roman" w:eastAsia="宋体"/>
          <w:sz w:val="21"/>
        </w:rPr>
        <w:t xml:space="preserve">时间: 2026-02-04 | </w:t>
      </w:r>
      <w:r>
        <w:t xml:space="preserve">链接: </w:t>
      </w:r>
      <w:hyperlink r:id="rId162">
        <w:r>
          <w:rPr>
            <w:rFonts w:ascii="Times New Roman" w:hAnsi="Times New Roman" w:eastAsia="宋体"/>
            <w:color w:val="0000FF"/>
            <w:sz w:val="21"/>
            <w:u w:val="single"/>
          </w:rPr>
          <w:t>https://doi.org/10.1063/5.0303986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具有螺旋相位的光子将携带轨道角动量（OAM），由于其正交性和无界维数，它可以成为构建高维希尔伯特空间的宝贵资源。然而，高维OAM光谱的快速测量仍然是一个挑战。虽然强度检测相对简单，但完整的表征需要相位检索。尽管量子态断层扫描允许完全重建，但它需要与维度 (d) 的 d2 成二次方缩放的测量数量，导致随着维度 d 的增加而出现“维度灾难”。因此，迫切需要有效且简单的方法从高维OAM谱中提取相位信息。在这里，我们提出了一种具有模拟斯托克斯参数的广义庞加莱球模型，仅使用 4d 测量即可实现 d 维 OAM 频谱的全相位测量，从而显着降低了数据采集要求。我们通过对 8、16 和 32 维 OAM 梳状光谱进行强度和相位测量来验证该方法。结果与理论预测非常吻合，测量的保真度范围为 0.9829 至 0.9965。这种方法有助于高效表征高维 OAM 光谱，并有助于推进其实际应用。</w:t>
      </w:r>
    </w:p>
    <w:p>
      <w:pPr>
        <w:spacing w:before="120"/>
      </w:pPr>
      <w:r>
        <w:rPr>
          <w:rFonts w:ascii="Times New Roman" w:hAnsi="Times New Roman" w:eastAsia="宋体"/>
          <w:b/>
          <w:sz w:val="21"/>
        </w:rPr>
        <w:t>English Abstract:</w:t>
      </w:r>
    </w:p>
    <w:p>
      <w:r>
        <w:rPr>
          <w:rFonts w:ascii="Times New Roman" w:hAnsi="Times New Roman" w:eastAsia="宋体"/>
          <w:sz w:val="21"/>
        </w:rPr>
        <w:t>Photons with a spiral phase will carry orbital angular momentum (OAM), which can serve as a valuable resource for constructing high-dimensional Hilbert spaces due to its orthogonality and unbounded dimensionality. However, the fast measurement of high-dimensional OAM spectra remains a challenge. While intensity detection is relatively straightforward, full characterization requires phase retrieval. Although quantum state tomography allows full reconstruction, it demands a number of measurements scaling quadratically with the d2 of dimension (d), leading to a “curse of dimensionality” as the dimension d increases. Thus, there is an urgent need for efficient and simple methods for extracting phase information from high-dimensional OAM spectra. Here, we propose a generalized Poincaré sphere model with analog Stokes-like parameters, enabling full phase measurement of a d-dimensional OAM spectrum using only 4d measurements, significantly reducing the data acquisition requirement. We experimentally validated the method by performing intensity and phase measurements on 8-, 16-, and 32-dimensional OAM comb spectra. The results show excellent agreement with theoretical predictions, with measured fidelities ranging from 0.9829 to 0.9965. This approach facilitates an efficient characterization of high-dimensional OAM spectra and contributes to advancing their practical applications.</w:t>
      </w:r>
    </w:p>
    <w:p>
      <w:r>
        <w:rPr>
          <w:rFonts w:ascii="Times New Roman" w:hAnsi="Times New Roman" w:eastAsia="宋体"/>
          <w:sz w:val="21"/>
        </w:rPr>
        <w:t>__________________________________________________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21"/>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038/s41467-026-69103-x" TargetMode="External"/><Relationship Id="rId11" Type="http://schemas.openxmlformats.org/officeDocument/2006/relationships/hyperlink" Target="https://doi.org/10.1038/s41467-026-68928-w" TargetMode="External"/><Relationship Id="rId12" Type="http://schemas.openxmlformats.org/officeDocument/2006/relationships/hyperlink" Target="https://doi.org/10.1038/s41598-026-38223-1" TargetMode="External"/><Relationship Id="rId13" Type="http://schemas.openxmlformats.org/officeDocument/2006/relationships/hyperlink" Target="https://doi.org/10.1038/s41598-026-37869-1" TargetMode="External"/><Relationship Id="rId14" Type="http://schemas.openxmlformats.org/officeDocument/2006/relationships/hyperlink" Target="https://doi.org/10.29026/oea.2026.250323" TargetMode="External"/><Relationship Id="rId15" Type="http://schemas.openxmlformats.org/officeDocument/2006/relationships/hyperlink" Target="https://doi.org/10.29026/oea.2026.250229" TargetMode="External"/><Relationship Id="rId16" Type="http://schemas.openxmlformats.org/officeDocument/2006/relationships/hyperlink" Target="https://doi.org/10.1016/j.displa.2026.103370" TargetMode="External"/><Relationship Id="rId17" Type="http://schemas.openxmlformats.org/officeDocument/2006/relationships/hyperlink" Target="https://doi.org/10.1016/j.optlaseng.2026.109674" TargetMode="External"/><Relationship Id="rId18" Type="http://schemas.openxmlformats.org/officeDocument/2006/relationships/hyperlink" Target="https://doi.org/10.1016/j.optcom.2026.132989" TargetMode="External"/><Relationship Id="rId19" Type="http://schemas.openxmlformats.org/officeDocument/2006/relationships/hyperlink" Target="https://doi.org/10.1364/oe.582012" TargetMode="External"/><Relationship Id="rId20" Type="http://schemas.openxmlformats.org/officeDocument/2006/relationships/hyperlink" Target="https://doi.org/10.1364/oe.578355" TargetMode="External"/><Relationship Id="rId21" Type="http://schemas.openxmlformats.org/officeDocument/2006/relationships/hyperlink" Target="https://doi.org/10.1364/oe.579951" TargetMode="External"/><Relationship Id="rId22" Type="http://schemas.openxmlformats.org/officeDocument/2006/relationships/hyperlink" Target="https://doi.org/10.1364/oe.578370" TargetMode="External"/><Relationship Id="rId23" Type="http://schemas.openxmlformats.org/officeDocument/2006/relationships/hyperlink" Target="https://doi.org/10.1364/oe.586294" TargetMode="External"/><Relationship Id="rId24" Type="http://schemas.openxmlformats.org/officeDocument/2006/relationships/hyperlink" Target="https://doi.org/10.1364/oe.585517" TargetMode="External"/><Relationship Id="rId25" Type="http://schemas.openxmlformats.org/officeDocument/2006/relationships/hyperlink" Target="https://doi.org/10.1364/oe.583350" TargetMode="External"/><Relationship Id="rId26" Type="http://schemas.openxmlformats.org/officeDocument/2006/relationships/hyperlink" Target="https://doi.org/10.1038/s41377-025-02096-2" TargetMode="External"/><Relationship Id="rId27" Type="http://schemas.openxmlformats.org/officeDocument/2006/relationships/hyperlink" Target="https://doi.org/10.1038/s41467-026-68772-y" TargetMode="External"/><Relationship Id="rId28" Type="http://schemas.openxmlformats.org/officeDocument/2006/relationships/hyperlink" Target="https://doi.org/10.1038/s41598-026-38371-4" TargetMode="External"/><Relationship Id="rId29" Type="http://schemas.openxmlformats.org/officeDocument/2006/relationships/hyperlink" Target="https://doi.org/10.1038/s41598-026-38407-9" TargetMode="External"/><Relationship Id="rId30" Type="http://schemas.openxmlformats.org/officeDocument/2006/relationships/hyperlink" Target="https://doi.org/10.1038/s41598-026-38415-9" TargetMode="External"/><Relationship Id="rId31" Type="http://schemas.openxmlformats.org/officeDocument/2006/relationships/hyperlink" Target="https://doi.org/10.1038/s41598-026-38449-z" TargetMode="External"/><Relationship Id="rId32" Type="http://schemas.openxmlformats.org/officeDocument/2006/relationships/hyperlink" Target="https://doi.org/10.1038/s41598-026-39098-y" TargetMode="External"/><Relationship Id="rId33" Type="http://schemas.openxmlformats.org/officeDocument/2006/relationships/hyperlink" Target="https://doi.org/10.1038/s41598-026-38384-z" TargetMode="External"/><Relationship Id="rId34" Type="http://schemas.openxmlformats.org/officeDocument/2006/relationships/hyperlink" Target="https://doi.org/10.1038/s41598-026-36054-8" TargetMode="External"/><Relationship Id="rId35" Type="http://schemas.openxmlformats.org/officeDocument/2006/relationships/hyperlink" Target="https://doi.org/10.1038/s41598-026-38731-0" TargetMode="External"/><Relationship Id="rId36" Type="http://schemas.openxmlformats.org/officeDocument/2006/relationships/hyperlink" Target="https://doi.org/10.1038/s41598-026-38746-7" TargetMode="External"/><Relationship Id="rId37" Type="http://schemas.openxmlformats.org/officeDocument/2006/relationships/hyperlink" Target="https://doi.org/10.1038/s41598-026-37406-0" TargetMode="External"/><Relationship Id="rId38" Type="http://schemas.openxmlformats.org/officeDocument/2006/relationships/hyperlink" Target="https://doi.org/10.1038/s41598-026-38346-5" TargetMode="External"/><Relationship Id="rId39" Type="http://schemas.openxmlformats.org/officeDocument/2006/relationships/hyperlink" Target="https://doi.org/10.1038/s41598-026-38388-9" TargetMode="External"/><Relationship Id="rId40" Type="http://schemas.openxmlformats.org/officeDocument/2006/relationships/hyperlink" Target="https://doi.org/10.1038/s41598-026-38128-z" TargetMode="External"/><Relationship Id="rId41" Type="http://schemas.openxmlformats.org/officeDocument/2006/relationships/hyperlink" Target="https://doi.org/10.1038/s41598-025-31173-0" TargetMode="External"/><Relationship Id="rId42" Type="http://schemas.openxmlformats.org/officeDocument/2006/relationships/hyperlink" Target="https://doi.org/10.1038/s41598-026-38020-w" TargetMode="External"/><Relationship Id="rId43" Type="http://schemas.openxmlformats.org/officeDocument/2006/relationships/hyperlink" Target="https://doi.org/10.1038/s41598-026-38356-3" TargetMode="External"/><Relationship Id="rId44" Type="http://schemas.openxmlformats.org/officeDocument/2006/relationships/hyperlink" Target="https://doi.org/10.1038/s41598-026-38352-7" TargetMode="External"/><Relationship Id="rId45" Type="http://schemas.openxmlformats.org/officeDocument/2006/relationships/hyperlink" Target="https://doi.org/10.1016/j.optcom.2026.132994" TargetMode="External"/><Relationship Id="rId46" Type="http://schemas.openxmlformats.org/officeDocument/2006/relationships/hyperlink" Target="https://doi.org/10.1016/j.optcom.2026.132995" TargetMode="External"/><Relationship Id="rId47" Type="http://schemas.openxmlformats.org/officeDocument/2006/relationships/hyperlink" Target="https://doi.org/10.1364/oe.582674" TargetMode="External"/><Relationship Id="rId48" Type="http://schemas.openxmlformats.org/officeDocument/2006/relationships/hyperlink" Target="https://doi.org/10.1364/oe.581002" TargetMode="External"/><Relationship Id="rId49" Type="http://schemas.openxmlformats.org/officeDocument/2006/relationships/hyperlink" Target="https://doi.org/10.1364/oe.578992" TargetMode="External"/><Relationship Id="rId50" Type="http://schemas.openxmlformats.org/officeDocument/2006/relationships/hyperlink" Target="https://doi.org/10.1364/oe.581652" TargetMode="External"/><Relationship Id="rId51" Type="http://schemas.openxmlformats.org/officeDocument/2006/relationships/hyperlink" Target="https://doi.org/10.1364/oe.579508" TargetMode="External"/><Relationship Id="rId52" Type="http://schemas.openxmlformats.org/officeDocument/2006/relationships/hyperlink" Target="https://doi.org/10.1364/boe.585526" TargetMode="External"/><Relationship Id="rId53" Type="http://schemas.openxmlformats.org/officeDocument/2006/relationships/hyperlink" Target="https://doi.org/10.1002/lpor.202503162" TargetMode="External"/><Relationship Id="rId54" Type="http://schemas.openxmlformats.org/officeDocument/2006/relationships/hyperlink" Target="https://doi.org/10.1002/lpor.202503022" TargetMode="External"/><Relationship Id="rId55" Type="http://schemas.openxmlformats.org/officeDocument/2006/relationships/hyperlink" Target="https://doi.org/10.1002/lpor.202502853" TargetMode="External"/><Relationship Id="rId56" Type="http://schemas.openxmlformats.org/officeDocument/2006/relationships/hyperlink" Target="https://doi.org/10.1021/phv013i003_2036987" TargetMode="External"/><Relationship Id="rId57" Type="http://schemas.openxmlformats.org/officeDocument/2006/relationships/hyperlink" Target="https://doi.org/10.1021/phv013i003_2036986" TargetMode="External"/><Relationship Id="rId58" Type="http://schemas.openxmlformats.org/officeDocument/2006/relationships/hyperlink" Target="https://doi.org/10.1038/s41598-026-37746-x" TargetMode="External"/><Relationship Id="rId59" Type="http://schemas.openxmlformats.org/officeDocument/2006/relationships/hyperlink" Target="https://doi.org/10.1038/s41598-026-37318-z" TargetMode="External"/><Relationship Id="rId60" Type="http://schemas.openxmlformats.org/officeDocument/2006/relationships/hyperlink" Target="https://doi.org/10.1038/s41598-026-38343-8" TargetMode="External"/><Relationship Id="rId61" Type="http://schemas.openxmlformats.org/officeDocument/2006/relationships/hyperlink" Target="https://doi.org/10.1038/s41598-026-37129-2" TargetMode="External"/><Relationship Id="rId62" Type="http://schemas.openxmlformats.org/officeDocument/2006/relationships/hyperlink" Target="https://doi.org/10.1038/s41598-026-36363-y" TargetMode="External"/><Relationship Id="rId63" Type="http://schemas.openxmlformats.org/officeDocument/2006/relationships/hyperlink" Target="https://doi.org/10.1038/s41598-026-35816-8" TargetMode="External"/><Relationship Id="rId64" Type="http://schemas.openxmlformats.org/officeDocument/2006/relationships/hyperlink" Target="https://doi.org/10.1038/s41566-026-01847-w" TargetMode="External"/><Relationship Id="rId65" Type="http://schemas.openxmlformats.org/officeDocument/2006/relationships/hyperlink" Target="https://doi.org/10.1038/s41467-026-68983-3" TargetMode="External"/><Relationship Id="rId66" Type="http://schemas.openxmlformats.org/officeDocument/2006/relationships/hyperlink" Target="https://doi.org/10.1038/s41467-026-68708-6" TargetMode="External"/><Relationship Id="rId67" Type="http://schemas.openxmlformats.org/officeDocument/2006/relationships/hyperlink" Target="https://doi.org/10.1038/s41598-026-37872-6" TargetMode="External"/><Relationship Id="rId68" Type="http://schemas.openxmlformats.org/officeDocument/2006/relationships/hyperlink" Target="https://doi.org/10.1038/s41598-026-35015-5" TargetMode="External"/><Relationship Id="rId69" Type="http://schemas.openxmlformats.org/officeDocument/2006/relationships/hyperlink" Target="https://doi.org/10.1038/s41598-026-37903-2" TargetMode="External"/><Relationship Id="rId70" Type="http://schemas.openxmlformats.org/officeDocument/2006/relationships/hyperlink" Target="https://doi.org/10.1038/s41598-026-37523-w" TargetMode="External"/><Relationship Id="rId71" Type="http://schemas.openxmlformats.org/officeDocument/2006/relationships/hyperlink" Target="https://doi.org/10.1364/ao.583961" TargetMode="External"/><Relationship Id="rId72" Type="http://schemas.openxmlformats.org/officeDocument/2006/relationships/hyperlink" Target="https://doi.org/10.1364/ao.583890" TargetMode="External"/><Relationship Id="rId73" Type="http://schemas.openxmlformats.org/officeDocument/2006/relationships/hyperlink" Target="https://arxiv.org/abs/2602.04330v1" TargetMode="External"/><Relationship Id="rId74" Type="http://schemas.openxmlformats.org/officeDocument/2006/relationships/hyperlink" Target="https://arxiv.org/abs/2602.04618v1" TargetMode="External"/><Relationship Id="rId75" Type="http://schemas.openxmlformats.org/officeDocument/2006/relationships/hyperlink" Target="https://arxiv.org/abs/2602.03281v2" TargetMode="External"/><Relationship Id="rId76" Type="http://schemas.openxmlformats.org/officeDocument/2006/relationships/hyperlink" Target="https://arxiv.org/abs/2602.04840v1" TargetMode="External"/><Relationship Id="rId77" Type="http://schemas.openxmlformats.org/officeDocument/2006/relationships/hyperlink" Target="https://arxiv.org/abs/2602.04834v1" TargetMode="External"/><Relationship Id="rId78" Type="http://schemas.openxmlformats.org/officeDocument/2006/relationships/hyperlink" Target="https://arxiv.org/abs/2602.04121v1" TargetMode="External"/><Relationship Id="rId79" Type="http://schemas.openxmlformats.org/officeDocument/2006/relationships/hyperlink" Target="https://arxiv.org/abs/2602.04171v1" TargetMode="External"/><Relationship Id="rId80" Type="http://schemas.openxmlformats.org/officeDocument/2006/relationships/hyperlink" Target="https://arxiv.org/abs/2602.04259v1" TargetMode="External"/><Relationship Id="rId81" Type="http://schemas.openxmlformats.org/officeDocument/2006/relationships/hyperlink" Target="https://arxiv.org/abs/2602.04319v1" TargetMode="External"/><Relationship Id="rId82" Type="http://schemas.openxmlformats.org/officeDocument/2006/relationships/hyperlink" Target="https://arxiv.org/abs/2602.04395v1" TargetMode="External"/><Relationship Id="rId83" Type="http://schemas.openxmlformats.org/officeDocument/2006/relationships/hyperlink" Target="https://arxiv.org/abs/2602.04446v1" TargetMode="External"/><Relationship Id="rId84" Type="http://schemas.openxmlformats.org/officeDocument/2006/relationships/hyperlink" Target="https://arxiv.org/abs/2602.04483v1" TargetMode="External"/><Relationship Id="rId85" Type="http://schemas.openxmlformats.org/officeDocument/2006/relationships/hyperlink" Target="https://arxiv.org/abs/2602.04505v1" TargetMode="External"/><Relationship Id="rId86" Type="http://schemas.openxmlformats.org/officeDocument/2006/relationships/hyperlink" Target="https://arxiv.org/abs/2602.04724v1" TargetMode="External"/><Relationship Id="rId87" Type="http://schemas.openxmlformats.org/officeDocument/2006/relationships/hyperlink" Target="https://arxiv.org/abs/2602.03998v1" TargetMode="External"/><Relationship Id="rId88" Type="http://schemas.openxmlformats.org/officeDocument/2006/relationships/hyperlink" Target="https://arxiv.org/abs/2602.04032v1" TargetMode="External"/><Relationship Id="rId89" Type="http://schemas.openxmlformats.org/officeDocument/2006/relationships/hyperlink" Target="https://arxiv.org/abs/2602.04162v1" TargetMode="External"/><Relationship Id="rId90" Type="http://schemas.openxmlformats.org/officeDocument/2006/relationships/hyperlink" Target="https://arxiv.org/abs/2602.04712v1" TargetMode="External"/><Relationship Id="rId91" Type="http://schemas.openxmlformats.org/officeDocument/2006/relationships/hyperlink" Target="https://arxiv.org/abs/2602.04009v1" TargetMode="External"/><Relationship Id="rId92" Type="http://schemas.openxmlformats.org/officeDocument/2006/relationships/hyperlink" Target="https://arxiv.org/abs/2602.04030v1" TargetMode="External"/><Relationship Id="rId93" Type="http://schemas.openxmlformats.org/officeDocument/2006/relationships/hyperlink" Target="https://arxiv.org/abs/2602.04043v1" TargetMode="External"/><Relationship Id="rId94" Type="http://schemas.openxmlformats.org/officeDocument/2006/relationships/hyperlink" Target="https://arxiv.org/abs/2602.04046v1" TargetMode="External"/><Relationship Id="rId95" Type="http://schemas.openxmlformats.org/officeDocument/2006/relationships/hyperlink" Target="https://arxiv.org/abs/2602.04051v1" TargetMode="External"/><Relationship Id="rId96" Type="http://schemas.openxmlformats.org/officeDocument/2006/relationships/hyperlink" Target="https://arxiv.org/abs/2602.04053v1" TargetMode="External"/><Relationship Id="rId97" Type="http://schemas.openxmlformats.org/officeDocument/2006/relationships/hyperlink" Target="https://arxiv.org/abs/2602.04063v1" TargetMode="External"/><Relationship Id="rId98" Type="http://schemas.openxmlformats.org/officeDocument/2006/relationships/hyperlink" Target="https://arxiv.org/abs/2602.04102v1" TargetMode="External"/><Relationship Id="rId99" Type="http://schemas.openxmlformats.org/officeDocument/2006/relationships/hyperlink" Target="https://arxiv.org/abs/2602.04142v1" TargetMode="External"/><Relationship Id="rId100" Type="http://schemas.openxmlformats.org/officeDocument/2006/relationships/hyperlink" Target="https://arxiv.org/abs/2602.04154v1" TargetMode="External"/><Relationship Id="rId101" Type="http://schemas.openxmlformats.org/officeDocument/2006/relationships/hyperlink" Target="https://arxiv.org/abs/2602.04170v1" TargetMode="External"/><Relationship Id="rId102" Type="http://schemas.openxmlformats.org/officeDocument/2006/relationships/hyperlink" Target="https://arxiv.org/abs/2602.04182v1" TargetMode="External"/><Relationship Id="rId103" Type="http://schemas.openxmlformats.org/officeDocument/2006/relationships/hyperlink" Target="https://arxiv.org/abs/2602.04184v1" TargetMode="External"/><Relationship Id="rId104" Type="http://schemas.openxmlformats.org/officeDocument/2006/relationships/hyperlink" Target="https://arxiv.org/abs/2602.04193v1" TargetMode="External"/><Relationship Id="rId105" Type="http://schemas.openxmlformats.org/officeDocument/2006/relationships/hyperlink" Target="https://arxiv.org/abs/2602.04227v1" TargetMode="External"/><Relationship Id="rId106" Type="http://schemas.openxmlformats.org/officeDocument/2006/relationships/hyperlink" Target="https://arxiv.org/abs/2602.04237v1" TargetMode="External"/><Relationship Id="rId107" Type="http://schemas.openxmlformats.org/officeDocument/2006/relationships/hyperlink" Target="https://arxiv.org/abs/2602.04240v1" TargetMode="External"/><Relationship Id="rId108" Type="http://schemas.openxmlformats.org/officeDocument/2006/relationships/hyperlink" Target="https://arxiv.org/abs/2602.04271v1" TargetMode="External"/><Relationship Id="rId109" Type="http://schemas.openxmlformats.org/officeDocument/2006/relationships/hyperlink" Target="https://arxiv.org/abs/2602.04304v1" TargetMode="External"/><Relationship Id="rId110" Type="http://schemas.openxmlformats.org/officeDocument/2006/relationships/hyperlink" Target="https://arxiv.org/abs/2602.04315v1" TargetMode="External"/><Relationship Id="rId111" Type="http://schemas.openxmlformats.org/officeDocument/2006/relationships/hyperlink" Target="https://arxiv.org/abs/2602.04317v1" TargetMode="External"/><Relationship Id="rId112" Type="http://schemas.openxmlformats.org/officeDocument/2006/relationships/hyperlink" Target="https://arxiv.org/abs/2602.04340v1" TargetMode="External"/><Relationship Id="rId113" Type="http://schemas.openxmlformats.org/officeDocument/2006/relationships/hyperlink" Target="https://arxiv.org/abs/2602.04343v1" TargetMode="External"/><Relationship Id="rId114" Type="http://schemas.openxmlformats.org/officeDocument/2006/relationships/hyperlink" Target="https://arxiv.org/abs/2602.04349v1" TargetMode="External"/><Relationship Id="rId115" Type="http://schemas.openxmlformats.org/officeDocument/2006/relationships/hyperlink" Target="https://arxiv.org/abs/2602.04356v1" TargetMode="External"/><Relationship Id="rId116" Type="http://schemas.openxmlformats.org/officeDocument/2006/relationships/hyperlink" Target="https://arxiv.org/abs/2602.04361v1" TargetMode="External"/><Relationship Id="rId117" Type="http://schemas.openxmlformats.org/officeDocument/2006/relationships/hyperlink" Target="https://arxiv.org/abs/2602.04381v1" TargetMode="External"/><Relationship Id="rId118" Type="http://schemas.openxmlformats.org/officeDocument/2006/relationships/hyperlink" Target="https://arxiv.org/abs/2602.04401v1" TargetMode="External"/><Relationship Id="rId119" Type="http://schemas.openxmlformats.org/officeDocument/2006/relationships/hyperlink" Target="https://arxiv.org/abs/2602.04405v1" TargetMode="External"/><Relationship Id="rId120" Type="http://schemas.openxmlformats.org/officeDocument/2006/relationships/hyperlink" Target="https://arxiv.org/abs/2602.04406v1" TargetMode="External"/><Relationship Id="rId121" Type="http://schemas.openxmlformats.org/officeDocument/2006/relationships/hyperlink" Target="https://arxiv.org/abs/2602.04416v1" TargetMode="External"/><Relationship Id="rId122" Type="http://schemas.openxmlformats.org/officeDocument/2006/relationships/hyperlink" Target="https://arxiv.org/abs/2602.04439v1" TargetMode="External"/><Relationship Id="rId123" Type="http://schemas.openxmlformats.org/officeDocument/2006/relationships/hyperlink" Target="https://arxiv.org/abs/2602.04462v1" TargetMode="External"/><Relationship Id="rId124" Type="http://schemas.openxmlformats.org/officeDocument/2006/relationships/hyperlink" Target="https://arxiv.org/abs/2602.04473v1" TargetMode="External"/><Relationship Id="rId125" Type="http://schemas.openxmlformats.org/officeDocument/2006/relationships/hyperlink" Target="https://arxiv.org/abs/2602.04517v1" TargetMode="External"/><Relationship Id="rId126" Type="http://schemas.openxmlformats.org/officeDocument/2006/relationships/hyperlink" Target="https://arxiv.org/abs/2602.04547v1" TargetMode="External"/><Relationship Id="rId127" Type="http://schemas.openxmlformats.org/officeDocument/2006/relationships/hyperlink" Target="https://arxiv.org/abs/2602.04565v1" TargetMode="External"/><Relationship Id="rId128" Type="http://schemas.openxmlformats.org/officeDocument/2006/relationships/hyperlink" Target="https://arxiv.org/abs/2602.04583v1" TargetMode="External"/><Relationship Id="rId129" Type="http://schemas.openxmlformats.org/officeDocument/2006/relationships/hyperlink" Target="https://arxiv.org/abs/2602.04585v1" TargetMode="External"/><Relationship Id="rId130" Type="http://schemas.openxmlformats.org/officeDocument/2006/relationships/hyperlink" Target="https://arxiv.org/abs/2602.04624v1" TargetMode="External"/><Relationship Id="rId131" Type="http://schemas.openxmlformats.org/officeDocument/2006/relationships/hyperlink" Target="https://arxiv.org/abs/2602.04687v1" TargetMode="External"/><Relationship Id="rId132" Type="http://schemas.openxmlformats.org/officeDocument/2006/relationships/hyperlink" Target="https://arxiv.org/abs/2602.04692v1" TargetMode="External"/><Relationship Id="rId133" Type="http://schemas.openxmlformats.org/officeDocument/2006/relationships/hyperlink" Target="https://arxiv.org/abs/2602.04713v1" TargetMode="External"/><Relationship Id="rId134" Type="http://schemas.openxmlformats.org/officeDocument/2006/relationships/hyperlink" Target="https://arxiv.org/abs/2602.04722v1" TargetMode="External"/><Relationship Id="rId135" Type="http://schemas.openxmlformats.org/officeDocument/2006/relationships/hyperlink" Target="https://arxiv.org/abs/2602.04749v1" TargetMode="External"/><Relationship Id="rId136" Type="http://schemas.openxmlformats.org/officeDocument/2006/relationships/hyperlink" Target="https://arxiv.org/abs/2602.04802v1" TargetMode="External"/><Relationship Id="rId137" Type="http://schemas.openxmlformats.org/officeDocument/2006/relationships/hyperlink" Target="https://arxiv.org/abs/2602.04814v1" TargetMode="External"/><Relationship Id="rId138" Type="http://schemas.openxmlformats.org/officeDocument/2006/relationships/hyperlink" Target="https://arxiv.org/abs/2602.04819v1" TargetMode="External"/><Relationship Id="rId139" Type="http://schemas.openxmlformats.org/officeDocument/2006/relationships/hyperlink" Target="https://arxiv.org/abs/2602.04820v1" TargetMode="External"/><Relationship Id="rId140" Type="http://schemas.openxmlformats.org/officeDocument/2006/relationships/hyperlink" Target="https://arxiv.org/abs/2602.04864v1" TargetMode="External"/><Relationship Id="rId141" Type="http://schemas.openxmlformats.org/officeDocument/2006/relationships/hyperlink" Target="https://arxiv.org/abs/2602.04873v1" TargetMode="External"/><Relationship Id="rId142" Type="http://schemas.openxmlformats.org/officeDocument/2006/relationships/hyperlink" Target="https://arxiv.org/abs/2602.04876v1" TargetMode="External"/><Relationship Id="rId143" Type="http://schemas.openxmlformats.org/officeDocument/2006/relationships/hyperlink" Target="https://arxiv.org/abs/2602.04877v1" TargetMode="External"/><Relationship Id="rId144" Type="http://schemas.openxmlformats.org/officeDocument/2006/relationships/hyperlink" Target="https://arxiv.org/abs/2602.04884v1" TargetMode="External"/><Relationship Id="rId145" Type="http://schemas.openxmlformats.org/officeDocument/2006/relationships/hyperlink" Target="https://arxiv.org/abs/2602.04201v1" TargetMode="External"/><Relationship Id="rId146" Type="http://schemas.openxmlformats.org/officeDocument/2006/relationships/hyperlink" Target="https://doi.org/10.1038/d41586-026-00169-9" TargetMode="External"/><Relationship Id="rId147" Type="http://schemas.openxmlformats.org/officeDocument/2006/relationships/hyperlink" Target="https://doi.org/10.1038/d41586-026-00036-7" TargetMode="External"/><Relationship Id="rId148" Type="http://schemas.openxmlformats.org/officeDocument/2006/relationships/hyperlink" Target="https://doi.org/10.1038/s41598-026-35841-7" TargetMode="External"/><Relationship Id="rId149" Type="http://schemas.openxmlformats.org/officeDocument/2006/relationships/hyperlink" Target="https://doi.org/10.1038/s41598-026-36260-4" TargetMode="External"/><Relationship Id="rId150" Type="http://schemas.openxmlformats.org/officeDocument/2006/relationships/hyperlink" Target="https://doi.org/10.1038/s41598-026-36097-x" TargetMode="External"/><Relationship Id="rId151" Type="http://schemas.openxmlformats.org/officeDocument/2006/relationships/hyperlink" Target="https://doi.org/10.1038/s41598-026-36573-4" TargetMode="External"/><Relationship Id="rId152" Type="http://schemas.openxmlformats.org/officeDocument/2006/relationships/hyperlink" Target="https://doi.org/10.1038/s41598-026-37395-0" TargetMode="External"/><Relationship Id="rId153" Type="http://schemas.openxmlformats.org/officeDocument/2006/relationships/hyperlink" Target="https://doi.org/10.1016/j.optlastec.2026.114832" TargetMode="External"/><Relationship Id="rId154" Type="http://schemas.openxmlformats.org/officeDocument/2006/relationships/hyperlink" Target="https://doi.org/10.1364/ao.585420" TargetMode="External"/><Relationship Id="rId155" Type="http://schemas.openxmlformats.org/officeDocument/2006/relationships/hyperlink" Target="https://doi.org/10.1364/ao.586383" TargetMode="External"/><Relationship Id="rId156" Type="http://schemas.openxmlformats.org/officeDocument/2006/relationships/hyperlink" Target="https://doi.org/10.1364/ao.586419" TargetMode="External"/><Relationship Id="rId157" Type="http://schemas.openxmlformats.org/officeDocument/2006/relationships/hyperlink" Target="https://doi.org/10.1364/ao.585711" TargetMode="External"/><Relationship Id="rId158" Type="http://schemas.openxmlformats.org/officeDocument/2006/relationships/hyperlink" Target="https://doi.org/10.1364/ao.586119" TargetMode="External"/><Relationship Id="rId159" Type="http://schemas.openxmlformats.org/officeDocument/2006/relationships/hyperlink" Target="https://doi.org/10.1364/ao.585838" TargetMode="External"/><Relationship Id="rId160" Type="http://schemas.openxmlformats.org/officeDocument/2006/relationships/hyperlink" Target="https://doi.org/10.1364/ao.575790" TargetMode="External"/><Relationship Id="rId161" Type="http://schemas.openxmlformats.org/officeDocument/2006/relationships/hyperlink" Target="https://doi.org/10.1364/ao.575879" TargetMode="External"/><Relationship Id="rId162" Type="http://schemas.openxmlformats.org/officeDocument/2006/relationships/hyperlink" Target="https://doi.org/10.1063/5.03039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