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垂直入射时具有亚分贝插入损耗的三波相互作用光栅耦合器</w:t>
      </w:r>
    </w:p>
    <w:p>
      <w:r>
        <w:rPr>
          <w:rFonts w:ascii="Times New Roman" w:hAnsi="Times New Roman" w:eastAsia="宋体"/>
          <w:b/>
          <w:color w:val="003264"/>
          <w:sz w:val="24"/>
        </w:rPr>
        <w:t>Three-wave interaction grating coupler with the sub-decibel insertion loss at normal incidence</w:t>
      </w:r>
    </w:p>
    <w:p>
      <w:r>
        <w:rPr>
          <w:rFonts w:ascii="Times New Roman" w:hAnsi="Times New Roman" w:eastAsia="宋体"/>
          <w:sz w:val="21"/>
        </w:rPr>
        <w:t>作者: Carson G. Valdez, Simon A. Bongarz, Anne R. Kroo, Anna J. Miller, Michel J. F. Digonnet, David A. B. Miller, Olav Solgaard</w:t>
        <w:br/>
      </w:r>
      <w:r>
        <w:rPr>
          <w:rFonts w:ascii="Times New Roman" w:hAnsi="Times New Roman" w:eastAsia="宋体"/>
          <w:sz w:val="21"/>
        </w:rPr>
        <w:t xml:space="preserve">时间: 2026-01-21 | </w:t>
      </w:r>
      <w:r>
        <w:t xml:space="preserve">链接: </w:t>
      </w:r>
      <w:hyperlink r:id="rId215">
        <w:r>
          <w:rPr>
            <w:rFonts w:ascii="Times New Roman" w:hAnsi="Times New Roman" w:eastAsia="宋体"/>
            <w:color w:val="0000FF"/>
            <w:sz w:val="21"/>
            <w:u w:val="single"/>
          </w:rPr>
          <w:t>https://doi.org/10.1364/optica.571318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或自由空间光束与硅光子电路之间的高效光学耦合对于降低系统级损耗和实现可扩展封装至关重要。传统的光栅耦合器通常需要非垂直入射的照明，这限制了它们与垂直定向光源和光纤的兼容性。我们报告了用于硅光子学的高效正入射光栅耦合器的设计、商业铸造厂的制造以及实验结果。我们观察到中心波长为 1546 nm 时，1 dB 带宽为 20 nm，最大耦合效率为 85.4% (−0.69dB)。这些实验结果验证了早期的理论和仿真结果，并为在对输入耦合损耗敏感的硅光子应用中使用完全垂直的光栅耦合器作为边缘耦合的替代方案铺平了道路。此外，这些结果使得光栅耦合器能够用于垂直定向元件，例如多芯光纤和 VCSEL，并解决了与自由空间光束耦合相关的挑战。</w:t>
      </w:r>
    </w:p>
    <w:p>
      <w:pPr>
        <w:spacing w:before="120"/>
      </w:pPr>
      <w:r>
        <w:rPr>
          <w:rFonts w:ascii="Times New Roman" w:hAnsi="Times New Roman" w:eastAsia="宋体"/>
          <w:b/>
          <w:sz w:val="21"/>
        </w:rPr>
        <w:t>English Abstract:</w:t>
      </w:r>
    </w:p>
    <w:p>
      <w:r>
        <w:rPr>
          <w:rFonts w:ascii="Times New Roman" w:hAnsi="Times New Roman" w:eastAsia="宋体"/>
          <w:sz w:val="21"/>
        </w:rPr>
        <w:t>High-efficiency optical coupling between fibers or free-space beams and silicon photonic circuits is critical for reducing system-level losses and enabling scalable packaging. Conventional grating couplers typically require illumination off-normal incidence, limiting their compatibility with vertically oriented sources and fibers. We report the design, fabrication in a commercial foundry, and experimental results of high-efficiency, normal incidence grating couplers for silicon photonics. We observe a maximum coupling efficiency of 85.4% (−0.69dB) with a 1 dB bandwidth of 20 nm at a central wavelength of 1546 nm. These experimental results verify earlier theoretical and simulation results and pave the way for the use of perfectly vertical grating couplers, as an alternative to edge coupling, in silicon photonics applications that are sensitive to input coupling loss. Further, these results enable the use of grating couplers for vertically oriented elements, such as multicore fibers and VCSELs, and address challenges associated with coupling to free space beams.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水射流引导激光系统能量传输与分布特性分析</w:t>
      </w:r>
    </w:p>
    <w:p>
      <w:r>
        <w:rPr>
          <w:rFonts w:ascii="Times New Roman" w:hAnsi="Times New Roman" w:eastAsia="宋体"/>
          <w:b/>
          <w:color w:val="003264"/>
          <w:sz w:val="24"/>
        </w:rPr>
        <w:t>Analysis of energy transmission and distribution characteristics in water jet guided laser systems</w:t>
      </w:r>
    </w:p>
    <w:p>
      <w:r>
        <w:rPr>
          <w:rFonts w:ascii="Times New Roman" w:hAnsi="Times New Roman" w:eastAsia="宋体"/>
          <w:sz w:val="21"/>
        </w:rPr>
        <w:t>作者: Zhouwei He, Xiaoyan Sun, Haikuan Chen, Haoning Zheng, Youwang Hu, Pingmei Ming</w:t>
        <w:br/>
      </w:r>
      <w:r>
        <w:rPr>
          <w:rFonts w:ascii="Times New Roman" w:hAnsi="Times New Roman" w:eastAsia="宋体"/>
          <w:sz w:val="21"/>
        </w:rPr>
        <w:t xml:space="preserve">时间: 2026-02-01 | </w:t>
      </w:r>
      <w:r>
        <w:t xml:space="preserve">链接: </w:t>
      </w:r>
      <w:hyperlink r:id="rId213">
        <w:r>
          <w:rPr>
            <w:rFonts w:ascii="Times New Roman" w:hAnsi="Times New Roman" w:eastAsia="宋体"/>
            <w:color w:val="0000FF"/>
            <w:sz w:val="21"/>
            <w:u w:val="single"/>
          </w:rPr>
          <w:t>https://doi.org/10.1016/j.optcom.2026.132992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使用液晶通过双折射频率耦合实现量子偏振态的可调谐退相干</w:t>
      </w:r>
    </w:p>
    <w:p>
      <w:r>
        <w:rPr>
          <w:rFonts w:ascii="Times New Roman" w:hAnsi="Times New Roman" w:eastAsia="宋体"/>
          <w:b/>
          <w:color w:val="003264"/>
          <w:sz w:val="24"/>
        </w:rPr>
        <w:t>Tunable decoherence of quantum polarization states via birefringence-frequency coupling using liquid crystal</w:t>
      </w:r>
    </w:p>
    <w:p>
      <w:r>
        <w:rPr>
          <w:rFonts w:ascii="Times New Roman" w:hAnsi="Times New Roman" w:eastAsia="宋体"/>
          <w:sz w:val="21"/>
        </w:rPr>
        <w:t>作者: Gyaprasad, Rajneesh Joshi</w:t>
        <w:br/>
      </w:r>
      <w:r>
        <w:rPr>
          <w:rFonts w:ascii="Times New Roman" w:hAnsi="Times New Roman" w:eastAsia="宋体"/>
          <w:sz w:val="21"/>
        </w:rPr>
        <w:t xml:space="preserve">时间: 2026-02-01 | </w:t>
      </w:r>
      <w:r>
        <w:t xml:space="preserve">链接: </w:t>
      </w:r>
      <w:hyperlink r:id="rId340">
        <w:r>
          <w:rPr>
            <w:rFonts w:ascii="Times New Roman" w:hAnsi="Times New Roman" w:eastAsia="宋体"/>
            <w:color w:val="0000FF"/>
            <w:sz w:val="21"/>
            <w:u w:val="single"/>
          </w:rPr>
          <w:t>https://doi.org/10.1016/j.optcom.2026.132984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卓越的点驱动多通道电子自旋极化</w:t>
      </w:r>
    </w:p>
    <w:p>
      <w:r>
        <w:rPr>
          <w:rFonts w:ascii="Times New Roman" w:hAnsi="Times New Roman" w:eastAsia="宋体"/>
          <w:b/>
          <w:color w:val="003264"/>
          <w:sz w:val="24"/>
        </w:rPr>
        <w:t>Exceptional Point-Driven Multi-Channel Electron Spin Polarization</w:t>
      </w:r>
    </w:p>
    <w:p>
      <w:r>
        <w:rPr>
          <w:rFonts w:ascii="Times New Roman" w:hAnsi="Times New Roman" w:eastAsia="宋体"/>
          <w:sz w:val="21"/>
        </w:rPr>
        <w:t>作者: Yuting Xu, Zhen Chai, Xinran Su</w:t>
        <w:br/>
      </w:r>
      <w:r>
        <w:rPr>
          <w:rFonts w:ascii="Times New Roman" w:hAnsi="Times New Roman" w:eastAsia="宋体"/>
          <w:sz w:val="21"/>
        </w:rPr>
        <w:t xml:space="preserve">时间: 2026-02-03 | </w:t>
      </w:r>
      <w:r>
        <w:t xml:space="preserve">链接: </w:t>
      </w:r>
      <w:hyperlink r:id="rId342">
        <w:r>
          <w:rPr>
            <w:rFonts w:ascii="Times New Roman" w:hAnsi="Times New Roman" w:eastAsia="宋体"/>
            <w:color w:val="0000FF"/>
            <w:sz w:val="21"/>
            <w:u w:val="single"/>
          </w:rPr>
          <w:t>https://doi.org/10.1021/acsphotonics.5c02577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用于稳定荧光发射的 LED 光谱引导激发补偿</w:t>
      </w:r>
    </w:p>
    <w:p>
      <w:r>
        <w:rPr>
          <w:rFonts w:ascii="Times New Roman" w:hAnsi="Times New Roman" w:eastAsia="宋体"/>
          <w:b/>
          <w:color w:val="003264"/>
          <w:sz w:val="24"/>
        </w:rPr>
        <w:t>Spectrum-guided excitation compensation of LEDs for stabilizing fluorescence emission</w:t>
      </w:r>
    </w:p>
    <w:p>
      <w:r>
        <w:rPr>
          <w:rFonts w:ascii="Times New Roman" w:hAnsi="Times New Roman" w:eastAsia="宋体"/>
          <w:sz w:val="21"/>
        </w:rPr>
        <w:t>作者: Huan Zuo, Qian Zhao, Yong Liu, Beini Sun, Zhengfei Zhuang, Tongsheng Chen</w:t>
        <w:br/>
      </w:r>
      <w:r>
        <w:rPr>
          <w:rFonts w:ascii="Times New Roman" w:hAnsi="Times New Roman" w:eastAsia="宋体"/>
          <w:sz w:val="21"/>
        </w:rPr>
        <w:t xml:space="preserve">时间: 2026-05-01 | </w:t>
      </w:r>
      <w:r>
        <w:t xml:space="preserve">链接: </w:t>
      </w:r>
      <w:hyperlink r:id="rId333">
        <w:r>
          <w:rPr>
            <w:rFonts w:ascii="Times New Roman" w:hAnsi="Times New Roman" w:eastAsia="宋体"/>
            <w:color w:val="0000FF"/>
            <w:sz w:val="21"/>
            <w:u w:val="single"/>
          </w:rPr>
          <w:t>https://doi.org/10.1016/j.optlastec.2026.114848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光纤LIBS系统表征EAST碳纤维复合材料活动限位器上的杂质沉积</w:t>
      </w:r>
    </w:p>
    <w:p>
      <w:r>
        <w:rPr>
          <w:rFonts w:ascii="Times New Roman" w:hAnsi="Times New Roman" w:eastAsia="宋体"/>
          <w:b/>
          <w:color w:val="003264"/>
          <w:sz w:val="24"/>
        </w:rPr>
        <w:t>Characterization of impurity deposition on carbon fiber composite movable limiter for EAST by fiber-optic LIBS system</w:t>
      </w:r>
    </w:p>
    <w:p>
      <w:r>
        <w:rPr>
          <w:rFonts w:ascii="Times New Roman" w:hAnsi="Times New Roman" w:eastAsia="宋体"/>
          <w:sz w:val="21"/>
        </w:rPr>
        <w:t>作者: Hao Sun, Zhenhua Hu, Jian Wu, Jinghui Li, Xinyu Guo, Fang Ding, Huace Wu, Haishan Zhou, Rui Ding, Huantong Shi, Xingwen Li, Jiangang Li</w:t>
        <w:br/>
      </w:r>
      <w:r>
        <w:rPr>
          <w:rFonts w:ascii="Times New Roman" w:hAnsi="Times New Roman" w:eastAsia="宋体"/>
          <w:sz w:val="21"/>
        </w:rPr>
        <w:t xml:space="preserve">时间: 2026-05-01 | </w:t>
      </w:r>
      <w:r>
        <w:t xml:space="preserve">链接: </w:t>
      </w:r>
      <w:hyperlink r:id="rId348">
        <w:r>
          <w:rPr>
            <w:rFonts w:ascii="Times New Roman" w:hAnsi="Times New Roman" w:eastAsia="宋体"/>
            <w:color w:val="0000FF"/>
            <w:sz w:val="21"/>
            <w:u w:val="single"/>
          </w:rPr>
          <w:t>https://doi.org/10.1016/j.optlastec.2026.114780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p>
      <w:pPr>
        <w:pStyle w:val="Heading1"/>
      </w:pPr>
      <w:r>
        <w:rPr>
          <w:rFonts w:ascii="Times New Roman" w:hAnsi="Times New Roman" w:eastAsia="宋体"/>
          <w:b/>
          <w:color w:val="000000"/>
          <w:sz w:val="32"/>
        </w:rPr>
        <w:t>Nature Communications</w:t>
      </w:r>
    </w:p>
    <w:p>
      <w:pPr>
        <w:jc w:val="center"/>
      </w:pPr>
      <w:r>
        <w:t>--- 更新: 12:38 ---</w:t>
      </w:r>
    </w:p>
    <w:p>
      <w:pPr>
        <w:pStyle w:val="Heading2"/>
      </w:pPr>
      <w:r/>
      <w:r>
        <w:rPr>
          <w:rFonts w:ascii="Times New Roman" w:hAnsi="Times New Roman" w:eastAsia="宋体"/>
          <w:b/>
          <w:color w:val="000000"/>
          <w:sz w:val="24"/>
        </w:rPr>
        <w:t>人脑中的定向皮质边缘对话</w:t>
      </w:r>
    </w:p>
    <w:p>
      <w:r>
        <w:rPr>
          <w:rFonts w:ascii="Times New Roman" w:hAnsi="Times New Roman" w:eastAsia="宋体"/>
          <w:b/>
          <w:color w:val="003264"/>
          <w:sz w:val="24"/>
        </w:rPr>
        <w:t>Directed cortico-limbic dialogue in the human brain</w:t>
      </w:r>
    </w:p>
    <w:p>
      <w:r>
        <w:rPr>
          <w:rFonts w:ascii="Times New Roman" w:hAnsi="Times New Roman" w:eastAsia="宋体"/>
          <w:sz w:val="21"/>
        </w:rPr>
        <w:t>作者: Ellen van Maren, Camille G. Mignardot, Roland Widmer, Cecilia Friedrichs-Maeder, Juan Ansó, Päivi Nevalainen, Markus Fuchs, Claudio Pollo, Athina Tzovara, Timothée Proix, Kaspar A. Schindler, Maxime O. Baud</w:t>
        <w:br/>
      </w:r>
      <w:r>
        <w:rPr>
          <w:rFonts w:ascii="Times New Roman" w:hAnsi="Times New Roman" w:eastAsia="宋体"/>
          <w:sz w:val="21"/>
        </w:rPr>
        <w:t xml:space="preserve">时间: 2026-02-02 | </w:t>
      </w:r>
      <w:r>
        <w:t xml:space="preserve">链接: </w:t>
      </w:r>
      <w:hyperlink r:id="rId142">
        <w:r>
          <w:rPr>
            <w:rFonts w:ascii="Times New Roman" w:hAnsi="Times New Roman" w:eastAsia="宋体"/>
            <w:color w:val="0000FF"/>
            <w:sz w:val="21"/>
            <w:u w:val="single"/>
          </w:rPr>
          <w:t>https://doi.org/10.1038/s41467-026-68701-z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如何在一堆神经纤维中追踪大脑有序的定向信号？由于人类很少能直接接触到实际的大脑信号，因此睡眠和清醒期间皮质边缘通信的精确接线图基本上仍未绘制出来，这阻碍了神经科学的进步。现在，人脑上独特的神经外科窗口允许在医院对皮层连接进行电映射，但迄今为止的研究依赖于平均信号，掩盖了跨大脑区域和警戒状态的信号流的动态性质。为了因果地估计信号流，我们在几天内用短暂的电脉冲反复探测皮质边缘网络，并在单次试验的基础上评估每个传输信号的可变命运。在所得的公开数据集中，我们描述了数天内数千个本地和远程皮质边缘连接的信号概率和方向性。挑战既定观点，我们发现边缘结构在清醒和睡眠状态下发送的信号是它们接收的信号的两倍。我们的研究结果为因果解释大脑信号流和制定脑网络疾病的治疗策略提供了一个基本框架。</w:t>
      </w:r>
    </w:p>
    <w:p>
      <w:pPr>
        <w:spacing w:before="120"/>
      </w:pPr>
      <w:r>
        <w:rPr>
          <w:rFonts w:ascii="Times New Roman" w:hAnsi="Times New Roman" w:eastAsia="宋体"/>
          <w:b/>
          <w:sz w:val="21"/>
        </w:rPr>
        <w:t>English Abstract:</w:t>
      </w:r>
    </w:p>
    <w:p>
      <w:r>
        <w:rPr>
          <w:rFonts w:ascii="Times New Roman" w:hAnsi="Times New Roman" w:eastAsia="宋体"/>
          <w:sz w:val="21"/>
        </w:rPr>
        <w:t>Abstract How can one trace the brain’s orderly directed signals amid a tangle of nerve fibers? Because direct access to actual brain signaling is rare in humans, the precise wiring diagrams for cortico-limbic communication during sleep and wake remain essentially unmapped, hampering progress in neuroscience. Now, a unique neurosurgical window on the human brain allows for electrically mapping cortical connections at the hospital, but studies so far have relied on average signals, masking the dynamic nature of signal flow across brain regions and vigilance states. To causally estimate signal flow, we repeatedly probed cortico-limbic networks with short-lived electrical pulses over days and assessed the variable fate of each transmitted signal on a single-trial basis. In the resulting openly available dataset, we characterized signaling probabilities and directionality across thousands of local and long-range cortico-limbic connections over days. Challenging established views, we found that limbic structures send twice as many signals as they receive, in both wakefulness and sleep. Our findings provide a fundamental framework for causally interpreting signal flow in the brain and formulating therapeutic strategies for brain network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昆虫级人工视觉嗅觉仿生复眼</w:t>
      </w:r>
    </w:p>
    <w:p>
      <w:r>
        <w:rPr>
          <w:rFonts w:ascii="Times New Roman" w:hAnsi="Times New Roman" w:eastAsia="宋体"/>
          <w:b/>
          <w:color w:val="003264"/>
          <w:sz w:val="24"/>
        </w:rPr>
        <w:t>An insect-scale artificial visual-olfactory bionic compound eye</w:t>
      </w:r>
    </w:p>
    <w:p>
      <w:r>
        <w:rPr>
          <w:rFonts w:ascii="Times New Roman" w:hAnsi="Times New Roman" w:eastAsia="宋体"/>
          <w:sz w:val="21"/>
        </w:rPr>
        <w:t>作者: Jiachuang Wang, Shuai Wei, Nan Qin, Tiger H. Tao</w:t>
        <w:br/>
      </w:r>
      <w:r>
        <w:rPr>
          <w:rFonts w:ascii="Times New Roman" w:hAnsi="Times New Roman" w:eastAsia="宋体"/>
          <w:sz w:val="21"/>
        </w:rPr>
        <w:t xml:space="preserve">时间: 2026-02-02 | </w:t>
      </w:r>
      <w:r>
        <w:t xml:space="preserve">链接: </w:t>
      </w:r>
      <w:hyperlink r:id="rId143">
        <w:r>
          <w:rPr>
            <w:rFonts w:ascii="Times New Roman" w:hAnsi="Times New Roman" w:eastAsia="宋体"/>
            <w:color w:val="0000FF"/>
            <w:sz w:val="21"/>
            <w:u w:val="single"/>
          </w:rPr>
          <w:t>https://doi.org/10.1038/s41467-026-68940-0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眼具有独特的光学结构和高效的图像处理能力。果蝇的视嗅神经系统具有重量轻、功耗低的特点。在人工复眼系统的设计和制造方面付出了巨大的努力。然而，在昆虫尺度上构建具有敏感光电响应和准确嗅觉感知、模仿生物多模态融合决策机制的仿生视觉嗅觉复眼微系统仍然具有挑战性。在此，我们通过飞秒激光双光子聚合将仿生微透镜阵列制造到柔性光电探测器上，在1.5×1.5 mm 2 上集成了1027个小眼，并通过喷墨打印进一步构建比色嗅觉传感器阵列，实现视觉和嗅觉的综合感知。仿生复眼（bio-CE）可实现宽视场成像（方位角180°）、自然眼间隔离、1 kHz闪烁融合频率以及对各种危险化学品的颜色响应，从而对移动物体具有高灵敏度，对环境气体具有快速响应。该微系统可作为广角近距离避障探测器和监测运动目标视觉和嗅觉信息的装置。昆虫尺度仿生并置复眼在无人平台导航和仿生机器人智能方面显示出巨大的潜在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Compound eyes feature unique optical structures and high-efficiency image processing. The opto-olfactory nervous system of Drosophila has the characteristics of lightweight and low power consumption. Significant efforts have been dedicated to the design and manufacturing of artificial compound eye system. However, it is still challenging to construct a bionic visual-olfactory compound eye microsystem with sensitive photoelectric response and accurate olfactory perception in insect-scale, mimicking the biological multimodal fusion decision-making mechanism. Here, we report a miniature apposition compound eye that integrates 1027 ommatidia on 1.5×1.5 mm 2 by manufacturing a bionic micro-lens array onto flexible photodetectors via femtosecond laser two-photon polymerization, further construct the colorimetric olfactory sensor array through inkjet printing to achieve integrated perception of vision and smell. The bionic compound eye (bio-CE) enables wide field-of-view imaging (azimuth angle 180°), natural interocular isolation, a 1 kHz flicker fusion frequency and color response to various hazardous chemicals, resulting in high sensitivity to moving objects and rapid response to environmental gases. The microsystem can serve as a wide-angle close-range obstacle avoidance detector and a device for monitoring visual and olfactory information of moving targets. The insect-scale bionic apposition compound eye shows great potential applications in unmanned platform navigation and bionic robot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在阳光下使用再生 PVC 回收聚烯烃</w:t>
      </w:r>
    </w:p>
    <w:p>
      <w:r>
        <w:rPr>
          <w:rFonts w:ascii="Times New Roman" w:hAnsi="Times New Roman" w:eastAsia="宋体"/>
          <w:b/>
          <w:color w:val="003264"/>
          <w:sz w:val="24"/>
        </w:rPr>
        <w:t>Recycling of polyolefins using recycled PVC under sunlight</w:t>
      </w:r>
    </w:p>
    <w:p>
      <w:r>
        <w:rPr>
          <w:rFonts w:ascii="Times New Roman" w:hAnsi="Times New Roman" w:eastAsia="宋体"/>
          <w:sz w:val="21"/>
        </w:rPr>
        <w:t>作者: Heng Liu, Ding-Wei Ji, Su-Yang Xu, Zhi-Hui Wang, Shi-Yu Guo, Qing-An Chen</w:t>
        <w:br/>
      </w:r>
      <w:r>
        <w:rPr>
          <w:rFonts w:ascii="Times New Roman" w:hAnsi="Times New Roman" w:eastAsia="宋体"/>
          <w:sz w:val="21"/>
        </w:rPr>
        <w:t xml:space="preserve">时间: 2026-02-02 | </w:t>
      </w:r>
      <w:r>
        <w:t xml:space="preserve">链接: </w:t>
      </w:r>
      <w:hyperlink r:id="rId144">
        <w:r>
          <w:rPr>
            <w:rFonts w:ascii="Times New Roman" w:hAnsi="Times New Roman" w:eastAsia="宋体"/>
            <w:color w:val="0000FF"/>
            <w:sz w:val="21"/>
            <w:u w:val="single"/>
          </w:rPr>
          <w:t>https://doi.org/10.1038/s41467-025-68032-5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解聚聚烯烃通常需要高温并且是能源密集型的。在这里，作者将 PVC 升级为光热剂，可以利用阳光将聚烯烃解聚成低分子量蜡或单体</w:t>
      </w:r>
    </w:p>
    <w:p>
      <w:pPr>
        <w:spacing w:before="120"/>
      </w:pPr>
      <w:r>
        <w:rPr>
          <w:rFonts w:ascii="Times New Roman" w:hAnsi="Times New Roman" w:eastAsia="宋体"/>
          <w:b/>
          <w:sz w:val="21"/>
        </w:rPr>
        <w:t>English Abstract:</w:t>
      </w:r>
    </w:p>
    <w:p>
      <w:r>
        <w:rPr>
          <w:rFonts w:ascii="Times New Roman" w:hAnsi="Times New Roman" w:eastAsia="宋体"/>
          <w:sz w:val="21"/>
        </w:rPr>
        <w:t>Depolymerising polyolefins typically requires high temperatures and is energy intensive. Here, the authors upcycle PVC into a photothermal agent which could depolymerise polyolefins using sunlight into low molecular weight waxes or monomers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通过对空气传播病毒传播模式的比较评估，推进雪貂甲型（H5N1）流感风险评估</w:t>
      </w:r>
    </w:p>
    <w:p>
      <w:r>
        <w:rPr>
          <w:rFonts w:ascii="Times New Roman" w:hAnsi="Times New Roman" w:eastAsia="宋体"/>
          <w:b/>
          <w:color w:val="003264"/>
          <w:sz w:val="24"/>
        </w:rPr>
        <w:t>Advancing A(H5N1) influenza risk assessment in ferrets through comparative evaluation of airborne virus shedding patterns</w:t>
      </w:r>
    </w:p>
    <w:p>
      <w:r>
        <w:rPr>
          <w:rFonts w:ascii="Times New Roman" w:hAnsi="Times New Roman" w:eastAsia="宋体"/>
          <w:sz w:val="21"/>
        </w:rPr>
        <w:t>作者: Joanna A. Pulit-Penaloza, Troy J. Kieran, Nicole Brock, Jessica A. Belser, Xiangjie Sun, Hui Zeng, Claudia Pappas, Juan A. De La Cruz, Yasuko Hatta, Han Di, C. Todd Davis, Terrence M. Tumpey, Taronna. R. Maines</w:t>
        <w:br/>
      </w:r>
      <w:r>
        <w:rPr>
          <w:rFonts w:ascii="Times New Roman" w:hAnsi="Times New Roman" w:eastAsia="宋体"/>
          <w:sz w:val="21"/>
        </w:rPr>
        <w:t xml:space="preserve">时间: 2026-02-02 | </w:t>
      </w:r>
      <w:r>
        <w:t xml:space="preserve">链接: </w:t>
      </w:r>
      <w:hyperlink r:id="rId145">
        <w:r>
          <w:rPr>
            <w:rFonts w:ascii="Times New Roman" w:hAnsi="Times New Roman" w:eastAsia="宋体"/>
            <w:color w:val="0000FF"/>
            <w:sz w:val="21"/>
            <w:u w:val="single"/>
          </w:rPr>
          <w:t>https://doi.org/10.1038/s41467-026-68931-1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最近在北美发生的与家禽和牛有关的 A(H5N1) 人畜共患病例凸显了评估新出现病毒株的大流行潜力的迫切需要。我们使用雄性雪貂评估了从人类中分离出的两种 B3.13 和两种 D1.1 基因型 A(H5N1) 病毒，并观察了致命疾病和不同的直接接触传播能力。为了加强大流行风险评估，我们使用旋风分离器 BC251 和基于水凝结捕获的 SPOT 采样器进行气溶胶采样，并进行比较分析，以包括具有已知传播能力特征的其他 A(H5N1)、A(H9N2)、A(H7N9) 和 A(H1N1)pdm09 菌株。尽管 A(H5N1) 毒株均不会通过空气传播，但与 D1.1 毒株相比，检测到的 B3.13 病毒的水平明显更高。在这里，我们展示了鼻腔冲洗液中的病毒载量、空气传播的病毒脱落和雪貂的传播性之间的密切相关性，强调了这些指标对于识别可能适应增加传播潜力的人畜共患流感病毒的价值。</w:t>
      </w:r>
    </w:p>
    <w:p>
      <w:pPr>
        <w:spacing w:before="120"/>
      </w:pPr>
      <w:r>
        <w:rPr>
          <w:rFonts w:ascii="Times New Roman" w:hAnsi="Times New Roman" w:eastAsia="宋体"/>
          <w:b/>
          <w:sz w:val="21"/>
        </w:rPr>
        <w:t>English Abstract:</w:t>
      </w:r>
    </w:p>
    <w:p>
      <w:r>
        <w:rPr>
          <w:rFonts w:ascii="Times New Roman" w:hAnsi="Times New Roman" w:eastAsia="宋体"/>
          <w:sz w:val="21"/>
        </w:rPr>
        <w:t>Abstract Recent A(H5N1) zoonotic cases linked to poultry and cattle in North America highlight the urgent need to assess the pandemic potential of emerging strains. Using male ferrets, we evaluate two B3.13 and two D1.1 genotype A(H5N1) viruses isolated from humans and observe fatal disease and varying capacities for direct contact transmission. To enhance pandemic risk assessment, we conduct aerosol sampling using cyclone BC251 and water condensation capture-based SPOT samplers and perform comparative analyses to include additional A(H5N1), A(H9N2), A(H7N9), and A(H1N1)pdm09 strains with known transmissibility profiles. Although none of the A(H5N1) strains transmit via the air, B3.13 viruses are detected at significantly higher levels compared to D1.1 strains. Here we show strong correlations between viral loads in nasal washes, airborne virus shedding, and transmissibility in ferrets, highlighting the value of these metrics for identifying zoonotic influenza viruses that may be adapting toward increased transmission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2D/2D磷烯/BiOI S型异质结用于真实阳光下亚分钟光催化水消毒</w:t>
      </w:r>
    </w:p>
    <w:p>
      <w:r>
        <w:rPr>
          <w:rFonts w:ascii="Times New Roman" w:hAnsi="Times New Roman" w:eastAsia="宋体"/>
          <w:b/>
          <w:color w:val="003264"/>
          <w:sz w:val="24"/>
        </w:rPr>
        <w:t>2D/2D phosphorene/BiOI S-scheme heterojunction for subminute photocatalytic water disinfection under real sunlight</w:t>
      </w:r>
    </w:p>
    <w:p>
      <w:r>
        <w:rPr>
          <w:rFonts w:ascii="Times New Roman" w:hAnsi="Times New Roman" w:eastAsia="宋体"/>
          <w:sz w:val="21"/>
        </w:rPr>
        <w:t>作者: Dongyang He, Kangning Zhang, Chuanhao Liu, Ya-nan Zhang, Hao Yang, Jingyuan Dong, Jiao Qu</w:t>
        <w:br/>
      </w:r>
      <w:r>
        <w:rPr>
          <w:rFonts w:ascii="Times New Roman" w:hAnsi="Times New Roman" w:eastAsia="宋体"/>
          <w:sz w:val="21"/>
        </w:rPr>
        <w:t xml:space="preserve">时间: 2026-02-02 | </w:t>
      </w:r>
      <w:r>
        <w:t xml:space="preserve">链接: </w:t>
      </w:r>
      <w:hyperlink r:id="rId146">
        <w:r>
          <w:rPr>
            <w:rFonts w:ascii="Times New Roman" w:hAnsi="Times New Roman" w:eastAsia="宋体"/>
            <w:color w:val="0000FF"/>
            <w:sz w:val="21"/>
            <w:u w:val="single"/>
          </w:rPr>
          <w:t>https://doi.org/10.1038/s41467-026-69101-z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该研究展示了磷烯/BiOI异质结可以实现亚分钟水消毒，为高效光催化抗菌材料的设计提供了见解。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study demonstrates a phosphorene/BiOI heterojunction that achieves sub-minute water disinfection, offering insights into the design of efficient photocatalytic antimicrobial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时空超级振荡</w:t>
      </w:r>
    </w:p>
    <w:p>
      <w:r>
        <w:rPr>
          <w:rFonts w:ascii="Times New Roman" w:hAnsi="Times New Roman" w:eastAsia="宋体"/>
          <w:b/>
          <w:color w:val="003264"/>
          <w:sz w:val="24"/>
        </w:rPr>
        <w:t>Space-time superoscillations</w:t>
      </w:r>
    </w:p>
    <w:p>
      <w:r>
        <w:rPr>
          <w:rFonts w:ascii="Times New Roman" w:hAnsi="Times New Roman" w:eastAsia="宋体"/>
          <w:sz w:val="21"/>
        </w:rPr>
        <w:t>作者: Yijie Shen, Nikitas Papasimakis, Nikolay I. Zheludev</w:t>
        <w:br/>
      </w:r>
      <w:r>
        <w:rPr>
          <w:rFonts w:ascii="Times New Roman" w:hAnsi="Times New Roman" w:eastAsia="宋体"/>
          <w:sz w:val="21"/>
        </w:rPr>
        <w:t xml:space="preserve">时间: 2026-02-02 | </w:t>
      </w:r>
      <w:r>
        <w:t xml:space="preserve">链接: </w:t>
      </w:r>
      <w:hyperlink r:id="rId147">
        <w:r>
          <w:rPr>
            <w:rFonts w:ascii="Times New Roman" w:hAnsi="Times New Roman" w:eastAsia="宋体"/>
            <w:color w:val="0000FF"/>
            <w:sz w:val="21"/>
            <w:u w:val="single"/>
          </w:rPr>
          <w:t>https://doi.org/10.1038/s41467-025-68260-9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超级振荡使波能够更快地振荡，超越经典极限。在这里，作者展示了结构光脉冲中同时的空间和时间超振荡，实现了时空的极端亚波长和超快聚焦。</w:t>
      </w:r>
    </w:p>
    <w:p>
      <w:pPr>
        <w:spacing w:before="120"/>
      </w:pPr>
      <w:r>
        <w:rPr>
          <w:rFonts w:ascii="Times New Roman" w:hAnsi="Times New Roman" w:eastAsia="宋体"/>
          <w:b/>
          <w:sz w:val="21"/>
        </w:rPr>
        <w:t>English Abstract:</w:t>
      </w:r>
    </w:p>
    <w:p>
      <w:r>
        <w:rPr>
          <w:rFonts w:ascii="Times New Roman" w:hAnsi="Times New Roman" w:eastAsia="宋体"/>
          <w:sz w:val="21"/>
        </w:rPr>
        <w:t>Superoscillations enable waves to oscillate faster beyond classical limits. Here, the authors demonstrate simultaneous spatial and temporal superoscillations in structured light pulses, achieving extreme both subwavelength and ultrafast focusing in space-time.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在元耦合人类世中促进全球可持续发展</w:t>
      </w:r>
    </w:p>
    <w:p>
      <w:r>
        <w:rPr>
          <w:rFonts w:ascii="Times New Roman" w:hAnsi="Times New Roman" w:eastAsia="宋体"/>
          <w:b/>
          <w:color w:val="003264"/>
          <w:sz w:val="24"/>
        </w:rPr>
        <w:t>Promoting sustainable development worldwide in the metacoupled anthropocene</w:t>
      </w:r>
    </w:p>
    <w:p>
      <w:r>
        <w:rPr>
          <w:rFonts w:ascii="Times New Roman" w:hAnsi="Times New Roman" w:eastAsia="宋体"/>
          <w:sz w:val="21"/>
        </w:rPr>
        <w:t>作者: Qutu Jiang, Zhenci Xu, Nishan Bhattarai, Yinyi Lin, Huijuan Xiao, Jingzheng Ren, Markus Pahlow, Zhimeng Jiang, Yali Liu, Xutong Wu, Guanqiong Ye, Hongsheng Zhang, Jinbao Li, Peng Zhu, Shunlin Liang, Yuanzheng Cui, Chuan Liao, Liang Dong, Jianguo Liu</w:t>
        <w:br/>
      </w:r>
      <w:r>
        <w:rPr>
          <w:rFonts w:ascii="Times New Roman" w:hAnsi="Times New Roman" w:eastAsia="宋体"/>
          <w:sz w:val="21"/>
        </w:rPr>
        <w:t xml:space="preserve">时间: 2026-02-02 | </w:t>
      </w:r>
      <w:r>
        <w:t xml:space="preserve">链接: </w:t>
      </w:r>
      <w:hyperlink r:id="rId148">
        <w:r>
          <w:rPr>
            <w:rFonts w:ascii="Times New Roman" w:hAnsi="Times New Roman" w:eastAsia="宋体"/>
            <w:color w:val="0000FF"/>
            <w:sz w:val="21"/>
            <w:u w:val="single"/>
          </w:rPr>
          <w:t>https://doi.org/10.1038/s41467-026-68653-4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全球可持续发展需要在综合框架下跨互联系统开展协作。在这里，我们将集成元耦合框架说明为一个整体透镜，用于分析系统内部和系统之间的人与自然相互作用，以推进综合可持续性分析。我们提出了六个相互关联的步骤来实施可持续发展目标的相互作用分析、进展评估和路径建模框架，有助于整合2030年议程的知识并强调“不让任何人掉队”。我们证明，该框架为跨学科研究人员提供了实用的工具包，并支持政策制定者制定协同的跨系统战略，以实现地方到全球范围内的可持续发展。</w:t>
      </w:r>
    </w:p>
    <w:p>
      <w:pPr>
        <w:spacing w:before="120"/>
      </w:pPr>
      <w:r>
        <w:rPr>
          <w:rFonts w:ascii="Times New Roman" w:hAnsi="Times New Roman" w:eastAsia="宋体"/>
          <w:b/>
          <w:sz w:val="21"/>
        </w:rPr>
        <w:t>English Abstract:</w:t>
      </w:r>
    </w:p>
    <w:p>
      <w:r>
        <w:rPr>
          <w:rFonts w:ascii="Times New Roman" w:hAnsi="Times New Roman" w:eastAsia="宋体"/>
          <w:sz w:val="21"/>
        </w:rPr>
        <w:t>Promoting sustainable development worldwide requires collaborative efforts across interconnected systems under integrated frameworks. Here, we illustrate the integrated metacoupling framework as a holistic lens for analyzing human-nature interactions within and between systems to advance integrated sustainability analysis. We propose six interrelated steps to operationalize the framework for Sustainable Development Goals’ interaction analysis, progress assessment, and pathway modeling, contributing to the integration of knowledge for the 2030 Agenda and emphasizing “Leave No One Behind”. We demonstrate that the framework offers interdisciplinary researchers a practical toolkit and supports policymakers in developing synergistic cross-system strategies for sustainable development across local to global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 NTD 综合行动：解构传播、解决知识差距并倡导单一健康策略</w:t>
      </w:r>
    </w:p>
    <w:p>
      <w:r>
        <w:rPr>
          <w:rFonts w:ascii="Times New Roman" w:hAnsi="Times New Roman" w:eastAsia="宋体"/>
          <w:b/>
          <w:color w:val="003264"/>
          <w:sz w:val="24"/>
        </w:rPr>
        <w:t>Integrated action for skin NTDs: Deconstructing transmission, addressing knowledge gaps, and championing one health strategies</w:t>
      </w:r>
    </w:p>
    <w:p>
      <w:r>
        <w:rPr>
          <w:rFonts w:ascii="Times New Roman" w:hAnsi="Times New Roman" w:eastAsia="宋体"/>
          <w:sz w:val="21"/>
        </w:rPr>
        <w:t>作者: Lydia Mosi, Bishwanath Acharya, Kingsley Asiedu, Adeola Bamisaiye, M. Eric Benbow, Dziedzom De Souza, Lynne Elson, Ahmed Fahal, Roderick Hay, Ruth Nyangacha, Charles Quaye, Aisha Shitu Sa’id, Dallas J. Smith, Heather Jordan</w:t>
        <w:br/>
      </w:r>
      <w:r>
        <w:rPr>
          <w:rFonts w:ascii="Times New Roman" w:hAnsi="Times New Roman" w:eastAsia="宋体"/>
          <w:sz w:val="21"/>
        </w:rPr>
        <w:t xml:space="preserve">时间: 2026-02-03 | </w:t>
      </w:r>
      <w:r>
        <w:t xml:space="preserve">链接: </w:t>
      </w:r>
      <w:hyperlink r:id="rId149">
        <w:r>
          <w:rPr>
            <w:rFonts w:ascii="Times New Roman" w:hAnsi="Times New Roman" w:eastAsia="宋体"/>
            <w:color w:val="0000FF"/>
            <w:sz w:val="21"/>
            <w:u w:val="single"/>
          </w:rPr>
          <w:t>https://doi.org/10.1038/s41467-026-69065-0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本次审查呼吁采取综合皮肤 NTD 行动，利用 One Health 来分析复杂的人类、动物和环境传播。它强调了知识差距，并敦促扩大、标准化诊断和系统地收集有关社会/财务障碍的数据，以实现以患者为中心的控制。</w:t>
      </w:r>
    </w:p>
    <w:p>
      <w:pPr>
        <w:spacing w:before="120"/>
      </w:pPr>
      <w:r>
        <w:rPr>
          <w:rFonts w:ascii="Times New Roman" w:hAnsi="Times New Roman" w:eastAsia="宋体"/>
          <w:b/>
          <w:sz w:val="21"/>
        </w:rPr>
        <w:t>English Abstract:</w:t>
      </w:r>
    </w:p>
    <w:p>
      <w:r>
        <w:rPr>
          <w:rFonts w:ascii="Times New Roman" w:hAnsi="Times New Roman" w:eastAsia="宋体"/>
          <w:sz w:val="21"/>
        </w:rPr>
        <w:t>This review calls for integrated Skin NTD action, using One Health to analyze complex human, animal, and environmental transmission. It highlights knowledge gaps and urges expanded, standardized diagnostics and systematic data collection on social/financial barriers for patient-centered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Daratumumab 治疗系统性红斑狼疮：单组 2 期试验</w:t>
      </w:r>
    </w:p>
    <w:p>
      <w:r>
        <w:rPr>
          <w:rFonts w:ascii="Times New Roman" w:hAnsi="Times New Roman" w:eastAsia="宋体"/>
          <w:b/>
          <w:color w:val="003264"/>
          <w:sz w:val="24"/>
        </w:rPr>
        <w:t>Daratumumab in systemic lupus erythematosus: a single-arm phase 2 trial</w:t>
      </w:r>
    </w:p>
    <w:p>
      <w:r>
        <w:rPr>
          <w:rFonts w:ascii="Times New Roman" w:hAnsi="Times New Roman" w:eastAsia="宋体"/>
          <w:sz w:val="21"/>
        </w:rPr>
        <w:t>作者: Lennard Ostendorf, Jan Zernicke, Jens Klotsche, Robin Kempkens, Anne E. Beenken, Robert Biesen, Qingyu Cheng, Laleh Khodadadi, Gabriela Maria Guerra, Frederik Heinrich, Pawel Durek, Gerd-Rüdiger Burmester, Gerhard Krönke, Falk Hiepe, Mir-Farzin Mashreghi, Tobias Alexander</w:t>
        <w:br/>
      </w:r>
      <w:r>
        <w:rPr>
          <w:rFonts w:ascii="Times New Roman" w:hAnsi="Times New Roman" w:eastAsia="宋体"/>
          <w:sz w:val="21"/>
        </w:rPr>
        <w:t xml:space="preserve">时间: 2026-02-03 | </w:t>
      </w:r>
      <w:r>
        <w:t xml:space="preserve">链接: </w:t>
      </w:r>
      <w:hyperlink r:id="rId150">
        <w:r>
          <w:rPr>
            <w:rFonts w:ascii="Times New Roman" w:hAnsi="Times New Roman" w:eastAsia="宋体"/>
            <w:color w:val="0000FF"/>
            <w:sz w:val="21"/>
            <w:u w:val="single"/>
          </w:rPr>
          <w:t>https://doi.org/10.1038/s41467-026-69112-w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抗体分泌细胞（ASC）在系统性红斑狼疮（SLE）的病理生理学中发挥着核心作用。这项单组、开放标签、2 期临床试验旨在评估 ASC 消耗型抗 CD38 单克隆抗体 daratumumab 在 SLE 患者中的安全性和有效性 (NCT04810754)。主要终点是第 12 周时血清抗双链 DNA（抗 dsDNA）抗体水平的降低。关键的次要终点包括安全性、临床疗效和免疫学变化。 10 名患有活动性疾病且对至少两种免疫抑制药物反应不足的女性患者每周接受 8 次皮下注射 1800 mg daratumumab，并使用地塞米松作为术前用药（前两次注射 20 mg，然后 10 mg）。到第 12 周，抗 dsDNA 抗体水平中位数降低了 109.6 IU/ml (95% CI 38.1 – 274.5)。该治疗使所有患者和器官领域的临床得到快速、持续的改善，第 12 周时 SRI-4（系统性红斑狼疮反应指数 4）反应率为 100%。5/10 的患者出现低丙种球蛋白血症，需要免疫球蛋白替代。达雷妥尤单抗治疗耗尽了循环 ASC，降低了 I 型干扰素活性，并深刻调节了 T 细胞反应。这些发现强调了 ASC 在 SLE 发病机制中的关键作用，并支持达雷妥尤单抗作为 SLE 的治疗选择。</w:t>
      </w:r>
    </w:p>
    <w:p>
      <w:pPr>
        <w:spacing w:before="120"/>
      </w:pPr>
      <w:r>
        <w:rPr>
          <w:rFonts w:ascii="Times New Roman" w:hAnsi="Times New Roman" w:eastAsia="宋体"/>
          <w:b/>
          <w:sz w:val="21"/>
        </w:rPr>
        <w:t>English Abstract:</w:t>
      </w:r>
    </w:p>
    <w:p>
      <w:r>
        <w:rPr>
          <w:rFonts w:ascii="Times New Roman" w:hAnsi="Times New Roman" w:eastAsia="宋体"/>
          <w:sz w:val="21"/>
        </w:rPr>
        <w:t>Abstract Antibody-secreting cells (ASCs) play a central role in the pathophysiology of systemic lupus erythematosus (SLE). This single-arm, open-label, phase 2 clinical trial aims to evaluate the safety and efficacy of the ASC-depleting anti-CD38 monoclonal antibody daratumumab in patients with SLE (NCT04810754). The primary endpoint is the reduction in serum anti-double-stranded DNA (anti-dsDNA) antibody levels at week 12. Key secondary end points include safety, clinical efficacy, and immunologic changes. Ten female patients with active disease and inadequate responses to at least two immunosuppressive drugs have received eight subcutaneous injections of 1800 mg daratumumab weekly, with dexamethasone as premedication (20 mg for first two injections, then 10 mg). By week 12, anti-dsDNA antibody levels have been reduced by a median of 109.6 IU/ml (95% CI 38.1 – 274.5). The treatment resulted in rapid and sustained clinical improvements across all patients and organ domains, reflected by a 100% SRI-4 (Systemic Lupus Erythematosus Responder Index-4) response rate at week 12. Hypogammaglobulinemia occurred in 5/10 patients, requiring immunoglobulin substitution. Daratumumab treatment has depleted circulating ASCs, reduced type I interferon activity, and profoundly modulated the T-cell responses. These findings highlight the pivotal role of ASCs in SLE pathogenesis and support daratumumab as therapeutic option for SLE.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阿波罗 17 号火山玻璃在月球表面的长时间冷却和脱气</w:t>
      </w:r>
    </w:p>
    <w:p>
      <w:r>
        <w:rPr>
          <w:rFonts w:ascii="Times New Roman" w:hAnsi="Times New Roman" w:eastAsia="宋体"/>
          <w:b/>
          <w:color w:val="003264"/>
          <w:sz w:val="24"/>
        </w:rPr>
        <w:t>Prolonged cooling and degassing of Apollo 17 volcanic glasses on the lunar surface</w:t>
      </w:r>
    </w:p>
    <w:p>
      <w:r>
        <w:rPr>
          <w:rFonts w:ascii="Times New Roman" w:hAnsi="Times New Roman" w:eastAsia="宋体"/>
          <w:sz w:val="21"/>
        </w:rPr>
        <w:t>作者: Peng Ni, Yan Zhan</w:t>
        <w:br/>
      </w:r>
      <w:r>
        <w:rPr>
          <w:rFonts w:ascii="Times New Roman" w:hAnsi="Times New Roman" w:eastAsia="宋体"/>
          <w:sz w:val="21"/>
        </w:rPr>
        <w:t xml:space="preserve">时间: 2026-02-03 | </w:t>
      </w:r>
      <w:r>
        <w:t xml:space="preserve">链接: </w:t>
      </w:r>
      <w:hyperlink r:id="rId151">
        <w:r>
          <w:rPr>
            <w:rFonts w:ascii="Times New Roman" w:hAnsi="Times New Roman" w:eastAsia="宋体"/>
            <w:color w:val="0000FF"/>
            <w:sz w:val="21"/>
            <w:u w:val="single"/>
          </w:rPr>
          <w:t>https://doi.org/10.1038/s41467-026-69087-8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研究月球火山碎屑火山活动为了解月幔的热化学演化和月球的不稳定预算提供了重要的见解。火山碎屑矿床虽然与海海玄武岩相比体积较小，但源自更深、更原始且富含挥发性物质的地幔源。在这里，我们合成了阿波罗 17 号样本 74220 记录的挥发性脱气，这是研究最多的火山碎屑沉积物之一。通过对橄榄石熔体包裹体、熔体海湾和玻璃珠的挥发性脱气进行建模，我们表明这些样品的挥发性损耗不能仅通过自由飞行过程中的脱气来解释，正如之前提出的那样。相反，这些数据需要更长的热历史，珠子在月球表面经历多年的缓慢冷却和长时间脱气，热模型进一步支持了这种情况。我们的研究结果表明，火山碎屑沉积物在喷发之后仍然是活跃的挥发性来源，这对于维持局部短暂的月球大气和月球的长期挥发性循环具有潜在的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Studying lunar pyroclastic volcanism provides key insights into the thermo-chemical evolution of the lunar mantle and the Moon’s volatile budget. Pyroclastic deposits, although volumetrically minor compared to mare basalts, are derived from deeper, more primitive, and volatile-rich mantle sources. Here we synthesize volatile degassing recorded by Apollo 17 sample 74220, one of most studied pyroclastic deposits. By modeling the volatile degassing of olivine-hosted melt inclusions, melt embayments, and glass beads, we show that volatile depletion of these samples cannot be explained solely by degassing during free-flight, as previously proposed. Instead, the data require extended thermal histories, with beads undergoing slow cooling and prolonged degassing on the lunar surface for years, a scenario further supported by thermal modeling. Our findings suggest that pyroclastic deposits remained active volatile sources well beyond eruption, which is potentially important for sustaining a local transient lunar atmosphere and the long-term volatile cycle of the Moon.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空间色彩编码美瞳可增强自然眼球追踪</w:t>
      </w:r>
    </w:p>
    <w:p>
      <w:r>
        <w:rPr>
          <w:rFonts w:ascii="Times New Roman" w:hAnsi="Times New Roman" w:eastAsia="宋体"/>
          <w:b/>
          <w:color w:val="003264"/>
          <w:sz w:val="24"/>
        </w:rPr>
        <w:t>Spatial-chromatic encoding cosmetic contact lenses for enhanced natural eye tracking</w:t>
      </w:r>
    </w:p>
    <w:p>
      <w:r>
        <w:rPr>
          <w:rFonts w:ascii="Times New Roman" w:hAnsi="Times New Roman" w:eastAsia="宋体"/>
          <w:sz w:val="21"/>
        </w:rPr>
        <w:t>作者: Hengtian Zhu, Heyu Huang, Huan Yang, Zixu Li, Zhenning Qi, Yuan Fang, Yining Xu, Yifeng Xiong, Ye Chen, Songtao Yuan, Fei Xu</w:t>
        <w:br/>
      </w:r>
      <w:r>
        <w:rPr>
          <w:rFonts w:ascii="Times New Roman" w:hAnsi="Times New Roman" w:eastAsia="宋体"/>
          <w:sz w:val="21"/>
        </w:rPr>
        <w:t xml:space="preserve">时间: 2026-02-03 | </w:t>
      </w:r>
      <w:r>
        <w:t xml:space="preserve">链接: </w:t>
      </w:r>
      <w:hyperlink r:id="rId152">
        <w:r>
          <w:rPr>
            <w:rFonts w:ascii="Times New Roman" w:hAnsi="Times New Roman" w:eastAsia="宋体"/>
            <w:color w:val="0000FF"/>
            <w:sz w:val="21"/>
            <w:u w:val="single"/>
          </w:rPr>
          <w:t>https://doi.org/10.1038/s41467-026-68918-y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眼球追踪依赖于眼睛特征，这些特征容易受到光线和个体差异的干扰。在这里，朱等人。等人。目前的眼球运动功能增强了美容隐形眼镜，可实现准确、自然和均匀的眼球追踪。</w:t>
      </w:r>
    </w:p>
    <w:p>
      <w:pPr>
        <w:spacing w:before="120"/>
      </w:pPr>
      <w:r>
        <w:rPr>
          <w:rFonts w:ascii="Times New Roman" w:hAnsi="Times New Roman" w:eastAsia="宋体"/>
          <w:b/>
          <w:sz w:val="21"/>
        </w:rPr>
        <w:t>English Abstract:</w:t>
      </w:r>
    </w:p>
    <w:p>
      <w:r>
        <w:rPr>
          <w:rFonts w:ascii="Times New Roman" w:hAnsi="Times New Roman" w:eastAsia="宋体"/>
          <w:sz w:val="21"/>
        </w:rPr>
        <w:t>Eye tracking relies on ocular features, that are susceptible to interference from light and individual variations. Here, Zhu et. al. present eye movement feature enhanced cosmetic contact lenses, enabling accurate, natural, and homogenized eye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用于光电探测、光声和热弹性气体传感的多功能铌酸锂平台</w:t>
      </w:r>
    </w:p>
    <w:p>
      <w:r>
        <w:rPr>
          <w:rFonts w:ascii="Times New Roman" w:hAnsi="Times New Roman" w:eastAsia="宋体"/>
          <w:b/>
          <w:color w:val="003264"/>
          <w:sz w:val="24"/>
        </w:rPr>
        <w:t>Multifunctional lithium niobate platform for photodetection and photoacoustic and thermoelastic gas sensing</w:t>
      </w:r>
    </w:p>
    <w:p>
      <w:r>
        <w:rPr>
          <w:rFonts w:ascii="Times New Roman" w:hAnsi="Times New Roman" w:eastAsia="宋体"/>
          <w:sz w:val="21"/>
        </w:rPr>
        <w:t>作者: Haoyang Lin, Huadan Zheng, Wenguo Zhu, Yongchun Zhong, Jianhui Yu, Hongpeng Wu, Zhiwei Jia, Jinchuan Zhang, Angelo Sampaolo, Pietro Patimisco, Huihui Lu, Xiaojun Jia, Vincenzo Spagnolo, Lei Dong</w:t>
        <w:br/>
      </w:r>
      <w:r>
        <w:rPr>
          <w:rFonts w:ascii="Times New Roman" w:hAnsi="Times New Roman" w:eastAsia="宋体"/>
          <w:sz w:val="21"/>
        </w:rPr>
        <w:t xml:space="preserve">时间: 2026-02-03 | </w:t>
      </w:r>
      <w:r>
        <w:t xml:space="preserve">链接: </w:t>
      </w:r>
      <w:hyperlink r:id="rId153">
        <w:r>
          <w:rPr>
            <w:rFonts w:ascii="Times New Roman" w:hAnsi="Times New Roman" w:eastAsia="宋体"/>
            <w:color w:val="0000FF"/>
            <w:sz w:val="21"/>
            <w:u w:val="single"/>
          </w:rPr>
          <w:t>https://doi.org/10.1038/s41467-026-69042-7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摘要：利用铁电铌酸锂固有的多物理性质，我们提出了一个多功能平台（LN-MFP），它将光声光谱、光致热弹性光谱和光电检测无缝集成到单个片上器件中。拟议的 LN-MFP 在从可见光到中红外的广泛光谱范围内工作。我们通过实验演示了二氧化氮、水蒸气、乙炔、二氧化碳、甲烷和氨的痕量气体检测，达到了十亿分之一的检测限。我们实施了定制封装解决方案，其中 LN-MFP 芯片和 4.6 µm 量子级联激光芯片与跨阻放大一起安装在印刷电路板上，展示了系统级集成。使用这个共同封装的模块，我们通过二次谐波测量演示一氧化碳检测，概述了完全集成片上实现的清晰路线。与传统台式系统相比，这种紧凑、混合、多功能架构显着降低了系统复杂性和占地面积，并且与快速发展的铌酸锂集成光子生态系统本质上兼容。 LN-MFP 为未来用于环境监测、现场诊断和现场化学​​分析的全铌酸锂光谱芯片提供了核心传感构建模块。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Leveraging the intrinsic multi physics nature of ferroelectric lithium niobate, we present a multi-functional platform (LN-MFP) that seamlessly integrates photoacoustic spectroscopy, light-induced thermoelastic spectroscopy and photodetection into a single on-chip device. The proposed LN-MFP operates over a broad spectral range spanning from the visible to the mid infrared. We experimentally demonstrate trace gas detection of nitrogen dioxide, water vapor, acetylene, carbon dioxide, methane and ammonia, achieving parts-per-billion detection limits. We implement a custom packaging solution where the LN-MFP chip and a 4.6 µm quantum cascade laser chip are mounted on a printed circuit board together with transimpedance amplification, demonstrating system-level integration. Using this co-packaged module, we demonstrate carbon monoxide detection via second-harmonic measurements, outlining a clear route towards fully integrated on-chip implementations. This compact, hybrid, multi-functional architecture markedly reduces system complexity and footprint compared with conventional benchtop systems and is intrinsically compatible with the rapidly developing lithium niobate integrated photonics ecosystem. The LN-MFP provides a core sensing building block for future all-lithium-niobate spectroscopic chips for environmental monitoring, point-of-care diagnostics and on-site chemical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 细胞激活的改变有助于儿童关节炎相关葡萄膜炎的免疫发病机制</w:t>
      </w:r>
    </w:p>
    <w:p>
      <w:r>
        <w:rPr>
          <w:rFonts w:ascii="Times New Roman" w:hAnsi="Times New Roman" w:eastAsia="宋体"/>
          <w:b/>
          <w:color w:val="003264"/>
          <w:sz w:val="24"/>
        </w:rPr>
        <w:t>Altered B cell activation contributes to the immunopathogenesis of childhood arthritis-associated uveitis</w:t>
      </w:r>
    </w:p>
    <w:p>
      <w:r>
        <w:rPr>
          <w:rFonts w:ascii="Times New Roman" w:hAnsi="Times New Roman" w:eastAsia="宋体"/>
          <w:sz w:val="21"/>
        </w:rPr>
        <w:t>作者: Bethany R. Jebson, Benjamin Ingledow, Vicky Alexiou, Jakub Kubiak, Persephone Jenkins, Yuxuan Meng, Melissa Kartawinata, Restuadi Restuadi, Wei-Yu Lin, Chris Wallace, Colin J. Chu, Ameenat Lola Solebo, Lucy R. Wedderburn, Elizabeth C. Rosser, Lucy R. Wedderburn, Zoe Wanstall, Fatjon Dekaj, Aline Kimonyo, Eileen Hahn, Genevieve Gottschalk, Freya Luling Feilding, Alyssia McNeece, Fatema Merali, Elizabeth Ralph, Emily Robinson, Emma Sumner, Andrew Dick, Michael W. Beresford, Emil Carlsson, Joanna Fairlie, Jenna F. Gritzfeld, Oliver McClurg, Karen Rafferty, Athimalaipet V. Ramanan, Teresa Duerr, Michael Barnes, Sandra Ng, Kimme Hyrich, Stephen Eyre, Soumya Raychaudhuri, Wendy Thomson, John Bowes, Jeronee Jennycloss, Saskia Lawson-Tovey, Paul Martin, Andrew Morris, Stephanie Shoop-Worrall, Samantha Smith, Michael Stadler, Damian Tarasek, Melissa Tordoff, Annie Yarwood, Wei-Yu Lin, Prof Nophar Geifman, Sarah Clarke</w:t>
        <w:br/>
      </w:r>
      <w:r>
        <w:rPr>
          <w:rFonts w:ascii="Times New Roman" w:hAnsi="Times New Roman" w:eastAsia="宋体"/>
          <w:sz w:val="21"/>
        </w:rPr>
        <w:t xml:space="preserve">时间: 2026-02-03 | </w:t>
      </w:r>
      <w:r>
        <w:t xml:space="preserve">链接: </w:t>
      </w:r>
      <w:hyperlink r:id="rId154">
        <w:r>
          <w:rPr>
            <w:rFonts w:ascii="Times New Roman" w:hAnsi="Times New Roman" w:eastAsia="宋体"/>
            <w:color w:val="0000FF"/>
            <w:sz w:val="21"/>
            <w:u w:val="single"/>
          </w:rPr>
          <w:t>https://doi.org/10.1038/s41467-025-68264-5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幼年特发性关节炎 (JIA) 是最常见的儿童风湿病，许多患者还患有葡萄膜炎 (JIA-葡萄膜炎)，面临终生视力丧失的风险。驱动幼年特发性关节炎葡萄膜炎发展的机制仍有待研究。在此，我们证明，与无眼部疾病 (JIA) 的 JIA 患者相比，JIA 葡萄膜炎患者的外周血 CD19 + IgD - CD27 - 双阴性 1 型 (DN1) B 细胞升高。在 JIA 葡萄膜炎中，B 细胞受体 (BCR) 库也更具克隆性和体细胞高度突变，并且抗原激活的 B 细胞浸润慢性发炎的 JIA 葡萄膜炎眼睛。实验性自身免疫性葡萄膜视网膜炎 (EAU) 重现了 B 细胞活化增强的特征，使用单克隆抗体破坏 B 细胞和 T 细胞相互作用，转基因小鼠可抑制葡萄膜炎。总之，这些发现支持了一种概念转变，即葡萄膜炎是一种主要由 T 细胞驱动的疾病，并为潜在的新治疗策略提供了证据，这些策略也将 B 细胞视为疾病病理学的驱动因素。</w:t>
      </w:r>
    </w:p>
    <w:p>
      <w:pPr>
        <w:spacing w:before="120"/>
      </w:pPr>
      <w:r>
        <w:rPr>
          <w:rFonts w:ascii="Times New Roman" w:hAnsi="Times New Roman" w:eastAsia="宋体"/>
          <w:b/>
          <w:sz w:val="21"/>
        </w:rPr>
        <w:t>English Abstract:</w:t>
      </w:r>
    </w:p>
    <w:p>
      <w:r>
        <w:rPr>
          <w:rFonts w:ascii="Times New Roman" w:hAnsi="Times New Roman" w:eastAsia="宋体"/>
          <w:sz w:val="21"/>
        </w:rPr>
        <w:t>Abstract In Juvenile Idiopathic Arthritis (JIA), the most common childhood rheumatic disease, many patients also develop uveitis (JIA-uveitis), risking life-long vision loss. The mechanisms driving uveitis development in JIA remain understudied. Here, we demonstrate that peripheral blood CD19 + IgD - CD27 - double negative type 1 (DN1) B cells are elevated in JIA-uveitis compared to JIA patients without eye disease (JIA). The B cell receptor (BCR) repertoire was also more clonal and somatically hypermutated in JIA-uveitis and antigen-activated B cells infiltrated chronically inflamed JIA-uveitis eyes. Features of heightened B cell activation were recapitulated in experimental autoimmune uveoretinitis (EAU) and disrupting B and T cell interactions using monoclonal antibodies and transgenic mice suppresses uveitis. Together, these findings support a conceptual shift that uveitis is a primarily T cell driven disease and provide evidence for potential new therapeutic strategies that also consider B cells as drivers 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破解多层薄膜的密码，促进一次性塑料包装的循环利用</w:t>
      </w:r>
    </w:p>
    <w:p>
      <w:r>
        <w:rPr>
          <w:rFonts w:ascii="Times New Roman" w:hAnsi="Times New Roman" w:eastAsia="宋体"/>
          <w:b/>
          <w:color w:val="003264"/>
          <w:sz w:val="24"/>
        </w:rPr>
        <w:t>Cracking the code of multi-layer films to promote circularity in single-use plastic packaging</w:t>
      </w:r>
    </w:p>
    <w:p>
      <w:r>
        <w:rPr>
          <w:rFonts w:ascii="Times New Roman" w:hAnsi="Times New Roman" w:eastAsia="宋体"/>
          <w:sz w:val="21"/>
        </w:rPr>
        <w:t>作者: Ethan C. Quinn, Levi J. Hamernik, Jeffrey N. Law, Ryan W. Clarke, Maya Milrod, Shivani Kozarekar, Rebecca M. Mick, Margaret J. Sobkowicz, Linda J. Broadbelt, Brandon C. Knott, Katrina M. Knauer</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https://doi.org/10.1038/s41467-026-68936-w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层薄膜包装通过结合不同的材料层来优化阻隔性能、机械强度和保质期，彻底改变了食品保存，但由于其结构复杂性，它们带来了重大的回收挑战。该视角研究了控制阻隔性能的关键结构-性能关系，并强调了材料设计的创新。</w:t>
      </w:r>
    </w:p>
    <w:p>
      <w:pPr>
        <w:spacing w:before="120"/>
      </w:pPr>
      <w:r>
        <w:rPr>
          <w:rFonts w:ascii="Times New Roman" w:hAnsi="Times New Roman" w:eastAsia="宋体"/>
          <w:b/>
          <w:sz w:val="21"/>
        </w:rPr>
        <w:t>English Abstract:</w:t>
      </w:r>
    </w:p>
    <w:p>
      <w:r>
        <w:rPr>
          <w:rFonts w:ascii="Times New Roman" w:hAnsi="Times New Roman" w:eastAsia="宋体"/>
          <w:sz w:val="21"/>
        </w:rPr>
        <w:t>Multi-layer film packaging revolutionized food preservation by combining diverse material layers to optimize barrier properties, mechanical strength, and shelf-life but they pose significant recycling challenges due to their structural complexity. This perspective examines key structure-property relationships governing barrier performance and highlights innovations in material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通过时变大脑网络分析行为和精神疾病的神经认知特征</w:t>
      </w:r>
    </w:p>
    <w:p>
      <w:r>
        <w:rPr>
          <w:rFonts w:ascii="Times New Roman" w:hAnsi="Times New Roman" w:eastAsia="宋体"/>
          <w:b/>
          <w:color w:val="003264"/>
          <w:sz w:val="24"/>
        </w:rPr>
        <w:t>Neurocognitive characterization of behaviour and mental illness through time-varying brain network analysis</w:t>
      </w:r>
    </w:p>
    <w:p>
      <w:r>
        <w:rPr>
          <w:rFonts w:ascii="Times New Roman" w:hAnsi="Times New Roman" w:eastAsia="宋体"/>
          <w:sz w:val="21"/>
        </w:rPr>
        <w:t>作者: Xiao Chang, Tianye Jia, Zening Fu, Shitong Xiang, Yunman Xia, Chao Xie, Jiyan Zou, Miao Cao, Jie Zhang, Tobias Banaschewski, Arun L. W. Bokde, Sylvane Desrivières, Herta Flor, Antoine Grigis, Hugh Garavan, Penny Gowland, Andreas Heinz, Rüdiger Brühl, Jean-Luc Martinot, Marie-Laure Paillère Martinot, Eric Artiges, Frauke Nees, Dimitri Papadopoulos Orfanos, Vincent Frouin, Luise Poustka, Sarah Hohmann, Christian Baeuchl, Michael N. Smolka, Nilakshi Vaidya, Henrik Walter, Robert Whelan, Jianfeng Feng, Vince D. Calhoun, Gunter Schumann, Luise Poustka, Michael N. Smolka, Nilakshi Vaidya, Henrik Walter, Robert Whelan, Jianfeng Feng, Gunter Schumann</w:t>
        <w:br/>
      </w:r>
      <w:r>
        <w:rPr>
          <w:rFonts w:ascii="Times New Roman" w:hAnsi="Times New Roman" w:eastAsia="宋体"/>
          <w:sz w:val="21"/>
        </w:rPr>
        <w:t xml:space="preserve">时间: 2026-02-03 | </w:t>
      </w:r>
      <w:r>
        <w:t xml:space="preserve">链接: </w:t>
      </w:r>
      <w:hyperlink r:id="rId335">
        <w:r>
          <w:rPr>
            <w:rFonts w:ascii="Times New Roman" w:hAnsi="Times New Roman" w:eastAsia="宋体"/>
            <w:color w:val="0000FF"/>
            <w:sz w:val="21"/>
            <w:u w:val="single"/>
          </w:rPr>
          <w:t>https://doi.org/10.1038/s41467-025-67398-w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人类认知处理涉及大脑区域之间的动态相互作用，并随着时间的推移而演变。传统的神经影像分析经常忽视这个时间方面，限制了对功能网络连接（FNC）如何支持持续认知和行为的深入了解。使用滑动窗口分析，我们捕获了任务期间 FNC 的变化，反映了认知过程中的网络重新配置。我们通过将网络测量与任务表现和精神病理学联系起来，进一步确定了时变 FNC 的行为相关性。我们发现，几种全脑 FNC 模式或状态在静息和基于任务的 fMRI 中持续存在，状态发生随着最突出的任务刺激而波动。区域 FNC 区分特定的任务条件，与静态连接相比，时变 FNC 解释了精神病理学症状的更多差异。这些发现强调认知任务重塑区域和全脑连接。通过考虑不同的 FNC 状态，时变连接提供了大脑交互的更全面的表示，因此可能代表认知和行为的更好的神经代理。</w:t>
      </w:r>
    </w:p>
    <w:p>
      <w:pPr>
        <w:spacing w:before="120"/>
      </w:pPr>
      <w:r>
        <w:rPr>
          <w:rFonts w:ascii="Times New Roman" w:hAnsi="Times New Roman" w:eastAsia="宋体"/>
          <w:b/>
          <w:sz w:val="21"/>
        </w:rPr>
        <w:t>English Abstract:</w:t>
      </w:r>
    </w:p>
    <w:p>
      <w:r>
        <w:rPr>
          <w:rFonts w:ascii="Times New Roman" w:hAnsi="Times New Roman" w:eastAsia="宋体"/>
          <w:sz w:val="21"/>
        </w:rPr>
        <w:t>Abstract Human cognitive processing involves dynamic interactions across brain regions, evolving over time. Traditional neuroimaging analysis often overlooks this temporal aspect, limiting insights into how functional network connectivity (FNC) supports ongoing cognition and behaviour. Using sliding window analysis, we captured FNC changes during tasks, reflecting network reconfiguration in cognitive processes. We further determined behavioural relevance of time-varying FNC by relating network measurements with task performances and psychopathology. We found that several whole-brain FNC patterns, or states, persist across resting and task-based fMRI, with state occurrences fluctuating with the most prominent task stimuli. Regional FNC distinguishes specific task conditions, and time-varying FNC explains more variance in psychopathology symptoms compared to static connectivity. These findings highlight that cognitive tasks reshape regional and whole-brain connectivity. By considering the different FNC states, time-varying connectivity provides a more comprehensive representation of brain interactions and thus may represent a better neural proxy for cognition and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和多维 X 射线成像观察地表以下情况</w:t>
      </w:r>
    </w:p>
    <w:p>
      <w:r>
        <w:rPr>
          <w:rFonts w:ascii="Times New Roman" w:hAnsi="Times New Roman" w:eastAsia="宋体"/>
          <w:b/>
          <w:color w:val="003264"/>
          <w:sz w:val="24"/>
        </w:rPr>
        <w:t>Use of 3D and multidimensional X-ray imaging to see beneath the surface</w:t>
      </w:r>
    </w:p>
    <w:p>
      <w:r>
        <w:rPr>
          <w:rFonts w:ascii="Times New Roman" w:hAnsi="Times New Roman" w:eastAsia="宋体"/>
          <w:sz w:val="21"/>
        </w:rPr>
        <w:t>作者: Wendy L. Mao, Yijin Liu</w:t>
        <w:br/>
      </w:r>
      <w:r>
        <w:rPr>
          <w:rFonts w:ascii="Times New Roman" w:hAnsi="Times New Roman" w:eastAsia="宋体"/>
          <w:sz w:val="21"/>
        </w:rPr>
        <w:t xml:space="preserve">时间: 2026-02-03 | </w:t>
      </w:r>
      <w:r>
        <w:t xml:space="preserve">链接: </w:t>
      </w:r>
      <w:hyperlink r:id="rId345">
        <w:r>
          <w:rPr>
            <w:rFonts w:ascii="Times New Roman" w:hAnsi="Times New Roman" w:eastAsia="宋体"/>
            <w:color w:val="0000FF"/>
            <w:sz w:val="21"/>
            <w:u w:val="single"/>
          </w:rPr>
          <w:t>https://doi.org/10.1038/s41467-026-69093-w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 3D X 射线成像揭示了多个尺度的内部结构、密度和动态，克服了 2D 投影的基本限制。这些 3D 和多维成像技术正在改变从医学诊断到电子和行星科学等学科的材料表征。</w:t>
      </w:r>
    </w:p>
    <w:p>
      <w:pPr>
        <w:spacing w:before="120"/>
      </w:pPr>
      <w:r>
        <w:rPr>
          <w:rFonts w:ascii="Times New Roman" w:hAnsi="Times New Roman" w:eastAsia="宋体"/>
          <w:b/>
          <w:sz w:val="21"/>
        </w:rPr>
        <w:t>English Abstract:</w:t>
      </w:r>
    </w:p>
    <w:p>
      <w:r>
        <w:rPr>
          <w:rFonts w:ascii="Times New Roman" w:hAnsi="Times New Roman" w:eastAsia="宋体"/>
          <w:sz w:val="21"/>
        </w:rPr>
        <w:t>Modern 3D X-ray imaging reveals internal structure, density, and dynamics across multiple scales, overcoming fundamental limitations of 2D projections. These 3D and multidimensional imaging techniques are transforming materials characterization in disciplines from medical diagnostics to electronics and planetary science.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12:39 ---</w:t>
      </w:r>
    </w:p>
    <w:p>
      <w:pPr>
        <w:pStyle w:val="Heading2"/>
      </w:pPr>
      <w:r/>
      <w:r>
        <w:rPr>
          <w:rFonts w:ascii="Times New Roman" w:hAnsi="Times New Roman" w:eastAsia="宋体"/>
          <w:b/>
          <w:color w:val="000000"/>
          <w:sz w:val="24"/>
        </w:rPr>
        <w:t>COBRA-k：桥接基于约束和动力学代谢建模的强大框架</w:t>
      </w:r>
    </w:p>
    <w:p>
      <w:r>
        <w:rPr>
          <w:rFonts w:ascii="Times New Roman" w:hAnsi="Times New Roman" w:eastAsia="宋体"/>
          <w:b/>
          <w:color w:val="003264"/>
          <w:sz w:val="24"/>
        </w:rPr>
        <w:t>COBRA-k: A powerful framework bridging constraint-based and kinetic metabolic modeling</w:t>
      </w:r>
    </w:p>
    <w:p>
      <w:r>
        <w:rPr>
          <w:rFonts w:ascii="Times New Roman" w:hAnsi="Times New Roman" w:eastAsia="宋体"/>
          <w:sz w:val="21"/>
        </w:rPr>
        <w:t>作者: Pavlos Stephanos Bekiaris, Steffen Klamt</w:t>
        <w:br/>
      </w:r>
      <w:r>
        <w:rPr>
          <w:rFonts w:ascii="Times New Roman" w:hAnsi="Times New Roman" w:eastAsia="宋体"/>
          <w:sz w:val="21"/>
        </w:rPr>
        <w:t xml:space="preserve">时间: 2026-01-23 | </w:t>
      </w:r>
      <w:r>
        <w:t xml:space="preserve">链接: </w:t>
      </w:r>
      <w:hyperlink r:id="rId156">
        <w:r>
          <w:rPr>
            <w:rFonts w:ascii="Times New Roman" w:hAnsi="Times New Roman" w:eastAsia="宋体"/>
            <w:color w:val="0000FF"/>
            <w:sz w:val="21"/>
            <w:u w:val="single"/>
          </w:rPr>
          <w:t>https://doi.org/10.1126/sciadv.aeb3022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数学建模是理解细胞代谢的关键。两种常见的方法是动力学建模和基于约束的重建和分析（COBRA）。 COBRA 模型使用线性约束分析稳态通量，但缺乏动力学细节。动力学模型通过微分方程提供机械描述，但需要（通常未知）动力学参数和酶浓度。为了弥补这一差距，我们引入了 COBRA-k，这是一个将非线性动力学速率定律集成到 COBRA 模型中的框架，以一致地限制代谢通量、酶丰度和代谢物浓度。 COBRA-k 可以通过优化技术灵活探索代谢稳态，即使参数化不完整。 COBRA-k 模型需要解决计算要求高的混合整数非线性程序。因此，我们开发了一种专用迭代算法，在开源 Python 包中实现。我们将 COBRA-k 应用于大规模大肠杆菌模型，证明了其有效性并揭示了整体代谢见解。例如，它准确地预测和解释了细胞内谷氨酸浓度高的现象。 COBRA-k 将 COBRA 的灵活性与动力学精度相结合，为预测代谢建模和工程提供了强大的工具。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视网膜缺血性损伤的愈合</w:t>
      </w:r>
    </w:p>
    <w:p>
      <w:r>
        <w:rPr>
          <w:rFonts w:ascii="Times New Roman" w:hAnsi="Times New Roman" w:eastAsia="宋体"/>
          <w:b/>
          <w:color w:val="003264"/>
          <w:sz w:val="24"/>
        </w:rPr>
        <w:t>Healing of ischemic injury in the retina</w:t>
      </w:r>
    </w:p>
    <w:p>
      <w:r>
        <w:rPr>
          <w:rFonts w:ascii="Times New Roman" w:hAnsi="Times New Roman" w:eastAsia="宋体"/>
          <w:sz w:val="21"/>
        </w:rPr>
        <w:t>作者: Silke Becker, Zia L’Ecuyer Morison, Jordan Allen, Sama Saeid, Lee Sturgis, Austin Adderley, Ari Koskelainen, Frans Vinberg</w:t>
        <w:br/>
      </w:r>
      <w:r>
        <w:rPr>
          <w:rFonts w:ascii="Times New Roman" w:hAnsi="Times New Roman" w:eastAsia="宋体"/>
          <w:sz w:val="21"/>
        </w:rPr>
        <w:t xml:space="preserve">时间: 2026-01-23 | </w:t>
      </w:r>
      <w:r>
        <w:t xml:space="preserve">链接: </w:t>
      </w:r>
      <w:hyperlink r:id="rId157">
        <w:r>
          <w:rPr>
            <w:rFonts w:ascii="Times New Roman" w:hAnsi="Times New Roman" w:eastAsia="宋体"/>
            <w:color w:val="0000FF"/>
            <w:sz w:val="21"/>
            <w:u w:val="single"/>
          </w:rPr>
          <w:t>https://doi.org/10.1126/sciadv.adx7204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和视网膜退行性疾病，包括阿尔茨海默病、中风、年龄相关性黄斑变性和视网膜中央动脉阻塞，剥夺了数百万人的独立性。由于死亡后神经元活动迅速丧失，研究人类视网膜中的这些疾病受到了阻碍。虽然一些中枢神经系统活动在死后已恢复，但超过 30 分钟的同步神经元传输仍然难以捉摸。我们通过恢复和维持人类视网膜中的光信号传输来克服这一障碍，光信号传输在死亡后 4 小时内恢复并保存长达 48 小时。我们还引入了用于精确采样的基于红外的离体成像、用于药物测试的封闭灌注系统以及小鼠和人类视网膜的离体缺血再灌注模型。该平台能够测试针对氧化应激和谷氨酸兴奋毒性的药物的神经保护和神经毒性作用。我们的进展质疑缺血性损伤的不可逆性，支持视力恢复的临床前研究，提供治疗中枢神经系统缺血的见解，并为人类供体眼移植铺平道路。</w:t>
      </w:r>
    </w:p>
    <w:p>
      <w:pPr>
        <w:spacing w:before="120"/>
      </w:pPr>
      <w:r>
        <w:rPr>
          <w:rFonts w:ascii="Times New Roman" w:hAnsi="Times New Roman" w:eastAsia="宋体"/>
          <w:b/>
          <w:sz w:val="21"/>
        </w:rPr>
        <w:t>English Abstract:</w:t>
      </w:r>
    </w:p>
    <w:p>
      <w:r>
        <w:rPr>
          <w:rFonts w:ascii="Times New Roman" w:hAnsi="Times New Roman" w:eastAsia="宋体"/>
          <w:sz w:val="21"/>
        </w:rP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TDRD3 是一种包含 Tudor 结构域的蛋白质，可调节 Klf2 依赖性 T reg 分化和调节免疫耐受的功能</w:t>
      </w:r>
    </w:p>
    <w:p>
      <w:r>
        <w:rPr>
          <w:rFonts w:ascii="Times New Roman" w:hAnsi="Times New Roman" w:eastAsia="宋体"/>
          <w:b/>
          <w:color w:val="003264"/>
          <w:sz w:val="24"/>
        </w:rPr>
        <w:t>TDRD3, a Tudor domain-containing protein, regulates Klf2 -dependent T reg differentiation and function to modulate immune tolerance</w:t>
      </w:r>
    </w:p>
    <w:p>
      <w:r>
        <w:rPr>
          <w:rFonts w:ascii="Times New Roman" w:hAnsi="Times New Roman" w:eastAsia="宋体"/>
          <w:sz w:val="21"/>
        </w:rPr>
        <w:t>作者: Yun Shi, Xiaoqun Tao, Lei Shen, Yate-Ching Yuan, Guanpeng Wang, Ethan Eurmsirilerd, Rendell Chang, Zhenyu Jia, Weirong Shang, Yanzhong Yang, Zuoming Sun</w:t>
        <w:br/>
      </w:r>
      <w:r>
        <w:rPr>
          <w:rFonts w:ascii="Times New Roman" w:hAnsi="Times New Roman" w:eastAsia="宋体"/>
          <w:sz w:val="21"/>
        </w:rPr>
        <w:t xml:space="preserve">时间: 2026-01-23 | </w:t>
      </w:r>
      <w:r>
        <w:t xml:space="preserve">链接: </w:t>
      </w:r>
      <w:hyperlink r:id="rId158">
        <w:r>
          <w:rPr>
            <w:rFonts w:ascii="Times New Roman" w:hAnsi="Times New Roman" w:eastAsia="宋体"/>
            <w:color w:val="0000FF"/>
            <w:sz w:val="21"/>
            <w:u w:val="single"/>
          </w:rPr>
          <w:t>https://doi.org/10.1126/sciadv.aea3960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含 Tudor 结构域的蛋白 3 (TDRD3) 充当甲基精氨酸读取器，将翻译后精氨酸甲基化信号传递给转录机制，从而通过调节基因表达来调节细胞功能。调节性 T 细胞 (T regs) 对于建立和维持免疫耐受至关重要。在这项研究中，我们证明 T reg 特异性缺失 Tdrd3 的小鼠表现出严重受损的 iT reg 分化，但胸腺 T reg 分化却没有。此外，源自这些小鼠的 iT regs（而非胸腺 T regs）在过继转移模型中未能抑制结肠炎，表明抑制能力受损。老年 Tdrd3 缺陷小鼠也表现出自发性自身炎症。从机制上讲，TDRD3 被转录因子 FOXO1 招募（可能以甲基化依赖性方式）来激活 Klf2 表达，这对于 T reg 分化至关重要。值得注意的是，Klf2 在 Tdrd3 缺陷的 CD4 + T 细胞中的强制表达可以挽救 iT reg 的发育和抑制功能。总的来说，我们的研究结果确定 TDRD3 是 iT reg 分化和免疫稳态的中央转录调节因子，强调它是调节免疫耐受的潜在治疗靶点。</w:t>
      </w:r>
    </w:p>
    <w:p>
      <w:pPr>
        <w:spacing w:before="120"/>
      </w:pPr>
      <w:r>
        <w:rPr>
          <w:rFonts w:ascii="Times New Roman" w:hAnsi="Times New Roman" w:eastAsia="宋体"/>
          <w:b/>
          <w:sz w:val="21"/>
        </w:rPr>
        <w:t>English Abstract:</w:t>
      </w:r>
    </w:p>
    <w:p>
      <w:r>
        <w:rPr>
          <w:rFonts w:ascii="Times New Roman" w:hAnsi="Times New Roman" w:eastAsia="宋体"/>
          <w:sz w:val="21"/>
        </w:rPr>
        <w:t>Tudor domain-containing protein 3 (TDRD3) functions as a methylarginine reader that relays posttranslational arginine methylation signals to the transcriptional machinery, thereby regulating cellular functions through modulation of gene expression. Regulatory T cells (T regs ) are pivotal for establishing and maintaining immune tolerance. In this study, we demonstrate that mice with T reg -specific deletion of Tdrd3 exhibit severely impaired iT reg , but not thymic T reg , differentiation. Moreover, iT regs , but not thymic T regs , derived from these mice fail to suppress colitis in adoptive transfer models, indicating compromised inhibitory capacity. Aged Tdrd3 -deficient mice also show spontaneous autoinflammation. Mechanistically, TDRD3 is recruited by the transcription factor FOXO1, presumably in a methylation-dependent manner, to activate Klf2 expression, which is essential for T reg differentiation. Notably, the enforced expression of Klf2 in Tdrd3 -deficient CD4 + T cells rescue both iT reg development and suppressive function. Collectively, our findings identify TDRD3 as a central transcriptional regulator of iT reg differentiation and immune homeostasis, highlighting it as a potential therapeutic target for modulating immune tolerance.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Lrrn介导的视网膜神经节细胞靶向驱动视觉电路组装以进行亮度和对比度检测</w:t>
      </w:r>
    </w:p>
    <w:p>
      <w:r>
        <w:rPr>
          <w:rFonts w:ascii="Times New Roman" w:hAnsi="Times New Roman" w:eastAsia="宋体"/>
          <w:b/>
          <w:color w:val="003264"/>
          <w:sz w:val="24"/>
        </w:rPr>
        <w:t>Lrrn-mediated retinal ganglion cell targeting drives visual circuit assembly for brightness and contrast detection</w:t>
      </w:r>
    </w:p>
    <w:p>
      <w:r>
        <w:rPr>
          <w:rFonts w:ascii="Times New Roman" w:hAnsi="Times New Roman" w:eastAsia="宋体"/>
          <w:sz w:val="21"/>
        </w:rPr>
        <w:t>作者: Elena Putti, Giulia Faini, Julie Thanh-Mai Dang, Jay H. Savaliya, Fanny Eggeler, Karine Duroure, Juliette Vougny, Gonzalo Ortiz-Álvarez, Cristina Pujades, Armin Bahl, Jeff W. Lichtman, Florian Engert, Jonathan Boulanger-Weill, Filippo Del Bene, Shahad Albadri</w:t>
        <w:br/>
      </w:r>
      <w:r>
        <w:rPr>
          <w:rFonts w:ascii="Times New Roman" w:hAnsi="Times New Roman" w:eastAsia="宋体"/>
          <w:sz w:val="21"/>
        </w:rPr>
        <w:t xml:space="preserve">时间: 2026-01-23 | </w:t>
      </w:r>
      <w:r>
        <w:t xml:space="preserve">链接: </w:t>
      </w:r>
      <w:hyperlink r:id="rId159">
        <w:r>
          <w:rPr>
            <w:rFonts w:ascii="Times New Roman" w:hAnsi="Times New Roman" w:eastAsia="宋体"/>
            <w:color w:val="0000FF"/>
            <w:sz w:val="21"/>
            <w:u w:val="single"/>
          </w:rPr>
          <w:t>https://doi.org/10.1126/sciadv.adz4585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亮度和对比度是视觉的基本特征，对于物体检测、环境导航和进食至关重要。在这里，我们确定了斑马鱼视觉系统中的亮度和对比度处理电路，并揭示了富含亮氨酸的重复神经元 (Lrrn) 细胞粘附分子 (CAM) 在调节其组装中的作用。我们发现，深部投射的视网膜神经节细胞是大脑的第一个突触中继，需要 Lrrn2 和 Lrrn3a 来精确定位视顶盖内的轴突。使用新的报告线，我们实现了这种先前未充分表征的脊椎动物视觉回路的高分辨率图谱。 Lrrn CAM 的基因破坏会导致电路混乱以及亮度和对比敏感度受损，从而导致视觉引导行为的缺陷。此外，超微结构电路重建和功能成像分析识别了其突触伙伴，并揭示了其在亮度处理中的关键作用。这些研究定义了核心视觉处理途径，并将 Lrrn CAM 确立为其组装的重要分子驱动因素。</w:t>
      </w:r>
    </w:p>
    <w:p>
      <w:pPr>
        <w:spacing w:before="120"/>
      </w:pPr>
      <w:r>
        <w:rPr>
          <w:rFonts w:ascii="Times New Roman" w:hAnsi="Times New Roman" w:eastAsia="宋体"/>
          <w:b/>
          <w:sz w:val="21"/>
        </w:rPr>
        <w:t>English Abstract:</w:t>
      </w:r>
    </w:p>
    <w:p>
      <w:r>
        <w:rPr>
          <w:rFonts w:ascii="Times New Roman" w:hAnsi="Times New Roman" w:eastAsia="宋体"/>
          <w:sz w:val="21"/>
        </w:rPr>
        <w:t>Brightness and contrast are fundamental features of vision, crucial for object detection, environmental navigation, and feeding. Here, we identify a brightness- and contrast-processing circuit in the zebrafish visual system and uncover the role of leucine-rich repeat neuronal (Lrrn) cell adhesion molecules (CAMs) in regulating its assembly. We show that deep-projecting retinal ganglion cells serve as the first synaptic relay to the brain, requiring Lrrn2 and Lrrn3a for precise axonal targeting within the optic tectum. Using a new reporter line, we achieved high-resolution mapping of this previously undercharacterized vertebrate visual circuit. Genetic disruption of Lrrn CAMs leads to disorganization of the circuit and impairments in brightness and contrast sensitivity, resulting in deficits in visually guided behavior. Additionally, ultrastructural circuit reconstruction and functional imaging analysis identified both its synaptic partners and revealed its critical role in luminance processing. These studies define a core visual processing pathway and establish Lrrn CAMs as essential molecular drivers of its assembly.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常驻CD49a + CD103 + NKG2C + NK细胞限制人类淋巴组织外植体中的HIV感染</w:t>
      </w:r>
    </w:p>
    <w:p>
      <w:r>
        <w:rPr>
          <w:rFonts w:ascii="Times New Roman" w:hAnsi="Times New Roman" w:eastAsia="宋体"/>
          <w:b/>
          <w:color w:val="003264"/>
          <w:sz w:val="24"/>
        </w:rPr>
        <w:t>Resident CD49a + CD103 + NKG2C + NK cells restrict HIV infection in human lymphoid tissue explants</w:t>
      </w:r>
    </w:p>
    <w:p>
      <w:r>
        <w:rPr>
          <w:rFonts w:ascii="Times New Roman" w:hAnsi="Times New Roman" w:eastAsia="宋体"/>
          <w:sz w:val="21"/>
        </w:rPr>
        <w:t>作者: David Perea, Alba Gonzalez, Ana Gallego-Cortés, Nerea Sanchez-Gaona, Felix Pumarola, Nuria Ortiz, Ines Llano, Juan Lorente, Vicenç Falcó, Meritxell Genescà, Maria J. Buzon</w:t>
        <w:br/>
      </w:r>
      <w:r>
        <w:rPr>
          <w:rFonts w:ascii="Times New Roman" w:hAnsi="Times New Roman" w:eastAsia="宋体"/>
          <w:sz w:val="21"/>
        </w:rPr>
        <w:t xml:space="preserve">时间: 2026-01-23 | </w:t>
      </w:r>
      <w:r>
        <w:t xml:space="preserve">链接: </w:t>
      </w:r>
      <w:hyperlink r:id="rId160">
        <w:r>
          <w:rPr>
            <w:rFonts w:ascii="Times New Roman" w:hAnsi="Times New Roman" w:eastAsia="宋体"/>
            <w:color w:val="0000FF"/>
            <w:sz w:val="21"/>
            <w:u w:val="single"/>
          </w:rPr>
          <w:t>https://doi.org/10.1126/sciadv.adz1565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自然杀伤 (NK) 细胞是抗病毒免疫的关键效应细胞，但其在急性 HIV 感染期间的组织特异性作用仍不清楚。使用离体人类扁桃体组织模型，我们分析了 NK 细胞对早期 HIV 感染的反应，并发现了具有特殊功能的不同亚群。我们发现了一个先前未表征的记忆样 NK 群体（CD16 +/- CD69 + CD49a + CD103 + NKG2C + ）与病毒负荷减少相关，并富含细胞毒性介质（GNLY、PRF1 和 GZMB）、凋亡配体（FASLG 和 TRAIL）、细胞因子受体（IL2RA、IL2RB、IL2RG、IL12RB2 和IL18R1) 和运输分子（CCL3-5、CCR7 和 SELL）。尽管在功能上能够在组织模拟环境中清除 HIV 感染的 CD4 + T 细胞，但它们在感染后表现出细胞毒性受损和转录衰竭迹象。相反，HIV 驱动未成熟的 CD16 - CD69 + NK 细胞重编程为更具细胞毒性和迁移效应表型。这些发现揭示了早期 HIV 感染期间淋巴组织中 NK 细胞的动态适应，并强调组织驻留 NK 细胞作为免疫治疗干预的有希望的目标。</w:t>
      </w:r>
    </w:p>
    <w:p>
      <w:pPr>
        <w:spacing w:before="120"/>
      </w:pPr>
      <w:r>
        <w:rPr>
          <w:rFonts w:ascii="Times New Roman" w:hAnsi="Times New Roman" w:eastAsia="宋体"/>
          <w:b/>
          <w:sz w:val="21"/>
        </w:rPr>
        <w:t>English Abstract:</w:t>
      </w:r>
    </w:p>
    <w:p>
      <w:r>
        <w:rPr>
          <w:rFonts w:ascii="Times New Roman" w:hAnsi="Times New Roman" w:eastAsia="宋体"/>
          <w:sz w:val="21"/>
        </w:rPr>
        <w:t>Natural killer (NK) cells are pivotal effectors in antiviral immunity, yet their tissue-specific roles during acute HIV infection remain poorly defined. Using an ex vivo human tonsillar tissue model, we profile NK cell responses to early HIV infection and uncover distinct subsets with specialized functions. We identify a previously uncharacterized memory-like NK population (CD16 +/− CD69 + CD49a + CD103 + NKG2C + ) associated with reduced viral burden and enriched in cytotoxic mediators (GNLY, PRF1, and GZMB), apoptotic ligands (FASLG and TRAIL), cytokine receptors (IL2RA, IL2RB, IL2RG, IL12RB2, and IL18R1) and trafficking molecules (CCL3–5, CCR7, and SELL). Although functionally capable of clearing HIV-infected CD4 + T cells in a tissue-mimetic environment, they show impaired cytotoxicity and transcriptional signs of exhaustion after infection. Conversely, HIV drives the reprogramming of immature CD16 − CD69 + NK cells toward a more cytotoxic and migratory effector phenotype. These findings reveal dynamic NK cell adaptations in lymphoid tissue during early HIV infection and highlight tissue-resident NK cells as promising targets for immunotherapeutic intervention.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具有仿骨连杆的仿生可生长人形机器人，可实现多功能移动</w:t>
      </w:r>
    </w:p>
    <w:p>
      <w:r>
        <w:rPr>
          <w:rFonts w:ascii="Times New Roman" w:hAnsi="Times New Roman" w:eastAsia="宋体"/>
          <w:b/>
          <w:color w:val="003264"/>
          <w:sz w:val="24"/>
        </w:rPr>
        <w:t>Bioinspired growable humanoid robot with bone-mimetic linkages for versatile mobility</w:t>
      </w:r>
    </w:p>
    <w:p>
      <w:r>
        <w:rPr>
          <w:rFonts w:ascii="Times New Roman" w:hAnsi="Times New Roman" w:eastAsia="宋体"/>
          <w:sz w:val="21"/>
        </w:rPr>
        <w:t>作者: Hao Liu, Yanda Yang, Ting Wang, Jintao Yin, Hongqiang Wang</w:t>
        <w:br/>
      </w:r>
      <w:r>
        <w:rPr>
          <w:rFonts w:ascii="Times New Roman" w:hAnsi="Times New Roman" w:eastAsia="宋体"/>
          <w:sz w:val="21"/>
        </w:rPr>
        <w:t xml:space="preserve">时间: 2026-01-23 | </w:t>
      </w:r>
      <w:r>
        <w:t xml:space="preserve">链接: </w:t>
      </w:r>
      <w:hyperlink r:id="rId161">
        <w:r>
          <w:rPr>
            <w:rFonts w:ascii="Times New Roman" w:hAnsi="Times New Roman" w:eastAsia="宋体"/>
            <w:color w:val="0000FF"/>
            <w:sz w:val="21"/>
            <w:u w:val="single"/>
          </w:rPr>
          <w:t>https://doi.org/10.1126/sciadv.aea2831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人类生物力学的启发，人形机器人通常被设计为模仿人类运动学，但通常缺乏骨骼发育的关键特征，例如可生长性、轻质而坚硬的结构以及冲击吸收的顺应性。这项工作引入了一种受骨骼启发的连杆结构，具有高达 315% 的延展性，重量仅为 350 克，同时保持高负载能力、顺应性和稳定性。这些可生长的连杆集成到软人形机器人中，可实现动态形状适应，将高度减少至 36%，宽度减少至 61%，以穿越狭小的空间。通过将可增长的连杆致动与伺服电机相结合，机器人切换到爬行模式，并且移动速度比单独使用电机或软致动器快 1122 倍。 GrowHR 仅重 4.5 公斤，可以漂浮、游泳、水上行走和飞行。其柔软的身体确保了安全的人际互动，允许拥抱、跌倒和举起而不会受伤。可变形的腿在外部负载下表现出弹性能量存储和释放，允许运动超越刚性结构的限制。这项工作开创了一种适用于动态、复杂环境的可扩展、多功能机器人设计方法。</w:t>
      </w:r>
    </w:p>
    <w:p>
      <w:pPr>
        <w:spacing w:before="120"/>
      </w:pPr>
      <w:r>
        <w:rPr>
          <w:rFonts w:ascii="Times New Roman" w:hAnsi="Times New Roman" w:eastAsia="宋体"/>
          <w:b/>
          <w:sz w:val="21"/>
        </w:rPr>
        <w:t>English Abstract:</w:t>
      </w:r>
    </w:p>
    <w:p>
      <w:r>
        <w:rPr>
          <w:rFonts w:ascii="Times New Roman" w:hAnsi="Times New Roman" w:eastAsia="宋体"/>
          <w:sz w:val="21"/>
        </w:rPr>
        <w:t>Inspired by human biomechanics, humanoid robots are often designed to mimic human kinematics but typically lack key traits of developing bones, such as growability, lightweight yet stiff construction, and compliance for impact absorption. This work introduces a bone-inspired linkage structure with up to 315% extensibility, weighing only 350 grams while maintaining high load capacity, compliance, and stability. Integrated into a soft humanoid robot, these growable linkages enable dynamic shape adaptation, reducing height to 36% and width to 61%, to traverse tight spaces. By combining growable link actuation with servomotors, the robot switches to crawling mode and moves 1122 times faster than using motors or soft actuators alone. At just 4.5 kilograms, GrowHR can float, swim, walk on water, and fly. Its soft body ensures safe human interaction, allowing hugging, falling, and lifting without injury. Deformable legs demonstrate elastic energy storage and release under external loading, allowing motions beyond the limits of rigid structures. This work pioneers a growable, multifunctional robotic design approach for dynamic,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宏观植物投影成像 (MAPPI)：一个开放、可扩展的全植物荧光实时成像平台</w:t>
      </w:r>
    </w:p>
    <w:p>
      <w:r>
        <w:rPr>
          <w:rFonts w:ascii="Times New Roman" w:hAnsi="Times New Roman" w:eastAsia="宋体"/>
          <w:b/>
          <w:color w:val="003264"/>
          <w:sz w:val="24"/>
        </w:rPr>
        <w:t>MAcro Plant Projection Imaging (MAPPI): An open, scalable platform for whole-plant fluorescence real-time imaging</w:t>
      </w:r>
    </w:p>
    <w:p>
      <w:r>
        <w:rPr>
          <w:rFonts w:ascii="Times New Roman" w:hAnsi="Times New Roman" w:eastAsia="宋体"/>
          <w:sz w:val="21"/>
        </w:rPr>
        <w:t>作者: Giorgia Tortora, Bianca Maria Orlando Marchesano, Stefano Buratti, Laura Luoni, Matteo Grenzi, Keiko Yoshioka, Valeria Contartese, Alessia Candeo, Alex Costa, Andrea Bassi</w:t>
        <w:br/>
      </w:r>
      <w:r>
        <w:rPr>
          <w:rFonts w:ascii="Times New Roman" w:hAnsi="Times New Roman" w:eastAsia="宋体"/>
          <w:sz w:val="21"/>
        </w:rPr>
        <w:t xml:space="preserve">时间: 2026-01-23 | </w:t>
      </w:r>
      <w:r>
        <w:t xml:space="preserve">链接: </w:t>
      </w:r>
      <w:hyperlink r:id="rId162">
        <w:r>
          <w:rPr>
            <w:rFonts w:ascii="Times New Roman" w:hAnsi="Times New Roman" w:eastAsia="宋体"/>
            <w:color w:val="0000FF"/>
            <w:sz w:val="21"/>
            <w:u w:val="single"/>
          </w:rPr>
          <w:t>https://doi.org/10.1126/sciadv.aea4466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植物如何感知和响应环境和发育线索需要能够实时监测体内整个组织分子信号的工具。基因编码的荧光指示剂与荧光显微镜相结合，已经改变了植物生物学，但它们的应用仍然主要局限于小型模型生物和专门的显微镜仪器。在这里，我们展示了宏观植物投影成像 (MAPPI)，这是一种开源、低成本、模块化荧光成像平台，适用于模型生物或幼苗阶段以外的土壤生长植物。 MAPPI 可实现荧光报告基因的宽视场、双投影成像，支持在接近生理条件下系统信号的实时可视化。我们通过跟踪成年烟草中的钙和 L-谷氨酸动态来验证 MAPPI，揭示由受伤、燃烧或淹没触发的发育调节的长距离钙波，包括双向芽到根和根到芽信号传导。通过实现全植物功能成像的民主化，MAPPI 提供了一种可扩展的工具，用于剖析模型和非模型物种的信号传播、应激适应和系统通信。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plants perceive and respond to environmental and developmental cues requires tools capable of monitoring molecular signals in vivo, across whole tissues, and in real time. Genetically encoded fluorescent indicators, coupled with fluorescence microscopy, have transformed plant biology, but their application remains largely confined to small model organisms and specialized microscopy instrumentation. Here, we present MAcro Plant Projection Imaging (MAPPI), an open-source, low-cost, and modular fluorescence imaging platform for soil-grown plants beyond the model organism or seedling stage. MAPPI enables wide field-of-view, dual-projection imaging of fluorescent reporters, supporting real-time visualization of systemic signals under near-physiological conditions. We validate MAPPI by tracking calcium and l -glutamate dynamics in adult Nicotiana benthamiana plants, revealing developmentally regulated long-distance calcium waves triggered by wounding, burning, or submergence, including bidirectional shoot-to-root and root-to-shoot signaling. By democratizing access to whole-plant functional imaging, MAPPI provides a scalable tool for dissecting signal propagation, stress adaptation, and systemic communication in both model and nonmodel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具有独立来源的量子网络中的随机性证明</w:t>
      </w:r>
    </w:p>
    <w:p>
      <w:r>
        <w:rPr>
          <w:rFonts w:ascii="Times New Roman" w:hAnsi="Times New Roman" w:eastAsia="宋体"/>
          <w:b/>
          <w:color w:val="003264"/>
          <w:sz w:val="24"/>
        </w:rPr>
        <w:t>Randomness certification in a quantum network with independent sources</w:t>
      </w:r>
    </w:p>
    <w:p>
      <w:r>
        <w:rPr>
          <w:rFonts w:ascii="Times New Roman" w:hAnsi="Times New Roman" w:eastAsia="宋体"/>
          <w:sz w:val="21"/>
        </w:rPr>
        <w:t>作者: Giorgio Minati, Giovanni Rodari, Emanuele Polino, Francesco Andreoli, Davide Poderini, Rafael Chaves, Gonzalo Carvacho, Fabio Sciarrino</w:t>
        <w:br/>
      </w:r>
      <w:r>
        <w:rPr>
          <w:rFonts w:ascii="Times New Roman" w:hAnsi="Times New Roman" w:eastAsia="宋体"/>
          <w:sz w:val="21"/>
        </w:rPr>
        <w:t xml:space="preserve">时间: 2026-01-23 | </w:t>
      </w:r>
      <w:r>
        <w:t xml:space="preserve">链接: </w:t>
      </w:r>
      <w:hyperlink r:id="rId163">
        <w:r>
          <w:rPr>
            <w:rFonts w:ascii="Times New Roman" w:hAnsi="Times New Roman" w:eastAsia="宋体"/>
            <w:color w:val="0000FF"/>
            <w:sz w:val="21"/>
            <w:u w:val="single"/>
          </w:rPr>
          <w:t>https://doi.org/10.1126/sciadv.aea8571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性认证是量子信息科学的基础和实践方面，对于保护量子通信协议至关重要。传统上，这些协议是通过单个纠缠源来实现和验证的，就像典型的贝尔场景一样。然而，改进这些协议以支持涉及多个纠缠源的更复杂的配置是构建鲁棒架构和实现大规模量子网络的关键。在这里，我们展示了如何在纠缠隐形传态实验中证明随机性，这是显示两个独立纠缠源的量子中继器的构建块。使用标量扩展方法，我们解决了相关集的非凸性带来的挑战，为窃听者对共享秘密位的了解提供了有效的界限。我们的理论模型描述了网络内可证明的随机性，并通过对光子量子网络的实验数据的分析进行了验证。</w:t>
      </w:r>
    </w:p>
    <w:p>
      <w:pPr>
        <w:spacing w:before="120"/>
      </w:pPr>
      <w:r>
        <w:rPr>
          <w:rFonts w:ascii="Times New Roman" w:hAnsi="Times New Roman" w:eastAsia="宋体"/>
          <w:b/>
          <w:sz w:val="21"/>
        </w:rPr>
        <w:t>English Abstract:</w:t>
      </w:r>
    </w:p>
    <w:p>
      <w:r>
        <w:rPr>
          <w:rFonts w:ascii="Times New Roman" w:hAnsi="Times New Roman" w:eastAsia="宋体"/>
          <w:sz w:val="21"/>
        </w:rPr>
        <w:t>Randomness certification is a foundational and practical aspect of quantum information science, essential for securing quantum communication protocols. Traditionally, these protocols have been implemented and validated with a single entanglement source, as in the paradigmatic Bell scenario. However, advancing these protocols to support more complex configurations involving multiple entanglement sources is key to building robust architectures and realizing large-scale quantum networks. Here, we show how to certify randomness in an entanglement-teleportation experiment, the building block of a quantum repeater displaying two independent sources of entanglement. Using the scalar extension method, we address the challenge posed by the nonconvexity of the correlation set, providing effective bounds on an eavesdropper’s knowledge of the shared secret bits. Our theoretical model characterizes the certifiable randomness within the network and is validated through the analysis of experimental data from a photonic quantum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类固醇依赖性代谢重连揭示了胶质母细胞瘤的新治疗和成像方法</w:t>
      </w:r>
    </w:p>
    <w:p>
      <w:r>
        <w:rPr>
          <w:rFonts w:ascii="Times New Roman" w:hAnsi="Times New Roman" w:eastAsia="宋体"/>
          <w:b/>
          <w:color w:val="003264"/>
          <w:sz w:val="24"/>
        </w:rPr>
        <w:t>Steroid-dependent metabolic rewiring reveals novel therapeutic and imaging approaches for glioblastoma</w:t>
      </w:r>
    </w:p>
    <w:p>
      <w:r>
        <w:rPr>
          <w:rFonts w:ascii="Times New Roman" w:hAnsi="Times New Roman" w:eastAsia="宋体"/>
          <w:sz w:val="21"/>
        </w:rPr>
        <w:t>作者: Maria Francesca Allega, Ruhi Deshmukh, Theresa Hillinger, Alena Akhmetshina, Anaïs Oudin, Robert Bielik, Dmitry Soloviev, Victor H. Villar, Tobias Ackermann, Guillaume Bourmeau, Sandeep K. Chahal, Katrina H. Stevenson, Colin Nixon, Robin Shaw, Gillian M. Morrison, Anthony J. Chalmers, Steven M. Pollard, Morten Lund-Johansen, Rolf Bjerkvig, Giorgio Seano, Simone P. Niclou, Einar O. Vik-Mo, David Y. Lewis, David Sumpton, Saverio Tardito</w:t>
        <w:br/>
      </w:r>
      <w:r>
        <w:rPr>
          <w:rFonts w:ascii="Times New Roman" w:hAnsi="Times New Roman" w:eastAsia="宋体"/>
          <w:sz w:val="21"/>
        </w:rPr>
        <w:t xml:space="preserve">时间: 2026-01-23 | </w:t>
      </w:r>
      <w:r>
        <w:t xml:space="preserve">链接: </w:t>
      </w:r>
      <w:hyperlink r:id="rId164">
        <w:r>
          <w:rPr>
            <w:rFonts w:ascii="Times New Roman" w:hAnsi="Times New Roman" w:eastAsia="宋体"/>
            <w:color w:val="0000FF"/>
            <w:sz w:val="21"/>
            <w:u w:val="single"/>
          </w:rPr>
          <w:t>https://doi.org/10.1126/sciadv.adx6539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类固醇抗炎药，如地塞米松，通常用于治疗脑肿瘤相关的水肿，但其对脑肿瘤代谢的影响仍未得到充分研究。在这里，对用地塞米松处理的幼稚胶质母细胞瘤细胞进行的代谢组学筛选显示，N 1 -甲基烟酰胺（一种烟酰胺 N -甲基转移酶 (NNMT) 产物）通过糖皮质激素受体激活而积累。在胶质母细胞瘤患者中使用稳定同位素辅助代谢组学，我们发现烟酰胺转化为 N 1 -甲基烟酰胺的转化超过转化为 NAD + 的转化，导致肿瘤中 N 1 -甲基烟酰胺的积累是周围脑组织的约 7 倍。在原位模型中，地塞米松在胶质母细胞瘤肿瘤中选择性增强 NNMT 活性，但在对侧大脑中则不然。利用 NNMT 的肿瘤特异性活性，我们开发了一种基于 11 C-烟酰胺的新型正电子发射断层扫描 (PET) 方法来可视化胶质母细胞瘤肿瘤。此外，我们的研究结果表明，当与限制蛋氨酸的饮食相结合时，地塞米松诱导的蛋氨酸依赖性烟酰胺甲基化对胶质母细胞瘤有害。这些结果表明，类固醇可以重新连接蛋氨酸和烟酰胺代谢，从而能够开发出针对胶质母细胞瘤的创新 PET 成像和代谢疗法。</w:t>
      </w:r>
    </w:p>
    <w:p>
      <w:pPr>
        <w:spacing w:before="120"/>
      </w:pPr>
      <w:r>
        <w:rPr>
          <w:rFonts w:ascii="Times New Roman" w:hAnsi="Times New Roman" w:eastAsia="宋体"/>
          <w:b/>
          <w:sz w:val="21"/>
        </w:rPr>
        <w:t>English Abstract:</w:t>
      </w:r>
    </w:p>
    <w:p>
      <w:r>
        <w:rPr>
          <w:rFonts w:ascii="Times New Roman" w:hAnsi="Times New Roman" w:eastAsia="宋体"/>
          <w:sz w:val="21"/>
        </w:rPr>
        <w:t>Steroid anti-inflammatory drugs, such as dexamethasone, are routinely used to manage brain tumor–associated edema, yet their impact on brain tumor metabolism remains understudied. Here, a metabolomic screen in naïve glioblastoma cells treated with dexamethasone revealed the accumulation of N 1 -methylnicotinamide, a nicotinamide N -methyltransferase (NNMT) product, through glucocorticoid receptor activation. Using stable isotope-assisted metabolomics in patients with glioblastoma, we showed that nicotinamide conversion into N 1 -methylnicotinamide exceeds that into NAD + , leading to a ~7-fold accumulation of N 1 -methylnicotinamide in tumor compared to surrounding brain tissue. In orthotopic models, NNMT activity was enhanced by dexamethasone selectively in glioblastoma tumors but not in contralateral brain. Leveraging the tumor-specific activity of NNMT, we developed a novel 11 C-nicotinamide–based positron emission tomography (PET) approach to visualizing glioblastoma tumors. Furthermore, our findings demonstrate that the dexamethasone-induced methionine-dependent nicotinamide methylation becomes detrimental for glioblastoma when combined with a methionine-restricted diet. These results show that steroids rewire methionine and nicotinamide metabolism, enabling the development of innovative PET imaging and metabolic therapies for glioblastoma.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NEP-聚合酶复合物结构揭示甲型流感病毒聚合酶的监管热点</w:t>
      </w:r>
    </w:p>
    <w:p>
      <w:r>
        <w:rPr>
          <w:rFonts w:ascii="Times New Roman" w:hAnsi="Times New Roman" w:eastAsia="宋体"/>
          <w:b/>
          <w:color w:val="003264"/>
          <w:sz w:val="24"/>
        </w:rPr>
        <w:t>Regulatory hotspot on the influenza A virus polymerase revealed through the structure of the NEP-polymerase complex</w:t>
      </w:r>
    </w:p>
    <w:p>
      <w:r>
        <w:rPr>
          <w:rFonts w:ascii="Times New Roman" w:hAnsi="Times New Roman" w:eastAsia="宋体"/>
          <w:sz w:val="21"/>
        </w:rPr>
        <w:t>作者: Alison Rep, Fangzheng Wang, Kuang-Yu Chen, Loïc Carrique, Jane Sharps, Jonathan M. Grimes, Ervin Fodor</w:t>
        <w:br/>
      </w:r>
      <w:r>
        <w:rPr>
          <w:rFonts w:ascii="Times New Roman" w:hAnsi="Times New Roman" w:eastAsia="宋体"/>
          <w:sz w:val="21"/>
        </w:rPr>
        <w:t xml:space="preserve">时间: 2026-01-23 | </w:t>
      </w:r>
      <w:r>
        <w:t xml:space="preserve">链接: </w:t>
      </w:r>
      <w:hyperlink r:id="rId165">
        <w:r>
          <w:rPr>
            <w:rFonts w:ascii="Times New Roman" w:hAnsi="Times New Roman" w:eastAsia="宋体"/>
            <w:color w:val="0000FF"/>
            <w:sz w:val="21"/>
            <w:u w:val="single"/>
          </w:rPr>
          <w:t>https://doi.org/10.1126/sciadv.aeb4073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甲型流感病毒 (IAV) 在病毒核糖核蛋白 (vRNP) 内的宿主细胞核中转录和复制其分段的 RNA 基因组，这些基因组被输出用于病毒粒子组装。核输出蛋白 (NEP) 对此过程至关重要，并且还调节病毒 RNA 合成，意味着与病毒 RNA 聚合酶的直接相互作用。在这里，我们展示了与 IAV 聚合酶结合的 NEP 的 2.5-Å 低温电子显微镜结构，并证明单独的 NEP 足以促进 vRNP 输出，而病毒基质蛋白 1 则增强输出效率。 NEP 形成四螺旋束，结合在聚合酶的 PA C 端结构域和 PB1 N 端的界面上。该界面上的 NEP 结合位点与宿主 ANP32 和 RNA 聚合酶 II 的 C 端结构域的结合位点重叠，表明它作为调节热点协调病毒聚合酶在 RNA 合成和核输出之间的转换，揭示了 IAV 复制周期中的关键控制层。</w:t>
      </w:r>
    </w:p>
    <w:p>
      <w:pPr>
        <w:spacing w:before="120"/>
      </w:pPr>
      <w:r>
        <w:rPr>
          <w:rFonts w:ascii="Times New Roman" w:hAnsi="Times New Roman" w:eastAsia="宋体"/>
          <w:b/>
          <w:sz w:val="21"/>
        </w:rPr>
        <w:t>English Abstract:</w:t>
      </w:r>
    </w:p>
    <w:p>
      <w:r>
        <w:rPr>
          <w:rFonts w:ascii="Times New Roman" w:hAnsi="Times New Roman" w:eastAsia="宋体"/>
          <w:sz w:val="21"/>
        </w:rPr>
        <w:t>Influenza A virus (IAV) transcribes and replicates its segmented RNA genome in the host nucleus within viral ribonucleoproteins (vRNPs), which are exported for virion assembly. The nuclear export protein (NEP) is essential for this process and also regulates viral RNA synthesis, implicating a direct interaction with the viral RNA polymerase. Here, we present a 2.5-Å cryogenic electron microscopy structure of NEP bound to the IAV polymerase and demonstrate that NEP alone is sufficient to promote vRNP export, with the viral matrix protein 1 enhancing export efficiency. NEP forms a four-helix bundle that binds at the interface of the PA C-terminal domain and PB1 N terminus of the polymerase. The NEP binding site at this interface overlaps with those for the host ANP32 and the C-terminal domain of RNA polymerase II, indicating that it functions as a regulatory hotspot coordinating transitions of the viral polymerase between RNA synthesis and nuclear export, revealing a critical layer of control in the IAV replication cycle.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美国本土 PM 2.5 成分导致的心血管死亡率存在空间和种族/民族差异</w:t>
      </w:r>
    </w:p>
    <w:p>
      <w:r>
        <w:rPr>
          <w:rFonts w:ascii="Times New Roman" w:hAnsi="Times New Roman" w:eastAsia="宋体"/>
          <w:b/>
          <w:color w:val="003264"/>
          <w:sz w:val="24"/>
        </w:rPr>
        <w:t>Spatial and racial/ethnic disparities in cardiovascular mortality attributable to PM 2.5 components in the contiguous United States</w:t>
      </w:r>
    </w:p>
    <w:p>
      <w:r>
        <w:rPr>
          <w:rFonts w:ascii="Times New Roman" w:hAnsi="Times New Roman" w:eastAsia="宋体"/>
          <w:sz w:val="21"/>
        </w:rPr>
        <w:t>作者: Ying Hu, Lingzhi Chu, Stefano Renzetti, Emma Zang, Ijeoma Opara, Yuan Lu, Erica S. Spatz, Harlan M. Krumholz, Kai Chen</w:t>
        <w:br/>
      </w:r>
      <w:r>
        <w:rPr>
          <w:rFonts w:ascii="Times New Roman" w:hAnsi="Times New Roman" w:eastAsia="宋体"/>
          <w:sz w:val="21"/>
        </w:rPr>
        <w:t xml:space="preserve">时间: 2026-01-30 | </w:t>
      </w:r>
      <w:r>
        <w:t xml:space="preserve">链接: </w:t>
      </w:r>
      <w:hyperlink r:id="rId166">
        <w:r>
          <w:rPr>
            <w:rFonts w:ascii="Times New Roman" w:hAnsi="Times New Roman" w:eastAsia="宋体"/>
            <w:color w:val="0000FF"/>
            <w:sz w:val="21"/>
            <w:u w:val="single"/>
          </w:rPr>
          <w:t>https://doi.org/10.1126/sciadv.adx2075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长期接触细颗粒物 (PM 2.5 ) 是心血管疾病 (CVD) 死亡的一个公认的危险因素，但其组成部分的贡献仍不清楚，特别是在不同地理区域和种族/族裔群体中。我们通过合并双向固定效应 (gWQS-feglm) 扩展了广义加权分位数和回归模型，以量化美国本土 PM 2.5 成分可归因的 CVD 死亡。由于铵 (NH 4 + ) 和硫酸盐 (SO 4 2− ) 减少，PM 2.5 成分导致的 CVD 死亡人数从 2001 年的 42,200 人 (28,200,57,600 人) 下降到 2020 年的 23,500 人 (15,700,32,100 人)。 2020 年，高死亡率地区依然存在，PM 2.5 成分的区域差异也很明显，加利福尼亚州和中东北部以 NH 4 + 为主，南部以 SO 4 2− 为主，大西洋中部以黑碳和 SO 4 2− 为主。种族/民族差异依然存在，与非西班牙裔白人相比，非西班牙裔黑人和西班牙裔的归因死亡率下降速度较慢。我们的研究结果强调了基于组成部分的有针对性的干预措施的重要性，以解决 PM 2.5 归因负担的差异。</w:t>
      </w:r>
    </w:p>
    <w:p>
      <w:pPr>
        <w:spacing w:before="120"/>
      </w:pPr>
      <w:r>
        <w:rPr>
          <w:rFonts w:ascii="Times New Roman" w:hAnsi="Times New Roman" w:eastAsia="宋体"/>
          <w:b/>
          <w:sz w:val="21"/>
        </w:rPr>
        <w:t>English Abstract:</w:t>
      </w:r>
    </w:p>
    <w:p>
      <w:r>
        <w:rPr>
          <w:rFonts w:ascii="Times New Roman" w:hAnsi="Times New Roman" w:eastAsia="宋体"/>
          <w:sz w:val="21"/>
        </w:rPr>
        <w:t>Long-term exposure to fine particulate matter (PM 2.5 ) is a well-established risk factor for cardiovascular disease (CVD) mortality, yet the contributions of its components remain unclear, particularly across geographic regions and racial/ethnic groups. We extended the generalized weighted quantile sum regression model by incorporating two-way fixed effects (gWQS-feglm) to quantify PM 2.5 component–attributable CVD deaths across the contiguous United States. PM 2.5 component–attributable CVD deaths declined from 42,200 (28,200,57,600) in 2001 to 23,500 (15,700,32,100) in 2020, driven by ammonium (NH 4 + ) and sulfate (SO 4 2− ) reductions. In 2020, high-attributable-mortality regions remained and regional disparities in PM 2.5 composition pronounced, with NH 4 + dominant in California and the East North Central, SO 4 2− in the South, and black carbon and SO 4 2− in the Middle Atlantic. Racial/ethnic disparities persisted, with non-Hispanic Blacks and Hispanics experiencing slower attributable-mortality declines compared with non-Hispanic whites. Our findings highlight the importance of targeted interventions based on components to address disparities in PM 2.5 -attributable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α-突触核蛋白表达是体细胞树突多巴胺释放和早期基因诱导所必需的</w:t>
      </w:r>
    </w:p>
    <w:p>
      <w:r>
        <w:rPr>
          <w:rFonts w:ascii="Times New Roman" w:hAnsi="Times New Roman" w:eastAsia="宋体"/>
          <w:b/>
          <w:color w:val="003264"/>
          <w:sz w:val="24"/>
        </w:rPr>
        <w:t>α-Synuclein expression is required for somatodendritic dopamine release and immediate early gene induction</w:t>
      </w:r>
    </w:p>
    <w:p>
      <w:r>
        <w:rPr>
          <w:rFonts w:ascii="Times New Roman" w:hAnsi="Times New Roman" w:eastAsia="宋体"/>
          <w:sz w:val="21"/>
        </w:rPr>
        <w:t>作者: Se Joon Choi, Anika Frank, Manu Ben-Johny, Guomei Tang, Jonas Bendig, Stavros Fanourakis, Benjamin D. Hobson, Nagendran Ramalingam, Ulf Dettmer, Ellen Kanter, David Sulzer, Eugene V. Mosharov</w:t>
        <w:br/>
      </w:r>
      <w:r>
        <w:rPr>
          <w:rFonts w:ascii="Times New Roman" w:hAnsi="Times New Roman" w:eastAsia="宋体"/>
          <w:sz w:val="21"/>
        </w:rPr>
        <w:t xml:space="preserve">时间: 2026-01-30 | </w:t>
      </w:r>
      <w:r>
        <w:t xml:space="preserve">链接: </w:t>
      </w:r>
      <w:hyperlink r:id="rId167">
        <w:r>
          <w:rPr>
            <w:rFonts w:ascii="Times New Roman" w:hAnsi="Times New Roman" w:eastAsia="宋体"/>
            <w:color w:val="0000FF"/>
            <w:sz w:val="21"/>
            <w:u w:val="single"/>
          </w:rPr>
          <w:t>https://doi.org/10.1126/sciadv.ady6978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α-突触核蛋白 (αSyn) 是一种生理功能尚未确定的突触前蛋白，在帕金森病神经病理学中发挥着核心作用。迄今为止，αSyn 表达对轴突突触小泡胞吐作用和膜循环动力学的影响相对较小。相比之下，我们报告 αSyn 是黑质体树突多巴胺释放的主要调节剂，这是一种知之甚少的神经传递形式，是感觉运动和基底神经节回路的核心。这种调节是由于 αSyn 在控制 L 型钙离子通道 (LTCC) 活性方面​​的先前未知作用所致，LTCC 也与帕金森病的发病机制有关。 αSyn 缺陷的神经元进一步表现出尖峰频率适应能力下降、海马 LTCC 依赖性长期增强以及立即早期基因诱导，这些功能对于突触适应和神经元可塑性至关重要。</w:t>
      </w:r>
    </w:p>
    <w:p>
      <w:pPr>
        <w:spacing w:before="120"/>
      </w:pPr>
      <w:r>
        <w:rPr>
          <w:rFonts w:ascii="Times New Roman" w:hAnsi="Times New Roman" w:eastAsia="宋体"/>
          <w:b/>
          <w:sz w:val="21"/>
        </w:rPr>
        <w:t>English Abstract:</w:t>
      </w:r>
    </w:p>
    <w:p>
      <w:r>
        <w:rPr>
          <w:rFonts w:ascii="Times New Roman" w:hAnsi="Times New Roman" w:eastAsia="宋体"/>
          <w:sz w:val="21"/>
        </w:rPr>
        <w:t>α-Synuclein (αSyn) is a presynaptic protein of unestablished physiological function that plays a central role in Parkinson’s disease neuropathology. To date, the reported effects of αSyn expression on the kinetics of axonal synaptic vesicle exocytosis and membrane cycling have been relatively small. In contrast, we report that αSyn is the major modulator of substantia nigra somatodendritic dopamine release, a little-understood form of neurotransmission that is central to sensorimotor and basal ganglia circuitry. This regulation is due to a previously unknown role for αSyn in controlling the activity of the L-type calcium ion channels (LTCC), which are also implicated in Parkinson’s pathogenesis. αSyn-deficient neurons further display decreased spike frequency adaptation, hippocampal LTCC-dependent long-term potentiation, and immediate early gene induction, functions that are essential for synaptic adaptation and neuronal plasticity.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Set2与FACT协调转录偶联H3K36三甲基化的结构基础</w:t>
      </w:r>
    </w:p>
    <w:p>
      <w:r>
        <w:rPr>
          <w:rFonts w:ascii="Times New Roman" w:hAnsi="Times New Roman" w:eastAsia="宋体"/>
          <w:b/>
          <w:color w:val="003264"/>
          <w:sz w:val="24"/>
        </w:rPr>
        <w:t>Structural basis of transcription-coupled H3K36 trimethylation by Set2 in coordination with FACT</w:t>
      </w:r>
    </w:p>
    <w:p>
      <w:r>
        <w:rPr>
          <w:rFonts w:ascii="Times New Roman" w:hAnsi="Times New Roman" w:eastAsia="宋体"/>
          <w:sz w:val="21"/>
        </w:rPr>
        <w:t>作者: Tomoya Kujirai, Haruhiko Ehara, Tomoko Ito, Masami Henmi, Eriko Oya, Takehiko Kobayashi, Shun-ichi Sekine, Hitoshi Kurumizaka</w:t>
        <w:br/>
      </w:r>
      <w:r>
        <w:rPr>
          <w:rFonts w:ascii="Times New Roman" w:hAnsi="Times New Roman" w:eastAsia="宋体"/>
          <w:sz w:val="21"/>
        </w:rPr>
        <w:t xml:space="preserve">时间: 2026-01-30 | </w:t>
      </w:r>
      <w:r>
        <w:t xml:space="preserve">链接: </w:t>
      </w:r>
      <w:hyperlink r:id="rId168">
        <w:r>
          <w:rPr>
            <w:rFonts w:ascii="Times New Roman" w:hAnsi="Times New Roman" w:eastAsia="宋体"/>
            <w:color w:val="0000FF"/>
            <w:sz w:val="21"/>
            <w:u w:val="single"/>
          </w:rPr>
          <w:t>https://doi.org/10.1126/sciadv.aed1952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 H3K36 残基 (H3K36me3) 的三甲基化通过抑制染色质中不需要的隐性转录，在确保转录保真度方面发挥着不可或缺的作用。 H3K36me3 修饰是在 RNA 聚合酶 II 延伸复合物 (EC) 转录延伸过程中由 Set2/SETD2 完成的。在这里，我们发现 Set2 介导的 H3K36me3 沉积发生在 EC 后面的核小体重新组装上。组蛋白伴侣 FACT 抑制 H3K36me3 在下游核小体上的沉积，从而确保 Set2 专门针对重组上游核小体。与 Set2 复合的核小体转录 EC 的冷冻电镜结构显示，Set2 由 EC 的 Spt6 亚基锚定，在核小体重组过程中逐步捕获两个 H3 N 末端尾部。 Set2-EC 相互作用的废除会导致转录偶联 H3K36me3 沉积缺陷。这些见解阐明了转录偶联 H3K36me3 在染色质中沉积的基于结构的机制。</w:t>
      </w:r>
    </w:p>
    <w:p>
      <w:pPr>
        <w:spacing w:before="120"/>
      </w:pPr>
      <w:r>
        <w:rPr>
          <w:rFonts w:ascii="Times New Roman" w:hAnsi="Times New Roman" w:eastAsia="宋体"/>
          <w:b/>
          <w:sz w:val="21"/>
        </w:rPr>
        <w:t>English Abstract:</w:t>
      </w:r>
    </w:p>
    <w:p>
      <w:r>
        <w:rPr>
          <w:rFonts w:ascii="Times New Roman" w:hAnsi="Times New Roman" w:eastAsia="宋体"/>
          <w:sz w:val="21"/>
        </w:rPr>
        <w:t>Trimethylation of the histone H3K36 residue (H3K36me3) plays an indispensable role in ensuring transcription fidelity by suppressing undesired cryptic transcription in chromatin. H3K36me3 modification is accomplished by Set2/SETD2 during transcription elongation by the RNA polymerase II elongation complex (EC). Here, we found that Set2-mediated H3K36me3 deposition occurs on the nucleosome reassembling behind the EC. The histone chaperone FACT suppresses H3K36me3 deposition on the downstream nucleosome, thereby ensuring that Set2 targets specifically on the reassembling upstream nucleosome. Cryo–electron microscopy structures of the nucleosome-transcribing EC complexed with Set2 revealed that Set2 is anchored by the Spt6 subunit of the EC to capture both of the H3 N-terminal tails in a stepwise manner during the nucleosome reassembly process. Abrogation of the Set2-EC interaction leads to defective transcription-coupled H3K36me3 deposition. These insights elucidate the structure-based mechanism of transcription-coupled H3K36me3 deposition in chromatin.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从光到声音：在健康和疾病中看到和听到胎盘</w:t>
      </w:r>
    </w:p>
    <w:p>
      <w:r>
        <w:rPr>
          <w:rFonts w:ascii="Times New Roman" w:hAnsi="Times New Roman" w:eastAsia="宋体"/>
          <w:b/>
          <w:color w:val="003264"/>
          <w:sz w:val="24"/>
        </w:rPr>
        <w:t>From light to sound: Seeing and hearing the placenta in health and disease</w:t>
      </w:r>
    </w:p>
    <w:p>
      <w:r>
        <w:rPr>
          <w:rFonts w:ascii="Times New Roman" w:hAnsi="Times New Roman" w:eastAsia="宋体"/>
          <w:sz w:val="21"/>
        </w:rPr>
        <w:t>作者: Donghyun Lee, Jiwoong Kim, Jinseok Heo, Hyunseo Jeon, Shiyang Chang, Wonseok Choi, Chulhong Kim, Zhifen Yang</w:t>
        <w:br/>
      </w:r>
      <w:r>
        <w:rPr>
          <w:rFonts w:ascii="Times New Roman" w:hAnsi="Times New Roman" w:eastAsia="宋体"/>
          <w:sz w:val="21"/>
        </w:rPr>
        <w:t xml:space="preserve">时间: 2026-01-30 | </w:t>
      </w:r>
      <w:r>
        <w:t xml:space="preserve">链接: </w:t>
      </w:r>
      <w:hyperlink r:id="rId169">
        <w:r>
          <w:rPr>
            <w:rFonts w:ascii="Times New Roman" w:hAnsi="Times New Roman" w:eastAsia="宋体"/>
            <w:color w:val="0000FF"/>
            <w:sz w:val="21"/>
            <w:u w:val="single"/>
          </w:rPr>
          <w:t>https://doi.org/10.1126/sciadv.aed2184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胎盘是妊娠特有的器官，充当母胎界面并介导交换、保护和内分泌调节等重要过程。胎盘异常影响主要围产期疾病的病理生理学、发病、进展和预后，因此能够检测和监测这些疾病的成像方式至关重要。超声 (US) 成像是胎盘成像的主要方式，通过 B 模式提供结构评估，通过多普勒模式提供血流评估。此外，3D 能量多普勒、定量超声和剪切波弹性成像等先进技术扩展了胎盘超声成像的能力。光声 (PA) 成像能够以高空间分辨率观察内源性发色团（例如血红蛋白）的光学特性，并测量血氧饱和度（胎盘功能障碍的关键因素），为胎盘成像提供了巨大的价值。在这篇综述中，我们介绍了用于胎盘成像的 US/PA 成像技术，包括临床前和临床研究。此外，通过考虑当前的局限性和潜在的解决方案，我们提出了 US/PA 成像在该领域的未来发展轨迹。</w:t>
      </w:r>
    </w:p>
    <w:p>
      <w:pPr>
        <w:spacing w:before="120"/>
      </w:pPr>
      <w:r>
        <w:rPr>
          <w:rFonts w:ascii="Times New Roman" w:hAnsi="Times New Roman" w:eastAsia="宋体"/>
          <w:b/>
          <w:sz w:val="21"/>
        </w:rPr>
        <w:t>English Abstract:</w:t>
      </w:r>
    </w:p>
    <w:p>
      <w:r>
        <w:rPr>
          <w:rFonts w:ascii="Times New Roman" w:hAnsi="Times New Roman" w:eastAsia="宋体"/>
          <w:sz w:val="21"/>
        </w:rPr>
        <w:t>The placenta is a pregnancy-specific organ, functioning as the maternal-fetal interface and mediating essential processes including exchange, protection, and endocrine regulation. Placental abnormalities contribute to the pathophysiology, onset, progression, and prognosis of major perinatal disorders, making imaging modalities that enable their detection and monitoring crucial. Ultrasound (US) imaging is the principal modality for placental imaging, providing structural assessment with B-mode and blood flow evaluation with Doppler mode. Furthermore, advanced techniques such as 3D power Doppler, quantitative US, and shear-wave elastography expand the capabilities of placental US imaging. Photoacoustic (PA) imaging enables observation of the optical properties of endogenous chromophores (e.g., hemoglobin) with high spatial resolution and measures blood oxygenation, a key factor in placental dysfunction, offering substantial value for placental imaging. In this review, we cover US/PA imaging techniques for placental imaging, including preclinical and clinical studies. In addition, by considering current limitations and potential solutions, we suggest future trajectories for the advancement of US/PA imaging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外排泵通过限制细菌中的重新结合来控制细胞内药物靶标动力学</w:t>
      </w:r>
    </w:p>
    <w:p>
      <w:r>
        <w:rPr>
          <w:rFonts w:ascii="Times New Roman" w:hAnsi="Times New Roman" w:eastAsia="宋体"/>
          <w:b/>
          <w:color w:val="003264"/>
          <w:sz w:val="24"/>
        </w:rPr>
        <w:t>Efflux pumps control intracellular drug-target kinetics by limiting rebinding in bacteria</w:t>
      </w:r>
    </w:p>
    <w:p>
      <w:r>
        <w:rPr>
          <w:rFonts w:ascii="Times New Roman" w:hAnsi="Times New Roman" w:eastAsia="宋体"/>
          <w:sz w:val="21"/>
        </w:rPr>
        <w:t>作者: Subrata Dev, Keiran Stevenson, Dai Le, Minsu Kim</w:t>
        <w:br/>
      </w:r>
      <w:r>
        <w:rPr>
          <w:rFonts w:ascii="Times New Roman" w:hAnsi="Times New Roman" w:eastAsia="宋体"/>
          <w:sz w:val="21"/>
        </w:rPr>
        <w:t xml:space="preserve">时间: 2026-01-30 | </w:t>
      </w:r>
      <w:r>
        <w:t xml:space="preserve">链接: </w:t>
      </w:r>
      <w:hyperlink r:id="rId170">
        <w:r>
          <w:rPr>
            <w:rFonts w:ascii="Times New Roman" w:hAnsi="Times New Roman" w:eastAsia="宋体"/>
            <w:color w:val="0000FF"/>
            <w:sz w:val="21"/>
            <w:u w:val="single"/>
          </w:rPr>
          <w:t>https://doi.org/10.1126/sciadv.aea7983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细菌外排泵是多重耐药性的主要原因，通常被描述为减少药物进入的“看门人”。在这里，我们揭示了外排泵的进入后机制，揭示了它们在细胞内药物-靶标相互作用的深层功能。通过定量活细胞成像，我们使用 DNA 结合抑制剂 Hoechst 33342 (HCT) 监测了大肠杆菌和铜绿假单胞菌中主要外排系统的活性。我们发现，外排的失活（大肠杆菌中的 Δ tolC 和铜绿假单胞菌中的 Δ6）增加了表观 HCT-DNA 亲和力，这是由表观解结合率降低介导的，而内在速率保持不变。统计物理模型和实验测试表明，与在稀释的体外条件下不同，在细胞内环境中与其靶标解除结合的药物分子会经历连续的重新结合，从而延长了与靶标结合的药物的总寿命。然而，外排泵通过抑制重新结合来抵消这种效应，从而在动力学上破坏药物-靶点相互作用的稳定性。这种生物物理机制与典型的守门效应相乘，以扩大和放大耐药性。</w:t>
      </w:r>
    </w:p>
    <w:p>
      <w:pPr>
        <w:spacing w:before="120"/>
      </w:pPr>
      <w:r>
        <w:rPr>
          <w:rFonts w:ascii="Times New Roman" w:hAnsi="Times New Roman" w:eastAsia="宋体"/>
          <w:b/>
          <w:sz w:val="21"/>
        </w:rPr>
        <w:t>English Abstract:</w:t>
      </w:r>
    </w:p>
    <w:p>
      <w:r>
        <w:rPr>
          <w:rFonts w:ascii="Times New Roman" w:hAnsi="Times New Roman" w:eastAsia="宋体"/>
          <w:sz w:val="21"/>
        </w:rPr>
        <w:t>Bacterial efflux pumps are major contributors to multidrug resistance, classically described as “gatekeepers” that reduce drug entry. Here, we uncover a post–entry mechanism of efflux pumps, revealing their function deep into intracellular drug-target interactions. Using quantitative live-cell imaging, we monitored the activity of major efflux systems in Escherichia coli and Pseudomonas aeruginosa with Hoechst 33342 (HCT), a DNA binding inhibitor. We found that inactivation of efflux (Δ tolC in E. coli and Δ6 in P. aeruginosa ) increased the apparent HCT-DNA affinity, mediated by a decreased apparent unbinding rate, whereas the intrinsic rate remained unchanged. Statistical physics modeling and experimental testing show that, unlike under dilute in vitro conditions, drug molecules that unbind from their targets in intracellular environments undergo successive rebinding, prolonging the total lifetime of the drug bound to the target. However, efflux pumps counteract this effect by suppressing rebinding, thereby kinetically destabilizing drug-target interactions. This biophysical mechanism acts multiplicatively with the canonical gatekeeping effect to broaden and amplify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AI集成类肤可穿戴“眼电子”一站式斜视数字化诊断</w:t>
      </w:r>
    </w:p>
    <w:p>
      <w:r>
        <w:rPr>
          <w:rFonts w:ascii="Times New Roman" w:hAnsi="Times New Roman" w:eastAsia="宋体"/>
          <w:b/>
          <w:color w:val="003264"/>
          <w:sz w:val="24"/>
        </w:rPr>
        <w:t>One-stop strabismus digital diagnosis via AI-integrated skin-like and wearable “Eyelectronics”</w:t>
      </w:r>
    </w:p>
    <w:p>
      <w:r>
        <w:rPr>
          <w:rFonts w:ascii="Times New Roman" w:hAnsi="Times New Roman" w:eastAsia="宋体"/>
          <w:sz w:val="21"/>
        </w:rPr>
        <w:t>作者: Yong Yang, Xin Liu, Jiankai Tang, Hengyi Guo, Jinsong Zhang, Yuntao Wang, Yonghong Jiao, Yihao Chen, Xue Feng</w:t>
        <w:br/>
      </w:r>
      <w:r>
        <w:rPr>
          <w:rFonts w:ascii="Times New Roman" w:hAnsi="Times New Roman" w:eastAsia="宋体"/>
          <w:sz w:val="21"/>
        </w:rPr>
        <w:t xml:space="preserve">时间: 2026-01-30 | </w:t>
      </w:r>
      <w:r>
        <w:t xml:space="preserve">链接: </w:t>
      </w:r>
      <w:hyperlink r:id="rId171">
        <w:r>
          <w:rPr>
            <w:rFonts w:ascii="Times New Roman" w:hAnsi="Times New Roman" w:eastAsia="宋体"/>
            <w:color w:val="0000FF"/>
            <w:sz w:val="21"/>
            <w:u w:val="single"/>
          </w:rPr>
          <w:t>https://doi.org/10.1126/sciadv.aeb7242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斜视影响约 4% 的儿童，损害视力和心理健康。但临床诊断需要多种仪器，逐步检查眼位、眼外肌功能、偏角等。它受到诊断客观性低、儿科依从性差和成本高的限制。在这里，我们提出了一种通过人工智能（AI）进行一站式斜视数字诊断的策略——集成的、类皮肤的、可穿戴的“电子电子设备”。这款超轻、难以察觉的眼戴系统具有超薄（厚度约 60 微米）、透气、多向（0°/45°/90°）应变传感阵列，可保形地适应敏感的眼睑。它可以在眼球运动过程中对眼睑变形进行无线、轻度限​​制的测量。通过经眼部磁共振成像模拟验证的生物力学模型，我们建立了眼睑变形和眼球运动之间的先验相关性。 Ey electronics 由我们的生理学知识驱动的端到端 AI 算法提供支持，实现了斜视角度的同步测量和麻痹肌肉的识别。它在眼球运动检查中提供 96.6% 的四向分类准确率和 1.2° 的测量准确度。针对临床标准（Hess 筛选测试）的临床基准测试证实了诊断一致性（组内相关性 = 0.978）。该系统将定量生物力学传感与数字诊断联系起来，为未来斜视治疗树立了典范。</w:t>
      </w:r>
    </w:p>
    <w:p>
      <w:pPr>
        <w:spacing w:before="120"/>
      </w:pPr>
      <w:r>
        <w:rPr>
          <w:rFonts w:ascii="Times New Roman" w:hAnsi="Times New Roman" w:eastAsia="宋体"/>
          <w:b/>
          <w:sz w:val="21"/>
        </w:rPr>
        <w:t>English Abstract:</w:t>
      </w:r>
    </w:p>
    <w:p>
      <w:r>
        <w:rPr>
          <w:rFonts w:ascii="Times New Roman" w:hAnsi="Times New Roman" w:eastAsia="宋体"/>
          <w:sz w:val="21"/>
        </w:rPr>
        <w:t>Strabismus, affecting ~4% of children, impairs vision and psychosocial health. However, clinical diagnosis requires multiple instruments and stepwise examinations of ocular alignment, extraocular muscle function, and deviation angle. It is limited by low diagnostic objectivity, poor pediatric compliance, and high cost. Here, we propose a strategy for one-stop strabismus digital diagnosis via artificial intelligence (AI)–integrated, skin-like, and wearable “Eyelectronics.” The ultralightweight, imperceptible eye-wearable system features an ultrathin (~60 micrometers in thickness), breathable, and multidirectional (0°/45°/90°) strain-sensing array conformally adapted to the sensitive eyelid. It enables wireless, mild-restricted measurement of eyelid deformation during eye movements. Through biomechanical modeling validated by ocular magnetic resonance imaging simulations, we establish a prior correlation between eyelid deformation and eye movements. The Eyelectronics, powered by our physiology knowledge-driven end-to-end AI algorithm, achieves simultaneous measurement of strabismus angle and identification of paretic muscle. It delivers a 96.6% four-direction classification accuracy and a 1.2° measurement accuracy in ocular motility examinations. Clinical benchmarking against the clinical standard (Hess screen test) confirmed diagnostic agreement (intraclass correlation = 0.978). This system bridges quantitative biomechanical sensing with digital diagnosis, promoting a paradigm for future strabismus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单粒子表面增强相干反斯托克斯拉曼散射：纳米粒子设计和机制</w:t>
      </w:r>
    </w:p>
    <w:p>
      <w:r>
        <w:rPr>
          <w:rFonts w:ascii="Times New Roman" w:hAnsi="Times New Roman" w:eastAsia="宋体"/>
          <w:b/>
          <w:color w:val="003264"/>
          <w:sz w:val="24"/>
        </w:rPr>
        <w:t>Single-particle surface-enhanced coherent anti–Stokes Raman scattering: Nanoparticle design and mechanism</w:t>
      </w:r>
    </w:p>
    <w:p>
      <w:r>
        <w:rPr>
          <w:rFonts w:ascii="Times New Roman" w:hAnsi="Times New Roman" w:eastAsia="宋体"/>
          <w:sz w:val="21"/>
        </w:rPr>
        <w:t>作者: Sanjun Fan, Ran Cheng, Haonan Lin, Zhewen Luo, Abigail E. Smith, Chih-Feng Wang, Jinna He, Brian T. Scarpitti, Deben N. Shoup, Hannah C. Schorr, Erjun Liang, Jian Ye, Ji-Xin Cheng, Zachary D. Schultz</w:t>
        <w:br/>
      </w:r>
      <w:r>
        <w:rPr>
          <w:rFonts w:ascii="Times New Roman" w:hAnsi="Times New Roman" w:eastAsia="宋体"/>
          <w:sz w:val="21"/>
        </w:rPr>
        <w:t xml:space="preserve">时间: 2026-01-30 | </w:t>
      </w:r>
      <w:r>
        <w:t xml:space="preserve">链接: </w:t>
      </w:r>
      <w:hyperlink r:id="rId172">
        <w:r>
          <w:rPr>
            <w:rFonts w:ascii="Times New Roman" w:hAnsi="Times New Roman" w:eastAsia="宋体"/>
            <w:color w:val="0000FF"/>
            <w:sz w:val="21"/>
            <w:u w:val="single"/>
          </w:rPr>
          <w:t>https://doi.org/10.1126/sciadv.ady0545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表面增强相干反斯托克斯拉曼散射（SECARS）被认为通过结合局域表面等离子体共振和相干拉曼增强来增加信号强度和灵敏度。然而，SECARS 的实现比表面增强拉曼散射 (SERS) 更复杂，并且仍然具有挑战性。与 SERS 不同，非线性 CARS 过程需要三个不同场的相干相互作用。单粒子 SECARS 的电场和纳米粒子 (NP) 形态之间的相互作用仍未被探索，并且产生 SECARS 信号的潜在机制尚未完全了解。在这里，使用 CARS 显微镜合成并筛选了 27 种不同的纳米颗粒。其中，只有星核核卫星纳米颗粒表现出单颗粒SECARS信号，该信号受到激光偏振、双光子发光背景、光致热效应、颗粒尺寸和颗粒形貌的影响。纳米颗粒特性对 SECARS 增强的影响为单颗粒 SECARS 纳米颗粒的设计和合成提供了指导，并为生物成像和化学传感提供了机会。</w:t>
      </w:r>
    </w:p>
    <w:p>
      <w:pPr>
        <w:spacing w:before="120"/>
      </w:pPr>
      <w:r>
        <w:rPr>
          <w:rFonts w:ascii="Times New Roman" w:hAnsi="Times New Roman" w:eastAsia="宋体"/>
          <w:b/>
          <w:sz w:val="21"/>
        </w:rPr>
        <w:t>English Abstract:</w:t>
      </w:r>
    </w:p>
    <w:p>
      <w:r>
        <w:rPr>
          <w:rFonts w:ascii="Times New Roman" w:hAnsi="Times New Roman" w:eastAsia="宋体"/>
          <w:sz w:val="21"/>
        </w:rPr>
        <w:t>Surface-enhanced coherent anti–Stokes Raman scattering (SECARS) is believed to increase the signal intensity and sensitivity by combining the localized surface plasmon resonance and coherent Raman enhancement. However, the realization of SECARS is more complex than for surface-enhanced Raman scattering (SERS) and remains challenging. Unlike SERS, the nonlinear CARS process requires the coherent interaction of three distinct fields. The interactions between the electric fields and nanoparticle (NP) morphology for single-particle SECARS remain unexplored, and the underlying mechanisms generating the SECARS signal are not fully understood. Here, 27 distinct NPs were synthesized and screened using a CARS microscope. Among them, only star-core core-satellite NPs show single-particle SECARS signals, which were affected by laser polarization, two-photon luminescence background, photoinduced heating effects, particle size, and particle morphology. The influence of NP properties on SECARS enhancement offers guidance for the design and synthesis of NPs for single-particle SECARS and opportunities in biological imaging and chemical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穿过混沌的导波：目标模式传输的通用界限</w:t>
      </w:r>
    </w:p>
    <w:p>
      <w:r>
        <w:rPr>
          <w:rFonts w:ascii="Times New Roman" w:hAnsi="Times New Roman" w:eastAsia="宋体"/>
          <w:b/>
          <w:color w:val="003264"/>
          <w:sz w:val="24"/>
        </w:rPr>
        <w:t>Guiding waves through chaos: Universal bounds for targeted mode transport</w:t>
      </w:r>
    </w:p>
    <w:p>
      <w:r>
        <w:rPr>
          <w:rFonts w:ascii="Times New Roman" w:hAnsi="Times New Roman" w:eastAsia="宋体"/>
          <w:sz w:val="21"/>
        </w:rPr>
        <w:t>作者: Cheng-Zhen Wang, John Guillamon, Ulrich Kuhl, Matthieu Davy, Mattis Reisner, Arthur Goetschy, Tsampikos Kottos</w:t>
        <w:br/>
      </w:r>
      <w:r>
        <w:rPr>
          <w:rFonts w:ascii="Times New Roman" w:hAnsi="Times New Roman" w:eastAsia="宋体"/>
          <w:sz w:val="21"/>
        </w:rPr>
        <w:t xml:space="preserve">时间: 2026-01-30 | </w:t>
      </w:r>
      <w:r>
        <w:t xml:space="preserve">链接: </w:t>
      </w:r>
      <w:hyperlink r:id="rId173">
        <w:r>
          <w:rPr>
            <w:rFonts w:ascii="Times New Roman" w:hAnsi="Times New Roman" w:eastAsia="宋体"/>
            <w:color w:val="0000FF"/>
            <w:sz w:val="21"/>
            <w:u w:val="single"/>
          </w:rPr>
          <w:t>https://doi.org/10.1126/sciadv.aeb1158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复杂环境中的波传播是无线通信、成像和声学领域的一个核心挑战，其中多重散射和干扰掩盖了直接传输路径。相干波前整形可以实现精确的能量传输，但通常需要对介质有充分的了解。在这里，我们引入了一种针对目标模式传输（TMT）的通用统计框架，该框架规避了这一限制，并在包括微波网络、二维混沌腔和三维混响室在内的各种平台上对其进行了验证。 TMT 量化了多模波混沌系统中指定输入和输出通道之间能量传输的效率。我们开发了一种图解理论，可以预测 TMT 算子的特征值分布，并识别控制性能的宏观参数（耦合强度、吸收和通道控制）。该理论为最佳 TMT 波前提供了明确的界限，并捕获了统计传输间隙和无反射状态等现象。这些发现确立了复杂环境中能量传输和信息传输的设计原则，对自适应信号处理和基于波的技术具有广泛的影响。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Controlling wave propagation in complex environments is a central challenge across wireless communications, imaging, and acoustics, where multiple scattering and interference obscure direct transmission paths. Coherent wavefront shaping enables precise energy delivery but typically requires full knowledge of the medium. Here, we introduce a universal statistical framework for targeted mode transport (TMT) that circumvents this limitation and validate it on various platforms including microwave networks, two-dimensional chaotic cavities, and three-dimensional reverberation chambers. TMT quantifies the efficiency of transferring energy between specified input and output channels in multimode wave-chaotic systems. We develop a diagrammatic theory that predicts the eigenvalue distribution of the TMT operator and identifies the macroscopic parameters—coupling strength, absorption, and channel control—that govern performance. The theory provides explicit bounds for optimal TMT wavefronts and captures phenomena like statistical transmission gaps and reflectionless states. These findings establish design principles for energy delivery and information transfer in complex environments, with broad implications for adaptive signal processing and wave-based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原位锚定 MXene 上的 2D 六角形 Zn-MOF 以实现坚固的无阳极 5 V 级锂金属电池</w:t>
      </w:r>
    </w:p>
    <w:p>
      <w:r>
        <w:rPr>
          <w:rFonts w:ascii="Times New Roman" w:hAnsi="Times New Roman" w:eastAsia="宋体"/>
          <w:b/>
          <w:color w:val="003264"/>
          <w:sz w:val="24"/>
        </w:rPr>
        <w:t>In situ anchoring 2D hexagonal Zn-MOF on MXene toward robust anode-less 5 V–class Li metal batteries</w:t>
      </w:r>
    </w:p>
    <w:p>
      <w:r>
        <w:rPr>
          <w:rFonts w:ascii="Times New Roman" w:hAnsi="Times New Roman" w:eastAsia="宋体"/>
          <w:sz w:val="21"/>
        </w:rPr>
        <w:t>作者: Yuan Tian, Zhihao Pei, Deyan Luan, Xiong Wen (David) Lou</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https://doi.org/10.1126/sciadv.aeb1378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无阳极 5 V 级锂金属电池 (LMB) 有望实现高能量密度和安全性，但在实践中，面临着严峻的挑战，包括枝晶生长、界面不稳定、与“死”锂积累相关的粉化，以及使用重铜集流体导致的能量密度妥协。在这里，我们展示了锚定在导电碳化钛 (Ti 3 C 2 T x ) MXene 片 (MX/2D-Zn-MOF) 上的二维六方含锌金属有机框架的精心设计，作为无阳极 5 V 级 LMB 的三维轻质主体。丰富的氮/氟/富锌亲锂位点有效降低锂成核能垒，确保均匀的锂沉积，并稳定固体电解质界面。互连的三维框架通过空间均匀化锂离子通量和降低局部电流密度进一步引导均匀的锂沉积，并提供足够的空间来减轻结构变化，从而提供结构完整性以防止粉化。因此，MX/2D-Zn-MOF主体表现出均匀的锂沉积、可逆的锂沉积和剥离行为以及稳定的循环性能（在1.0毫安/平方厘米和5.0毫安/平方厘米时约1800小时）。令人印象深刻的是，组装好的无阳极 5 V 级锂金属软包电池具有稳定的循环性能和高能量密度。</w:t>
      </w:r>
    </w:p>
    <w:p>
      <w:pPr>
        <w:spacing w:before="120"/>
      </w:pPr>
      <w:r>
        <w:rPr>
          <w:rFonts w:ascii="Times New Roman" w:hAnsi="Times New Roman" w:eastAsia="宋体"/>
          <w:b/>
          <w:sz w:val="21"/>
        </w:rPr>
        <w:t>English Abstract:</w:t>
      </w:r>
    </w:p>
    <w:p>
      <w:r>
        <w:rPr>
          <w:rFonts w:ascii="Times New Roman" w:hAnsi="Times New Roman" w:eastAsia="宋体"/>
          <w:sz w:val="21"/>
        </w:rPr>
        <w:t>Anode-less 5 V–class lithium metal batteries (LMBs) promise high energy density and safety yet, in practice, face critical challenges including dendrite growth, interfacial instability, pulverization associated with “dead” lithium accumulation, and energy density compromise from the use of heavy copper collector. Here, we demonstrate an elaborate design of two-dimensional hexagonal zinc-containing metal-organic framework anchored on conductive titanium carbide (Ti 3 C 2 T x ) MXene sheets (MX/2D-Zn-MOF) as a three-dimensional lightweight host for anode-less 5 V–class LMBs. The abundant nitrogen/fluorine/zinc-rich lithiophilic sites effectively decrease lithium nucleation energy barriers, ensure uniform lithium deposition, and stabilize solid electrolyte interphase. The interconnected three-dimensional framework further guides uniform lithium deposition by spatially homogenizing lithium ion flux and reducing local current density as well as offers sufficient space to alleviate structural change, thus affording structural integrity against pulverization. As a result, the MX/2D-Zn-MOF host demonstrates uniform lithium deposition, reversible lithium plating and stripping behavior, and stable cycling performance (~1800 hours at 1.0 milliamperes per square centimeter and 5.0 milliampere hours per square centimeter). Impressively, the assembled anode-less 5 V–class lithium metal pouch cell delivers stable cycling performance and high energy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推进量子成像：多功能液晶实现电可调谐性</w:t>
      </w:r>
    </w:p>
    <w:p>
      <w:r>
        <w:rPr>
          <w:rFonts w:ascii="Times New Roman" w:hAnsi="Times New Roman" w:eastAsia="宋体"/>
          <w:b/>
          <w:color w:val="003264"/>
          <w:sz w:val="24"/>
        </w:rPr>
        <w:t>Advancing quantum imaging: Electrical tunability enabled by versatile liquid crystals</w:t>
      </w:r>
    </w:p>
    <w:p>
      <w:r>
        <w:rPr>
          <w:rFonts w:ascii="Times New Roman" w:hAnsi="Times New Roman" w:eastAsia="宋体"/>
          <w:sz w:val="21"/>
        </w:rPr>
        <w:t>作者: Dong Zhu, Shi-Hui Ding, Rui Sun, Zhi-Xiang Li, Wen Chen, Yi-Heng Zhang, Si-Jia Liu, Yi-Ming Wang, Fang-Tianyu Chen, Peng Chen, Yan-Qing Lu</w:t>
        <w:br/>
      </w:r>
      <w:r>
        <w:rPr>
          <w:rFonts w:ascii="Times New Roman" w:hAnsi="Times New Roman" w:eastAsia="宋体"/>
          <w:sz w:val="21"/>
        </w:rPr>
        <w:t xml:space="preserve">时间: 2026-01-30 | </w:t>
      </w:r>
      <w:r>
        <w:t xml:space="preserve">链接: </w:t>
      </w:r>
      <w:hyperlink r:id="rId175">
        <w:r>
          <w:rPr>
            <w:rFonts w:ascii="Times New Roman" w:hAnsi="Times New Roman" w:eastAsia="宋体"/>
            <w:color w:val="0000FF"/>
            <w:sz w:val="21"/>
            <w:u w:val="single"/>
          </w:rPr>
          <w:t>https://doi.org/10.1126/sciadv.adz8962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检测等光学图像处理技术在各种应用中表现出独特的优势。与预示的量子成像协同结合，它们在最小照明下识别光敏样品方面具有显着的潜力。然而，现有的方案通常缺乏动态控制量子成像功能的能力。在这里，我们引入了多功能液晶来实现单光子成像和电可调多模切换。基于双手性胆甾型液晶调制器，可以高信噪比提取目标的不同形貌信息，包括整个形状及其精细轮廓。向列液晶利用其电可调特性，探索选择预示单光子的特定偏振，从而实现三模量子成像中的动态远程切换。为了进一步提高时间效率，基于有吸引力的铁电液晶提出了超快速远程切换。这项工作为光子受限场景提供了独特的成像平台，并揭示了软物质在量子信息处理中前所未有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image processing techniques like edge detection demonstrate unique superiority in various applications. Synergistically combined with heralded quantum imaging, they have notable potential for identifying light-sensitive samples under minimal illumination. However, present schemes usually lack the capability to control the quantum imaging function dynamically. Here, we introduce versatile liquid crystals to realize heralded single-photon imaging and electrically tunable multimode switching. On the basis of the bichiral cholesteric liquid crystal modulator, different morphology information of the target can be extracted with a high signal-to-noise ratio, including the entire shape and its fine outline. The nematic liquid crystal, leveraging its electrically tunable properties, is explored to select specific polarizations of heralded single photons, enabling dynamic remote switching in trimode quantum imaging. To further improve the time efficiency, an ultrafast remote switching is presented on the basis of the appealing ferroelectric liquid crystals. This work supplies a unique imaging platform for photon-limited scenarios and reveals the unprecedented possibilities of soft matters in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用于休眠肿瘤细胞簇 MRI 检测的亲电工程磁传感器</w:t>
      </w:r>
    </w:p>
    <w:p>
      <w:r>
        <w:rPr>
          <w:rFonts w:ascii="Times New Roman" w:hAnsi="Times New Roman" w:eastAsia="宋体"/>
          <w:b/>
          <w:color w:val="003264"/>
          <w:sz w:val="24"/>
        </w:rPr>
        <w:t>An electrophilicity-engineered magnetic sensor for MRI detection of dormant tumor cell clusters</w:t>
      </w:r>
    </w:p>
    <w:p>
      <w:r>
        <w:rPr>
          <w:rFonts w:ascii="Times New Roman" w:hAnsi="Times New Roman" w:eastAsia="宋体"/>
          <w:sz w:val="21"/>
        </w:rPr>
        <w:t>作者: Zeyu Liang, Bo Zhang, Xun Liu, Lin Xiao, Shangzhi Xie, Hui Du, Qiyue Wang, Fangyuan Li, Daishun Ling</w:t>
        <w:br/>
      </w:r>
      <w:r>
        <w:rPr>
          <w:rFonts w:ascii="Times New Roman" w:hAnsi="Times New Roman" w:eastAsia="宋体"/>
          <w:sz w:val="21"/>
        </w:rPr>
        <w:t xml:space="preserve">时间: 2026-01-30 | </w:t>
      </w:r>
      <w:r>
        <w:t xml:space="preserve">链接: </w:t>
      </w:r>
      <w:hyperlink r:id="rId176">
        <w:r>
          <w:rPr>
            <w:rFonts w:ascii="Times New Roman" w:hAnsi="Times New Roman" w:eastAsia="宋体"/>
            <w:color w:val="0000FF"/>
            <w:sz w:val="21"/>
            <w:u w:val="single"/>
          </w:rPr>
          <w:t>https://doi.org/10.1126/sciadv.aea5236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在磁共振成像 (MRI) 中，顺磁性金属中心和水分子之间的直接偶极-偶极相互作用控制造影剂的 T 1 弛豫。具有多个不成对电子的金属螯合物长期以来一直主导着 MRI 造影剂。尽管理论上每个探针提供更多的顺磁中心，但基于纳米颗粒的造影剂由于与水的直接偶极相互作用不足而一直举步维艰，阻碍了其临床应用。在这里，我们提出了一种亲电工程磁传感器（EEMS），它利用高电负性金属原子来增强纳米传感器中顺磁中心的亲电性，从而实现与水的直接亲电催化偶极相互作用（ECD）以增强 MRI。 EEMS 表现出强大的 T 1 对比度，在 9 特斯拉时纵向弛豫率为 23.2 每毫摩尔每秒，可视化体内肿瘤细胞簇小至 68.5 微米。 ECD-MRI 可以检测并精确切除含有休眠肿瘤细胞簇的腋窝淋巴结，实现小鼠术后 100 天 100% 的存活率。 EEMS 增强的 ECD-MRI 提出了一种变革性成像原理，用于对以前无法检测到的生物实体进行无创可视化。</w:t>
      </w:r>
    </w:p>
    <w:p>
      <w:pPr>
        <w:spacing w:before="120"/>
      </w:pPr>
      <w:r>
        <w:rPr>
          <w:rFonts w:ascii="Times New Roman" w:hAnsi="Times New Roman" w:eastAsia="宋体"/>
          <w:b/>
          <w:sz w:val="21"/>
        </w:rPr>
        <w:t>English Abstract:</w:t>
      </w:r>
    </w:p>
    <w:p>
      <w:r>
        <w:rPr>
          <w:rFonts w:ascii="Times New Roman" w:hAnsi="Times New Roman" w:eastAsia="宋体"/>
          <w:sz w:val="21"/>
        </w:rPr>
        <w:t>In magnetic resonance imaging (MRI), direct dipole-dipole interactions between paramagnetic metal centers and water molecules govern the T 1 relaxation of contrast agents. Metal chelates featuring multiple unpaired electrons have long dominated MRI contrast agents. Despite theoretically offering more paramagnetic centers per probe, nanoparticle-based contrast agents have struggled because of the insufficient direct dipolar interactions with water, impeding their clinical adoption. Here, we present an electrophilicity-engineered magnetic sensor (EEMS), which leverages high-electronegativity metal atoms to enhance the electrophilicity of paramagnetic centers in nanosensors, enabling direct electrophilic catalytic dipolar interactions (ECD) with water for enhanced MRI. EEMS demonstrates robust T 1 contrast with a longitudinal relaxivity of 23.2 per millimolar per second at 9 tesla, visualizing tumor cell clusters as small as 68.5 micrometer in vivo. ECD-MRI allows detecting and precise resection of axillary lymph nodes containing dormant tumor cell clusters, achieving 100% survival in mice 100 days postsurgery. EEMS-enhanced ECD-MRI presents a transformative imaging principle for noninvasive visualization of previously undetectable biological 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粘连蛋白聚类修饰因子的遗传筛选确定了基因组折叠的调节因子</w:t>
      </w:r>
    </w:p>
    <w:p>
      <w:r>
        <w:rPr>
          <w:rFonts w:ascii="Times New Roman" w:hAnsi="Times New Roman" w:eastAsia="宋体"/>
          <w:b/>
          <w:color w:val="003264"/>
          <w:sz w:val="24"/>
        </w:rPr>
        <w:t>A genetic screen for modifiers of cohesin clustering identifies regulators of genome folding</w:t>
      </w:r>
    </w:p>
    <w:p>
      <w:r>
        <w:rPr>
          <w:rFonts w:ascii="Times New Roman" w:hAnsi="Times New Roman" w:eastAsia="宋体"/>
          <w:sz w:val="21"/>
        </w:rPr>
        <w:t>作者: Wonho Kim, Daniel S. Park, Son C. Nguyen, Rachel Yang, Eric F. Joyce, Rajan Jain</w:t>
        <w:br/>
      </w:r>
      <w:r>
        <w:rPr>
          <w:rFonts w:ascii="Times New Roman" w:hAnsi="Times New Roman" w:eastAsia="宋体"/>
          <w:sz w:val="21"/>
        </w:rPr>
        <w:t xml:space="preserve">时间: 2026-01-30 | </w:t>
      </w:r>
      <w:r>
        <w:t xml:space="preserve">链接: </w:t>
      </w:r>
      <w:hyperlink r:id="rId177">
        <w:r>
          <w:rPr>
            <w:rFonts w:ascii="Times New Roman" w:hAnsi="Times New Roman" w:eastAsia="宋体"/>
            <w:color w:val="0000FF"/>
            <w:sz w:val="21"/>
            <w:u w:val="single"/>
          </w:rPr>
          <w:t>https://doi.org/10.1126/sciadv.adx5130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粘连蛋白复合物通过多个步骤协调 3D 基因组结构，包括加载到染色质上、DNA 环挤出、挤出停止和从染色质上卸载。然而，调节这些步骤的上游监管因素在很大程度上仍未被探索。先前的研究表明，粘连蛋白聚类与其染色质停留时间和环挤出活性相关。在这里，我们开发、优化并进行了基于成像的遗传筛选，利用粘连蛋白聚类的调节来识别粘连蛋白调节剂。使用粘连蛋白卸载器 WAPL 部分降解的敏化背景，我们筛选了可成药基因组对粘连蛋白聚类的影响。通过多轮筛选和实验，我们鉴定了7个粘连蛋白聚类的增强子和10个抑制子。有几个因素控制多个基因座的基因组折叠和粘连蛋白负载。值得注意的是，我们的筛选确定了线粒体功能和表观遗传沉默的因素，表明这些过程与粘连蛋白活性的调节有关。这项研究提供了识别粘连蛋白调节因子的宝贵资源，并提供了对控制基因组折叠的上游机制的见解。</w:t>
      </w:r>
    </w:p>
    <w:p>
      <w:pPr>
        <w:spacing w:before="120"/>
      </w:pPr>
      <w:r>
        <w:rPr>
          <w:rFonts w:ascii="Times New Roman" w:hAnsi="Times New Roman" w:eastAsia="宋体"/>
          <w:b/>
          <w:sz w:val="21"/>
        </w:rPr>
        <w:t>English Abstract:</w:t>
      </w:r>
    </w:p>
    <w:p>
      <w:r>
        <w:rPr>
          <w:rFonts w:ascii="Times New Roman" w:hAnsi="Times New Roman" w:eastAsia="宋体"/>
          <w:sz w:val="21"/>
        </w:rPr>
        <w:t>The cohesin complex orchestrates 3D genome architecture through multiple steps including loading onto chromatin, DNA loop extrusion, stalling of extrusion, and unloading off chromatin. However, the upstream regulatory factors modulating these steps remain largely unexplored. Previous studies suggest that cohesin clustering correlates with its chromatin residence time and loop extrusion activity. Here, we developed, optimized, and performed an imaging-based genetic screen leveraging modulation of cohesin clustering to identify cohesin regulators. Using a sensitized background in which the cohesin unloader WAPL is partially degraded, we screened the druggable genome for effects on cohesin clustering. Through multiple rounds of screening and experimentation, we identified 7 enhancers and 10 suppressors of cohesin clustering. Several factors control genome folding at multiple loci and cohesin loading. Notably, our screen identified factors in mitochondrial function and epigenetic silencing, implicating these processes in the regulation of cohesin activity. This study offers a valuable resource identifying cohesin regulators and provides insights into upstream mechanisms governing genome folding.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微藻中 β-1,3-葡聚糖诱导集体行为</w:t>
      </w:r>
    </w:p>
    <w:p>
      <w:r>
        <w:rPr>
          <w:rFonts w:ascii="Times New Roman" w:hAnsi="Times New Roman" w:eastAsia="宋体"/>
          <w:b/>
          <w:color w:val="003264"/>
          <w:sz w:val="24"/>
        </w:rPr>
        <w:t>Induction of collective behavior by β-1,3-glucans in microalgae</w:t>
      </w:r>
    </w:p>
    <w:p>
      <w:r>
        <w:rPr>
          <w:rFonts w:ascii="Times New Roman" w:hAnsi="Times New Roman" w:eastAsia="宋体"/>
          <w:sz w:val="21"/>
        </w:rPr>
        <w:t>作者: Lou Lambert, Richard G. Dorrell, Antoine Danon</w:t>
        <w:br/>
      </w:r>
      <w:r>
        <w:rPr>
          <w:rFonts w:ascii="Times New Roman" w:hAnsi="Times New Roman" w:eastAsia="宋体"/>
          <w:sz w:val="21"/>
        </w:rPr>
        <w:t xml:space="preserve">时间: 2026-01-30 | </w:t>
      </w:r>
      <w:r>
        <w:t xml:space="preserve">链接: </w:t>
      </w:r>
      <w:hyperlink r:id="rId178">
        <w:r>
          <w:rPr>
            <w:rFonts w:ascii="Times New Roman" w:hAnsi="Times New Roman" w:eastAsia="宋体"/>
            <w:color w:val="0000FF"/>
            <w:sz w:val="21"/>
            <w:u w:val="single"/>
          </w:rPr>
          <w:t>https://doi.org/10.1126/sciadv.aea5313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β-1,3-葡聚糖是多方面的分子，在水生生态系统中发挥着关键作用，它们储存大气中的CO 2 ，​​并且在人类健康中发挥着关键作用，它们有助于对抗病原体并具有抗癌特性。到目前为止，藻类中的 β-1,3-葡聚糖除了储存糖分之外没有其他作用。我们在此表明​​，在莱茵衣藻中，β-1,3-葡聚糖控制聚集，这是一种应对压力的集体行为。我们已经确定了在聚集过程中专门参与 β-1,3-葡聚糖合成和降解的酶。 β-1,3-葡聚糖诱导聚集的转录组揭示了该激发子的早期效应。比较基因组分析使我们能够设想 β-1,3-葡聚糖在团藻目向多细胞性转变中的潜在作用。 β-1,3-葡聚糖在单细胞模式生物衣藻的应激反应中的功能的发现揭示了它们的作用模式。考虑到它们在对抗植物和动物中的病原真菌方面的潜在作用，这一点尤其重要。</w:t>
      </w:r>
    </w:p>
    <w:p>
      <w:pPr>
        <w:spacing w:before="120"/>
      </w:pPr>
      <w:r>
        <w:rPr>
          <w:rFonts w:ascii="Times New Roman" w:hAnsi="Times New Roman" w:eastAsia="宋体"/>
          <w:b/>
          <w:sz w:val="21"/>
        </w:rPr>
        <w:t>English Abstract:</w:t>
      </w:r>
    </w:p>
    <w:p>
      <w:r>
        <w:rPr>
          <w:rFonts w:ascii="Times New Roman" w:hAnsi="Times New Roman" w:eastAsia="宋体"/>
          <w:sz w:val="21"/>
        </w:rPr>
        <w:t>β-1,3-glucans are multifaceted molecules, playing a key role in aquatic ecosystems where they store atmospheric CO 2 , as well as in human health, where they help fight pathogens and have anticancer properties. Until now, no role other than sugar storage had been attributed to β-1,3-glucans in algae. We show here that in Chlamydomonas reinhardtii , β-1,3-glucans control aggregation, a collective behavior in response to stress. We have identified the enzymes specifically involved in β-1,3-glucan synthesis and degradation during aggregation. The transcriptome of β-1,3-glucan–induced aggregation revealed an early effect of this elicitor. A comparative genomic analysis allowed us to envisage a potential role for β-1,3-glucans in the transition to multicellularity in Volvocales. The finding of the function of β-1,3-glucans in the stress response of the unicellular model organism Chlamydomonas sheds light into their mode of action. This is particularly relevant given their potential roles combatting pathogenic fungi in plants and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使用生成扩散模型进行千米级对流模型仿真</w:t>
      </w:r>
    </w:p>
    <w:p>
      <w:r>
        <w:rPr>
          <w:rFonts w:ascii="Times New Roman" w:hAnsi="Times New Roman" w:eastAsia="宋体"/>
          <w:b/>
          <w:color w:val="003264"/>
          <w:sz w:val="24"/>
        </w:rPr>
        <w:t>Kilometer-scale convection-allowing model emulation using generative diffusion modeling</w:t>
      </w:r>
    </w:p>
    <w:p>
      <w:r>
        <w:rPr>
          <w:rFonts w:ascii="Times New Roman" w:hAnsi="Times New Roman" w:eastAsia="宋体"/>
          <w:sz w:val="21"/>
        </w:rPr>
        <w:t>作者: Jaideep Pathak, Yair Cohen, Piyush Garg, Peter Harrington, Noah Brenowitz, Dale Durran, Morteza Mardani, Arash Vahdat, Shaoming Xu, Karthik Kashinath, Michael Pritchard</w:t>
        <w:br/>
      </w:r>
      <w:r>
        <w:rPr>
          <w:rFonts w:ascii="Times New Roman" w:hAnsi="Times New Roman" w:eastAsia="宋体"/>
          <w:sz w:val="21"/>
        </w:rPr>
        <w:t xml:space="preserve">时间: 2026-01-30 | </w:t>
      </w:r>
      <w:r>
        <w:t xml:space="preserve">链接: </w:t>
      </w:r>
      <w:hyperlink r:id="rId179">
        <w:r>
          <w:rPr>
            <w:rFonts w:ascii="Times New Roman" w:hAnsi="Times New Roman" w:eastAsia="宋体"/>
            <w:color w:val="0000FF"/>
            <w:sz w:val="21"/>
            <w:u w:val="single"/>
          </w:rPr>
          <w:t>https://doi.org/10.1126/sciadv.adv0423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暴规模对流模型（CAM）明确解析了大气中的对流动力学，以预测导致破坏性极端天气的雷暴和中尺度对流系统的演变。迄今为止，深度学习模型在这种公里级大气模拟方面尚未被证明是熟练的，尽管在较粗的分辨率上与最先进的全球中期天气预报具有竞争力。我们提出了一种名为 StormCast 的生成扩散模型，它模拟高分辨率快速刷新 (HRRR)——美国国家海洋和大气管理局最先进的 3 公里可操作 CAM。 StormCast 使用 1 小时的时间步长，以大气边界层的密集垂直分辨率，以 26 个天气变量为条件，以自回归方式预测 99 个公里级的状态变量。我们展示了成功学习的公里级动力学，包括复合雷达反射率的竞争性 1 至 6 小时预测技能以及物理上真实的对流星团演化、潮湿上升气流和冷池形态。这些结果为改进公里级区域机器学习天气预报和未来气候灾害动态降尺度提供了机会。</w:t>
      </w:r>
    </w:p>
    <w:p>
      <w:pPr>
        <w:spacing w:before="120"/>
      </w:pPr>
      <w:r>
        <w:rPr>
          <w:rFonts w:ascii="Times New Roman" w:hAnsi="Times New Roman" w:eastAsia="宋体"/>
          <w:b/>
          <w:sz w:val="21"/>
        </w:rPr>
        <w:t>English Abstract:</w:t>
      </w:r>
    </w:p>
    <w:p>
      <w:r>
        <w:rPr>
          <w:rFonts w:ascii="Times New Roman" w:hAnsi="Times New Roman" w:eastAsia="宋体"/>
          <w:sz w:val="21"/>
        </w:rPr>
        <w:t>Storm-scale convection-allowing models (CAMs) explicitly resolve convective dynamics within the atmosphere to predict the evolution of thunderstorms and mesoscale convective systems that result in damaging extreme weather. Deep learning models have, thus far, not proven skillful in this regime of kilometer-scale atmospheric simulation, despite being competitive at coarser resolutions with state-of-the-art global, medium-range weather forecasting. We present a generative diffusion model called StormCast, which emulates the High-Resolution Rapid Refresh (HRRR)—National Oceanic and Atmospheric Administration’s state-of-the-art 3-kilometer operational CAM. StormCast autoregressively predicts 99 state variables at the kilometer scale using a 1-hour time step, with dense vertical resolution in the atmospheric boundary layer, conditioned on 26 synoptic variables. We show successfully learned kilometer-scale dynamics including competitive 1- to 6-hour forecast skill for composite radar reflectivity alongside physically realistic convective cluster evolution, moist updrafts, and cold pool morphology. These results present opportunities for improving kilometer-scale regional ML weather prediction and future climate hazard dynamical downscaling.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C-H氧化非特异性过氧酶的计算合理设计</w:t>
      </w:r>
    </w:p>
    <w:p>
      <w:r>
        <w:rPr>
          <w:rFonts w:ascii="Times New Roman" w:hAnsi="Times New Roman" w:eastAsia="宋体"/>
          <w:b/>
          <w:color w:val="003264"/>
          <w:sz w:val="24"/>
        </w:rPr>
        <w:t>Computational rational design of unspecific peroxygenase for C-H oxidation</w:t>
      </w:r>
    </w:p>
    <w:p>
      <w:r>
        <w:rPr>
          <w:rFonts w:ascii="Times New Roman" w:hAnsi="Times New Roman" w:eastAsia="宋体"/>
          <w:sz w:val="21"/>
        </w:rPr>
        <w:t>作者: Ruichen Gao, Xiaodi Fu, Zonglin Li, Zhiyao Wang, Guanjian Li, Jun Ge, Frank Hollmann, Zhanfeng Wang, Wen-Yong Lou, Xiaoling Wu</w:t>
        <w:br/>
      </w:r>
      <w:r>
        <w:rPr>
          <w:rFonts w:ascii="Times New Roman" w:hAnsi="Times New Roman" w:eastAsia="宋体"/>
          <w:sz w:val="21"/>
        </w:rPr>
        <w:t xml:space="preserve">时间: 2026-01-30 | </w:t>
      </w:r>
      <w:r>
        <w:t xml:space="preserve">链接: </w:t>
      </w:r>
      <w:hyperlink r:id="rId180">
        <w:r>
          <w:rPr>
            <w:rFonts w:ascii="Times New Roman" w:hAnsi="Times New Roman" w:eastAsia="宋体"/>
            <w:color w:val="0000FF"/>
            <w:sz w:val="21"/>
            <w:u w:val="single"/>
          </w:rPr>
          <w:t>https://doi.org/10.1126/sciadv.aeb6329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理性设计已成为一种改造酶的革命性方法，具有定制的选择性和效率。在碳氢氧化这一合成化学的关键挑战中，非特异性过氧化酶（UPO）使用过氧化氢直接氧化未活化的碳氢键，但其实用性因活性低和选择性不完善而受到限制。通过计算理性设计，本研究系统地导航巨大的序列空间，识别增强UPO催化性能的突变，最终产生活性增强13倍和对映选择性&gt;99%的UPO变体，并揭示了残基Lys 165在活性和对映选择性中的主导作用。这项研究展示了计算策略如何克服进化限制，为合成化学提供高效的生物催化剂。</w:t>
      </w:r>
    </w:p>
    <w:p>
      <w:pPr>
        <w:spacing w:before="120"/>
      </w:pPr>
      <w:r>
        <w:rPr>
          <w:rFonts w:ascii="Times New Roman" w:hAnsi="Times New Roman" w:eastAsia="宋体"/>
          <w:b/>
          <w:sz w:val="21"/>
        </w:rPr>
        <w:t>English Abstract:</w:t>
      </w:r>
    </w:p>
    <w:p>
      <w:r>
        <w:rPr>
          <w:rFonts w:ascii="Times New Roman" w:hAnsi="Times New Roman" w:eastAsia="宋体"/>
          <w:sz w:val="21"/>
        </w:rPr>
        <w:t>Computational rational design has emerged as a transformative approach to engineer enzymes with tailored selectivity and efficiency. In the context of carbon-hydrogen oxidation, a key challenge in synthetic chemistry, unspecific peroxygenases (UPOs) directly oxidize unactivated carbon-hydrogen bonds using hydrogen peroxide, yet their utility is limited by low activity and imperfect selectivity. By computational rational design, this study systematically navigated vast sequence spaces to identify mutations that enhance catalytic performance of UPOs, lastly yielded UPO variants with 13-fold enhanced activity and &gt;99% enantioselectivity, and revealed the dominant role of residue Lys 165 in activity and enantioselectivity. This study shows how computational strategies overcome evolutionary constraints to deliver efficient biocatalysts for synthetic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AQP11 的冷冻电镜结构揭示了具有大孔的三聚体结构</w:t>
      </w:r>
    </w:p>
    <w:p>
      <w:r>
        <w:rPr>
          <w:rFonts w:ascii="Times New Roman" w:hAnsi="Times New Roman" w:eastAsia="宋体"/>
          <w:b/>
          <w:color w:val="003264"/>
          <w:sz w:val="24"/>
        </w:rPr>
        <w:t>Cryo-EM structure of human AQP11 reveals a trimeric architecture with a large pore</w:t>
      </w:r>
    </w:p>
    <w:p>
      <w:r>
        <w:rPr>
          <w:rFonts w:ascii="Times New Roman" w:hAnsi="Times New Roman" w:eastAsia="宋体"/>
          <w:sz w:val="21"/>
        </w:rPr>
        <w:t>作者: Shota Suzuki, Akiko Kamegawa, Daisuke Kozai, Kouki Nishikawa, Katsumasa Irie, Yoshinori Fujiyoshi</w:t>
        <w:br/>
      </w:r>
      <w:r>
        <w:rPr>
          <w:rFonts w:ascii="Times New Roman" w:hAnsi="Times New Roman" w:eastAsia="宋体"/>
          <w:sz w:val="21"/>
        </w:rPr>
        <w:t xml:space="preserve">时间: 2026-01-30 | </w:t>
      </w:r>
      <w:r>
        <w:t xml:space="preserve">链接: </w:t>
      </w:r>
      <w:hyperlink r:id="rId181">
        <w:r>
          <w:rPr>
            <w:rFonts w:ascii="Times New Roman" w:hAnsi="Times New Roman" w:eastAsia="宋体"/>
            <w:color w:val="0000FF"/>
            <w:sz w:val="21"/>
            <w:u w:val="single"/>
          </w:rPr>
          <w:t>https://doi.org/10.1126/sciadv.aeb5769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Aquaporin-11 (AQP-11) 是一种内质网定位水通道，对于肾脏发育至关重要。其结构及其传输特性的分子基础仍然未知。我们在冷冻电子显微镜下以 2.3 Å 分辨率分析了人类 AQP11 结构，揭示了与其他已知四聚体 AQP 相比的三聚体结构，以及包含七个跨膜螺旋 (Hs) 的拓扑结构，其中包括一个额外的 N 端螺旋 (H0)。该通道孔比典型的 AQP 更宽、疏水性更强，并且具有围绕 Asn-Pro-Cys (NPC) 序列而不是典型的 Asn-Pro-Ala (NPA) 基序的独特结构。这些特征提供了水和其他小溶质可以渗透 AQP11 的结构框架。我们的研究结果为设计特定抑制剂来研究 AQP11 的生理功能提供了蓝图。</w:t>
      </w:r>
    </w:p>
    <w:p>
      <w:pPr>
        <w:spacing w:before="120"/>
      </w:pPr>
      <w:r>
        <w:rPr>
          <w:rFonts w:ascii="Times New Roman" w:hAnsi="Times New Roman" w:eastAsia="宋体"/>
          <w:b/>
          <w:sz w:val="21"/>
        </w:rPr>
        <w:t>English Abstract:</w:t>
      </w:r>
    </w:p>
    <w:p>
      <w:r>
        <w:rPr>
          <w:rFonts w:ascii="Times New Roman" w:hAnsi="Times New Roman" w:eastAsia="宋体"/>
          <w:sz w:val="21"/>
        </w:rPr>
        <w:t>Aquaporin-11 (AQP-11) is an endoplasmic reticulum-localized water channel essential for renal development. Its structure and the molecular basis of its transport properties remained unknown. We analyzed the human AQP11 structure under cryo–electron microscopy at 2.3 Å resolution, revealing a trimeric architecture compared with other known tetrameric AQPs and a topology comprising seven transmembrane helices (Hs), including an additional N-terminal helix (H0). The channel pore is broader and more hydrophobic than that of canonical AQPs, and features a unique structure surrounding an Asn-Pro-Cys (NPC) sequence instead of the typical Asn-Pro-Ala (NPA) motif. These features provide a structural framework through which water and other small solutes can permeate AQP11. Our findings provide a blueprint for designing specific inhibitors to investigate the physiologic functions of AQP11.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通过移码合成的牛樟芝半乳甘露聚糖文库揭示了有效的免疫调节八糖结构域</w:t>
      </w:r>
    </w:p>
    <w:p>
      <w:r>
        <w:rPr>
          <w:rFonts w:ascii="Times New Roman" w:hAnsi="Times New Roman" w:eastAsia="宋体"/>
          <w:b/>
          <w:color w:val="003264"/>
          <w:sz w:val="24"/>
        </w:rPr>
        <w:t>A synthetic Antrodia cinnamomea galactomannan library by frameshift unveils a potent immunoregulatory octasaccharide domain</w:t>
      </w:r>
    </w:p>
    <w:p>
      <w:r>
        <w:rPr>
          <w:rFonts w:ascii="Times New Roman" w:hAnsi="Times New Roman" w:eastAsia="宋体"/>
          <w:sz w:val="21"/>
        </w:rPr>
        <w:t>作者: Qishuai Li, Xiao-Lin Zhang, Ran Liu, Peng Wang, Hongzhi Cao, Allan Wee Ren Ng, Yuan Qiao, Han Ding, Xue-Wei Liu, Ming Li</w:t>
        <w:br/>
      </w:r>
      <w:r>
        <w:rPr>
          <w:rFonts w:ascii="Times New Roman" w:hAnsi="Times New Roman" w:eastAsia="宋体"/>
          <w:sz w:val="21"/>
        </w:rPr>
        <w:t xml:space="preserve">时间: 2026-01-30 | </w:t>
      </w:r>
      <w:r>
        <w:t xml:space="preserve">链接: </w:t>
      </w:r>
      <w:hyperlink r:id="rId182">
        <w:r>
          <w:rPr>
            <w:rFonts w:ascii="Times New Roman" w:hAnsi="Times New Roman" w:eastAsia="宋体"/>
            <w:color w:val="0000FF"/>
            <w:sz w:val="21"/>
            <w:u w:val="single"/>
          </w:rPr>
          <w:t>https://doi.org/10.1126/sciadv.aec5309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我们报告了牛樟芝半乳甘露聚糖文库的设计、合成和免疫学评估，该文库由 11 种寡糖组成，链长范围为 4 至 24 个糖。这些低聚糖保持一致的 75% 甘露糖和 25% 半乳糖组成，反映了天然半乳甘露聚糖的关键结构特征。值得注意的是，该文库包含五种四糖和四种八糖，展示了肉桂半乳甘露聚糖所有可能的移码模式，为构效关系研究探索连接模式和域效应的作用提供了有价值的材料。该文库的合成是通过高效的立体选择性 α-半乳糖基化方法实现的。免疫学评估表明，八糖4及其两个亚基四糖7和10表现出有效的免疫调节活性，表现出显着的域效应。初步机制研究表明，这些寡糖通过抑制丝裂原激活蛋白激酶信号通路发挥作用。此外，八糖4独特地减弱了核因子κB通路，突出了其化合物特异性机制并展示了1 + 1 &gt; 2效应。</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synthesis, and immunological evaluation of an Antrodia cinnamomea galactomannan library consisting of 11 oligosaccharides, with chain lengths ranging from 4 to 24 sugars. These oligosaccharides maintain a consistent composition of 75% mannose and 25% galactose, mirroring the key structural features of natural galactomannan. Notably, the library includes five tetrasaccharides and four octasaccharides, exhibiting all possible frameshift patterns of A. cinnamomea galactomannan, offering valuable materials for structure-activity relationship studies to explore the role of linking modes and domain effect. The synthesis of this library was achieved through a highly effective stereoselective α-galactosylation approach. Immunological evaluations revealed that octasaccharide 4 and its two subunit tetrasaccharides 7 and 10 exhibited potent immunoregulatory activities, demonstrating a notable domain effect. Preliminary mechanistic studies unveiled that these oligosaccharides exert their effects by suppressing mitogen-activated protein kinase signaling pathway. In addition, octasaccharide 4 uniquely attenuated nuclear factor κB pathway, highlighting its compound-specific mechanism and demonstrating a 1 + 1 &gt; 2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通过相干能量重新分配实现量子态复兴</w:t>
      </w:r>
    </w:p>
    <w:p>
      <w:r>
        <w:rPr>
          <w:rFonts w:ascii="Times New Roman" w:hAnsi="Times New Roman" w:eastAsia="宋体"/>
          <w:b/>
          <w:color w:val="003264"/>
          <w:sz w:val="24"/>
        </w:rPr>
        <w:t>Quantum state revival via coherent energy redistribution</w:t>
      </w:r>
    </w:p>
    <w:p>
      <w:r>
        <w:rPr>
          <w:rFonts w:ascii="Times New Roman" w:hAnsi="Times New Roman" w:eastAsia="宋体"/>
          <w:sz w:val="21"/>
        </w:rPr>
        <w:t>作者: Benjamin Crockett, Nicola Montaut, James van Howe, Piotr Roztocki, Yang Liu, Robin Helsten, Wei Zhao, Roberto Morandotti, José Azaña</w:t>
        <w:br/>
      </w:r>
      <w:r>
        <w:rPr>
          <w:rFonts w:ascii="Times New Roman" w:hAnsi="Times New Roman" w:eastAsia="宋体"/>
          <w:sz w:val="21"/>
        </w:rPr>
        <w:t xml:space="preserve">时间: 2026-01-30 | </w:t>
      </w:r>
      <w:r>
        <w:t xml:space="preserve">链接: </w:t>
      </w:r>
      <w:hyperlink r:id="rId183">
        <w:r>
          <w:rPr>
            <w:rFonts w:ascii="Times New Roman" w:hAnsi="Times New Roman" w:eastAsia="宋体"/>
            <w:color w:val="0000FF"/>
            <w:sz w:val="21"/>
            <w:u w:val="single"/>
          </w:rPr>
          <w:t>https://doi.org/10.1126/sciadv.ady8981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度处理和检测量子态对于在许多应用中实现量子优势至关重要。然而，众所周知，这些状态是脆弱的，因为它们对损耗敏感、无法被放大以及对退相干的敏感性。这使得它们比传统信号更容易受到噪声的影响，从而限制了它们的实验室外部署。我们演示了量子相干能量重新分布，它不仅可以恢复隐藏在噪声中的纠缠态，还可以改善其特性，从而朝着具有更好可部署性的抗噪声架构迈进。使用标准电信基础设施，我们显示时间仓纠缠光子对的巧合与巧合比率增加了一个数量级。此外，我们通过对被噪声破坏的量子位进行量子态断层扫描测量来恢复量子干涉可见性和保真度，从而证明了丢失纠缠的恢复。</w:t>
      </w:r>
    </w:p>
    <w:p>
      <w:pPr>
        <w:spacing w:before="120"/>
      </w:pPr>
      <w:r>
        <w:rPr>
          <w:rFonts w:ascii="Times New Roman" w:hAnsi="Times New Roman" w:eastAsia="宋体"/>
          <w:b/>
          <w:sz w:val="21"/>
        </w:rPr>
        <w:t>English Abstract:</w:t>
      </w:r>
    </w:p>
    <w:p>
      <w:r>
        <w:rPr>
          <w:rFonts w:ascii="Times New Roman" w:hAnsi="Times New Roman" w:eastAsia="宋体"/>
          <w:sz w:val="21"/>
        </w:rPr>
        <w:t>Processing and detecting quantum states with high fidelity are essential for enabling quantum advantages across many applications. However, these states are known to be fragile because of their sensitivity to losses, their inability to be amplified, and their susceptibility to decoherence. This makes them far more vulnerable to noise than classical signals, limiting their out-of-lab deployment. We demonstrate quantum coherent energy redistribution, which not only recovers entangled states buried in noise but also improves their properties, moving toward noise-robust architectures with better deployability. Using standard telecommunications infrastructure, we show an order of magnitude increase in the coincidence-to-accidental ratio for time-bin entangled photon pairs. Furthermore, we demonstrate the revival of lost entanglement by recovering quantum interference visibility and fidelity from quantum state tomography measurements of qubits corrupted by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COVID-19 大流行后癫痫发作恶化的颞叶癫痫患者的神经免疫激活：[ 18 F]DPA-714 PET/MR 研究</w:t>
      </w:r>
    </w:p>
    <w:p>
      <w:r>
        <w:rPr>
          <w:rFonts w:ascii="Times New Roman" w:hAnsi="Times New Roman" w:eastAsia="宋体"/>
          <w:b/>
          <w:color w:val="003264"/>
          <w:sz w:val="24"/>
        </w:rPr>
        <w:t>Neuroimmune activation in temporal lobe epilepsy patients with worsening seizure following the COVID-19 pandemic: A [ 18 F]DPA-714 PET/MR study</w:t>
      </w:r>
    </w:p>
    <w:p>
      <w:r>
        <w:rPr>
          <w:rFonts w:ascii="Times New Roman" w:hAnsi="Times New Roman" w:eastAsia="宋体"/>
          <w:sz w:val="21"/>
        </w:rPr>
        <w:t>作者: Ling Xiao, Li Qin, Tao Jiang, Ming Qu, Manliu Hou, Yongxiang Tang, Shuo Hu, Li Feng</w:t>
        <w:br/>
      </w:r>
      <w:r>
        <w:rPr>
          <w:rFonts w:ascii="Times New Roman" w:hAnsi="Times New Roman" w:eastAsia="宋体"/>
          <w:sz w:val="21"/>
        </w:rPr>
        <w:t xml:space="preserve">时间: 2026-01-30 | </w:t>
      </w:r>
      <w:r>
        <w:t xml:space="preserve">链接: </w:t>
      </w:r>
      <w:hyperlink r:id="rId184">
        <w:r>
          <w:rPr>
            <w:rFonts w:ascii="Times New Roman" w:hAnsi="Times New Roman" w:eastAsia="宋体"/>
            <w:color w:val="0000FF"/>
            <w:sz w:val="21"/>
            <w:u w:val="single"/>
          </w:rPr>
          <w:t>https://doi.org/10.1126/sciadv.adu5874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颞叶癫痫 (TLE) 患者在 COVID-19 后经常会出现癫痫恶化的情况，称为 COVID-19 后活动性 TLE。虽然怀疑这些患者存在神经炎症变化，但大脑中枢和全身炎症的测量仍有待探索。我们研究了易位蛋白标准化摄取值比 (TSPO SUVr)（一种使用正电子发射断层扫描 (PET) 的神经炎症量化标志物）在 COVID-19 后活动性 TLE 患者的大脑中是否升高。此外，我们还检查了 TSPO SUVr 和炎症因子之间的相关性，以确定 COVID-19 后活动性癫痫的潜在外周血炎症预测因子。我们的研究强调了 COVID-19 后活动性 TLE 患者大脑中存在广泛的神经炎症，并且血浆中炎症细胞因子的水平升高。此外，白细胞介素-1β (IL-1β)、IL-10 和干扰素-γ (IFN-γ) 的血浆水平与神经免疫激活之间的强相关性表明，将血浆炎症因子与 TSPO PET 相结合，可以作为临床诊断、动态监测和评估 TLE 相关神经炎症免疫治疗效果的可靠方法。</w:t>
      </w:r>
    </w:p>
    <w:p>
      <w:pPr>
        <w:spacing w:before="120"/>
      </w:pPr>
      <w:r>
        <w:rPr>
          <w:rFonts w:ascii="Times New Roman" w:hAnsi="Times New Roman" w:eastAsia="宋体"/>
          <w:b/>
          <w:sz w:val="21"/>
        </w:rPr>
        <w:t>English Abstract:</w:t>
      </w:r>
    </w:p>
    <w:p>
      <w:r>
        <w:rPr>
          <w:rFonts w:ascii="Times New Roman" w:hAnsi="Times New Roman" w:eastAsia="宋体"/>
          <w:sz w:val="21"/>
        </w:rPr>
        <w:t>Patients with temporal lobe epilepsy (TLE) frequently experience worsening epilepsy following COVID-19, referred to as post–COVID-19 active TLE. While neuroinflammatory changes are suspected in these patients, measurements of both central and systemic inflammation in the brain remain unexplored. We investigate whether the translocator protein standardized uptake value ratio (TSPO SUVr), a quantifiable marker of neuroinflammation using positron emission tomography (PET), is elevated in the brains of patients with post–COVID-19 active TLE. In addition, we examine correlations between TSPO SUVr and inflammatory factors to identify potential peripheral blood inflammatory predictors of post–COVID-19 active epilepsy. Our study highlights the presence of widespread neuroinflammation in the brain and increased levels of inflammatory cytokines in the plasma of individuals with post–COVID-19 active TLE. Furthermore, strong correlations between plasma levels of interleukin-1β (IL-1β), IL-10, and interferon-γ (IFN-γ) and neuroimmune activation suggest the potential for integrating plasma inflammatory factors with TSPO PET as a dependable approach for clinical diagnosis, dynamic monitoring, and assessment of immune-based therapeutic efficacy in TLE-associated neuroinflammation.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12:41 ---</w:t>
      </w:r>
    </w:p>
    <w:p>
      <w:pPr>
        <w:pStyle w:val="Heading2"/>
      </w:pPr>
      <w:r/>
      <w:r>
        <w:rPr>
          <w:rFonts w:ascii="Times New Roman" w:hAnsi="Times New Roman" w:eastAsia="宋体"/>
          <w:b/>
          <w:color w:val="000000"/>
          <w:sz w:val="24"/>
        </w:rPr>
        <w:t>监测公众对不必要的地震预警警报的反应</w:t>
      </w:r>
    </w:p>
    <w:p>
      <w:r>
        <w:rPr>
          <w:rFonts w:ascii="Times New Roman" w:hAnsi="Times New Roman" w:eastAsia="宋体"/>
          <w:b/>
          <w:color w:val="003264"/>
          <w:sz w:val="24"/>
        </w:rPr>
        <w:t>Monitoring public reaction to an unnecessary earthquake early warning alert</w:t>
      </w:r>
    </w:p>
    <w:p>
      <w:r>
        <w:rPr>
          <w:rFonts w:ascii="Times New Roman" w:hAnsi="Times New Roman" w:eastAsia="宋体"/>
          <w:sz w:val="21"/>
        </w:rPr>
        <w:t>作者: Gony Yagoda-Biran, Ran N. Nof, Yonat Zwebner</w:t>
        <w:br/>
      </w:r>
      <w:r>
        <w:rPr>
          <w:rFonts w:ascii="Times New Roman" w:hAnsi="Times New Roman" w:eastAsia="宋体"/>
          <w:sz w:val="21"/>
        </w:rPr>
        <w:t xml:space="preserve">时间: 2026-02-03 | </w:t>
      </w:r>
      <w:r>
        <w:t xml:space="preserve">链接: </w:t>
      </w:r>
      <w:hyperlink r:id="rId185">
        <w:r>
          <w:rPr>
            <w:rFonts w:ascii="Times New Roman" w:hAnsi="Times New Roman" w:eastAsia="宋体"/>
            <w:color w:val="0000FF"/>
            <w:sz w:val="21"/>
            <w:u w:val="single"/>
          </w:rPr>
          <w:t>https://doi.org/10.1038/s41598-026-37958-1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虚假或不必要的地震预警 (EEW) 警报可能会损害公众信任，可能导致警报疲劳或脱离，这是政策制定者最关心的问题。尽管虚假警报本质上是不可预测的，但 2024 年 10 月 26 日出现了一个难得的研究机会，当时以色列 EEW 系统将一场计划中的军事爆炸错误地归类为 5.2 级地震，向超过 100 万人发出警报。这是以色列有史以来第一次公共电子预警警报，发生在战时，此前一年几乎每天都有导弹警报。活动结束后不久进行了一项预先登记的调查（N = 1,043）。由于警报的地理范围有限，该事件提供了一个准实验机会来比较收到警报和未收到警报的人之间的态度。结果显示，公众在很大程度上仍然有动力遵循电子预警预警指南，并且对错误警报有相当大的容忍度。然而，对虚假电子战警报的容忍度明显低于虚假导弹警报，这表明公众对地震威胁和安全威胁的看法不同。尽管存在虚假警报和长时间接触警报，但公众对接收警告的支持仍然很强，即使是对于非破坏性的、有感的事件。这些发现凸显了公众信任的弹性，并为设计有效的警报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False or unnecessary Earthquake Early Warning (EEW) alerts risk undermining public trust, potentially leading to alert fatigue or disengagement, a critical concern for policymakers. Although false alerts are inherently unpredictable, a rare opportunity to study one arose on October 26, 2024, when a planned military explosion was mistakenly classified as a magnitude 5.2 earthquake by the Israeli EEW system, triggering alerts to over one million people. This was the first-ever public EEW alert in Israel and occurred during wartime, following a year of near-daily missile alerts. A preregistered survey (N = 1,043) was conducted shortly after this event. Because the alert was geographically limited, the incident offered a quasi-experimental opportunity to compare attitudes between those who received the alert and those who did not. Results showed that the public remained largely motivated to follow EEW guidance and had considerable tolerance for false alerts. However, tolerance was significantly lower for false EEW alerts than false missile alerts, indicating different public perceptions of seismic versus security threats. Despite the false alert and prolonged exposure to alerts, public support for receiving warning, even for non-damaging, felt events, remained strong. These findings highlight the resilience of public trust and offer insights for designing effective alert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意大利语的高级自然交互：LLaMAntino-3-ANITA</w:t>
      </w:r>
    </w:p>
    <w:p>
      <w:r>
        <w:rPr>
          <w:rFonts w:ascii="Times New Roman" w:hAnsi="Times New Roman" w:eastAsia="宋体"/>
          <w:b/>
          <w:color w:val="003264"/>
          <w:sz w:val="24"/>
        </w:rPr>
        <w:t>Advanced natural-based interaction for the ITAlian language: LLaMAntino-3-ANITA</w:t>
      </w:r>
    </w:p>
    <w:p>
      <w:r>
        <w:rPr>
          <w:rFonts w:ascii="Times New Roman" w:hAnsi="Times New Roman" w:eastAsia="宋体"/>
          <w:sz w:val="21"/>
        </w:rPr>
        <w:t>作者: Marco Polignano, Pierpaolo Basile, Giovanni Semeraro</w:t>
        <w:br/>
      </w:r>
      <w:r>
        <w:rPr>
          <w:rFonts w:ascii="Times New Roman" w:hAnsi="Times New Roman" w:eastAsia="宋体"/>
          <w:sz w:val="21"/>
        </w:rPr>
        <w:t xml:space="preserve">时间: 2026-02-03 | </w:t>
      </w:r>
      <w:r>
        <w:t xml:space="preserve">链接: </w:t>
      </w:r>
      <w:hyperlink r:id="rId186">
        <w:r>
          <w:rPr>
            <w:rFonts w:ascii="Times New Roman" w:hAnsi="Times New Roman" w:eastAsia="宋体"/>
            <w:color w:val="0000FF"/>
            <w:sz w:val="21"/>
            <w:u w:val="single"/>
          </w:rPr>
          <w:t>https://doi.org/10.1038/s41598-025-31319-0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 LLaMAntino-3-ANITA-8B-Inst-DPO-ITA，这是一种基于 Meta-AI LLaMA-3 模型系列、适用于意大利语的大型语言模型 (LLM)。首先使用监督微调（SFT）技术对英语数据集对原始 8B 参数指令调优模型进行微调，以增强其在指令任务上的基线性能。随后，应用直接偏好优化 (DPO) 流程来调整偏好、减少不安全响应并限制偏差。在最后阶段，该模型使用有限数量的高质量意大利语数据来适应意大利语。该方法结合了 QLoRA 的效率（用于微调原始模型权重的较小部分）和 DPO 来细化模型的输出，使模型适应意大利语语言结构，同时保持计算效率。对意大利语和英语语言的 Open LLM 基准的评估证实了该模型的有效性，在意大利 LLM 中实现了最先进的性能，在各种意大利语文本理解和问答任务上的平均准确度得分为 0.6160。该模型通过 HuggingFace 中心发布，并在 GitHub 存储库中提供了使用示例。</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LLaMAntino-3-ANITA-8B-Inst-DPO-ITA, a Large Language Model (LLM) adapted for the Italian language based on the Meta-AI LLaMA-3 model family. The original 8B parameter instruction-tuned model is first fine-tuned using the Supervised Fine-tuning (SFT) technique on English datasets to enhance its baseline performance on instruction tasks. Subsequently, a Direct Preference Optimization (DPO) process is applied to align preferences, mitigate unsafe responses, and limiting biases. In the final stage, the model is adapted to the Italian language using a limited amount of high quality Italian language data. This methodology combines the efficiency of QLoRA, for fine-tuning on a smaller portion of the original model weights, with DPO to refine the model’s output, adapting the model to the Italian linguistic structure while maintaining computational efficiency. Evaluation on Open LLM benchmarks for both Italian and English languages confirms the model’s effectiveness, achieving state- of-the-art performance among Italian LLMs with an average accuracy score of 0.6160 on various Italian text comprehension and question-answering tasks. The model is released via the HuggingFace hub, with usage examples available in the 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修正：使用深度学习从无人机图像中检测红树林幼苗进行恢复监测</w:t>
      </w:r>
    </w:p>
    <w:p>
      <w:r>
        <w:rPr>
          <w:rFonts w:ascii="Times New Roman" w:hAnsi="Times New Roman" w:eastAsia="宋体"/>
          <w:b/>
          <w:color w:val="003264"/>
          <w:sz w:val="24"/>
        </w:rPr>
        <w:t>Correction: Detecting mangrove seedlings from UAV imagery using deep learning for restoration monitoring</w:t>
      </w:r>
    </w:p>
    <w:p>
      <w:r>
        <w:rPr>
          <w:rFonts w:ascii="Times New Roman" w:hAnsi="Times New Roman" w:eastAsia="宋体"/>
          <w:sz w:val="21"/>
        </w:rPr>
        <w:t>作者: Yuri Shendryk, Maria P. Vilas</w:t>
        <w:br/>
      </w:r>
      <w:r>
        <w:rPr>
          <w:rFonts w:ascii="Times New Roman" w:hAnsi="Times New Roman" w:eastAsia="宋体"/>
          <w:sz w:val="21"/>
        </w:rPr>
        <w:t xml:space="preserve">时间: 2026-02-03 | </w:t>
      </w:r>
      <w:r>
        <w:t xml:space="preserve">链接: </w:t>
      </w:r>
      <w:hyperlink r:id="rId187">
        <w:r>
          <w:rPr>
            <w:rFonts w:ascii="Times New Roman" w:hAnsi="Times New Roman" w:eastAsia="宋体"/>
            <w:color w:val="0000FF"/>
            <w:sz w:val="21"/>
            <w:u w:val="single"/>
          </w:rPr>
          <w:t>https://doi.org/10.1038/s41598-026-37788-1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使用仿生机器人关节探索关节受体的本体感受潜力</w:t>
      </w:r>
    </w:p>
    <w:p>
      <w:r>
        <w:rPr>
          <w:rFonts w:ascii="Times New Roman" w:hAnsi="Times New Roman" w:eastAsia="宋体"/>
          <w:b/>
          <w:color w:val="003264"/>
          <w:sz w:val="24"/>
        </w:rPr>
        <w:t>Exploring the proprioceptive potential of joint receptors using a biomimetic robotic joint</w:t>
      </w:r>
    </w:p>
    <w:p>
      <w:r>
        <w:rPr>
          <w:rFonts w:ascii="Times New Roman" w:hAnsi="Times New Roman" w:eastAsia="宋体"/>
          <w:sz w:val="21"/>
        </w:rPr>
        <w:t>作者: Akihiro Miki, Shun Hasegawa, Sota Yuzaki, Yuta Sahara, Yoshimoto Ribayashi, Kento Kawaharazuka, Kei Okada</w:t>
        <w:br/>
      </w:r>
      <w:r>
        <w:rPr>
          <w:rFonts w:ascii="Times New Roman" w:hAnsi="Times New Roman" w:eastAsia="宋体"/>
          <w:sz w:val="21"/>
        </w:rPr>
        <w:t xml:space="preserve">时间: 2026-02-03 | </w:t>
      </w:r>
      <w:r>
        <w:t xml:space="preserve">链接: </w:t>
      </w:r>
      <w:hyperlink r:id="rId188">
        <w:r>
          <w:rPr>
            <w:rFonts w:ascii="Times New Roman" w:hAnsi="Times New Roman" w:eastAsia="宋体"/>
            <w:color w:val="0000FF"/>
            <w:sz w:val="21"/>
            <w:u w:val="single"/>
          </w:rPr>
          <w:t>https://doi.org/10.1038/s41598-025-27311-3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科学中，关节感受器传统上被视为极限探测器，仅在极端关节角度时提供位置信息，而肌梭被认为是关节角度位置的主要传感器。然而，关节受体广泛分布在整个关节囊中，它们在本体感觉中的完整作用仍不清楚。在这项研究中，我们特别关注模仿 I 型关节受体，这些受体对缓慢而持续的运动做出反应，并使用机器人技术开发的仿生关节量化了它们的本体感受潜力。结果表明，类 I 型关节感受器单独就能实现本体感觉感知，弯曲和扭转运动的平均误差小于 2 度。这些发现表明，关节受体在本体感觉中发挥的作用可能比之前认识的更大，并且在发育和进化过程中，肌梭和关节受体的相对贡献在神经网络中的权重不同。此外，这项工作可能会引发关于遗传性感觉和自主神经病 III 型患者的肘部和膝盖之间观察到的差异本体感觉缺陷的新讨论。总之，这些发现凸显了基于仿生学的机器人方法在推进神经科学、医学和机器人技术之间的跨学科研究方面的潜力。</w:t>
      </w:r>
    </w:p>
    <w:p>
      <w:pPr>
        <w:spacing w:before="120"/>
      </w:pPr>
      <w:r>
        <w:rPr>
          <w:rFonts w:ascii="Times New Roman" w:hAnsi="Times New Roman" w:eastAsia="宋体"/>
          <w:b/>
          <w:sz w:val="21"/>
        </w:rPr>
        <w:t>English Abstract:</w:t>
      </w:r>
    </w:p>
    <w:p>
      <w:r>
        <w:rPr>
          <w:rFonts w:ascii="Times New Roman" w:hAnsi="Times New Roman" w:eastAsia="宋体"/>
          <w:sz w:val="21"/>
        </w:rPr>
        <w:t>Abstract In neuroscience, joint receptors have traditionally been viewed as limit detectors, providing positional information only at extreme joint angles, while muscle spindles are considered the primary sensors of joint angle position. However, joint receptors are widely distributed throughout the joint capsule, and their full role in proprioception remains unclear. In this study, we specifically focused on mimicking Type I joint receptors, which respond to slow and sustained movements, and quantified their proprioceptive potential using a biomimetic joint developed with robotics technology. Results showed that Type I-like joint receptors alone enabled proprioceptive sensing with an average error of less than 2 degrees in both bending and twisting motions. These findings suggest that joint receptors may play a greater role in proprioception than previously recognized and that the relative contributions of muscle spindles and joint receptors are differentially weighted within neural networks during development and evolution. Furthermore, this work may prompt new discussions on the differential proprioceptive deficits observed between the elbows and knees in patients with hereditary sensory and autonomic neuropathy type III. Together, these findings highlight the potential of biomimetics-based robotic approaches for advancing interdisciplinary research bridging neuroscience, medicine, and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基于改进RT-DETR的胃肠息肉检测方法</w:t>
      </w:r>
    </w:p>
    <w:p>
      <w:r>
        <w:rPr>
          <w:rFonts w:ascii="Times New Roman" w:hAnsi="Times New Roman" w:eastAsia="宋体"/>
          <w:b/>
          <w:color w:val="003264"/>
          <w:sz w:val="24"/>
        </w:rPr>
        <w:t>Gastrointestinal polyp detection method based on the improved RT-DETR</w:t>
      </w:r>
    </w:p>
    <w:p>
      <w:r>
        <w:rPr>
          <w:rFonts w:ascii="Times New Roman" w:hAnsi="Times New Roman" w:eastAsia="宋体"/>
          <w:sz w:val="21"/>
        </w:rPr>
        <w:t>作者: Jiabin Du, Ziqiong He, Su Zhang, Gengqi Wu, Chen Liang</w:t>
        <w:br/>
      </w:r>
      <w:r>
        <w:rPr>
          <w:rFonts w:ascii="Times New Roman" w:hAnsi="Times New Roman" w:eastAsia="宋体"/>
          <w:sz w:val="21"/>
        </w:rPr>
        <w:t xml:space="preserve">时间: 2026-02-03 | </w:t>
      </w:r>
      <w:r>
        <w:t xml:space="preserve">链接: </w:t>
      </w:r>
      <w:hyperlink r:id="rId189">
        <w:r>
          <w:rPr>
            <w:rFonts w:ascii="Times New Roman" w:hAnsi="Times New Roman" w:eastAsia="宋体"/>
            <w:color w:val="0000FF"/>
            <w:sz w:val="21"/>
            <w:u w:val="single"/>
          </w:rPr>
          <w:t>https://doi.org/10.1038/s41598-026-38617-1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息肉是结直肠癌的潜在前兆，因此通过内窥镜进行准确检测成为有效筛查和监测策略的关键组成部分。然而，由于息肉形态、尺度不平衡和成像噪声的显着变化，自动检测仍然具有挑战性，这通常会导致现有方法的高漏检率。为了解决这些问题，我们提出了一种基于 RT-DETR-r18 架构的优化实时检测框架。我们的方法集成了三个战略增强功能来改进特征表示和注意机制。首先，我们介绍 DWRC3-DRB 模块，它利用残差和密集连接来稳健地融合浅层和深层特征。其次，为了减轻背景干扰，我们设计了EAAAFI模块；该组件支持具有线性复杂性的全局上下文建模，有效地关注信息区域。最后，我们结合了 ELA-HSFPN 模块，将有效的局部注意力与分层特征金字塔相结合，以促进自适应多尺度特征集成。对混合内窥镜数据集的系统实验表明，我们的方法显着优于基线和最先进的检测器。具体来说，与 RT-DETR-r18 相比，我们的方法将精度从 90.7% 提高到 94.8%，召回率从 84.0% 提高到 89.9%，mAP@0.5 从 92.2% 提高到 94.2%。至关重要的是，它在实现这一精度的同时保持了 188.6 FPS 的处理速度，完全满足实时视频处理所需的低延迟基准。</w:t>
      </w:r>
    </w:p>
    <w:p>
      <w:pPr>
        <w:spacing w:before="120"/>
      </w:pPr>
      <w:r>
        <w:rPr>
          <w:rFonts w:ascii="Times New Roman" w:hAnsi="Times New Roman" w:eastAsia="宋体"/>
          <w:b/>
          <w:sz w:val="21"/>
        </w:rPr>
        <w:t>English Abstract:</w:t>
      </w:r>
    </w:p>
    <w:p>
      <w:r>
        <w:rPr>
          <w:rFonts w:ascii="Times New Roman" w:hAnsi="Times New Roman" w:eastAsia="宋体"/>
          <w:sz w:val="21"/>
        </w:rPr>
        <w:t>Gastrointestinal polyps are potential precursors to colorectal cancer, making accurate detection via endoscopy a key component of effective screening and surveillance strategies. However, automated detection remains challenging due to significant variations in polyp morphology, scale imbalance, and imaging noise, which often lead to high miss rates in existing approaches. To address these issues, we propose an optimized real-time detection framework based on the RT-DETR-r18 architecture. Our method integrates three strategic enhancements to improve feature representation and attention mechanisms. First, we introduce the DWRC3-DRB module, which utilizes residual and dense connections to robustly fuse shallow and deep features. Second, to mitigate background interference, we design the EAAAIFI module; this component enables global context modeling with linear complexity, effectively focusing on informative regions. Finally, we incorporate the ELA-HSFPN module, combining efficient local attention with a hierarchical feature pyramid to facilitate adaptive multi-scale feature integration. Systematic experiments on a hybrid endoscopic dataset demonstrate that our approach significantly outperforms the baseline and state-of-the-art detectors. Specifically, compared to RT-DETR-r18, our method increases precision from 90.7% to 94.8%, recall from 84.0% to 89.9%, and mAP@0.5 from 92.2% to 94.2%. Crucially, it achieves this accuracy while maintaining a processing speed of 188.6 FPS, fully meeting the low-latency benchmarks required for real-time video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头像进行身体尺寸估计的功能性大脑图谱</w:t>
      </w:r>
    </w:p>
    <w:p>
      <w:r>
        <w:rPr>
          <w:rFonts w:ascii="Times New Roman" w:hAnsi="Times New Roman" w:eastAsia="宋体"/>
          <w:b/>
          <w:color w:val="003264"/>
          <w:sz w:val="24"/>
        </w:rPr>
        <w:t>Functional brain mapping of body size estimation using a 3D avatar</w:t>
      </w:r>
    </w:p>
    <w:p>
      <w:r>
        <w:rPr>
          <w:rFonts w:ascii="Times New Roman" w:hAnsi="Times New Roman" w:eastAsia="宋体"/>
          <w:sz w:val="21"/>
        </w:rPr>
        <w:t>作者: Hayden J. Peel, Joel P. Diaz-Fong, Sameena Karsan, Rajay Kumar, Gerhard Hellemann, Jamie D. Feusner</w:t>
        <w:br/>
      </w:r>
      <w:r>
        <w:rPr>
          <w:rFonts w:ascii="Times New Roman" w:hAnsi="Times New Roman" w:eastAsia="宋体"/>
          <w:sz w:val="21"/>
        </w:rPr>
        <w:t xml:space="preserve">时间: 2026-02-03 | </w:t>
      </w:r>
      <w:r>
        <w:t xml:space="preserve">链接: </w:t>
      </w:r>
      <w:hyperlink r:id="rId190">
        <w:r>
          <w:rPr>
            <w:rFonts w:ascii="Times New Roman" w:hAnsi="Times New Roman" w:eastAsia="宋体"/>
            <w:color w:val="0000FF"/>
            <w:sz w:val="21"/>
            <w:u w:val="single"/>
          </w:rPr>
          <w:t>https://doi.org/10.1038/s41598-026-38383-0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身体尺寸估计——判断自己身体大小和形状的能力——是身体形象的关键感知组成部分。然而，其神经基础以及个体间准确性差异的基础仍然知之甚少，部分原因是现有评估工具的局限性。我们使用了 Somatomap 3D 的适应功能磁共振兼容版本，这是一项交互式任务，参与者通过调整 26 个身体部位的大小和形状来操纵可旋转的 3D 化身，以匹配他们感知的身体。 28 名健康的男性和女性成年人在功能磁共振成像期间完成了这项任务。使用通用线性模型对先前身体处理研究中先验感兴趣区域的大脑活动进行建模，该模型结合了事件特定参数和与任务表现相关的参数调制器。使用身体部位估计误差的多维尺度来计算身体尺寸估计准确性的个体间差异，并且得分与来自感兴趣区域的 BOLD 信号特征变量相关。任务投入与假设的身体选择性和多感觉区域的显着激活相关，包括双侧纹状体区域、右侧梭状体区域、右顶上小叶和双侧前运动皮层。多维尺度确定了反映身体部位周长扭曲的主要子维度，这与双侧顶上小叶的神经反应显着相关。没有其他大脑区域与估计准确性的个体间差异存在显着关联。这些结果表明，身体尺寸估计涉及视觉、运动和顶叶区域的分布式网络。其中，只有顶上小叶显示出与身体部位周长的身体尺寸估计准确性的个体间差异显着相关，支持其作为精神疾病（例如饮食失调和身体变形障碍）中身体表征改变的候选神经基质的作用。</w:t>
      </w:r>
    </w:p>
    <w:p>
      <w:pPr>
        <w:spacing w:before="120"/>
      </w:pPr>
      <w:r>
        <w:rPr>
          <w:rFonts w:ascii="Times New Roman" w:hAnsi="Times New Roman" w:eastAsia="宋体"/>
          <w:b/>
          <w:sz w:val="21"/>
        </w:rPr>
        <w:t>English Abstract:</w:t>
      </w:r>
    </w:p>
    <w:p>
      <w:r>
        <w:rPr>
          <w:rFonts w:ascii="Times New Roman" w:hAnsi="Times New Roman" w:eastAsia="宋体"/>
          <w:sz w:val="21"/>
        </w:rPr>
        <w:t>Body size estimation—the ability to judge the size and shape of one’s own body—is a key perceptual component of body image. However, its neural basis, and the basis for inter-individual differences in accuracy, remain poorly understood, partly due to limitations in existing assessment tools. We used an adapted, fMRI-compatible version of Somatomap 3D, an interactive task in which participants manipulate a rotatable 3D avatar by adjusting the size and shape of 26 individual body parts to match their perceived body. Twenty-eight healthy male and female adults completed the task during fMRI. Brain activity in a priori regions of interest from previous studies of body processing was modeled using a general linear model incorporating event-specific parameters and parametric modulators related to task performance. Inter-individual differences in body size estimation accuracy were calculated using multidimensional scaling of body part estimation errors, and scores were correlated with BOLD signal eigenvariates from regions of interest. Task engagement was associated with significant activation in hypothesized body-selective and multisensory regions, including bilateral extrastriate body area, right fusiform body area, right superior parietal lobule, and bilateral premotor cortex. Multidimensional scaling identified a primary subdimension reflecting distortions in body part girths, which was significantly associated with neural responses in bilateral superior parietal lobule. No other brain regions showed significant associations with inter-individual differences in estimation accuracy. These results suggest that body size estimation engages a distributed network of visual, motor, and parietal regions. Among these, only the superior parietal lobule showed a significant association with inter-individual variation in body size estimation accuracy for body part girths, supporting its role as a candidate neural substrate for altered body representation in psychiatric conditions such as eating disorders and body dysmorphic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使用灰狼优化进行离线签名验证的混合机器学习框架</w:t>
      </w:r>
    </w:p>
    <w:p>
      <w:r>
        <w:rPr>
          <w:rFonts w:ascii="Times New Roman" w:hAnsi="Times New Roman" w:eastAsia="宋体"/>
          <w:b/>
          <w:color w:val="003264"/>
          <w:sz w:val="24"/>
        </w:rPr>
        <w:t>A hybrid machine learning framework for offline signature verification using gray wolf optimization</w:t>
      </w:r>
    </w:p>
    <w:p>
      <w:r>
        <w:rPr>
          <w:rFonts w:ascii="Times New Roman" w:hAnsi="Times New Roman" w:eastAsia="宋体"/>
          <w:sz w:val="21"/>
        </w:rPr>
        <w:t>作者: Nemi Chandra Rathore, Akshay Juneja, Neeraj Kumar, Vijay Kumar, Arvind Dhaka</w:t>
        <w:br/>
      </w:r>
      <w:r>
        <w:rPr>
          <w:rFonts w:ascii="Times New Roman" w:hAnsi="Times New Roman" w:eastAsia="宋体"/>
          <w:sz w:val="21"/>
        </w:rPr>
        <w:t xml:space="preserve">时间: 2026-02-03 | </w:t>
      </w:r>
      <w:r>
        <w:t xml:space="preserve">链接: </w:t>
      </w:r>
      <w:hyperlink r:id="rId191">
        <w:r>
          <w:rPr>
            <w:rFonts w:ascii="Times New Roman" w:hAnsi="Times New Roman" w:eastAsia="宋体"/>
            <w:color w:val="0000FF"/>
            <w:sz w:val="21"/>
            <w:u w:val="single"/>
          </w:rPr>
          <w:t>https://doi.org/10.1038/s41598-026-36163-4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写签名验证是行政、财务、法律等场景中经常使用的生物识别技术之一，用于验证个人身份。不幸的是，该任务的离线性质使其更具挑战性，因为它涉及签名内方差以及各种时间和环境因素。本文提出了一种新颖的离线签名验证系统（OSVS），称为 SignGuard。它是通过使用灰狼优化（GWO）进行预处理而设计的。此外，由于所提出的方法具有旋转敏感描述符，因此使用主方向对齐（POA）来减轻它们的旋转。接下来是两个具有新纹理特征的独立于作者的模型，即中心对称局部二进制模式（CS-LBP）和正交中心对称局部二进制模式（OC-CSLBP）。它们使用混合机器学习框架进行训练，集成支持向量机和 XGBoost 分类器，以离线模式验证签名图像。 SignGuard 的性能在 CEDAR、SID 和 BHSig260 数据集以及名为 DeepSignVault 的新颖数据集上得到利用，使得 OC-CSLBP 和 CS-LBP 的准确率分别达到 98.77% 和 97.46%。据观察，SignGuard 的性能优于现有的 OSVS。所提出的架构显示了商业、法律和管理系统中实际应用程序的增强的安全性和可靠性。 SignGuard的出色表现突显了法律文件和金融交易的真实性。</w:t>
      </w:r>
    </w:p>
    <w:p>
      <w:pPr>
        <w:spacing w:before="120"/>
      </w:pPr>
      <w:r>
        <w:rPr>
          <w:rFonts w:ascii="Times New Roman" w:hAnsi="Times New Roman" w:eastAsia="宋体"/>
          <w:b/>
          <w:sz w:val="21"/>
        </w:rPr>
        <w:t>English Abstract:</w:t>
      </w:r>
    </w:p>
    <w:p>
      <w:r>
        <w:rPr>
          <w:rFonts w:ascii="Times New Roman" w:hAnsi="Times New Roman" w:eastAsia="宋体"/>
          <w:sz w:val="21"/>
        </w:rPr>
        <w:t>Handwritten signature verification is one of the frequently used biometric in administrative, financial, legal, and similar scenarios to verify the identity of a person. Unfortunately, the offline nature of this task makes it more challenging as it involves intra-signature variance, and various temporal and environmental factors. This paper presents a novel offline signature verification system (OSVS) called SignGuard. It is designed by using Gray Wolf Optimization (GWO) for preprocessing. Also, Principal Orientation Alignment (POA) is used to mitigate their rotation as the proposed method has rotation sensitive descriptors. It is followed by two writer-independent models with new texture features namely, Centre Symmetric local binary pattern (CS-LBP) and Orthogonal Central Symmetric Local Binary Pattern (OC-CSLBP). They are trained using hybrid machine learning framework such that Support Vector Machine and XGBoost classifiers are integrated for the verification of a signature image in an offline mode. The performance of SignGuard is exploited on CEDAR, SID, and BHSig260 datasets, along with a novel dataset called DeepSignVault, such that OC-CSLBP and CS-LBP yields an accuracy of 98.77% and 97.46%, respectively. It is observed that SignGuard outperforms the existing OSVSs. The proposed architecture shows enhanced security and reliability for real-world applications in business, legal, and administrative systems. The outstanding performance of SignGuard highlights the authenticity of legal documents and financial transactions.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矢状旁与经椎间孔硬膜外类固醇注射硬膜外腔对比流量和临床结果的比较</w:t>
      </w:r>
    </w:p>
    <w:p>
      <w:r>
        <w:rPr>
          <w:rFonts w:ascii="Times New Roman" w:hAnsi="Times New Roman" w:eastAsia="宋体"/>
          <w:b/>
          <w:color w:val="003264"/>
          <w:sz w:val="24"/>
        </w:rPr>
        <w:t>Comparison of epidural space contrast flow and clinical outcomes in parasagittal versus transforaminal epidural steroid injection</w:t>
      </w:r>
    </w:p>
    <w:p>
      <w:r>
        <w:rPr>
          <w:rFonts w:ascii="Times New Roman" w:hAnsi="Times New Roman" w:eastAsia="宋体"/>
          <w:sz w:val="21"/>
        </w:rPr>
        <w:t>作者: Narges Khojasteh, Hossein Majedi, Ali Emami Meibodi, Alireza Khajehnasiri, Reza Atef Yekta, Nader Ali Nazemian Yazdi, Mojgan Rahimi, Sogol Alikarami, Koorosh Kamali, Hamed Abdollahi</w:t>
        <w:br/>
      </w:r>
      <w:r>
        <w:rPr>
          <w:rFonts w:ascii="Times New Roman" w:hAnsi="Times New Roman" w:eastAsia="宋体"/>
          <w:sz w:val="21"/>
        </w:rPr>
        <w:t xml:space="preserve">时间: 2026-02-03 | </w:t>
      </w:r>
      <w:r>
        <w:t xml:space="preserve">链接: </w:t>
      </w:r>
      <w:hyperlink r:id="rId192">
        <w:r>
          <w:rPr>
            <w:rFonts w:ascii="Times New Roman" w:hAnsi="Times New Roman" w:eastAsia="宋体"/>
            <w:color w:val="0000FF"/>
            <w:sz w:val="21"/>
            <w:u w:val="single"/>
          </w:rPr>
          <w:t>https://doi.org/10.1038/s41598-026-36056-6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硬膜外类固醇注射（ESI）常用于治疗腰骶神经根性疼痛，但硬膜外腔内溶质的扩散情况需要进一步研究。这项半盲、随机研究评估了 79 名患有腰痛的成人采用旁矢状椎板间 (PIL) 和经椎间孔 (TF) 入路的临床结果和对比传播模式。参与者被随机分配接受 TF-ESI（3 毫升）或高容量 PIL-ESI（10 毫升）。所有手术均在荧光镜引导下进行。由一位盲法疼痛专家评估造影剂扩散情况，并在治疗后两周、一个月、两个月和六个月测量临床结果，包括镇痛、患者满意度和生活质量。结果显示各组之间的基线特征没有差异。两组在基线和治疗后六个月的平均疼痛强度没有统计学上的显着差异（p分别为0.590和0.484）。六个月内，疼痛缓解、满意度、生活质量和对比剂扩散至硬膜外腔前部没有差异。然而，TF 组需要更多的透视图像 (p &lt; 0.001)。高容量 PIL-ESI 提供与 TF-ESI 相当的临床疗效和前部对比度分布，且所需的荧光镜图像更少。</w:t>
      </w:r>
    </w:p>
    <w:p>
      <w:pPr>
        <w:spacing w:before="120"/>
      </w:pPr>
      <w:r>
        <w:rPr>
          <w:rFonts w:ascii="Times New Roman" w:hAnsi="Times New Roman" w:eastAsia="宋体"/>
          <w:b/>
          <w:sz w:val="21"/>
        </w:rPr>
        <w:t>English Abstract:</w:t>
      </w:r>
    </w:p>
    <w:p>
      <w:r>
        <w:rPr>
          <w:rFonts w:ascii="Times New Roman" w:hAnsi="Times New Roman" w:eastAsia="宋体"/>
          <w:sz w:val="21"/>
        </w:rPr>
        <w:t>Abstract Epidural steroid injections (ESI) are frequently used to treat lumbosacral radicular pain, but the solute spread in the epidural space needs further investigation. This semi-blind, randomized study assessed clinical outcomes and contrast spread patterns between the parasagittal interlaminar (PIL) and transforaminal (TF) approaches in 79 adults with low back pain. Participants were randomly assigned to receive either TF-ESI (3 ml) or high-volume PIL-ESI (10 ml). All procedures were performed under fluoroscopic guidance. Contrast spread was evaluated by a blinded pain specialist, and clinical outcomes, including analgesia, patient satisfaction, and quality of life, were measured at two weeks, one month, two months, and six months post-treatment. Results showed no differences in baseline characteristics between groups. There were no statistically significant differences between the two groups in mean pain intensity at baseline and six months after treatment ( p = 0.590 and 0.484, respectively). Pain relief, satisfaction, quality of life, and contrast spread to the anterior epidural space did not differ over six months. However, the TF group required significantly more fluoroscopic images ( p &lt; 0.001). High-volume PIL-ESI provides clinical efficacy and anterior contrast distribution equivalent to TF-ESI, with fewer fluoroscopic images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买麻藤 var. 的药理学分析丁香提取物具有抗菌、抗氧化、细胞毒性和抗炎活性</w:t>
      </w:r>
    </w:p>
    <w:p>
      <w:r>
        <w:rPr>
          <w:rFonts w:ascii="Times New Roman" w:hAnsi="Times New Roman" w:eastAsia="宋体"/>
          <w:b/>
          <w:color w:val="003264"/>
          <w:sz w:val="24"/>
        </w:rPr>
        <w:t>Pharmacological profiling of Gnetum gnemon var. tenerum extracts exhibits antibacterial, antioxidant, cytotoxic and anti-inflammatory activities</w:t>
      </w:r>
    </w:p>
    <w:p>
      <w:r>
        <w:rPr>
          <w:rFonts w:ascii="Times New Roman" w:hAnsi="Times New Roman" w:eastAsia="宋体"/>
          <w:sz w:val="21"/>
        </w:rPr>
        <w:t>作者: Tachpon Techarang, Nateelak Kooltheat, Watcharapong Mitsuwan, Morteza Saki, Chonticha Romyasamit</w:t>
        <w:br/>
      </w:r>
      <w:r>
        <w:rPr>
          <w:rFonts w:ascii="Times New Roman" w:hAnsi="Times New Roman" w:eastAsia="宋体"/>
          <w:sz w:val="21"/>
        </w:rPr>
        <w:t xml:space="preserve">时间: 2026-02-03 | </w:t>
      </w:r>
      <w:r>
        <w:t xml:space="preserve">链接: </w:t>
      </w:r>
      <w:hyperlink r:id="rId193">
        <w:r>
          <w:rPr>
            <w:rFonts w:ascii="Times New Roman" w:hAnsi="Times New Roman" w:eastAsia="宋体"/>
            <w:color w:val="0000FF"/>
            <w:sz w:val="21"/>
            <w:u w:val="single"/>
          </w:rPr>
          <w:t>https://doi.org/10.1038/s41598-026-38348-3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本研究对买麻藤粗提物和溶剂分配部位进行了全面的体外药理学评价。特内鲁姆。 LC-MS 代谢物分析鉴定出 77 种化合物，包括类黄酮和苯乙醇胺衍生物，它们具有本文所述的抗氧化、细胞毒性和抗炎活性。对总酚和类黄酮含量 (TPC/TFC) 进行了定量，表明乙酸乙酯和正丁醇部分含有最高水平的这些植物化学物质。这些组分在 ABTS 和 DPPH 测定中均表现出很强的抗氧化活性。使用纸片扩散、MIC 和 MBC 测定法评估提取物对五种病原菌的抗菌活性，其中氯仿和乙酸乙酯组分表现出最高的效力，对鲍曼不动杆菌的 MIC 值低至 0.049 mg/mL。对人胃肠癌细胞系（AGS、HT-29）和正常肠上皮细胞系（HIEC-6）的细胞毒性测试显示，对癌细胞具有剂量依赖性细胞毒性，而对正常细胞的影响明显较低，表明有选择性作用。通过 LPS 刺激的 RAW264.7 巨噬细胞中一氧化氮 (NO) 抑制来评估抗炎活性，结果表明氯仿和乙酸乙酯组分最有效地抑制 NO 产生。这些发现为 G.gnemon 的传统用途提供了科学支持，并强调其提取物是生物活性化合物的有前途的来源，具有抗氧化应激、细菌感染、炎症和癌症的多靶点药理潜力。</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conducted a comprehensive in vitro pharmacological evaluation of the crude extract and solvent-partitioned fractions of Gnetum gnemon var. tenerum . LC–MS metabolite profiling identified 77 compounds, including flavonoids and phenylethanolamine derivatives, that exhibit the antioxidant, cytotoxic, and anti-inflammatory activities described in this paper. The total phenolic and flavonoid contents (TPC/TFC) were quantified, showed that the ethyl acetate and n-butanol fractions contained the highest levels of these phytochemicals. These fractions exhibited strong antioxidant activity in both ABTS and DPPH assays. The antibacterial activity of the extracts was assessed using disk diffusion, MIC, and MBC assays against five pathogenic bacteria, where the chloroform and ethyl acetate fractions demonstrated the highest potency, with MIC values as low as 0.049 mg/mL against Acinetobacter baumannii . Cytotoxicity testing on human gastrointestinal cancer cell lines (AGS, HT-29) and a normal intestinal epithelial cell line (HIEC-6) showed dose-dependent cytotoxicity toward cancer cells while exerting markedly lower effects on normal cells, suggesting selective action. Anti-inflammatory activity, evaluated by nitric oxide (NO) inhibition in LPS-stimulated RAW264.7 macrophages, revealed that the chloroform and ethyl acetate fractions most effectively suppressed NO production. These findings provide scientific support for the traditional uses of G. gnemon and highlight its extracts as a promising source of bioactive compounds with multi-target pharmacological potential against oxidative stress, bacterial infections, inflammation, and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氢集成电力系统规划的线性规划模型</w:t>
      </w:r>
    </w:p>
    <w:p>
      <w:r>
        <w:rPr>
          <w:rFonts w:ascii="Times New Roman" w:hAnsi="Times New Roman" w:eastAsia="宋体"/>
          <w:b/>
          <w:color w:val="003264"/>
          <w:sz w:val="24"/>
        </w:rPr>
        <w:t>A linear programming model for power system planning with hydrogen integration</w:t>
      </w:r>
    </w:p>
    <w:p>
      <w:r>
        <w:rPr>
          <w:rFonts w:ascii="Times New Roman" w:hAnsi="Times New Roman" w:eastAsia="宋体"/>
          <w:sz w:val="21"/>
        </w:rPr>
        <w:t>作者: Issa Zaiter, Andrei Sleptchenko, Ahmad Mayyas, Raed Jaradat, Toufic Mezher</w:t>
        <w:br/>
      </w:r>
      <w:r>
        <w:rPr>
          <w:rFonts w:ascii="Times New Roman" w:hAnsi="Times New Roman" w:eastAsia="宋体"/>
          <w:sz w:val="21"/>
        </w:rPr>
        <w:t xml:space="preserve">时间: 2026-02-03 | </w:t>
      </w:r>
      <w:r>
        <w:t xml:space="preserve">链接: </w:t>
      </w:r>
      <w:hyperlink r:id="rId194">
        <w:r>
          <w:rPr>
            <w:rFonts w:ascii="Times New Roman" w:hAnsi="Times New Roman" w:eastAsia="宋体"/>
            <w:color w:val="0000FF"/>
            <w:sz w:val="21"/>
            <w:u w:val="single"/>
          </w:rPr>
          <w:t>https://doi.org/10.1038/s41598-026-35701-4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济脱碳的迫切需要使氢成为难以减排行业的清洁燃料和可再生能源整合的缓冲。对于拥有丰富太阳能资源的阿拉伯联合酋长国（UAE）来说，氢在电力系统中的大规模作用仍未得到充分探索。本研究开发了一种每小时分辨率的线性规划优化模型，以评估氢作为储能介质和工业商品的经济和环境效益。该模型优化了太阳能光伏、风能、核能和天然气发电，以及电池和包括地下储氢在内的氢气子系统，以满足预计的 2030 年电力（203 太瓦时）和氢气（1.4 百万吨）需求目标。该模型采用 Python 实现并通过 Gurobi 求解，确定了一个成本最优的系统，其电力成本为 0.065 美元/千瓦时，氢气成本为 2.56 美元/公斤。结果突显了氢对碳税和天然气价格波动的脆弱性，同时证实了氢在储存和需求供应方面的成本效益。</w:t>
      </w:r>
    </w:p>
    <w:p>
      <w:pPr>
        <w:spacing w:before="120"/>
      </w:pPr>
      <w:r>
        <w:rPr>
          <w:rFonts w:ascii="Times New Roman" w:hAnsi="Times New Roman" w:eastAsia="宋体"/>
          <w:b/>
          <w:sz w:val="21"/>
        </w:rPr>
        <w:t>English Abstract:</w:t>
      </w:r>
    </w:p>
    <w:p>
      <w:r>
        <w:rPr>
          <w:rFonts w:ascii="Times New Roman" w:hAnsi="Times New Roman" w:eastAsia="宋体"/>
          <w:sz w:val="21"/>
        </w:rPr>
        <w:t>The imperative to decarbonize the economy has positioned hydrogen as a clean fuel for hard-to-abate sectors and as a buffer for renewable energy integration. For the United Arab Emirates (UAE), with abundant solar resources, the large-scale role of hydrogen in the power system remains underexplored. This study develops an hourly-resolution linear programming optimization model to evaluate the economic and environmental benefits of hydrogen integration as both an energy storage medium and an industrial commodity. The model optimizes solar PV, wind, nuclear, and natural gas generation, along with batteries and a hydrogen subsystem including underground hydrogen storage, to meet projected 2030 electricity (203 TWh) and hydrogen (1.4 Mton) demand targets. Implemented in Python and solved with Gurobi, the model identifies a cost-optimal system that yields a levelized cost of electricity of $0.065/kWh and hydrogen of $2.56/kg. The results highlight vulnerability to carbon taxation and gas price volatility, while confirming hydrogen’s cost-effectiveness for storage and demand supply.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评估大型植物的矿物质成分和体外养分消化率，以评估其作为可持续动物饲料的潜力</w:t>
      </w:r>
    </w:p>
    <w:p>
      <w:r>
        <w:rPr>
          <w:rFonts w:ascii="Times New Roman" w:hAnsi="Times New Roman" w:eastAsia="宋体"/>
          <w:b/>
          <w:color w:val="003264"/>
          <w:sz w:val="24"/>
        </w:rPr>
        <w:t>Evaluation of mineral composition and in-vitro nutrient digestibility of macrophytes to assess their potential as sustainable animal feed</w:t>
      </w:r>
    </w:p>
    <w:p>
      <w:r>
        <w:rPr>
          <w:rFonts w:ascii="Times New Roman" w:hAnsi="Times New Roman" w:eastAsia="宋体"/>
          <w:sz w:val="21"/>
        </w:rPr>
        <w:t>作者: Munibul Islam, Gowher Gull Sheikh, Qazi Shehriyar Sahib, Haidar Ali Ahmed</w:t>
        <w:br/>
      </w:r>
      <w:r>
        <w:rPr>
          <w:rFonts w:ascii="Times New Roman" w:hAnsi="Times New Roman" w:eastAsia="宋体"/>
          <w:sz w:val="21"/>
        </w:rPr>
        <w:t xml:space="preserve">时间: 2026-02-03 | </w:t>
      </w:r>
      <w:r>
        <w:t xml:space="preserve">链接: </w:t>
      </w:r>
      <w:hyperlink r:id="rId195">
        <w:r>
          <w:rPr>
            <w:rFonts w:ascii="Times New Roman" w:hAnsi="Times New Roman" w:eastAsia="宋体"/>
            <w:color w:val="0000FF"/>
            <w:sz w:val="21"/>
            <w:u w:val="single"/>
          </w:rPr>
          <w:t>https://doi.org/10.1038/s41598-026-37642-4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评估了从达尔湖、马纳斯巴尔湖、霍克萨尔湖和安查尔湖收集的各种水生植物的宏观和微观矿物质特征，评估了重金属浓度，并确定了其体外消化率。宏观矿物质分析揭示了每个湖泊不同物种之间的显着差异，突出了这些水生植物的营养多样性。达尔湖的青萍、马纳斯巴尔湖的满江红、Hokersar 湖的酸模、安查尔湖的青萍和红萍表现出值得注意的大量矿物质浓度。就微量矿物质而言，达尔湖水生植物的铜 (Cu) 浓度一致，而睡莲 (Nymphaea tetragona) 的铁含量显着较高 (p &lt; 0.05)。研究发现其他湖泊的大型植物中微量矿物质浓度也有类似的趋势。重金属分析表明，达尔湖和马纳斯巴尔湖的大型植物的浓度不同，其中一些物种显示出植物修复剂的潜力。体外消化率结果显示，来自达尔湖的荷花、菱角和浮萍的干物质 (DM)、有机质 (OM) 和中性洗涤纤维 (NDF) 的消化率显着较高 (p &lt; 0.05)，而来自马纳斯巴尔湖的睡莲也显示出显着较高的值 (p &lt; 0.05)。来自 Nigeen Lake 的香蒲、荇菜和金鱼藻的体外消化率值显着较低 (p &lt; 0.05)，同样，来自 Anchar 湖的 Nymphoides peltata 也表现出较低的值。该研究强调了环境因素对矿物质积累的影响以及水生植物在营养物去除和植物修复方面的潜在用途。</w:t>
      </w:r>
    </w:p>
    <w:p>
      <w:pPr>
        <w:spacing w:before="120"/>
      </w:pPr>
      <w:r>
        <w:rPr>
          <w:rFonts w:ascii="Times New Roman" w:hAnsi="Times New Roman" w:eastAsia="宋体"/>
          <w:b/>
          <w:sz w:val="21"/>
        </w:rPr>
        <w:t>English Abstract:</w:t>
      </w:r>
    </w:p>
    <w:p>
      <w:r>
        <w:rPr>
          <w:rFonts w:ascii="Times New Roman" w:hAnsi="Times New Roman" w:eastAsia="宋体"/>
          <w:sz w:val="21"/>
        </w:rPr>
        <w:t>The current study evaluates the macro- and micro-mineral profiles, assesses heavy metal concentrations, and determines the in-vitro digestibility of various aquatic macrophytes collected from Dal Lake, Manasbal Lake, Hokersar Lake, and Anchar Lake. The macro-mineral analysis reveals significant variations among different species in each lake, highlighting the nutritional diversity of these aquatic plants. Lemna minor from Dal Lake, Azolla cristata from Manasbal Lake, Rumex rupestris from Hokersar Lake, and Lemna minor and Azolla cristata from Anchar Lake exhibited noteworthy macro-mineral concentrations. In terms of micro-minerals, Copper (Cu) concentrations were consistent among macrophytes from Dal Lake, while Fe levels were significantly higher (p &lt; 0.05) in Nymphaea tetragona. The study found similar trends in micro-mineral concentrations in macrophytes from other lakes. The heavy metal analysis demonstrated varying concentrations among macrophytes in Dal Lake and Manasbal Lake, with some species showing potential as phytoremediators. The outcomes of in-vitro digestibility revealed significantly higher (p &lt; 0.05) digestibilities of dry matter (DM), organic matter (OM), and neutral detergent fiber (NDF) in weeds Nelumbo nucifera, Trapa natans, and Lemna minor sourced from Dal Lake, whereas, Nymphaea tetragona from Manasbal Lake also revealed significantly higher values (p &lt; 0.05). Significantly lower (p &lt; 0.05) in-vitro digestibility values were revealed by Typha angustata, Nymphoides aquatica, and Ceratophyllum demersum from Nigeen Lake, likewise Nymphoides peltata sourced from Anchar Lake exhibited lower values. The study emphasizes the impact of environmental factors on mineral accumulation and the potential use of aquatic plants for nutrient removal and phytoremediation.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AA2014 和 AA5052 异种铝合金搅拌摩擦焊参数优化</w:t>
      </w:r>
    </w:p>
    <w:p>
      <w:r>
        <w:rPr>
          <w:rFonts w:ascii="Times New Roman" w:hAnsi="Times New Roman" w:eastAsia="宋体"/>
          <w:b/>
          <w:color w:val="003264"/>
          <w:sz w:val="24"/>
        </w:rPr>
        <w:t>Friction stir welding parameter optimization for dissimilar AA2014 and AA5052 aluminium alloys</w:t>
      </w:r>
    </w:p>
    <w:p>
      <w:r>
        <w:rPr>
          <w:rFonts w:ascii="Times New Roman" w:hAnsi="Times New Roman" w:eastAsia="宋体"/>
          <w:sz w:val="21"/>
        </w:rPr>
        <w:t>作者: Seenivasan Soundararjan, C. Jeevakarunya, P. Raj Kumar, R. Chandraprakash, Sathish Kannan, A. Saiyathibrahim, A. Johnson Santhosh</w:t>
        <w:br/>
      </w:r>
      <w:r>
        <w:rPr>
          <w:rFonts w:ascii="Times New Roman" w:hAnsi="Times New Roman" w:eastAsia="宋体"/>
          <w:sz w:val="21"/>
        </w:rPr>
        <w:t xml:space="preserve">时间: 2026-02-03 | </w:t>
      </w:r>
      <w:r>
        <w:t xml:space="preserve">链接: </w:t>
      </w:r>
      <w:hyperlink r:id="rId196">
        <w:r>
          <w:rPr>
            <w:rFonts w:ascii="Times New Roman" w:hAnsi="Times New Roman" w:eastAsia="宋体"/>
            <w:color w:val="0000FF"/>
            <w:sz w:val="21"/>
            <w:u w:val="single"/>
          </w:rPr>
          <w:t>https://doi.org/10.1038/s41598-026-37562-3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这项科学研究利用响应面法（RSM）和Box-Behnken设计（BBD）优化了AA2014和AA5052异种铝合金的搅拌摩擦焊（FSW）参数。系统地改变四个关键加工变量，即工具转速（1500-2100 rpm）、销几何形状（三角形、圆形、方形）、轴向载荷（7-10 kN）和焊接速度（10-20 mm/min），以评估它们对极限抗拉强度（UTS）、屈服强度（YS）、伸长率（E）和显微硬度（H）的影响。使用期望函数进行的多响应优化揭示了一组有利条件：1879.95 rpm、方销、10 kN 轴向载荷和 17.62 mm/min 焊接速度。在这些条件下，焊缝的机械性能表现出 UTS = 257.76 MPa、YS = 196.96 MPa、E = 4.41% 和 H = 100.96 Hv 的平衡，综合期望值为 0.880。随后的验证实验证明该模型是可靠的，UTS和YS的预测误差均小于1.5%。显微组织检查表明，优化后的焊缝具有细小的等轴晶组织，搅拌区Al2CuMg析出物分布均匀，这是由于完全的动态再结晶和充分的材料混合所致。相反，次优参数会产生粗晶粒、析出物簇和隧道缺陷，这与较差的机械性能相关。在这项研究中，RSM-BBD-合意性方法的集成方法已被证明可以有效优化这对异种合金的 FSW，以生产出无缺陷的接头，并具有改进的强度-硬度平衡，适合轻质结构应用。</w:t>
      </w:r>
    </w:p>
    <w:p>
      <w:pPr>
        <w:spacing w:before="120"/>
      </w:pPr>
      <w:r>
        <w:rPr>
          <w:rFonts w:ascii="Times New Roman" w:hAnsi="Times New Roman" w:eastAsia="宋体"/>
          <w:b/>
          <w:sz w:val="21"/>
        </w:rPr>
        <w:t>English Abstract:</w:t>
      </w:r>
    </w:p>
    <w:p>
      <w:r>
        <w:rPr>
          <w:rFonts w:ascii="Times New Roman" w:hAnsi="Times New Roman" w:eastAsia="宋体"/>
          <w:sz w:val="21"/>
        </w:rPr>
        <w:t>This scientific research has optimized the parameters of Friction Stir Welding (FSW) for dissimilar aluminium alloys of AA2014 and AA5052 by using Response Surface Methodology (RSM) with a Box-Behnken Design (BBD). Four critical processing variables, i.e., tool rotating speed (1500–2100 rpm), pin geometry (triangle, circular, square), axial load (7–10 kN), and welding speed (10–20 mm/min), were systematically varied to assess their influence on ultimate tensile strength (UTS), yield strength (YS), elongation (E), and microhardness (H). Multi-response optimization using the desirability function revealed a set of favourable conditions: 1879.95 rpm, square pin, 10 kN axial load, and 17.62 mm/min welding speed. Under these conditions the mechanical performance of the weld showed a balance of UTS = 257.76 MPa, YS = 196.96 MPa, E = 4.41%, and H = 100.96 Hv with a combined desirability of 0.880. Subsequent validation experiments proved the model to be reliable, with errors in the prediction of UTS and YS less than 1.5%. Microstructural examination showed that the optimized weld had a fine equiaxed grain structure and a homogeneous distribution of Al2CuMg precipitates in the stir zone that is due to complete dynamic recrystallization and thorough material mixing. On the contrary, coarse grains, clusters of precipitates, and tunnel defects were produced by sub-optimal parameters, which correlated with inferior mechanical properties. In this research, the integrated approach of RSM-BBD-desirability approach has been shown to be effective in the optimization of FSW of this dissimilar pair of alloys to produce defect-free joints with an improved strength-hardness balance suitable for lightweight structural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由紧急医疗服务数据支持的机器学习模型增强了院前环境中的中风分诊</w:t>
      </w:r>
    </w:p>
    <w:p>
      <w:r>
        <w:rPr>
          <w:rFonts w:ascii="Times New Roman" w:hAnsi="Times New Roman" w:eastAsia="宋体"/>
          <w:b/>
          <w:color w:val="003264"/>
          <w:sz w:val="24"/>
        </w:rPr>
        <w:t>Machine learning models powered by emergency medical services data enhance stroke triage in prehospital settings</w:t>
      </w:r>
    </w:p>
    <w:p>
      <w:r>
        <w:rPr>
          <w:rFonts w:ascii="Times New Roman" w:hAnsi="Times New Roman" w:eastAsia="宋体"/>
          <w:sz w:val="21"/>
        </w:rPr>
        <w:t>作者: Michael Saban, Grant Hiura, Paula de la Peña, Amy Wozniak, Daniel Heiferman, Oguz Akbilgic, Mark Cichon, Samie Tootooni</w:t>
        <w:br/>
      </w:r>
      <w:r>
        <w:rPr>
          <w:rFonts w:ascii="Times New Roman" w:hAnsi="Times New Roman" w:eastAsia="宋体"/>
          <w:sz w:val="21"/>
        </w:rPr>
        <w:t xml:space="preserve">时间: 2026-02-03 | </w:t>
      </w:r>
      <w:r>
        <w:t xml:space="preserve">链接: </w:t>
      </w:r>
      <w:hyperlink r:id="rId197">
        <w:r>
          <w:rPr>
            <w:rFonts w:ascii="Times New Roman" w:hAnsi="Times New Roman" w:eastAsia="宋体"/>
            <w:color w:val="0000FF"/>
            <w:sz w:val="21"/>
            <w:u w:val="single"/>
          </w:rPr>
          <w:t>https://doi.org/10.1038/s41598-026-37069-x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及时的中风诊断对于提供挽救生命的治疗至关重要，但当前的院前中风评估工具经常导致漏诊或延迟诊断。紧急医疗服务 (EMS) 越来越多地在运输过程中收集详细数据，为开发基于人工智能的工具来支持早期中风检测提供了机会。在这项回顾性研究中，我们与急诊科 (ED) 记录相比，评估了院前数据的可用性和可靠性。我们测试了机器学习支持 EMS 中风分诊的潜力。我们的队列包括 2015 年至 2020 年 8,221 次救护车中的 4,333 名患者，中风率为 2.0%（64% 为严重中风）。心率、呼吸频率、血压、血氧饱和度和 GCS 评分等生命体征的记录比例超过 88%，普遍高于 ED 患者。我们训练和评估了用于检测中风和严重中风的随机森林、XGBoost 和顺序神经网络。 XGBoost 模型在中风检测方面表现最佳（ROC-AUC 0.843 [0.77–0.89]、PR-AUC 0.293 [0.16–0.45]），而随机森林在严重中风方面表现最佳（ROC-AUC 0.826 [0.75–0.90]、PR-AUC 0.186 [0.07–0.35]）。模型经过校准以提高可靠性，并使用 SHAP 评估特征重要性以增强可解释性。这些发现凸显了基于人工智能的工具在利用实时 EMS 数据改善院前中风分诊方面的前景。</w:t>
      </w:r>
    </w:p>
    <w:p>
      <w:pPr>
        <w:spacing w:before="120"/>
      </w:pPr>
      <w:r>
        <w:rPr>
          <w:rFonts w:ascii="Times New Roman" w:hAnsi="Times New Roman" w:eastAsia="宋体"/>
          <w:b/>
          <w:sz w:val="21"/>
        </w:rPr>
        <w:t>English Abstract:</w:t>
      </w:r>
    </w:p>
    <w:p>
      <w:r>
        <w:rPr>
          <w:rFonts w:ascii="Times New Roman" w:hAnsi="Times New Roman" w:eastAsia="宋体"/>
          <w:sz w:val="21"/>
        </w:rPr>
        <w:t>Timely stroke diagnosis is essential for delivering life-saving treatments, yet current prehospital stroke assessment tools often lead to missed or delayed diagnoses. Emergency Medical Services (EMS) increasingly collect detailed data during transport, offering an opportunity to develop AI-based tools to support early stroke detection. In this retrospective study, we evaluated the availability and reliability of prehospital data compared to Emergency Department (ED) records. We tested the potential of machine learning to support EMS stroke triage. Our cohort included 4,333 patients across 8,221 ambulance encounters from 2015 to 2020 with stroke rate of 2.0% (64% severe strokes). Vital signs such as heart rate, respiratory rate, blood pressure, oxygen saturation, and GCS scores, recorded in over 88%, were generally higher than their ED counterparts. We trained and evaluated random forest, XGBoost, and sequential neural networks for detecting stroke and severe stroke. The XGBoost model performed best for stroke detection (ROC-AUC 0.843 [0.77–0.89], PR-AUC 0.293 [0.16–0.45]), while Random Forest performed best for severe strokes (ROC-AUC 0.826 [0.75–0.90], PR-AUC 0.186 [0.07–0.35]). Models were calibrated to improve reliability, and feature importance was assessed using SHAP to enhance interpretability. These findings highlight the promise of AI-based tools in improving prehospital stroke triage with real-time EMS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针对医疗数据生态系统中人工智能驱动的威胁传播和零日云漏洞的多层加密信任强化模型</w:t>
      </w:r>
    </w:p>
    <w:p>
      <w:r>
        <w:rPr>
          <w:rFonts w:ascii="Times New Roman" w:hAnsi="Times New Roman" w:eastAsia="宋体"/>
          <w:b/>
          <w:color w:val="003264"/>
          <w:sz w:val="24"/>
        </w:rPr>
        <w:t>A multi-layered cryptographic trust reinforcement model against AI-driven threat propagation and zero-day cloud vulnerabilities in healthcare data ecosystems</w:t>
      </w:r>
    </w:p>
    <w:p>
      <w:r>
        <w:rPr>
          <w:rFonts w:ascii="Times New Roman" w:hAnsi="Times New Roman" w:eastAsia="宋体"/>
          <w:sz w:val="21"/>
        </w:rPr>
        <w:t>作者: Meena Rani, R. Lavanya, K. V. Shahnaz, K. Ramu, Rohit Pachlor, Shitanshu Jain</w:t>
        <w:br/>
      </w:r>
      <w:r>
        <w:rPr>
          <w:rFonts w:ascii="Times New Roman" w:hAnsi="Times New Roman" w:eastAsia="宋体"/>
          <w:sz w:val="21"/>
        </w:rPr>
        <w:t xml:space="preserve">时间: 2026-02-03 | </w:t>
      </w:r>
      <w:r>
        <w:t xml:space="preserve">链接: </w:t>
      </w:r>
      <w:hyperlink r:id="rId198">
        <w:r>
          <w:rPr>
            <w:rFonts w:ascii="Times New Roman" w:hAnsi="Times New Roman" w:eastAsia="宋体"/>
            <w:color w:val="0000FF"/>
            <w:sz w:val="21"/>
            <w:u w:val="single"/>
          </w:rPr>
          <w:t>https://doi.org/10.1038/s41598-026-36966-5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云生态系统越来越容易受到网络攻击、零日攻击以及人工智能驱动的攻击的困扰，因此需要在后台安全架构中使用操作可行、可靠、科学的安全架构。本文的作者介绍了多层加密信任强化（MCTR）框架，该框架将分层抗量子密码、通过区块链的去中心化信任验证和基于人工智能的异常检测器结合到一个自适应和协调的安全框架中。与当前的混合医疗保健安全模型相比，所提供的解决方案提供了数学控制的信任开发、协调的多节点零日缓解以及区块链控制的取证透明度。对真实医疗保健数据的大规模模拟表明，威胁检测率为 95-98%，误报率不超过 2.5%，区块链吞吐量每秒超过 130 笔交易，区块链对零日攻击的有效率超过 91%，且延迟水平合理。这些结果证明 MCTR 在技术上是合理的，在计算上不可能不可行，并且实际上可以用于实时医疗保健环境。</w:t>
      </w:r>
    </w:p>
    <w:p>
      <w:pPr>
        <w:spacing w:before="120"/>
      </w:pPr>
      <w:r>
        <w:rPr>
          <w:rFonts w:ascii="Times New Roman" w:hAnsi="Times New Roman" w:eastAsia="宋体"/>
          <w:b/>
          <w:sz w:val="21"/>
        </w:rPr>
        <w:t>English Abstract:</w:t>
      </w:r>
    </w:p>
    <w:p>
      <w:r>
        <w:rPr>
          <w:rFonts w:ascii="Times New Roman" w:hAnsi="Times New Roman" w:eastAsia="宋体"/>
          <w:sz w:val="21"/>
        </w:rPr>
        <w:t>The healthcare cloud ecosystem is getting vulnerable to cyberattacks, zero-day attacks and being plagued by AI-driven attacks, hence the need to use operationally feasible, solid, scientific in background security architectures. The authors of this paper introduce a Multi-Layered Cryptographic Trust Reinforcement (MCTR) framework, which unites hierarchical quantum-resistant cryptography, decentralized trust validation through blockchain and AI-based anomaly detector into an adaptive and coordinated security framework. In contrast to the current hybrid healthcare security models, the offered solution provides mathematically controlled trust development, coordinated multi-node zero-day mitigation, and blockchain-controlled forensic transparency. Large-scale simulations with real-world healthcare data show that the threat detection rate is 95–98%, the false positive rate does not surpass 2.5%, blockchain throughput is over 130 transactions per second, and blockchain is over 91% effective against zero-day attacks with a reasonable level of latency. These results prove that MCTR is technically sound, cannot be computationally unfeasible, and practically can be used in real-time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一种增强隧道视力患者视野的改进缝雕方法</w:t>
      </w:r>
    </w:p>
    <w:p>
      <w:r>
        <w:rPr>
          <w:rFonts w:ascii="Times New Roman" w:hAnsi="Times New Roman" w:eastAsia="宋体"/>
          <w:b/>
          <w:color w:val="003264"/>
          <w:sz w:val="24"/>
        </w:rPr>
        <w:t>An improved seam carving method for enhancing the visual field of tunnel vision patients</w:t>
      </w:r>
    </w:p>
    <w:p>
      <w:r>
        <w:rPr>
          <w:rFonts w:ascii="Times New Roman" w:hAnsi="Times New Roman" w:eastAsia="宋体"/>
          <w:sz w:val="21"/>
        </w:rPr>
        <w:t>作者: Dina El-Torky, Salsabil El-Regaily, Ahmad Moadamani, Ahmed Osama, Alaa Mostafa, Amira Yasser, Mosaab Ghaley, Shahd Ashraf, Maryam Al-Berry, Zaki Fayed</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https://doi.org/10.1038/s41598-026-35527-0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视力障碍有多种形式，所有这些都会对患者的日常活动产生负面影响，并妨碍患者执行简单的行动，例如安全地在街上行走。内容感知图像重定向可用于增强视野有限（即隧道视野）的患者的场景。本研究论文提出了一种改进的接缝雕刻方法，该方法可以减小输入图像的宽度以适应患者的视角，同时保留原始图像中的重要对象以及图像细节。该方法通过使用结合深度、显着性、前景分割和边缘检测特征的多尺度图像融合计算能量图来增强原始接缝雕刻，并使用前向中间方法进行接缝去除步骤。结果显示，效率优于各种重定向方法，整合了结构、感知和基于特征的质量指标的综合得分提高了 30.8%。使用配对 t 检验 ( $$n = 73$$ ) 的统计分析证实，与基线接缝雕刻方法相比，所有主要指标 ( $$p&lt;0.001$$ ) 都取得了统计上的显着改进，包括 SSIM、SIFT 特征匹配和基于现代深度学习的感知质量指标。</w:t>
      </w:r>
    </w:p>
    <w:p>
      <w:pPr>
        <w:spacing w:before="120"/>
      </w:pPr>
      <w:r>
        <w:rPr>
          <w:rFonts w:ascii="Times New Roman" w:hAnsi="Times New Roman" w:eastAsia="宋体"/>
          <w:b/>
          <w:sz w:val="21"/>
        </w:rPr>
        <w:t>English Abstract:</w:t>
      </w:r>
    </w:p>
    <w:p>
      <w:r>
        <w:rPr>
          <w:rFonts w:ascii="Times New Roman" w:hAnsi="Times New Roman" w:eastAsia="宋体"/>
          <w:sz w:val="21"/>
        </w:rPr>
        <w:t>Abstract Visual impairment has various forms all of which negatively affect the patient’s daily activities and prevent performing simple actions like walking safely in a street. Content-aware image retargeting can be used to enhance the scene for patients who have limited visual field i.e. tunnel vision. A modified Seam Carving method is presented in this research paper which can decrease the width of the input image to fit in the patient’s angle of vision while preserving the important objects in the original image as well as the image details. The method enhanced the original Seam Carving by calculating the energy map using multiscale image fusion that combines depth, saliency, foreground segmentation, and edge detection features, and used a forward-middle approach for the seam removal step. The results showed efficiency that outperformed various retargeting methods, achieving a 30.8% improvement in the composite score that integrates structural, perceptual, and feature-based quality metrics. Statistical analysis using paired t-tests ( $$n = 73$$ ) confirmed statistically significant improvements across all major metrics ( $$p&lt;0.001$$ ), including SSIM, SIFT feature matching, and modern deep learning-based perceptual quality metrics, compared to the baseline seam carving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阳光防护剂对某些生物防治剂的协同活性作为控制棉叶虫、斜纹夜蛾（Boisduval）的新方法</w:t>
      </w:r>
    </w:p>
    <w:p>
      <w:r>
        <w:rPr>
          <w:rFonts w:ascii="Times New Roman" w:hAnsi="Times New Roman" w:eastAsia="宋体"/>
          <w:b/>
          <w:color w:val="003264"/>
          <w:sz w:val="24"/>
        </w:rPr>
        <w:t>Synergistic activity of sunlight protectants on some biocontrol agents as a new approach to control the cotton leaf worm, Spodoptera littoralis (Boisduval)</w:t>
      </w:r>
    </w:p>
    <w:p>
      <w:r>
        <w:rPr>
          <w:rFonts w:ascii="Times New Roman" w:hAnsi="Times New Roman" w:eastAsia="宋体"/>
          <w:sz w:val="21"/>
        </w:rPr>
        <w:t>作者: Radwa G. Attia, Abd El Aziz A. Khidr, Hend A. A. Al-Ashry, M. S. Yones, Mahmoud Sayed, Shireen A. M. Maamoun</w:t>
        <w:br/>
      </w:r>
      <w:r>
        <w:rPr>
          <w:rFonts w:ascii="Times New Roman" w:hAnsi="Times New Roman" w:eastAsia="宋体"/>
          <w:sz w:val="21"/>
        </w:rPr>
        <w:t xml:space="preserve">时间: 2026-02-03 | </w:t>
      </w:r>
      <w:r>
        <w:t xml:space="preserve">链接: </w:t>
      </w:r>
      <w:hyperlink r:id="rId200">
        <w:r>
          <w:rPr>
            <w:rFonts w:ascii="Times New Roman" w:hAnsi="Times New Roman" w:eastAsia="宋体"/>
            <w:color w:val="0000FF"/>
            <w:sz w:val="21"/>
            <w:u w:val="single"/>
          </w:rPr>
          <w:t>https://doi.org/10.1038/s41598-026-35601-7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杀虫剂作为传统化学杀虫剂的可持续且环保的替代品而受到关注。它们具有特定目标、可生物降解，并能减少昆虫抗性的发展。然而，它们的使用通常受到环境不稳定的限制，特别是在阳光和紫外线辐射下，这会迅速降解活性成分并降低功效。需要保护性配方，例如添加紫外线屏蔽剂，以提高其耐用性和功效。本研究调查了三种紫外线防护剂（棕榈酸辛酯、Tinuvin P 和 UV-P）在增强一些生物防治剂（Dipel DF、Tracer 和 Diacox）在田间条件下 15 天的持久性以控制斜纹夜蛾 4 龄幼虫方面的效率。 12天后，所有杀虫剂的残留效果均显着下降，其中Tracer的残留效果最低，死亡率为零，而Diacox + UV防护剂的残留效果最高。到了 15 天，除 Diacox 与棕榈酸辛酯、Tinuvin P 和 UV-P 混合外，均不再具有持续疗效，仍导致 27%、32% 和 12% 的死亡率；分别。处理 15 天后，对北沙蚕幼虫的 SDS-PAGE 显示处理组和对照组之间蛋白质片段数量的差异。处理后的样品中形成了新的蛋白质条带，而一些正常条带消失了。</w:t>
      </w:r>
    </w:p>
    <w:p>
      <w:pPr>
        <w:spacing w:before="120"/>
      </w:pPr>
      <w:r>
        <w:rPr>
          <w:rFonts w:ascii="Times New Roman" w:hAnsi="Times New Roman" w:eastAsia="宋体"/>
          <w:b/>
          <w:sz w:val="21"/>
        </w:rPr>
        <w:t>English Abstract:</w:t>
      </w:r>
    </w:p>
    <w:p>
      <w:r>
        <w:rPr>
          <w:rFonts w:ascii="Times New Roman" w:hAnsi="Times New Roman" w:eastAsia="宋体"/>
          <w:sz w:val="21"/>
        </w:rPr>
        <w:t>Abstract Bioinsecticides have gained attention as a sustainable and eco-friendly alternative to traditional chemical insecticides. They are target-specific, biodegradable, and reduce the development of insect resistance. However, their use is often limited by environmental instability, particularly under sunlight and UV radiation, which rapidly degrade active ingredients and reduce efficacy. Protective formulation, such as addition of UV-screening agents are needed to improve their durability and efficacy. This study investigates the efficiency of three UV protectants, Octylpalmitate, Tinuvin P, and UV- P in enhancing the persistence of some biocontrol agents, Dipel DF, Tracer, and Diacox under field conditions for 15 days to control the 4th instar larvae of Spodoptera littoralis . After 12 days, the residual effect of the all insecticides had markedly decreased, with Tracer showing the lowest persistence with zero mortality, and Diacox + UV protectant the highest. By 15 days, the sustained efficacy was absent, except for Diacox mixed with Octyl palmitate, Tinuvin P, and UV-P, which still caused 27, 32 and 12% mortality; respectively. The SDS-PAGE of S. littoralis larvae following 15 days of treatments revealed differences in the numbers of protein fragments between treated and control. New protein bands formed in the treated samples, while several normal bands disappeared.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使用两种分析方法的广义三阶非线性薛定谔方程的分岔分析和孤子解</w:t>
      </w:r>
    </w:p>
    <w:p>
      <w:r>
        <w:rPr>
          <w:rFonts w:ascii="Times New Roman" w:hAnsi="Times New Roman" w:eastAsia="宋体"/>
          <w:b/>
          <w:color w:val="003264"/>
          <w:sz w:val="24"/>
        </w:rPr>
        <w:t>Bifurcation analysis and soliton solutions of the generalized third-order nonlinear Schrödinger equation using two analytical approaches</w:t>
      </w:r>
    </w:p>
    <w:p>
      <w:r>
        <w:rPr>
          <w:rFonts w:ascii="Times New Roman" w:hAnsi="Times New Roman" w:eastAsia="宋体"/>
          <w:sz w:val="21"/>
        </w:rPr>
        <w:t>作者: Shahida Parveen, Muhammad Abbas, Tahir Nazir, Muhammad Nadeem Anwar, M. R. Alharthi, Muhammad Zain Yousaf, Asnake Birhanu</w:t>
        <w:br/>
      </w:r>
      <w:r>
        <w:rPr>
          <w:rFonts w:ascii="Times New Roman" w:hAnsi="Times New Roman" w:eastAsia="宋体"/>
          <w:sz w:val="21"/>
        </w:rPr>
        <w:t xml:space="preserve">时间: 2026-02-03 | </w:t>
      </w:r>
      <w:r>
        <w:t xml:space="preserve">链接: </w:t>
      </w:r>
      <w:hyperlink r:id="rId201">
        <w:r>
          <w:rPr>
            <w:rFonts w:ascii="Times New Roman" w:hAnsi="Times New Roman" w:eastAsia="宋体"/>
            <w:color w:val="0000FF"/>
            <w:sz w:val="21"/>
            <w:u w:val="single"/>
          </w:rPr>
          <w:t>https://doi.org/10.1038/s41598-026-37836-w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论文用于研究广义三阶非线性薛定谔方程，该方程对于描述光纤、等离子体物理和流体力学中复杂的非线性波传播非常重要。利用广义辅助方程法和改进的修正Sardar-sub方程法得到了各种解析孤子解。利用提出的方法得到了该问题的周期、钟形、反钟形、暗、W型、扭结、反扭结和M形孤子解。以图形方式描述了几种孤子解的行为。这些发现对于工程和数学物理的应用非常重要。平面动力系统理论的一个关键组成部分是由伽利略变换引起的控制方程动力系统的分岔。通过强调系统对其初始条件的敏感性以及其长期演化的不确定性，该研究还研究了混沌行为。最后，进行敏感性分析，以检查改变系统参数对解决方案的稳定性和结果的影响。通过考虑这些因素，这项工作有助于我们理解所提出的模型的动态特性，并为其在非线性媒体和其他研究领域的使用提供有用的见解。与之前的研究相比，这项工作是新颖的，因为它将增强的分析方法应用于广义三阶非线性薛定谔方程，从而产生了更广泛的解类别。</w:t>
      </w:r>
    </w:p>
    <w:p>
      <w:pPr>
        <w:spacing w:before="120"/>
      </w:pPr>
      <w:r>
        <w:rPr>
          <w:rFonts w:ascii="Times New Roman" w:hAnsi="Times New Roman" w:eastAsia="宋体"/>
          <w:b/>
          <w:sz w:val="21"/>
        </w:rPr>
        <w:t>English Abstract:</w:t>
      </w:r>
    </w:p>
    <w:p>
      <w:r>
        <w:rPr>
          <w:rFonts w:ascii="Times New Roman" w:hAnsi="Times New Roman" w:eastAsia="宋体"/>
          <w:sz w:val="21"/>
        </w:rPr>
        <w:t>This research paper is used to examine the generalized third-order nonlinear Schrödinger equation that is important for the description of complex nonlinear wave propagation in optical fibers, plasma physics, and in fluid mechanics. By using the generalized auxiliary equation method and improved modified Sardar-sub equation method various analytical soliton solutions are obtained. The Periodic, bell, anti-bell, dark, W-type, kink, anti-kink, and M-shape solitons solutions of the problem are obtained by using proposed methods. The behavior of several soliton solutions is depicted graphically. The findings are important for applications in engineering and mathematical physics. A key component of planar dynamical system theory is the bifurcation of the dynamical system of the governing equation caused by the Galilean transformation. By emphasizing how susceptible the system is to its initial conditions and how uncertain its long-term evolution is, the study also investigates chaotic behavior. Lastly, sensitivity analysis is performed to examine the effects of altering system parameters on the stability and results of the solutions. By taking these things into account, this work aids in our comprehension of the proposed model’s dynamical characteristics and offers helpful insights into its use in nonlinear media and other fields of research. In contrast to previous research, this work is novel because it applies enhanced analytical methods to the generalized third-order nonlinear Schrödinger equation, resulting in a wider range of solution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单细胞转录组学鉴定膀胱癌中成纤维细胞相关的免疫异质性和预后特征</w:t>
      </w:r>
    </w:p>
    <w:p>
      <w:r>
        <w:rPr>
          <w:rFonts w:ascii="Times New Roman" w:hAnsi="Times New Roman" w:eastAsia="宋体"/>
          <w:b/>
          <w:color w:val="003264"/>
          <w:sz w:val="24"/>
        </w:rPr>
        <w:t>Single-cell transcriptomics identifies fibroblast associated immune heterogeneity and prognostic signatures in bladder cancer</w:t>
      </w:r>
    </w:p>
    <w:p>
      <w:r>
        <w:rPr>
          <w:rFonts w:ascii="Times New Roman" w:hAnsi="Times New Roman" w:eastAsia="宋体"/>
          <w:sz w:val="21"/>
        </w:rPr>
        <w:t>作者: Xiaojuan Tang, Ling Liu, Min Gao, Peng Duan, Sheng Li, Zilong Yuan, Qiang Xia, Lei Xi, Yan Tan</w:t>
        <w:br/>
      </w:r>
      <w:r>
        <w:rPr>
          <w:rFonts w:ascii="Times New Roman" w:hAnsi="Times New Roman" w:eastAsia="宋体"/>
          <w:sz w:val="21"/>
        </w:rPr>
        <w:t xml:space="preserve">时间: 2026-02-03 | </w:t>
      </w:r>
      <w:r>
        <w:t xml:space="preserve">链接: </w:t>
      </w:r>
      <w:hyperlink r:id="rId202">
        <w:r>
          <w:rPr>
            <w:rFonts w:ascii="Times New Roman" w:hAnsi="Times New Roman" w:eastAsia="宋体"/>
            <w:color w:val="0000FF"/>
            <w:sz w:val="21"/>
            <w:u w:val="single"/>
          </w:rPr>
          <w:t>https://doi.org/10.1038/s41598-026-38219-x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膀胱癌（BLCA）的免疫微环境和预后仍然是其治疗中持续存在的挑战。本研究旨在建立预测预后指标并研究免疫微环境以增强临床治疗策略。利用膀胱癌患者的单细胞 RNA-seq 数据构建了单细胞转录图谱，重点关注成纤维细胞相关基因表达、细胞间通讯、单细胞通量估计分析推断的代谢途径和转录因子网络。使用癌症基因组图谱的数据验证了成纤维细胞相关的预后基因特征，并开发了一个预后模型来将膀胱癌患者分为高风险组和低风险组。对三个癌旁单细胞样本的分析揭示了 3,603 个成纤维细胞和 500 个成纤维细胞相关标记基因的存在。值得注意的是，通过 SCENIC 分析鉴定了关键的成纤维细胞特异性转录因子，包括 MAF、TWIST1 和 TCF21。综合RNA测序数据的结合使得能够发现与成纤维细胞相关的预后标记物。使用这种分类模型，可以根据模型将患者生存分为高风险和低风险类别。我们的研究结果强调了 BLCA 中与免疫微环境的成纤维细胞成分相关的预后遗传特征，为预后评估和潜在的治疗意义提供了初步见解。</w:t>
      </w:r>
    </w:p>
    <w:p>
      <w:pPr>
        <w:spacing w:before="120"/>
      </w:pPr>
      <w:r>
        <w:rPr>
          <w:rFonts w:ascii="Times New Roman" w:hAnsi="Times New Roman" w:eastAsia="宋体"/>
          <w:b/>
          <w:sz w:val="21"/>
        </w:rPr>
        <w:t>English Abstract:</w:t>
      </w:r>
    </w:p>
    <w:p>
      <w:r>
        <w:rPr>
          <w:rFonts w:ascii="Times New Roman" w:hAnsi="Times New Roman" w:eastAsia="宋体"/>
          <w:sz w:val="21"/>
        </w:rPr>
        <w:t>The immune microenvironment and prognosis of bladder cancer (BLCA) remain ongoing challenges in its treatment. This study aimed to establish predictive prognostic indicators and investigate the immune microenvironment to enhance clinical treatment strategies. A single-cell transcriptional atlas was constructed using single-cell RNA-seq data from patients with bladder cancer, focusing on fibroblast-related gene expression, intercellular communication, metabolic pathways inferred by single-cell flux estimation analysis, and transcription factor networks. Fibroblast-associated prognostic gene signatures were validated using data from The Cancer Genome Atlas, and a prognostic model was developed to stratify patients with bladder cancer into high- and low-risk groups. Analysis of three para-carcinoma single-cell samples revealed the presence of 3,603 fibroblasts and 500 fibroblast-associated marker genes. Notably, key fibroblast-specific transcription factors, including MAF, TWIST1, and TCF21, were identified through SCENIC analysis. The incorporation of comprehensive RNA sequencing data enabled the discovery of prognostic markers associated with fibroblasts. Using this classification model, patient survival could be stratified into high- and low-risk categories based on the model. The results of our study highlight the prognostic genetic signatures associated with the fibroblast component of the immune microenvironment in BLCA, offering preliminary insights into prognostic assessment and potential therapeutic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一种基于小波的频域方法，用于准确检测多种作物疾病</w:t>
      </w:r>
    </w:p>
    <w:p>
      <w:r>
        <w:rPr>
          <w:rFonts w:ascii="Times New Roman" w:hAnsi="Times New Roman" w:eastAsia="宋体"/>
          <w:b/>
          <w:color w:val="003264"/>
          <w:sz w:val="24"/>
        </w:rPr>
        <w:t>A wavelet-based frequency-domain approach for accurate multi-crop disease detection</w:t>
      </w:r>
    </w:p>
    <w:p>
      <w:r>
        <w:rPr>
          <w:rFonts w:ascii="Times New Roman" w:hAnsi="Times New Roman" w:eastAsia="宋体"/>
          <w:sz w:val="21"/>
        </w:rPr>
        <w:t>作者: Jiamu Zhao, Yongchao Liang, Gongmin Wei, Bing Han, Jie Li, Chaoyi Yu, Junjie Zeng, Shengli He</w:t>
        <w:br/>
      </w:r>
      <w:r>
        <w:rPr>
          <w:rFonts w:ascii="Times New Roman" w:hAnsi="Times New Roman" w:eastAsia="宋体"/>
          <w:sz w:val="21"/>
        </w:rPr>
        <w:t xml:space="preserve">时间: 2026-02-03 | </w:t>
      </w:r>
      <w:r>
        <w:t xml:space="preserve">链接: </w:t>
      </w:r>
      <w:hyperlink r:id="rId203">
        <w:r>
          <w:rPr>
            <w:rFonts w:ascii="Times New Roman" w:hAnsi="Times New Roman" w:eastAsia="宋体"/>
            <w:color w:val="0000FF"/>
            <w:sz w:val="21"/>
            <w:u w:val="single"/>
          </w:rPr>
          <w:t>https://doi.org/10.1038/s41598-026-38476-w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作物病斑的及时定位和诊断对于疾病控制和减少农药使用至关重要。然而，现场病灶通常类似于叶子纹理，规模变化很大，并且受到光照和阴影干扰，这使得同时实现高精度和轻量级推理具有挑战性。我们提出了 WGA-YOLO，一种用于作物病害识别的轻量级 YOLO 变体。我们设计的核心是小波通道重校准（WCR），它是一个基于 DWT 的下采样模块：离散小波变换自然地提供多分辨率、时频局部表示，可以明确地将低频近似与高频边缘/纹理细节分开。 WCR 融合高频和低频分量，并通过频域互补性增强特征表示，从而在分辨率降低期间保留语义和精细纹理信息，而额外成本可以忽略不计。我们还引入了 PS-C2f，它将风车形卷积集成到 C2f 中，以通过多方向、不规则内核更好地捕获微小病变细节，并用动态组注意池（DGAP）取代 SPPF，以实现高效的多尺度上下文聚合。在我们的 PlantDoc_boost 数据集上，WGA-YOLO 比 YOLOv8n 提高了 3.02 和 2.85%，同时将参数和 FLOP 减少了约 0.18 M 和约 0.3G，证明了推理效率和部署友好性的提高，同时在现场场景中保持了强大的检测性能。</w:t>
      </w:r>
    </w:p>
    <w:p>
      <w:pPr>
        <w:spacing w:before="120"/>
      </w:pPr>
      <w:r>
        <w:rPr>
          <w:rFonts w:ascii="Times New Roman" w:hAnsi="Times New Roman" w:eastAsia="宋体"/>
          <w:b/>
          <w:sz w:val="21"/>
        </w:rPr>
        <w:t>English Abstract:</w:t>
      </w:r>
    </w:p>
    <w:p>
      <w:r>
        <w:rPr>
          <w:rFonts w:ascii="Times New Roman" w:hAnsi="Times New Roman" w:eastAsia="宋体"/>
          <w:sz w:val="21"/>
        </w:rPr>
        <w:t>Timely localization and diagnosis of crop lesions are critical for disease control and reducing pesticide use. However, in-field lesions often resemble leaf textures, vary widely in scale, and suffer from lighting and shadow interference—making simultaneous high accuracy and lightweight inference challenging. We propose WGA-YOLO, a lightweight YOLO variant for crop disease recognition. Central to our design is Wavelet Channel Recalibration (WCR), a DWT-based downsampling module: discrete wavelet transform naturally provides multi-resolution, time–frequency localized representations that explicitly separate low-frequency approximations from high-frequency edge/texture details. WCR fuses high- and low-frequency components and enhances feature representation through their frequency-domain complementarity, thereby preserving semantic and fine texture information during resolution reduction with negligible extra cost. We also introduce PS-C2f, which integrates Pinwheel-shaped convolutions into C2f to better capture tiny lesion details via multi-directional, irregular kernels, and replace SPPF with Dynamic Group Attention Pooling (DGAP) for efficient multi-scale context aggregation. On our PlantDoc_boost dataset, WGA-YOLO improves over YOLOv8n by 3.02 and 2.85% points, while reducing parameters and FLOPs by ~ 0.18 M and ~ 0.3G, demonstrating improved inference efficiency and deployment friendliness while maintaining strong detection performance in field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量子优化的分层块编码，具有强大的嵌入，可实现感知完整性和压缩容忍的视觉数据保护</w:t>
      </w:r>
    </w:p>
    <w:p>
      <w:r>
        <w:rPr>
          <w:rFonts w:ascii="Times New Roman" w:hAnsi="Times New Roman" w:eastAsia="宋体"/>
          <w:b/>
          <w:color w:val="003264"/>
          <w:sz w:val="24"/>
        </w:rPr>
        <w:t>Quantum optimized hierarchical chunk encoding with robust embedding for perceptual integrity and compression tolerant visual data protection</w:t>
      </w:r>
    </w:p>
    <w:p>
      <w:r>
        <w:rPr>
          <w:rFonts w:ascii="Times New Roman" w:hAnsi="Times New Roman" w:eastAsia="宋体"/>
          <w:sz w:val="21"/>
        </w:rPr>
        <w:t>作者: G. Suresh, J. Arun Kumar, Vivek Karthick Perumal, S. Ramkumar</w:t>
        <w:br/>
      </w:r>
      <w:r>
        <w:rPr>
          <w:rFonts w:ascii="Times New Roman" w:hAnsi="Times New Roman" w:eastAsia="宋体"/>
          <w:sz w:val="21"/>
        </w:rPr>
        <w:t xml:space="preserve">时间: 2026-02-03 | </w:t>
      </w:r>
      <w:r>
        <w:t xml:space="preserve">链接: </w:t>
      </w:r>
      <w:hyperlink r:id="rId204">
        <w:r>
          <w:rPr>
            <w:rFonts w:ascii="Times New Roman" w:hAnsi="Times New Roman" w:eastAsia="宋体"/>
            <w:color w:val="0000FF"/>
            <w:sz w:val="21"/>
            <w:u w:val="single"/>
          </w:rPr>
          <w:t>https://doi.org/10.1038/s41598-026-38249-5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多媒体通信和图像共享平台的发展呈指数级增长，这增强了未经授权的进入、压缩降级以及视觉数据操纵的威胁。基于固定域变换的经典水印方法很可能是 DCT 和 DWT 并不总是适应不同的压缩率，并且对对抗环境不具有高鲁棒性。此外，可用的方法受到低水平的不可感知性或计算的限制，这阻碍了实时或大规模应用。为了克服这些限制，提出了一种新的感知自适应和压缩敏感图像水印的量子优化分层块编码（QHCE）模型。所提供的方法结合了基于熵的图像四叉树划分、基于显着性的区域选择以及使用多层 DWT 的水印变换域嵌入。量子遗传算法（QGA）用于找到嵌入参数的最佳位置、频带和强度，从而在鲁棒性和视觉保真度之间实现良好的权衡。该模型使用 Python 3.10、PyWavelets 和 Qiskit 进行训练，并在不同 JPEG 压缩比的柯达图像数据集上进行测试。实验结果表明，与基线方法相比有显着改进，平均 PSNR 为 57.8 dB，SSIM 为 0.997，BER 为 0.00%，QF ≥ 70 时提取精度为 100%。与非优化基线相比，基于 QGA 的优化还实现了有效载荷容量增加 19%，运行时间减少 25%。使用 SHA-256 和汉明距离分析，完整性验证的准确度达到 99.95%。将量子启发的优化集成到感知驱动的编码管道中，为下一代视觉数据保护提供了可扩展、安全且高度稳健的解决方案。这为量子安全多媒体系统和水印恢复能力的未来研究提供了一个引人注目的方向。</w:t>
      </w:r>
    </w:p>
    <w:p>
      <w:pPr>
        <w:spacing w:before="120"/>
      </w:pPr>
      <w:r>
        <w:rPr>
          <w:rFonts w:ascii="Times New Roman" w:hAnsi="Times New Roman" w:eastAsia="宋体"/>
          <w:b/>
          <w:sz w:val="21"/>
        </w:rPr>
        <w:t>English Abstract:</w:t>
      </w:r>
    </w:p>
    <w:p>
      <w:r>
        <w:rPr>
          <w:rFonts w:ascii="Times New Roman" w:hAnsi="Times New Roman" w:eastAsia="宋体"/>
          <w:sz w:val="21"/>
        </w:rPr>
        <w:t>The multimedia communication and image-sharing platform development has increased exponentially, which enhances the threat of unauthorized entry, degradation through compression, and the manipulation of the visual data. The classical watermarking methods that are based on fixed-domain transforms are likely DCT and DWT are not always adaptive to different compression rates, and do not have high robustness to adversarial environments. In addition, methods that are available are limited by low levels of imperceptibility or computation, which hinder real time or large-scale application. In order to overcome such limitations, a new Quantum-Optimized Hierarchical Chunk Encoding (QHCE) model of perceptually adaptive and compression-sensitive image watermarking is proposed. The offered approach incorporates the entropy-based quadtree partitioning of the image into chunks, saliency-based region selection, and transform-domain embedding of watermark with the use of multi-layers DWT. Quantum Genetic Algorithm (QGA) is used to find the optimal location, band and strength of the embedding parameter that results in a good trade-off between the robustness and the visual fidelity. The model was trained with Python 3.10 and PyWavelets and Qiskit and tested on Kodak image dataset at different JPEG compression ratios. Experimental results demonstrate a significant improvement over baseline methods, with an average PSNR of 57.8 dB, SSIM of 0.997, 0.00% BER, and 100% extraction accuracy at QF ≥ 70. The QGA-based optimization also achieved a 19% increase in payload capacity and a 25% reduction in runtime compared to non-optimized baselines. Integrity verification reached 99.95% accuracy using SHA-256 and Hamming distance analysis. Integrating quantum-inspired optimization within a perceptually driven encoding pipeline offers a scalable, secure, and highly robust solution for next-generation visual data protection. This provides a compelling direction for future research in quantum-secure multimedia systems and watermark resilience.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罗马尼亚和土耳其五种药用植物提取物的 LC-MS/MS 表征、生物活性和碳酸酐酶抑制潜力</w:t>
      </w:r>
    </w:p>
    <w:p>
      <w:r>
        <w:rPr>
          <w:rFonts w:ascii="Times New Roman" w:hAnsi="Times New Roman" w:eastAsia="宋体"/>
          <w:b/>
          <w:color w:val="003264"/>
          <w:sz w:val="24"/>
        </w:rPr>
        <w:t>LC-MS/MS characterization, biological activity, and carbonic anhydrase inhibitory potential of five medicinal plant extracts from Romania and Türkiye</w:t>
      </w:r>
    </w:p>
    <w:p>
      <w:r>
        <w:rPr>
          <w:rFonts w:ascii="Times New Roman" w:hAnsi="Times New Roman" w:eastAsia="宋体"/>
          <w:sz w:val="21"/>
        </w:rPr>
        <w:t>作者: Eda Büker, Dorina Casoni, Simona Codruta Aurora Cobzac, İbrahim Bilici, Ömer Kayır, Hacer Doğan</w:t>
        <w:br/>
      </w:r>
      <w:r>
        <w:rPr>
          <w:rFonts w:ascii="Times New Roman" w:hAnsi="Times New Roman" w:eastAsia="宋体"/>
          <w:sz w:val="21"/>
        </w:rPr>
        <w:t xml:space="preserve">时间: 2026-02-03 | </w:t>
      </w:r>
      <w:r>
        <w:t xml:space="preserve">链接: </w:t>
      </w:r>
      <w:hyperlink r:id="rId205">
        <w:r>
          <w:rPr>
            <w:rFonts w:ascii="Times New Roman" w:hAnsi="Times New Roman" w:eastAsia="宋体"/>
            <w:color w:val="0000FF"/>
            <w:sz w:val="21"/>
            <w:u w:val="single"/>
          </w:rPr>
          <w:t>https://doi.org/10.1038/s41598-026-38419-5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天然碳酸酐酶（CA）抑制剂因其在利尿、抗青光眼、抗肥胖和抗癌治疗中的潜在应用而受到广泛关注。本研究首次对来自罗马尼亚和土耳其的小茴香、杜松、洋甘菊、贯叶连翘和缬草的水醇提取物的 CA 抑制潜力、抗氧化活性和 LC-MS/MS（液相色谱串联质谱法）植物化学特征进行了比较评估。采用主成分分析 (PCA) 将次生代谢物与观察到的生物活性关联起来。虽然 S. hortensis 和 J. communis 在这两个国家表现出一致的代谢特征，但其他物种则表现出地理差异。相关分析表明，虽然特定的酚酸（例如没食子酸、阿魏酸）支持抗氧化能力，但迷迭香酸和木犀草素对 CA 抑制和利尿潜力有重要贡献。值得注意的是，S. hortensis 成为最有前途的来源；土耳其样品表现出卓越的功效，这归因于高迷迭香酸含量 (49.76 µg/mL) 和显着的 CA 抑制作用 (64.87 µg 乙酰唑酰胺当量/mL)。土耳其的贯叶连翘中的多酚和类黄酮含量最高，分别为 16.95 ± 0.221 和 9.77 ± 0.17。这些发现强调了 S. hortensis 在治疗 CA 相关疾病方面的治疗潜力。</w:t>
      </w:r>
    </w:p>
    <w:p>
      <w:pPr>
        <w:spacing w:before="120"/>
      </w:pPr>
      <w:r>
        <w:rPr>
          <w:rFonts w:ascii="Times New Roman" w:hAnsi="Times New Roman" w:eastAsia="宋体"/>
          <w:b/>
          <w:sz w:val="21"/>
        </w:rPr>
        <w:t>English Abstract:</w:t>
      </w:r>
    </w:p>
    <w:p>
      <w:r>
        <w:rPr>
          <w:rFonts w:ascii="Times New Roman" w:hAnsi="Times New Roman" w:eastAsia="宋体"/>
          <w:sz w:val="21"/>
        </w:rPr>
        <w:t>Natural carbonic anhydrase (CA) inhibitors are gaining significant attention for their potential applications in diuretic, antiglaucoma, anti-obesity, and anticancer therapies. This study provides the first comparative evaluation of CA inhibitory potential, antioxidant activity, and LC-MS/MS (Liquid Chromatography Tandem Mass Spectrometry) phytochemical profiles of hydroalcoholic extracts from Satureja hortensis, Juniperus communis, Matricaria chamomilla, Hypericum perforatum, and Valeriana officinalis sourced from Romania and Türkiye. Principal Component Analysis (PCA) was employed to correlate secondary metabolites with observed biological activities. While S. hortensis and J. communis displayed consistent metabolic profiles across both countries, the other species exhibited geographic variation. Correlation analysis indicated that while specific phenolic acids (e.g., gallic, ferulic) supported antioxidant capacity, rosmarinic acid and luteolin were strong contributors to CA inhibition and diuretic potential. Notably, S. hortensis emerged as the most promising source; the Turkish sample demonstrated superior efficacy, attributed to high rosmarinic acid content (49.76 µg/mL) and substantial CA inhibition (64.87 µg acetazolamide equivalent/mL). The highest values of polyphenol and flavonoid content were found in H. perforatum from Türkiye, with 16.95 ± 0.221 and 9.77 ± 0.17, respectively. These findings underscore the therapeutic potential of S. hortensis in managing CA-related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数字艺术创作的全景图像修复与视觉质量增强方法</w:t>
      </w:r>
    </w:p>
    <w:p>
      <w:r>
        <w:rPr>
          <w:rFonts w:ascii="Times New Roman" w:hAnsi="Times New Roman" w:eastAsia="宋体"/>
          <w:b/>
          <w:color w:val="003264"/>
          <w:sz w:val="24"/>
        </w:rPr>
        <w:t>Panoramic image restoration and visual quality enhancement methods for digital art creation</w:t>
      </w:r>
    </w:p>
    <w:p>
      <w:r>
        <w:rPr>
          <w:rFonts w:ascii="Times New Roman" w:hAnsi="Times New Roman" w:eastAsia="宋体"/>
          <w:sz w:val="21"/>
        </w:rPr>
        <w:t>作者: Zhenxi Yu, Ting Wang, Peng Tian, Xuejie Li</w:t>
        <w:br/>
      </w:r>
      <w:r>
        <w:rPr>
          <w:rFonts w:ascii="Times New Roman" w:hAnsi="Times New Roman" w:eastAsia="宋体"/>
          <w:sz w:val="21"/>
        </w:rPr>
        <w:t xml:space="preserve">时间: 2026-02-03 | </w:t>
      </w:r>
      <w:r>
        <w:t xml:space="preserve">链接: </w:t>
      </w:r>
      <w:hyperlink r:id="rId206">
        <w:r>
          <w:rPr>
            <w:rFonts w:ascii="Times New Roman" w:hAnsi="Times New Roman" w:eastAsia="宋体"/>
            <w:color w:val="0000FF"/>
            <w:sz w:val="21"/>
            <w:u w:val="single"/>
          </w:rPr>
          <w:t>https://doi.org/10.1038/s41598-026-37659-9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图像以其广阔的视野和丰富的信息，成为数字艺术创作和虚拟现实中必不可少的视觉材料。然而，现有的全景图像恢复和质量增强方法缺乏高层语义理解和全局特征控制，这往往导致复杂场景中的结构混乱。他们还努力平衡语义理解、实时性能和恢复质量。针对这些问题，本文提出了一种用于数字艺术创作的全景图像修复和视觉质量增强模型。该模型使用多尺度残差网络、坐标空间注意力机制和超分辨率重建来构建视觉质量增强算法，准确捕获局部细节和全局结构特征。基于该算法，集成了优化的生成对抗网络和视觉变换器，对损坏和未损坏区域之间的空间相关性和语义逻辑进行建模，实现了高质量的完成。实验结果表明，该模型在DIV2K和SUN360数据集上2000条数据量下，结构相似度指数分别为0.975和0.971，峰值信噪比分别为53.82 dB和53.75 dB，最大内存占用为394 MB，响应时间为3.12 s。该模型在所有指标上均优于比较模型，增强了细节清晰度和全局一致性，并保持了高效的处理性能。它为数字艺术创作提供了高质量的视觉素材，在各项性能指标上都展现出显着的优势。</w:t>
      </w:r>
    </w:p>
    <w:p>
      <w:pPr>
        <w:spacing w:before="120"/>
      </w:pPr>
      <w:r>
        <w:rPr>
          <w:rFonts w:ascii="Times New Roman" w:hAnsi="Times New Roman" w:eastAsia="宋体"/>
          <w:b/>
          <w:sz w:val="21"/>
        </w:rPr>
        <w:t>English Abstract:</w:t>
      </w:r>
    </w:p>
    <w:p>
      <w:r>
        <w:rPr>
          <w:rFonts w:ascii="Times New Roman" w:hAnsi="Times New Roman" w:eastAsia="宋体"/>
          <w:sz w:val="21"/>
        </w:rPr>
        <w:t>Panoramic images, with their wide field of view and abundant information, have become essential visual materials in digital art creation and virtual reality. However, existing panoramic image restoration and quality enhancement methods lack high-level semantic understanding and global feature control, which often leads to structural disorder in complex scenes. They also struggle to balance semantic comprehension, real-time performance, and restoration quality. To address these issues, this paper raises a panoramic image restoration and visual quality enhancement model for digital art creation. The model uses a Multi Scale Residual Network, a Coordinate Space Attention mechanism, and super resolution reconstruction to construct a visual quality enhancement algorithm, which accurately captures both local details and global structural features. Based on this algorithm, an optimized Generative Adversarial Network and a Vision Transformer are integrated to model the spatial correlation and semantic logic between damaged and undamaged regions, achieving high-quality completion. Experimental results show that the model achieves a Structural Similarity Index of 0.975 and 0.971, a Peak Signal to Noise Ratio of 53.82 dB and 53.75 dB, a maximum memory usage of 394 MB, and a response time of 3.12 s with a data volume of 2000 in DIV2K and SUN360 datasets. The model outperforms comparison models in all metrics, enhances both detail clarity and global consistency, and maintains efficient processing performance. It provides high-quality visual materials for digital art creation and shows significant advantages across various performance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阿拉伯海暖池和大气不稳定在引发印度半岛季风 MCC 中的作用</w:t>
      </w:r>
    </w:p>
    <w:p>
      <w:r>
        <w:rPr>
          <w:rFonts w:ascii="Times New Roman" w:hAnsi="Times New Roman" w:eastAsia="宋体"/>
          <w:b/>
          <w:color w:val="003264"/>
          <w:sz w:val="24"/>
        </w:rPr>
        <w:t>Role of Arabian Sea warm pool and atmospheric instability in triggering a monsoonal MCC over Peninsular India</w:t>
      </w:r>
    </w:p>
    <w:p>
      <w:r>
        <w:rPr>
          <w:rFonts w:ascii="Times New Roman" w:hAnsi="Times New Roman" w:eastAsia="宋体"/>
          <w:sz w:val="21"/>
        </w:rPr>
        <w:t>作者: Subin Jose, V. Jayachandran, Nandana S Pradeep</w:t>
        <w:br/>
      </w:r>
      <w:r>
        <w:rPr>
          <w:rFonts w:ascii="Times New Roman" w:hAnsi="Times New Roman" w:eastAsia="宋体"/>
          <w:sz w:val="21"/>
        </w:rPr>
        <w:t xml:space="preserve">时间: 2026-02-03 | </w:t>
      </w:r>
      <w:r>
        <w:t xml:space="preserve">链接: </w:t>
      </w:r>
      <w:hyperlink r:id="rId207">
        <w:r>
          <w:rPr>
            <w:rFonts w:ascii="Times New Roman" w:hAnsi="Times New Roman" w:eastAsia="宋体"/>
            <w:color w:val="0000FF"/>
            <w:sz w:val="21"/>
            <w:u w:val="single"/>
          </w:rPr>
          <w:t>https://doi.org/10.1038/s41598-026-37219-1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中尺度对流复合体 (MCC) 对全球水文循环做出了重大贡献，极端降雨和洪水事件约占印度地区季风降雨总量的 50$$\%$$。 2024 年 7 月 29 日至 30 日期间，印度西高止山脉的瓦亚纳德发生了一场极端降雨事件，引发了毁灭性的山体滑坡和大面积破坏。本研究利用卫星、现场和再分析数据集调查了造成该事件的 MCC。该系统在高度不稳定的大气环境中表现出深层组织的对流、强烈的低层湿气输送和高层发散。阿拉伯海东南部上空异常持续的暖池在季风休止阶段持续存在，通过升高的海面温度和潜热通量创造了有利的热力学条件。研究结果强调了海洋-大气耦合在季风对流极端事件中日益重要的作用，并强调需要改进西高止山脉等地形复杂地区的中尺度建模和预警框架。</w:t>
      </w:r>
    </w:p>
    <w:p>
      <w:pPr>
        <w:spacing w:before="120"/>
      </w:pPr>
      <w:r>
        <w:rPr>
          <w:rFonts w:ascii="Times New Roman" w:hAnsi="Times New Roman" w:eastAsia="宋体"/>
          <w:b/>
          <w:sz w:val="21"/>
        </w:rPr>
        <w:t>English Abstract:</w:t>
      </w:r>
    </w:p>
    <w:p>
      <w:r>
        <w:rPr>
          <w:rFonts w:ascii="Times New Roman" w:hAnsi="Times New Roman" w:eastAsia="宋体"/>
          <w:sz w:val="21"/>
        </w:rPr>
        <w:t>Mesoscale Convective Complexes (MCCs) significantly contribute to the global hydrological cycle and about 50$$\%$$ of the total monsoon rainfall over the Indian region through extreme rainfall and flood events. An extreme rainfall event triggered devastating landslides and widespread damage over Wayanad in the Western Ghats, India, during 29–30 July 2024. This study investigates the MCC responsible for the event using satellite, in-situ, and reanalysis datasets. The system exhibited deep organized convection, strong low-level moisture transport, and upper-level divergence within a highly unstable atmospheric environment. An anomalously persistent warm pool over the southeastern Arabian Sea, sustained during a monsoon break phase, created favorable thermodynamic conditions through elevated sea surface temperatures and latent heat fluxes. The findings underscore the growing role of ocean–atmosphere coupling in monsoonal convective extremes and highlight the need for improved mesoscale modeling and early warning frameworks over topographically complex regions like the Western Ghats.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高脂肪饮食重塑视前区的基因调控网络</w:t>
      </w:r>
    </w:p>
    <w:p>
      <w:r>
        <w:rPr>
          <w:rFonts w:ascii="Times New Roman" w:hAnsi="Times New Roman" w:eastAsia="宋体"/>
          <w:b/>
          <w:color w:val="003264"/>
          <w:sz w:val="24"/>
        </w:rPr>
        <w:t>High fat diet remodels the gene regulatory networks in the preoptic area</w:t>
      </w:r>
    </w:p>
    <w:p>
      <w:r>
        <w:rPr>
          <w:rFonts w:ascii="Times New Roman" w:hAnsi="Times New Roman" w:eastAsia="宋体"/>
          <w:sz w:val="21"/>
        </w:rPr>
        <w:t>作者: Olivia Lazaro, Caleb Beimfohr, Britany App, Rashmita Basu, Travis S. Johnson, Jonathan N. Flak</w:t>
        <w:br/>
      </w:r>
      <w:r>
        <w:rPr>
          <w:rFonts w:ascii="Times New Roman" w:hAnsi="Times New Roman" w:eastAsia="宋体"/>
          <w:sz w:val="21"/>
        </w:rPr>
        <w:t xml:space="preserve">时间: 2026-02-03 | </w:t>
      </w:r>
      <w:r>
        <w:t xml:space="preserve">链接: </w:t>
      </w:r>
      <w:hyperlink r:id="rId208">
        <w:r>
          <w:rPr>
            <w:rFonts w:ascii="Times New Roman" w:hAnsi="Times New Roman" w:eastAsia="宋体"/>
            <w:color w:val="0000FF"/>
            <w:sz w:val="21"/>
            <w:u w:val="single"/>
          </w:rPr>
          <w:t>https://doi.org/10.1038/s41598-026-37692-8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的特点是慢性高血糖导致全身广泛功能障碍。为了通过个体中潜在的完整机制来抵消β细胞衰竭和胰岛素抵抗，中枢神经系统是恢复血糖控制的一个有趣的目标。虽然当前一代的糖尿病治疗方法至少部分是通过重新调整维持能量平衡的动态神经回路的功能来起作用的，但尚未在涉及能量平衡和葡萄糖稳态的大脑许多部分中建立用于缓解代谢疾病的神经标志物。然后，这些缓解模块可以应用于尚未建立的大脑区域，并加快在其他区域发现与糖尿病相关的功能。为了实现这一目标，我们使用了之前发表的来自由于 FGF1 治疗而糖尿病缓解的 ob/ob 小鼠的下丘脑单细胞测序数据集，并确定了缓解模块（即基因簇），可用于定位通过成功治疗而纠正的网络。我们将缓解模块应用于使用来自下丘脑视前区的 C57 小鼠的数据集，该区域与代谢疾病有关，但特征很少。我们鉴定了视前区兴奋性和抑制性神经元的标记，并使用 RNA 范围验证了它们在视前区的表达。这些研究共同在下丘脑神经元中建立了一个缓解模块，可用于定义大脑中对葡萄糖稳态校正做出反应的关键细胞类型和标记物。</w:t>
      </w:r>
    </w:p>
    <w:p>
      <w:pPr>
        <w:spacing w:before="120"/>
      </w:pPr>
      <w:r>
        <w:rPr>
          <w:rFonts w:ascii="Times New Roman" w:hAnsi="Times New Roman" w:eastAsia="宋体"/>
          <w:b/>
          <w:sz w:val="21"/>
        </w:rPr>
        <w:t>English Abstract:</w:t>
      </w:r>
    </w:p>
    <w:p>
      <w:r>
        <w:rPr>
          <w:rFonts w:ascii="Times New Roman" w:hAnsi="Times New Roman" w:eastAsia="宋体"/>
          <w:sz w:val="21"/>
        </w:rPr>
        <w:t>Diabetes is characterized by widespread dysfunction throughout the body due to chronic hyperglycemia. To offset the beta cell failure and insulin resistance through potentially intact mechanisms in the individual, the central nervous system is an intriguing target for restoring glycemic control. While the current generation of diabetes therapeutics operate, at least in part, by re-tuning the function of dynamic neural circuits that maintain energy balance, neurological markers for remission have not been established for metabolic disease in many parts of the brain that are involved in energy balance and glucose homeostasis. These remission modules could be then applied to lesser established brain regions and expedite the discovery of diabetes-related functions in additional regions. To meet this goal, we used a previously published hypothalamic single cell sequencing dataset from ob/ob mice in remission from diabetes due to FGF1 treatment and identified remission modules (i.e. clusters of genes) that can be used to locate the networks that are corrected with successful treatment. We applied the remission modules to a dataset using C57 mice from the preoptic area of the hypothalamus, a region with links to metabolic disease but little characterization. We identified markers in both excitatory and inhibitory neurons in the preoptic area and validated their expression in the preoptic area using RNA scope. Together, these studies establish a remission module in hypothalamic neurons that can be used to define key cell types and markers in the brain that are responsive to correction of glucose homeostasis.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内生孢子附属物的时空表达和冷冻电镜对副炭疽杆菌中 Ena1C 介导的 S-ENA 锚定的见解</w:t>
      </w:r>
    </w:p>
    <w:p>
      <w:r>
        <w:rPr>
          <w:rFonts w:ascii="Times New Roman" w:hAnsi="Times New Roman" w:eastAsia="宋体"/>
          <w:b/>
          <w:color w:val="003264"/>
          <w:sz w:val="24"/>
        </w:rPr>
        <w:t>Spatiotemporal expression of endospore appendages and cryo-EM insights into Ena1C-mediated S-ENA anchoring in Bacillus paranthracis</w:t>
      </w:r>
    </w:p>
    <w:p>
      <w:r>
        <w:rPr>
          <w:rFonts w:ascii="Times New Roman" w:hAnsi="Times New Roman" w:eastAsia="宋体"/>
          <w:sz w:val="21"/>
        </w:rPr>
        <w:t>作者: Ephrem Debebe Zegeye, Mike Sleutel, Unni Lise Jonsmoen, Jingqi Chen, Luiza P. Morawska, Yohannes Beyene Mekonnen, Oscar P. Kuipers, Han Remaut, Marina Aspholm</w:t>
        <w:br/>
      </w:r>
      <w:r>
        <w:rPr>
          <w:rFonts w:ascii="Times New Roman" w:hAnsi="Times New Roman" w:eastAsia="宋体"/>
          <w:sz w:val="21"/>
        </w:rPr>
        <w:t xml:space="preserve">时间: 2026-02-03 | </w:t>
      </w:r>
      <w:r>
        <w:t xml:space="preserve">链接: </w:t>
      </w:r>
      <w:hyperlink r:id="rId209">
        <w:r>
          <w:rPr>
            <w:rFonts w:ascii="Times New Roman" w:hAnsi="Times New Roman" w:eastAsia="宋体"/>
            <w:color w:val="0000FF"/>
            <w:sz w:val="21"/>
            <w:u w:val="single"/>
          </w:rPr>
          <w:t>https://doi.org/10.1038/s41598-026-38321-0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许多蜡样芽孢杆菌组物种的内生孢子都装饰有被称为内生孢子附属物（ENA）的高弹性纤维结构，其精确的生物学功能仍然知之甚少。结构和遗传学研究已确定 ena1A、ena1B 和 ena1C 对于形成副炭疽杆菌中更长、更粗和最丰富的交错 (S)-ENA 纤维至关重要，而 ena3A 编码更短、更细、梯状 (L)-ENA 的主要亚基。在这里，我们研究了 S-和 L-ENA 蛋白的时空表达动态以及 Ena1C 在 S-ENA 生物发生中的具体作用。使用延时荧光显微镜，我们观察到 ena 基因表达的严格时间调控，在孢子变得相亮之前没有检测到 ENA 亚基的产生。 ENAs 表达在孢子形成后期达到峰值，荧光集中在发育中的孢子周围，直至其释放；值得注意的是，S-ENA 亚基的表达开始时间比 L-ENA 亚基早约一小时。结合冷冻电镜、负染透射电子显微镜和遗传分析，我们发现 Ena1C 形成了将 S-ENA 束缚到孢子表面所需的九聚环状结构。这些发现为纤维生物发生过程中 ENAs 表达的调节提供了新的见解，并强调了它们与孢子衣和外孢子发育的时间协调。</w:t>
      </w:r>
    </w:p>
    <w:p>
      <w:pPr>
        <w:spacing w:before="120"/>
      </w:pPr>
      <w:r>
        <w:rPr>
          <w:rFonts w:ascii="Times New Roman" w:hAnsi="Times New Roman" w:eastAsia="宋体"/>
          <w:b/>
          <w:sz w:val="21"/>
        </w:rPr>
        <w:t>English Abstract:</w:t>
      </w:r>
    </w:p>
    <w:p>
      <w:r>
        <w:rPr>
          <w:rFonts w:ascii="Times New Roman" w:hAnsi="Times New Roman" w:eastAsia="宋体"/>
          <w:sz w:val="21"/>
        </w:rPr>
        <w:t>The endospores of many Bacillus cereus group species are decorated with highly resilient fibrous structures known as endospore appendages (ENAs), whose precise biological functions remain poorly understood. Structural and genetic studies have identified ena1A, ena1B, and ena1C as essential for forming the longer, thicker, and most abundant staggered (S)-ENA fibers in Bacillus paranthracis, whereas ena3A encodes the major subunit of the shorter, thinner, ladder-like (L)-ENAs. Here, we investigated the spatiotemporal expression dynamics of S- and L-ENA proteins and the specific role of Ena1C in S-ENA biogenesis. Using time-lapse fluorescence microscopy, we observed strict temporal regulation of ena gene expression, with no detectable ENA subunit production before spores became phase-bright. ENAs expression peaked during late sporulation phase, with fluorescence localized around the developing spore until its release; notably, S-ENA subunit expression began approximately one hour earlier than that of L-ENA subunits. Combining cryo-EM, negative-stain transmission electron microscopy, and genetic analyses, we show that Ena1C forms a nonameric ring-like structure required for tethering S-ENA to the spore surface. These findings provide new insights into the regulation of ENAs’ expression during fiber biogenesis and highlight their temporal coordination with spore coat and exosporium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受众细分和信息传递方法，以获得公众支持和参与沿海社会生态系统管理</w:t>
      </w:r>
    </w:p>
    <w:p>
      <w:r>
        <w:rPr>
          <w:rFonts w:ascii="Times New Roman" w:hAnsi="Times New Roman" w:eastAsia="宋体"/>
          <w:b/>
          <w:color w:val="003264"/>
          <w:sz w:val="24"/>
        </w:rPr>
        <w:t>Audience segmentation and messaging approach to gain public support and involvement in coastal social-ecological system management</w:t>
      </w:r>
    </w:p>
    <w:p>
      <w:r>
        <w:rPr>
          <w:rFonts w:ascii="Times New Roman" w:hAnsi="Times New Roman" w:eastAsia="宋体"/>
          <w:sz w:val="21"/>
        </w:rPr>
        <w:t>作者: Takuro Uehara, Takeshi Hidaka, Sawako Tachibana</w:t>
        <w:br/>
      </w:r>
      <w:r>
        <w:rPr>
          <w:rFonts w:ascii="Times New Roman" w:hAnsi="Times New Roman" w:eastAsia="宋体"/>
          <w:sz w:val="21"/>
        </w:rPr>
        <w:t xml:space="preserve">时间: 2026-02-03 | </w:t>
      </w:r>
      <w:r>
        <w:t xml:space="preserve">链接: </w:t>
      </w:r>
      <w:hyperlink r:id="rId210">
        <w:r>
          <w:rPr>
            <w:rFonts w:ascii="Times New Roman" w:hAnsi="Times New Roman" w:eastAsia="宋体"/>
            <w:color w:val="0000FF"/>
            <w:sz w:val="21"/>
            <w:u w:val="single"/>
          </w:rPr>
          <w:t>https://doi.org/10.1038/s41598-026-38402-0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获得公众的支持和参与对于实施有效的社会生态系统（SES）管理至关重要。早期的研究侧重于总体水平，即按平均值衡量；然而，我们的目的是解决公众的异质性，确定他们对政策的支持，并确定他们对社会经济地位管理的参与。因此，我们在沿海 SES 管理中应用了受众细分和消息传递方法，以解决日本濑户内海 (SIS) 部分地区的寡营养化问题。在我们的实验研究中，基于有关沿海社会经济地位问题和管理的公众舆论的单项自我分类措施应用了受众细分，并评估了两种消息传递条件对细分的影响。居住在沿海社会经济地位地区的受访者被招募（N = 1800）并随机分为三组：没有信息传递的对照组和有“寡营养化的负面后果”或“公众集体参与”信息传递的两组。确定了四个主要部分：惊慌、担忧、谨慎和漠不关心。这些群体表现出鲜明的个人特征，政策支持和参与程度不断下降。例如，“脱离-不屑一顾”群体普遍年龄较小，身体和心理上与海洋距离较远，对问题的认识较少，相关行为较少（如食用当地海鲜），对海洋的价值观较低。这些知识为决策者提供了目标决策的信息。两种消息传递条件对不同细分市场的影响不同，建议政策制定者应根据目标细分市场选择消息传递条件。我们的研究强调了受众细分和有针对性的信息传递对于使政策制定者能够有效接触公共部门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Gaining public support and involvement is essential for implementing effective social-ecological system (SES) management. Earlier studies focused on an aggregate level, i.e., measured by average; however, we aimed to address public heterogeneity, determine their support for policy, and identify their involvement in SES management. Accordingly, we applied audience segmentation and a messaging approach in coastal SES management to address oligotrophication in part of the Seto Inland Sea (SIS), Japan. In our experimental study, audience segmentation was applied based on a single-item self-categorization measure regarding public opinion about coastal SES issues and management, and the impact of two messaging conditions on the segments was assessed. Respondents living in coastal SES areas were recruited (N = 1800) and randomly divided into three groups: a control group without messaging and two groups with either “Negative consequences of oligotrophication” or “Collective public involvement” messaging. Four primary segments were identified: alarmed, concerned, cautious, and disengaged-dismissive. The groups exhibited distinctive personal characteristics and decreasing levels of policy support and involvement. For example, those in segment “Disengaged- Dismissive” were generally younger and physically and psychologically distant from the sea, showed less recognition of the problems, and exhibited infrequent related behaviors (e.g., consuming local seafood), with lower values of the sea. Such knowledge informs policymakers in targeting decisions. The two messaging conditions comprised varied impacts on different segments, suggesting that policymakers should select messaging conditions based on the target segment. Our study highlighted the importance of audience segmentation and targeted messaging in enabling policymakers to effectively reach the public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UncerTrans：用于早期行动预测的不确定性感知时间转换器</w:t>
      </w:r>
    </w:p>
    <w:p>
      <w:r>
        <w:rPr>
          <w:rFonts w:ascii="Times New Roman" w:hAnsi="Times New Roman" w:eastAsia="宋体"/>
          <w:b/>
          <w:color w:val="003264"/>
          <w:sz w:val="24"/>
        </w:rPr>
        <w:t>UncerTrans: uncertainty-aware temporal transformer for early action prediction</w:t>
      </w:r>
    </w:p>
    <w:p>
      <w:r>
        <w:rPr>
          <w:rFonts w:ascii="Times New Roman" w:hAnsi="Times New Roman" w:eastAsia="宋体"/>
          <w:sz w:val="21"/>
        </w:rPr>
        <w:t>作者: Xianfeng Zhai, Yaxiong Liu</w:t>
        <w:br/>
      </w:r>
      <w:r>
        <w:rPr>
          <w:rFonts w:ascii="Times New Roman" w:hAnsi="Times New Roman" w:eastAsia="宋体"/>
          <w:sz w:val="21"/>
        </w:rPr>
        <w:t xml:space="preserve">时间: 2026-02-03 | </w:t>
      </w:r>
      <w:r>
        <w:t xml:space="preserve">链接: </w:t>
      </w:r>
      <w:hyperlink r:id="rId211">
        <w:r>
          <w:rPr>
            <w:rFonts w:ascii="Times New Roman" w:hAnsi="Times New Roman" w:eastAsia="宋体"/>
            <w:color w:val="0000FF"/>
            <w:sz w:val="21"/>
            <w:u w:val="single"/>
          </w:rPr>
          <w:t>https://doi.org/10.1038/s41598-026-38107-4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动作预测旨在通过观察动作执行的初始阶段来预测完整的动作意图，这对于人机协作和智能监控等安全关键应用至关重要。现有方法主要侧重于提高预测精度，但忽略了早期观测中固有的不确定性，导致系统无法区分可靠的预测和不确定的猜测。本文提出了 UncerTrans 框架，将 Temporal Transformer 与 Monte Carlo Dropout 相结合，以实现准确且值得信赖的早期动作预测。时间变换器通过分层时间注意机制和时间衰减位置编码从极短的观察序列中提取判别特征。 Monte Carlo Dropout 在推理过程中通过多次随机前向传播生成预测分布，以量化模型的认知不确定性。自适应采样策略旨在根据初始不确定性动态调整采样频率，平衡预测质量和计算效率。在 EPIC-KITCHENS-100 数据集上的实验表明，UncerTrans 在仅 10% 的观测比下即可达到 65.5% 的准确率，预期校准误差仅为 0.089，显着优于基线方法。通过选择性拒绝高不确定性预测，系统可以将剩余预测的准确率提高到84.2%。研究表明，有效的不确定性量化依赖于高质量的特征提取，两者的结合使早期预测系统能够根据置信度采取差异化策略，为实际部署提供技术基础。</w:t>
      </w:r>
    </w:p>
    <w:p>
      <w:pPr>
        <w:spacing w:before="120"/>
      </w:pPr>
      <w:r>
        <w:rPr>
          <w:rFonts w:ascii="Times New Roman" w:hAnsi="Times New Roman" w:eastAsia="宋体"/>
          <w:b/>
          <w:sz w:val="21"/>
        </w:rPr>
        <w:t>English Abstract:</w:t>
      </w:r>
    </w:p>
    <w:p>
      <w:r>
        <w:rPr>
          <w:rFonts w:ascii="Times New Roman" w:hAnsi="Times New Roman" w:eastAsia="宋体"/>
          <w:sz w:val="21"/>
        </w:rPr>
        <w:t>Early action prediction aims to predict complete action intentions by observing the initial stages of action execution, which is crucial for safety-critical applications such as human-robot collaboration and intelligent monitoring. Existing methods primarily focus on improving prediction accuracy but neglect the inherent uncertainty in early observations, leading to systems that cannot distinguish between reliable predictions and uncertain guesses. This paper proposes the UncerTrans framework, which combines Temporal Transformer with Monte Carlo Dropout to achieve accurate and trustworthy early action prediction. Temporal Transformer extracts discriminative features from extremely short observation sequences through hierarchical temporal attention mechanisms and temporal decay positional encoding. Monte Carlo Dropout generates prediction distributions through multiple random forward propagations during inference to quantify the model’s epistemic uncertainty. An adaptive sampling strategy is designed to dynamically adjust sampling frequency based on initial uncertainty, balancing prediction quality and computational efficiency. Experiments on the EPIC-KITCHENS-100 dataset demonstrate that UncerTrans achieves 65.5% accuracy with only 10% observation ratio and an Expected Calibration Error of merely 0.089, significantly outperforming baseline methods. Through selective rejection of high-uncertainty predictions, the system can improve the accuracy of remaining predictions to 84.2%. The research demonstrates that effective uncertainty quantification relies on high-quality feature extraction, and the combination of both components enables early prediction systems to adopt differentiated strategies based on confidence levels, providing a technical foundation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壳聚糖-聚(3,4-乙烯二氧噻吩)-聚(苯乙烯磺酸)-AuNPs 复合材料用于使用等离子体图像传感器检测丙酮</w:t>
      </w:r>
    </w:p>
    <w:p>
      <w:r>
        <w:rPr>
          <w:rFonts w:ascii="Times New Roman" w:hAnsi="Times New Roman" w:eastAsia="宋体"/>
          <w:b/>
          <w:color w:val="003264"/>
          <w:sz w:val="24"/>
        </w:rPr>
        <w:t>Chitosan-poly(3,4-ethylenedioxythiophene)-poly(styrenesulfonate)-AuNPs composite for acetone detection using plasmonic image sensor</w:t>
      </w:r>
    </w:p>
    <w:p>
      <w:r>
        <w:rPr>
          <w:rFonts w:ascii="Times New Roman" w:hAnsi="Times New Roman" w:eastAsia="宋体"/>
          <w:sz w:val="21"/>
        </w:rPr>
        <w:t>作者: Amir Reza Sadrolhosseini, Ali Bizhanifar, Ladan Akbari, Seyedeh Mehri Hamidi</w:t>
        <w:br/>
      </w:r>
      <w:r>
        <w:rPr>
          <w:rFonts w:ascii="Times New Roman" w:hAnsi="Times New Roman" w:eastAsia="宋体"/>
          <w:sz w:val="21"/>
        </w:rPr>
        <w:t xml:space="preserve">时间: 2026-02-03 | </w:t>
      </w:r>
      <w:r>
        <w:t xml:space="preserve">链接: </w:t>
      </w:r>
      <w:hyperlink r:id="rId212">
        <w:r>
          <w:rPr>
            <w:rFonts w:ascii="Times New Roman" w:hAnsi="Times New Roman" w:eastAsia="宋体"/>
            <w:color w:val="0000FF"/>
            <w:sz w:val="21"/>
            <w:u w:val="single"/>
          </w:rPr>
          <w:t>https://doi.org/10.1038/s41598-026-38050-4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丙酮有较多的医疗和工业应用，其检测在医疗和工业领域间接测量某些量、控制人体安全方面发挥着重要作用。在这项研究中，开发了一种基于壳聚糖、聚(3,4-乙撑二氧噻吩)-聚(苯乙烯磺酸)(PEDOT:PSS)和金纳米粒子的表面等离子体共振图像传感器，用于检测丙酮。使用激光烧蚀技术制造了金纳米颗粒，并使用壳聚糖-PEDOT: PSS 和壳聚糖-PEDOT: PSS-金纳米颗粒复合材料通过表面等离子共振图像传感器检测纯丙酮蒸气形式。将传感器的响应与丙酮与甲醇和乙醇混合时的传感器响应进行比较。因此，传感器对纯丙酮的响应大于传感器对甲醇或乙醇存在的响应。当传感层与纯甲醇和乙醇接触时，传感器的响应非常微不足道。</w:t>
      </w:r>
    </w:p>
    <w:p>
      <w:pPr>
        <w:spacing w:before="120"/>
      </w:pPr>
      <w:r>
        <w:rPr>
          <w:rFonts w:ascii="Times New Roman" w:hAnsi="Times New Roman" w:eastAsia="宋体"/>
          <w:b/>
          <w:sz w:val="21"/>
        </w:rPr>
        <w:t>English Abstract:</w:t>
      </w:r>
    </w:p>
    <w:p>
      <w:r>
        <w:rPr>
          <w:rFonts w:ascii="Times New Roman" w:hAnsi="Times New Roman" w:eastAsia="宋体"/>
          <w:sz w:val="21"/>
        </w:rPr>
        <w:t>Since acetone has more medical and industrial applications, its detection plays a significant role in indirectly measuring some quantities and controlling human safety in medical and industrial areas. In this research, a surface plasmon resonance image sensor was developed based on chitosan, poly(3,4-ethylenedioxythiophene)-poly(styrenesulfonate) (PEDOT:PSS), and gold nanoparticles for the detection of acetone. The gold nanoparticles have been fabricated using the laser ablation technique, and chitosan-PEDOT: PSS and chitosan-PEDOT: PSS-gold-nanoparticles composite were used to detect the pure acetone vapor form using a surface plasmon resonance image sensor. The response of the sensor was compared with the sensor’s response when acetone was mixed with methanol and ethanol. Consequently, the sensor’s response to pure acetone was greater than the sensor’s response in the presence of methanol or ethanol. The sensor’s response is very insignificant when the sensing layer is contacted with pure methanol and ethanol.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激活的 T 细胞通过 TRPV4 介导的钙内流诱导 A549 肺腺癌细胞凋亡</w:t>
      </w:r>
    </w:p>
    <w:p>
      <w:r>
        <w:rPr>
          <w:rFonts w:ascii="Times New Roman" w:hAnsi="Times New Roman" w:eastAsia="宋体"/>
          <w:b/>
          <w:color w:val="003264"/>
          <w:sz w:val="24"/>
        </w:rPr>
        <w:t>Activated T cells induce apoptosis in A549 lung adenocarcinoma cells via TRPV4-mediated calcium influx</w:t>
      </w:r>
    </w:p>
    <w:p>
      <w:r>
        <w:rPr>
          <w:rFonts w:ascii="Times New Roman" w:hAnsi="Times New Roman" w:eastAsia="宋体"/>
          <w:sz w:val="21"/>
        </w:rPr>
        <w:t>作者: Fatemeh Alavi, Fatemeh Kazemi-Lomedasht, Zohre Eftekhari, Ali Chitgar</w:t>
        <w:br/>
      </w:r>
      <w:r>
        <w:rPr>
          <w:rFonts w:ascii="Times New Roman" w:hAnsi="Times New Roman" w:eastAsia="宋体"/>
          <w:sz w:val="21"/>
        </w:rPr>
        <w:t xml:space="preserve">时间: 2026-02-03 | </w:t>
      </w:r>
      <w:r>
        <w:t xml:space="preserve">链接: </w:t>
      </w:r>
      <w:hyperlink r:id="rId336">
        <w:r>
          <w:rPr>
            <w:rFonts w:ascii="Times New Roman" w:hAnsi="Times New Roman" w:eastAsia="宋体"/>
            <w:color w:val="0000FF"/>
            <w:sz w:val="21"/>
            <w:u w:val="single"/>
          </w:rPr>
          <w:t>https://doi.org/10.1038/s41598-026-38589-2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癌仍然是全世界最常诊断的恶性肿瘤，也是癌症相关死亡的主要原因。包括化疗和放疗在内的常规疗法往往受到治疗耐药性和疾病复发的限制，这凸显了对免疫疗法等替代方法的需求。在这项研究中，我们研究了活化 T 细胞对 A549 肺癌细胞的促凋亡作用，特别关注 TRPV4 介导的钙信号传导。 A549 细胞与 Jurkat T 细胞在钙存在下共培养，以评估 T 细胞介导的细胞毒性。在 24 小时和 72 小时时使用 MTT 测定评估细胞活力，同时通过膜联蛋白 V 染色和流式细胞术定量细胞凋亡和坏死。通过 CD3 表达的免疫表型分析证实了 T 细胞的激活。我们进一步评估了氧化应激标志物，包括总抗氧化能力 (TAC) 和总氧化状态 (TOS)，以及 TRPV4 蛋白表达。激活的 T 细胞以剂量依赖性方式显着降低 A549 细胞活力。值得注意的是，单独使用钙可以增强细胞活力，而与活化的 T 细胞结合则可以显着增加细胞毒性和坏死。在用钙和活化的 T 细胞处理的细胞中，TRPV4 表达上调，表明在介导钙流入和随后的细胞凋亡中发挥关键作用。此外，组合治疗导致 TAC 降低和 TOS 水平升高，表明氧化应激增强。这些发现揭示了一种新的免疫治疗机制，即激活的 T 细胞通过 TRPV4 依赖性钙信号传导诱导细胞凋亡，为提高肺癌治疗效果提供了潜在的策略。需要进一步的研究来阐明 T 细胞驱动的抗肿瘤反应中钙途径的调节。</w:t>
      </w:r>
    </w:p>
    <w:p>
      <w:pPr>
        <w:spacing w:before="120"/>
      </w:pPr>
      <w:r>
        <w:rPr>
          <w:rFonts w:ascii="Times New Roman" w:hAnsi="Times New Roman" w:eastAsia="宋体"/>
          <w:b/>
          <w:sz w:val="21"/>
        </w:rPr>
        <w:t>English Abstract:</w:t>
      </w:r>
    </w:p>
    <w:p>
      <w:r>
        <w:rPr>
          <w:rFonts w:ascii="Times New Roman" w:hAnsi="Times New Roman" w:eastAsia="宋体"/>
          <w:sz w:val="21"/>
        </w:rPr>
        <w:t>Lung cancer remains the most commonly diagnosed malignancy worldwide and is a leading cause of cancer-related mortality. Conventional therapies, including chemotherapy and radiotherapy, are often limited by treatment resistance and disease recurrence, highlighting the need for alternative approaches such as immunotherapy. In this study, we investigated the pro-apoptotic effects of activated T cells on A549 lung cancer cells, with a particular focus on TRPV4-mediated calcium signaling. A549 cells were co-cultured with Jurkat T cells in the presence of calcium to evaluate T cell-mediated cytotoxicity. Cell viability was assessed using the MTT assay at 24 and 72 h, while apoptosis and necrosis were quantified by Annexin V staining and flow cytometry. T cell activation was confirmed through immunophenotyping for CD3 expression. We further evaluated oxidative stress markers, including total antioxidant capacity (TAC) and total oxidant status (TOS), alongside TRPV4 protein expression. Activated T cells significantly decreased A549 cell viability in a dose-dependent manner. Notably, calcium alone enhanced cell viability, whereas its combination with activated T cells markedly increased cytotoxicity and necrosis. TRPV4 expression was upregulated in cells treated with both calcium and activated T cells, suggesting a key role in mediating calcium influx and subsequent apoptosis. Additionally, combinatorial treatment led to decreased TAC and elevated TOS levels, indicating enhanced oxidative stress. These findings reveal a novel immunotherapeutic mechanism whereby activated T cells induce apoptosis through TRPV4-dependent calcium signaling, offering a potential strategy to improve lung cancer treatment efficacy. Further studies are warranted to elucidate the modulation of calcium pathways in T cell-driven anti-tumor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DNA修复基因XRCC1的遗传多态性与糖尿病多发性神经病的风险</w:t>
      </w:r>
    </w:p>
    <w:p>
      <w:r>
        <w:rPr>
          <w:rFonts w:ascii="Times New Roman" w:hAnsi="Times New Roman" w:eastAsia="宋体"/>
          <w:b/>
          <w:color w:val="003264"/>
          <w:sz w:val="24"/>
        </w:rPr>
        <w:t>Genetic polymorphisms in DNA repair gene XRCC1 and the risk of diabetic polyneuropathy</w:t>
      </w:r>
    </w:p>
    <w:p>
      <w:r>
        <w:rPr>
          <w:rFonts w:ascii="Times New Roman" w:hAnsi="Times New Roman" w:eastAsia="宋体"/>
          <w:sz w:val="21"/>
        </w:rPr>
        <w:t>作者: Noha A. Hashim, Hatim A. El-Baz, Zahraa I. Abo Afya, Hagar F. Gouda, Noha M. Bakr</w:t>
        <w:br/>
      </w:r>
      <w:r>
        <w:rPr>
          <w:rFonts w:ascii="Times New Roman" w:hAnsi="Times New Roman" w:eastAsia="宋体"/>
          <w:sz w:val="21"/>
        </w:rPr>
        <w:t xml:space="preserve">时间: 2026-02-03 | </w:t>
      </w:r>
      <w:r>
        <w:t xml:space="preserve">链接: </w:t>
      </w:r>
      <w:hyperlink r:id="rId337">
        <w:r>
          <w:rPr>
            <w:rFonts w:ascii="Times New Roman" w:hAnsi="Times New Roman" w:eastAsia="宋体"/>
            <w:color w:val="0000FF"/>
            <w:sz w:val="21"/>
            <w:u w:val="single"/>
          </w:rPr>
          <w:t>https://doi.org/10.1038/s41598-026-35213-1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 XRCC1 Arg399Gln 和 Arg194Trp 单核苷酸多态性 (SNP) 与 2 型糖尿病 (T2DM) 患者多发性神经病 (DPN) 的风险和严重程度之间的关联。使用聚合酶链反应-限制性片段长度多态性 (PCR-RFLP) 对 732 名贡献者进行了 SNP 基因分型，其中包括患有或不患有多发性神经病的糖尿病受试者和对照。此外，通过使用包括机器学习方法在内的先进统计技术来分析数据。结果表明，在以 A 和 T 等位基因作为风险变异的共显性和显性模型下，SNP 和 DPN 风险之间均存在显着联系。单倍型分析进一步确定 A-T 单倍型是一个突出的危险因素。疾病严重程度与 399 A/A 和组合 (G/A + A/A) 基因型以及 194 C/T 和组合 (C/T + T/T) 基因型相关。在高级 DPN 阶段，随机森林 (RF) 强调 XRCC1 SNP 和疾病持续时间是三大影响因素。 SHAP 分析证实 194 C/T 基因型和 399 A/A 基因型与严重疾病表现密切相关，特别是当与病程延长、高龄、HDL 升高和 LDL 水平降低共存时。我们的研究结果证实了 XRCC1 Arg399Gln 和 Arg194Trp SNP 与 T2DM 患者 DPN 易感性​​和进展之间的关联。机器学习方法的集成通过提高诊断精度和促进个性化治疗策略来增强临床决策。</w:t>
      </w:r>
    </w:p>
    <w:p>
      <w:pPr>
        <w:spacing w:before="120"/>
      </w:pPr>
      <w:r>
        <w:rPr>
          <w:rFonts w:ascii="Times New Roman" w:hAnsi="Times New Roman" w:eastAsia="宋体"/>
          <w:b/>
          <w:sz w:val="21"/>
        </w:rPr>
        <w:t>English Abstract:</w:t>
      </w:r>
    </w:p>
    <w:p>
      <w:r>
        <w:rPr>
          <w:rFonts w:ascii="Times New Roman" w:hAnsi="Times New Roman" w:eastAsia="宋体"/>
          <w:sz w:val="21"/>
        </w:rPr>
        <w:t>This study aimed to investigate the association between XRCC1 Arg399Gln and Arg194Trp single nucleotide polymorphisms (SNPs) and the risk and severity of polyneuropathy (DPN) in patients with type 2 diabetes mellitus (T2DM). The genotyping of SNPs was achieved in 732 contributors, including diabetic subjects with and without polyneuropathy and controls, using polymerase chain reaction-restriction fragment length polymorphism (PCR-RFLP). In addition, by using advanced statistical techniques, including machine learning methodologies, to analyze the data.The results indicated a significant link between both SNPs and DPN risk under both codominant and dominant models, respectively, with the A and T alleles as risk variants. Haplotype analysis further established the A-T haplotype as a prominent risk factor. The disease severity was associated with the 399 A/A and combined (G/A + A/A) genotypes, as well as the 194 C/T and combined (C/T + T/T) genotypes. In advanced DPN stages, random Forest (RF) highlighted both XRCC1 SNPs, and disease duration as the top three contributing factors. SHAP analysis corroborated the 194 C/T genotype of and the 399 A/A genotype were strongly linked to severe disease manifestations, particularly when coexisting with prolonged illness duration, advanced age, elevated HDL, and reduced LDL levels. Our findings substantiate the association of XRCC1 Arg399Gln and Arg194Trp SNPs with both susceptibility to and progression of DPN in T2DM patients. The integration of machine learning methodologies augments clinical decision-making by refining diagnostic precision and facilitating personalized treatment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GaN基结构侧壁损伤恢复原子层蚀刻的分子动力学模拟</w:t>
      </w:r>
    </w:p>
    <w:p>
      <w:r>
        <w:rPr>
          <w:rFonts w:ascii="Times New Roman" w:hAnsi="Times New Roman" w:eastAsia="宋体"/>
          <w:b/>
          <w:color w:val="003264"/>
          <w:sz w:val="24"/>
        </w:rPr>
        <w:t>Molecular dynamics simulation of atomic layer etching for sidewall damage recovery in GaN-based structures</w:t>
      </w:r>
    </w:p>
    <w:p>
      <w:r>
        <w:rPr>
          <w:rFonts w:ascii="Times New Roman" w:hAnsi="Times New Roman" w:eastAsia="宋体"/>
          <w:sz w:val="21"/>
        </w:rPr>
        <w:t>作者: Eun Koo Kim, Jong Woo Hong, Woong Sun Lim, Ja Yeon Kim, Kyung Lim Kim, Jong Soon Park, Yun Jae Park, Chan Ho Kim, Hyeong Joon Eoh, Jun Won Jeong, Sung Hyun Kim, Young Woo Jeon, Dong Woo Kim, Geun Young Yeom</w:t>
        <w:br/>
      </w:r>
      <w:r>
        <w:rPr>
          <w:rFonts w:ascii="Times New Roman" w:hAnsi="Times New Roman" w:eastAsia="宋体"/>
          <w:sz w:val="21"/>
        </w:rPr>
        <w:t xml:space="preserve">时间: 2026-02-03 | </w:t>
      </w:r>
      <w:r>
        <w:t xml:space="preserve">链接: </w:t>
      </w:r>
      <w:hyperlink r:id="rId338">
        <w:r>
          <w:rPr>
            <w:rFonts w:ascii="Times New Roman" w:hAnsi="Times New Roman" w:eastAsia="宋体"/>
            <w:color w:val="0000FF"/>
            <w:sz w:val="21"/>
            <w:u w:val="single"/>
          </w:rPr>
          <w:t>https://doi.org/10.1038/s41598-026-38333-w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如今，随着 GaN 基器件变得越来越小，人们开始采用干法刻蚀，但它造成了损坏，特别是在暴露于 Cl2 基反应离子刻蚀 (RIE) 的 InGaN/GaN 多量子阱 (MQW) 结构中。用湿法蚀刻去除这种损伤的尝试存在局限性。因此，原子层蚀刻 (ALE) 已成为克服 GaN 器件侧壁损伤问题的一种有前途的技术。本研究利用分子动力学 (MD) 模拟来研究在原子尺度上恢复等离子体引起的损伤的最佳 ALE 工艺条件。模拟系统地分析了Ar⁺离子入射角对刻蚀行为和恢复效率的影响。生成初始损伤条件高、中、低的三个表面，然后进行 ALE 处理。结果发现，ALE 工艺可以有效去除表面和次表面非晶化区域，在所有损伤水平上观察到的损伤原子减少了约 47%，并最终收敛到相当水平的残余表面损伤。此外，使用 60°~70° 进行深度损伤去除，然后使用 80° 进行表面平滑的双角度方法被认为是最大化恢复同时最小化粗糙度的最有效策略。这些发现凸显了 ALE 从根本上恢复 MQW 侧壁损伤（无论初始损伤程度如何）的强大潜力，同时还为优化下一代垂直 GaN 器件的制造工艺提供了关键的物理见解和实用指南。</w:t>
      </w:r>
    </w:p>
    <w:p>
      <w:pPr>
        <w:spacing w:before="120"/>
      </w:pPr>
      <w:r>
        <w:rPr>
          <w:rFonts w:ascii="Times New Roman" w:hAnsi="Times New Roman" w:eastAsia="宋体"/>
          <w:b/>
          <w:sz w:val="21"/>
        </w:rPr>
        <w:t>English Abstract:</w:t>
      </w:r>
    </w:p>
    <w:p>
      <w:r>
        <w:rPr>
          <w:rFonts w:ascii="Times New Roman" w:hAnsi="Times New Roman" w:eastAsia="宋体"/>
          <w:sz w:val="21"/>
        </w:rPr>
        <w:t>Today, as GaN-based devices are becoming increasingly smaller, dry etching has been employed, but it has caused damage, particularly in InGaN/GaN multiple quantum well (MQW) structures exposed to Cl2-based reactive ion etching (RIE). Attempts to remove this damage with wet etching have had limitations. Therefore, atomic layer etching (ALE) has emerged as a promising technique to overcome the sidewall damage issues in GaN-based devices. This study utilized molecular dynamics (MD) simulations to investigate the optimal ALE process conditions for recovering plasma-induced damage at the atomic scale. The simulations systematically analyzed the effect of the Ar⁺ ion incidence angle on etching behavior and recovery efficiency. Three surfaces with initial damage conditions high, middle, and low were generated and then subjected to the ALE process. As a result, the ALE process was found to effectively remove both surface and subsurface amorphized regions, with more than ~47% reduction in damaged atoms observed across all damage levels, and ultimately converging to a comparable level of residual surface damage. Furthermore, a dual-angle approach using 60°~70° for deep damage removal followed by 80° for surface smoothing was identified as the most effective strategy for maximizing recovery while minimizing roughness. These findings highlight the strong potential of ALE to fundamentally recover MQW sidewall damage regardless of the initial damage level, while also providing critical physical insights and practical guidelines for optimizing the manufacturing processes of next-generation vertical GaN-based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室内栽培生产中光质对摩尔达青兰生长、光合性能及精油含量的影响</w:t>
      </w:r>
    </w:p>
    <w:p>
      <w:r>
        <w:rPr>
          <w:rFonts w:ascii="Times New Roman" w:hAnsi="Times New Roman" w:eastAsia="宋体"/>
          <w:b/>
          <w:color w:val="003264"/>
          <w:sz w:val="24"/>
        </w:rPr>
        <w:t>The effect of light quality on growth, photosynthetic performance and essential oil content of Dracocephalum moldavica in indoor cultivation production</w:t>
      </w:r>
    </w:p>
    <w:p>
      <w:r>
        <w:rPr>
          <w:rFonts w:ascii="Times New Roman" w:hAnsi="Times New Roman" w:eastAsia="宋体"/>
          <w:sz w:val="21"/>
        </w:rPr>
        <w:t>作者: Hossein Nastari Nasrabadi, Mahboubeh Zamanipour, Mahdi Moradi</w:t>
        <w:br/>
      </w:r>
      <w:r>
        <w:rPr>
          <w:rFonts w:ascii="Times New Roman" w:hAnsi="Times New Roman" w:eastAsia="宋体"/>
          <w:sz w:val="21"/>
        </w:rPr>
        <w:t xml:space="preserve">时间: 2026-02-03 | </w:t>
      </w:r>
      <w:r>
        <w:t xml:space="preserve">链接: </w:t>
      </w:r>
      <w:hyperlink r:id="rId346">
        <w:r>
          <w:rPr>
            <w:rFonts w:ascii="Times New Roman" w:hAnsi="Times New Roman" w:eastAsia="宋体"/>
            <w:color w:val="0000FF"/>
            <w:sz w:val="21"/>
            <w:u w:val="single"/>
          </w:rPr>
          <w:t>https://doi.org/10.1038/s41598-026-37845-9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各个方面，包括强度、质量和光照射的时间，都会影响植物的生长和发育以及它们对气体关系的反应。本研究研究了不同光谱对摩尔达维植物生长特性、光合性能和酚类含量的影响。为此，在完全随机设计中使用了六种光处理，包括白光（w）、红光（R）、蓝光（B）和LED灯发出的三种组合光（R70B30、R50B50和R30B70），并进行了三次重复。结果表明，5% 和 1% 水平的不同光谱对研究性状有显着影响。 R70B30 的组合光改善了植物生长特性。与其他处理相比，红光处理中生长的植物高度最高。在 R70B30 光谱中观察到芽的鲜重和干重最高，在蓝光光谱中观察到最低。生长指数随着蓝光比例的增加而降低，并随着红光比例的增加而提高。在红光和蓝光处理的组合中记录了光合色素的最大含量。 OJIP测试各阶段的最高荧光强度均以红光观察，最低荧光值以R50B50和R70B30的组合光记录。光系统II水分解系统的效率(Fv/F0)和光系统的最大效率(Fv/Fm)在红光处理中是最小的。红光降低了系统单位吸收光的效率指数（PIABS），并增加了能量损失的量子产率（ΦD0）、每个反应中心的光吸收率（ABS/RC）和电子捕获率（TR0/RC）。在 R70B30 光照条件下生长的植物中观察到最高的总酚含量（136.94 µg 没食子酸/g 湿重）和抗氧化能力（42.51%）。在R70B30光环境中观察到最高的精油含量（2.07％vol/wt），与白光相比增加了113.4％。</w:t>
      </w:r>
    </w:p>
    <w:p>
      <w:pPr>
        <w:spacing w:before="120"/>
      </w:pPr>
      <w:r>
        <w:rPr>
          <w:rFonts w:ascii="Times New Roman" w:hAnsi="Times New Roman" w:eastAsia="宋体"/>
          <w:b/>
          <w:sz w:val="21"/>
        </w:rPr>
        <w:t>English Abstract:</w:t>
      </w:r>
    </w:p>
    <w:p>
      <w:r>
        <w:rPr>
          <w:rFonts w:ascii="Times New Roman" w:hAnsi="Times New Roman" w:eastAsia="宋体"/>
          <w:sz w:val="21"/>
        </w:rPr>
        <w:t>Various aspects of light, including intensity, quality, and the period of light irradiation, affect plant growth and development, as well as their response to gas relations. In this study, the effect of different light spectra on growth characteristics, photosynthetic performance, and phenolic content of the D. moldavica plant was investigated. To this end, six light treatments including white light (w), red light (R), blue light (B) and three combined lights (R70B30, R50B50, and R30B70) emitted from LED lamps were used in a completely randomized design with three replications. The results revealed a significant effect of different light spectra on the studied traits at the 5% and 1% levels. The combined light of R70B30 improved plant growth characteristics. The height of plants grown in the red light treatment was the highest compared to other treatments. The highest fresh and dry weights of the shoot were observed in the R70B30 light spectrum, and the lowest in the blue light spectrum. Growth indices decreased with increasing proportions of blue light and improved with increasing proportions of red light. The maximum content of photosynthetic pigments was recorded in the combination of red and blue light treatments. The highest fluorescence intensity in all stages of the OJIP test was observed with red light, and the lowest fluorescence value was recorded with the combined lights of R50B50 and R70B30. The efficiency of the photosystem II water splitting system (Fv/F0) and the maximum efficiency of the photosystem (Fv/Fm) were minimal in the red light treatment. Red light lowered the efficiency index of the system per absorbed light (PIABS) and increased the quantum yield of energy loss (ΦD0), the light absorption rate per reaction center (ABS/RC), and the electron capture rate (TR0/RC). The highest total phenolic content (136.94 µg gallic acid/g wet weight) and antioxidant capacity (42.51%) were observed in plants grown under the R70B30 light conditions. The highest essential oil content (2.07% vol/wt) was observed in the R70B30 light environment, showing a 113.4% increase compared to white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使用扫描电子显微镜整合形态和形态测量表征，对耐盐孢粉形态特性进行相关分析</w:t>
      </w:r>
    </w:p>
    <w:p>
      <w:r>
        <w:rPr>
          <w:rFonts w:ascii="Times New Roman" w:hAnsi="Times New Roman" w:eastAsia="宋体"/>
          <w:b/>
          <w:color w:val="003264"/>
          <w:sz w:val="24"/>
        </w:rPr>
        <w:t>Correlational analysis of halotolerant palynomorphs peculiarities by integrating morphological and morphometric characterization using scanning electron microscopy</w:t>
      </w:r>
    </w:p>
    <w:p>
      <w:r>
        <w:rPr>
          <w:rFonts w:ascii="Times New Roman" w:hAnsi="Times New Roman" w:eastAsia="宋体"/>
          <w:sz w:val="21"/>
        </w:rPr>
        <w:t>作者: Moona Nazish, Muhammad Zubair, Masood Hussain Shah, Musadiq Manzoor, Rabia Masood, Fozia Bibi, Asif Kamal, Manal Abdulaziz Binobead, Muhammad Tahir Naseem</w:t>
        <w:br/>
      </w:r>
      <w:r>
        <w:rPr>
          <w:rFonts w:ascii="Times New Roman" w:hAnsi="Times New Roman" w:eastAsia="宋体"/>
          <w:sz w:val="21"/>
        </w:rPr>
        <w:t xml:space="preserve">时间: 2026-02-03 | </w:t>
      </w:r>
      <w:r>
        <w:t xml:space="preserve">链接: </w:t>
      </w:r>
      <w:hyperlink r:id="rId347">
        <w:r>
          <w:rPr>
            <w:rFonts w:ascii="Times New Roman" w:hAnsi="Times New Roman" w:eastAsia="宋体"/>
            <w:color w:val="0000FF"/>
            <w:sz w:val="21"/>
            <w:u w:val="single"/>
          </w:rPr>
          <w:t>https://doi.org/10.1038/s41598-026-38101-w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盐生植物的花粉分析对于盐生植物在各个科内的准确识别和分类学分类至关重要。本研究旨在重点介绍对巴基斯坦卡拉巴格盐岭采集的 12 个科 15 个主要耐盐物种的花粉系统分析。使用光学显微镜（LM）和扫描电子显微镜（SEM）技术来检查花粉的辨别性状，这些性状支持耐盐类群之间的表型分组和形态差异。花粉外壁的形状多种多样，有点状、疣状、微刺状、穿孔状和网状。花粉形状也表现出变化，范围从扁球形（4 spp.）、长球形（3 spp.）、长球形（3 spp.）、近扁形（3 spp.）、扁球形（1 sp.）到球形（1 sp.）。大戟的高花粉活力值（92.75%）描述了其对盐碱环境的生态适应。主成分（PCA）和聚类分析用于分析花粉形态测量数据，揭示了所研究的耐盐性之间的强亲和力。形态花粉性状与先进的系统工具相结合，对于识别形态类群内的谱系至关重要，并可能有助于确定耐盐植物物种的分类地位。</w:t>
      </w:r>
    </w:p>
    <w:p>
      <w:pPr>
        <w:spacing w:before="120"/>
      </w:pPr>
      <w:r>
        <w:rPr>
          <w:rFonts w:ascii="Times New Roman" w:hAnsi="Times New Roman" w:eastAsia="宋体"/>
          <w:b/>
          <w:sz w:val="21"/>
        </w:rPr>
        <w:t>English Abstract:</w:t>
      </w:r>
    </w:p>
    <w:p>
      <w:r>
        <w:rPr>
          <w:rFonts w:ascii="Times New Roman" w:hAnsi="Times New Roman" w:eastAsia="宋体"/>
          <w:sz w:val="21"/>
        </w:rPr>
        <w:t>Pollen analysis of halophytes is crucial for their accurate identification and taxonomic classification within respective families. This study aimed to highlight the systematic pollen analysis of 15 dominant halotolerant species from twelve families collected in the Kalabagh Salt Range, Pakistan. Light microscopic (LM) and scanning electron microscopic (SEM) techniques were used to examine the pollen’s discriminative traits that support the phenetic grouping and morphometric differentiation among halotolerant taxa. Pollen exine sculpture varied from punctate, verrucate, microechinate, perforate, to reticulate. Pollen shape also exhibited variance ranging from oblate-spheroidal (4 spp.), prolate (3 spp.), prolate-spheroidal (3 spp.), subprolate (3 spp.), Oblate (1 sp.) to spheroidal (1 sp.). The high pollen viability value of Euphorbia caducifolia (92.75%) describes its ecological adaptation to a saline environment. Principal component (PCA) and cluster analysis were used to analyze pollen morphometric data, revealing strong affinities among the studied halotolerant. Morpho pollinic traits, combined with advanced systematic tools, are crucial for identifying lineages within morphogroup taxa and may contribute to the taxonomic position of halotolerant plant species.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12:42 ---</w:t>
      </w:r>
    </w:p>
    <w:p>
      <w:pPr>
        <w:pStyle w:val="Heading2"/>
      </w:pPr>
      <w:r/>
      <w:r>
        <w:rPr>
          <w:rFonts w:ascii="Times New Roman" w:hAnsi="Times New Roman" w:eastAsia="宋体"/>
          <w:b/>
          <w:color w:val="000000"/>
          <w:sz w:val="24"/>
        </w:rPr>
        <w:t>基于深度学习的多目标优化拓扑法诺共振逆向设计</w:t>
      </w:r>
    </w:p>
    <w:p>
      <w:r>
        <w:rPr>
          <w:rFonts w:ascii="Times New Roman" w:hAnsi="Times New Roman" w:eastAsia="宋体"/>
          <w:b/>
          <w:color w:val="003264"/>
          <w:sz w:val="24"/>
        </w:rPr>
        <w:t>Inverse design of topological Fano resonance via deep learning based multi-objective optimization</w:t>
      </w:r>
    </w:p>
    <w:p>
      <w:r>
        <w:rPr>
          <w:rFonts w:ascii="Times New Roman" w:hAnsi="Times New Roman" w:eastAsia="宋体"/>
          <w:sz w:val="21"/>
        </w:rPr>
        <w:t>作者: Xu Liu, Zhongyi Guo, Kai Guo</w:t>
        <w:br/>
      </w:r>
      <w:r>
        <w:rPr>
          <w:rFonts w:ascii="Times New Roman" w:hAnsi="Times New Roman" w:eastAsia="宋体"/>
          <w:sz w:val="21"/>
        </w:rPr>
        <w:t xml:space="preserve">时间: 2026-01-20 | </w:t>
      </w:r>
      <w:r>
        <w:t xml:space="preserve">链接: </w:t>
      </w:r>
      <w:hyperlink r:id="rId214">
        <w:r>
          <w:rPr>
            <w:rFonts w:ascii="Times New Roman" w:hAnsi="Times New Roman" w:eastAsia="宋体"/>
            <w:color w:val="0000FF"/>
            <w:sz w:val="21"/>
            <w:u w:val="single"/>
          </w:rPr>
          <w:t>https://doi.org/10.1364/ol.584145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拓扑系统复杂的物理机制以及法诺共振的显着敏感性和内在不对称性，实现特定的高质量拓扑法诺共振的结构设计尤其具有挑战性。在这封信中，我们提出了一个将深度学习与多目标粒子群优化（MOPSO）相结合的框架，以实现拓扑系统中高 Q Fano 共振的按需结构设计。在我们的框架中，残差和全连接神经网络作为代理模型来预测 Fano 谱和品质因数，分别达到 97.04% 和 98.96% 的准确率。该框架的有效性通过设计频率为 98、100 和 102 THz 的拓扑 Fano 共振得到证明。我们的结果可能为拓扑光子晶体的多性能优化和逆向设计提供通用途径。</w:t>
      </w:r>
    </w:p>
    <w:p>
      <w:pPr>
        <w:spacing w:before="120"/>
      </w:pPr>
      <w:r>
        <w:rPr>
          <w:rFonts w:ascii="Times New Roman" w:hAnsi="Times New Roman" w:eastAsia="宋体"/>
          <w:b/>
          <w:sz w:val="21"/>
        </w:rPr>
        <w:t>English Abstract:</w:t>
      </w:r>
    </w:p>
    <w:p>
      <w:r>
        <w:rPr>
          <w:rFonts w:ascii="Times New Roman" w:hAnsi="Times New Roman" w:eastAsia="宋体"/>
          <w:sz w:val="21"/>
        </w:rPr>
        <w:t>Due to the complicated physical mechanisms of topological systems and the pronounced sensitivity and intrinsic asymmetry of Fano resonance, achieving structural designs for specific high-quality topological Fano resonances is particularly challenging. In this Letter, we propose a framework that integrates deep learning with multi-objective particle swarm optimization (MOPSO) to achieve the on-demand structural design of high-Q Fano resonance in a topological system. In our framework, the residual and fully connected neural networks serve as surrogate models to predict the Fano spectrum and the quality factor, achieving accuracies of 97.04% and 98.96%, respectively. The effectiveness of the framework is demonstrated by designing topological Fano resonance at frequencies of 98, 100, and 102 THz. Our results may offer a versatile route for multi-performance optimization and inverse design of topological photonic crystals.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基于金属介电结构的兼容多波段隐身的激光防护薄膜</w:t>
      </w:r>
    </w:p>
    <w:p>
      <w:r>
        <w:rPr>
          <w:rFonts w:ascii="Times New Roman" w:hAnsi="Times New Roman" w:eastAsia="宋体"/>
          <w:b/>
          <w:color w:val="003264"/>
          <w:sz w:val="24"/>
        </w:rPr>
        <w:t>Laser protection thin film compatible with multiband stealth based on metal–dielectric structure</w:t>
      </w:r>
    </w:p>
    <w:p>
      <w:r>
        <w:rPr>
          <w:rFonts w:ascii="Times New Roman" w:hAnsi="Times New Roman" w:eastAsia="宋体"/>
          <w:sz w:val="21"/>
        </w:rPr>
        <w:t>作者: Xiaotan Ji, Yuheng Jin, Min Lu, Haotong Wang, Yi Lu, Tianle Yang, Zhijian Chen, Mingyun Li, Nan Chen, Zhengqian Luo, Yikun Bu</w:t>
        <w:br/>
      </w:r>
      <w:r>
        <w:rPr>
          <w:rFonts w:ascii="Times New Roman" w:hAnsi="Times New Roman" w:eastAsia="宋体"/>
          <w:sz w:val="21"/>
        </w:rPr>
        <w:t xml:space="preserve">时间: 2026-01-21 | </w:t>
      </w:r>
      <w:r>
        <w:t xml:space="preserve">链接: </w:t>
      </w:r>
      <w:hyperlink r:id="rId349">
        <w:r>
          <w:rPr>
            <w:rFonts w:ascii="Times New Roman" w:hAnsi="Times New Roman" w:eastAsia="宋体"/>
            <w:color w:val="0000FF"/>
            <w:sz w:val="21"/>
            <w:u w:val="single"/>
          </w:rPr>
          <w:t>https://doi.org/10.1364/ol.581346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展示了一种基于金属介电结构的多功能复合薄膜，可同时实现可见光透明、红外伪装和高功率激光防护。内侧采用高低折射率材料交替叠层。结合金属层和外部介电层，该结构利用光学干涉实现了80.9%的可见光透射率，而该结构主要通过金属反射实现了低至5.9%的发射率。由Ta 2 O 5 和SiO 2 组成的介电多层膜具有高激光损伤阈值，即使在外层被烧蚀后仍能继续提供保护。在1500 W/cm 2 激光照射120 s下，薄膜表现出优异的抗损伤能力。这种可集成的解决方案为军用光学窗口、防护和隐形系统应用提供了巨大的潜力。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Here, we demonstrate a multifunctional composite thin film based on metal–dielectric structure that simultaneously achieves visible transparency, infrared camouflage, and high-power laser protection. The inner side adopts an alternating stack of high- and low-refractive-index materials. Combined with a metal layer and outer dielectric layers, the structure utilizes optical interference to achieve a visible transmittance of 80.9%, while the structure achieves an emissivity as low as 5.9% primarily via metallic reflection. The dielectric multilayer composed of Ta 2 O 5 and SiO 2 possesses a high laser damage threshold and continues to provide protection even after the outer layers are ablated. Under 1500 W/cm 2 laser irradiation for 120 s, the thin film exhibits exceptional damage resistance. This integrable solution offers significant potential for military optical windows, protection, and stealth system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激光自混合干涉测量矢量合成正交信号构建</w:t>
      </w:r>
    </w:p>
    <w:p>
      <w:r>
        <w:rPr>
          <w:rFonts w:ascii="Times New Roman" w:hAnsi="Times New Roman" w:eastAsia="宋体"/>
          <w:b/>
          <w:color w:val="003264"/>
          <w:sz w:val="24"/>
        </w:rPr>
        <w:t>Quadrature signal construction by vector composition for laser self-mixing interferometry</w:t>
      </w:r>
    </w:p>
    <w:p>
      <w:r>
        <w:rPr>
          <w:rFonts w:ascii="Times New Roman" w:hAnsi="Times New Roman" w:eastAsia="宋体"/>
          <w:sz w:val="21"/>
        </w:rPr>
        <w:t>作者: Zhen Huang, Xiaozong Chen, Zhibo Chen, Lihong Shen, Qi Lin, Yuxuan Li, Zhenghe Zhang, Guangbin Wang, Dongyu Li</w:t>
        <w:br/>
      </w:r>
      <w:r>
        <w:rPr>
          <w:rFonts w:ascii="Times New Roman" w:hAnsi="Times New Roman" w:eastAsia="宋体"/>
          <w:sz w:val="21"/>
        </w:rPr>
        <w:t xml:space="preserve">时间: 2026-01-26 | </w:t>
      </w:r>
      <w:r>
        <w:t xml:space="preserve">链接: </w:t>
      </w:r>
      <w:hyperlink r:id="rId350">
        <w:r>
          <w:rPr>
            <w:rFonts w:ascii="Times New Roman" w:hAnsi="Times New Roman" w:eastAsia="宋体"/>
            <w:color w:val="0000FF"/>
            <w:sz w:val="21"/>
            <w:u w:val="single"/>
          </w:rPr>
          <w:t>https://doi.org/10.1364/ol.587946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正交相位展开方法 (QPUM) 对于在激光自混合 (SM) 干涉测量系统中实现超精密测量至关重要。然而，传统的正交构造方法需要一对严格的正交信号；任何不匹配都会产生错误。本文提出了一种仅需要简单的加法和减法运算的矢量合成正交构造算法，用于对包含一定相移的两个 SM 信号进行严格的正交信号构造。以多纵向激光SM相移发生系统为例，通过实验和仿真验证了该方法的可行性。结果表明，即使在散斑干扰下，矢量合成算法对于峰峰值位移为 3.193 µm 的非静止运动目标也能实现 65 nm 的位移重建误差。此外，对于一对 100 秒的信号，我们的算法仅消耗传统方法所需时间的 1/34.2，计算成本降低了 97%。该技术结合了计算简单性、快速信号处理、精确正交相移、散斑抗扰度和零校准，是在线测量和低功耗场景中稳健、高实时自混合解调的理想选择。</w:t>
      </w:r>
    </w:p>
    <w:p>
      <w:pPr>
        <w:spacing w:before="120"/>
      </w:pPr>
      <w:r>
        <w:rPr>
          <w:rFonts w:ascii="Times New Roman" w:hAnsi="Times New Roman" w:eastAsia="宋体"/>
          <w:b/>
          <w:sz w:val="21"/>
        </w:rPr>
        <w:t>English Abstract:</w:t>
      </w:r>
    </w:p>
    <w:p>
      <w:r>
        <w:rPr>
          <w:rFonts w:ascii="Times New Roman" w:hAnsi="Times New Roman" w:eastAsia="宋体"/>
          <w:sz w:val="21"/>
        </w:rPr>
        <w:t>The quadrature phase unwrapping method (QPUM) is pivotal for achieving ultra-precise measurements in laser self-mixing (SM) interferometry systems. However, traditional quadrature construction methods demand a pair of strict quadrature signals; any mismatch creates error. In this paper, a vector composition quadrature construction algorithm, with only simple operations of addition and subtraction, is presented for strictly quadrature signal construction for two SM signals enclosing a certain phase shift. Taking a multi-longitudinal laser SM phase-shifting generation system as an example, we verified the feasibility of this method through experiments and simulations. The results demonstrate that, even under speckle interference, the vector composition algorithm achieves a displacement reconstruction error of 65 nm for the non-stationary motion target with a 3.193 µm peak-to-peak displacement. Moreover, for a pair of 100-second signals, our algorithm consumes only 1/34.2 of the time required by the conventional method—achieving a 97% reduction in computational cost. Combining computational simplicity, rapid signal processing, precise quadrature phase shifting, speckle immunity, and zero calibration, this technique is an ideal candidate for robust, high real-time self-mixing demodulation in online measurements and low-power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离轴数字全息术中两个波长的直接单次相位差检索</w:t>
      </w:r>
    </w:p>
    <w:p>
      <w:r>
        <w:rPr>
          <w:rFonts w:ascii="Times New Roman" w:hAnsi="Times New Roman" w:eastAsia="宋体"/>
          <w:b/>
          <w:color w:val="003264"/>
          <w:sz w:val="24"/>
        </w:rPr>
        <w:t>Direct single-shot phase difference retrieval of two wavelengths in off-axis digital holography</w:t>
      </w:r>
    </w:p>
    <w:p>
      <w:r>
        <w:rPr>
          <w:rFonts w:ascii="Times New Roman" w:hAnsi="Times New Roman" w:eastAsia="宋体"/>
          <w:sz w:val="21"/>
        </w:rPr>
        <w:t>作者: Marzieh Amani, Masoomeh Dashtdar</w:t>
        <w:br/>
      </w:r>
      <w:r>
        <w:rPr>
          <w:rFonts w:ascii="Times New Roman" w:hAnsi="Times New Roman" w:eastAsia="宋体"/>
          <w:sz w:val="21"/>
        </w:rPr>
        <w:t xml:space="preserve">时间: 2026-01-28 | </w:t>
      </w:r>
      <w:r>
        <w:t xml:space="preserve">链接: </w:t>
      </w:r>
      <w:hyperlink r:id="rId351">
        <w:r>
          <w:rPr>
            <w:rFonts w:ascii="Times New Roman" w:hAnsi="Times New Roman" w:eastAsia="宋体"/>
            <w:color w:val="0000FF"/>
            <w:sz w:val="21"/>
            <w:u w:val="single"/>
          </w:rPr>
          <w:t>https://doi.org/10.1364/ol.583657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单次双波长离轴数字全息直接相位差重建方法。这种方法能够以高步长直接对样品进行成像，而无需在每个单独的波长处重建相位图像。由于参考臂和目标臂中的双波长通过此配置中的公共路径，因此可以应用单波长布置。由于该方法的独特能力，利用钠蒸气灯源获得两个紧密间隔的波长（λ 1 = 589 nm和λ 2 = 589.6 nm），在迈克尔逊配置中合成波长Λ = 578.8 µm。通过使用基于合成波长和平均波长的两种方法测量空气楔的高度来验证所提出的方法。通过测量四个连续的台阶（每个台阶的高度间隔为 30 µm）以及厚度约为 140 µm 的玻璃板，进一步证明了所提出的技术对具有高台阶结构的样品进行成像的能力。</w:t>
      </w:r>
    </w:p>
    <w:p>
      <w:pPr>
        <w:spacing w:before="120"/>
      </w:pPr>
      <w:r>
        <w:rPr>
          <w:rFonts w:ascii="Times New Roman" w:hAnsi="Times New Roman" w:eastAsia="宋体"/>
          <w:b/>
          <w:sz w:val="21"/>
        </w:rPr>
        <w:t>English Abstract:</w:t>
      </w:r>
    </w:p>
    <w:p>
      <w:r>
        <w:rPr>
          <w:rFonts w:ascii="Times New Roman" w:hAnsi="Times New Roman" w:eastAsia="宋体"/>
          <w:sz w:val="21"/>
        </w:rPr>
        <w:t>A method for direct phase difference reconstruction using single-shot dual-wavelength off-axis digital holography is presented. This approach enables direct imaging of samples with high steps without the need to reconstruct phase images at each individual wavelength. As the dual wavelengths in the reference and object arms pass through a common path in this configuration, single-wavelength arrangements can be applied. Due to the unique capability of the presented method, a sodium-vapor lamp source has been utilized to obtain two closely spaced wavelengths ( λ 1 =589 nm and λ 2 =589.6 nm), with a synthetic wavelength of Λ=578.8 µm in the Michelson configuration. The proposed method is validated by measuring the height of an air wedge using two approaches based on the synthetic and average wavelengths. The capability of the proposed technique to image samples with high-step structures is further demonstrated by measuring four consecutive steps, each separated by a height interval of 30 µm, as well as a glass plate with a thickness of approximately 140 µm.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子采样单步菲涅耳衍射可有效计算高分辨率全息图</w:t>
      </w:r>
    </w:p>
    <w:p>
      <w:r>
        <w:rPr>
          <w:rFonts w:ascii="Times New Roman" w:hAnsi="Times New Roman" w:eastAsia="宋体"/>
          <w:b/>
          <w:color w:val="003264"/>
          <w:sz w:val="24"/>
        </w:rPr>
        <w:t>Sub-sampled single-step Fresnel diffraction for efficient computation of high-resolution holograms</w:t>
      </w:r>
    </w:p>
    <w:p>
      <w:r>
        <w:rPr>
          <w:rFonts w:ascii="Times New Roman" w:hAnsi="Times New Roman" w:eastAsia="宋体"/>
          <w:sz w:val="21"/>
        </w:rPr>
        <w:t>作者: Kazuma Mori, Fan Wang, Tomoyoshi Ito, Tomoyoshi Shimobaba</w:t>
        <w:br/>
      </w:r>
      <w:r>
        <w:rPr>
          <w:rFonts w:ascii="Times New Roman" w:hAnsi="Times New Roman" w:eastAsia="宋体"/>
          <w:sz w:val="21"/>
        </w:rPr>
        <w:t xml:space="preserve">时间: 2026-01-26 | </w:t>
      </w:r>
      <w:r>
        <w:t xml:space="preserve">链接: </w:t>
      </w:r>
      <w:hyperlink r:id="rId352">
        <w:r>
          <w:rPr>
            <w:rFonts w:ascii="Times New Roman" w:hAnsi="Times New Roman" w:eastAsia="宋体"/>
            <w:color w:val="0000FF"/>
            <w:sz w:val="21"/>
            <w:u w:val="single"/>
          </w:rPr>
          <w:t>https://doi.org/10.1364/ol.580618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图像传感器尺寸的快速增加和计算能力的不断增强产生了对各种光学应用中大规模衍射计算的需求。例如，合成孔径数字全息术需要超过 10,000 × 10,000 像素的衍射计算，而计算机生成的全息术可能需要超过 100,000 × 100,000 像素。传统的衍射计算通常假设源平面和目标平面中的像素数相等。然而，当在较低分辨率的显示设备上验证高分辨率衍射结果时，分辨率不匹配会产生不必要的计算成本。下采样可以降低计算成本，但会引入混叠伪影。在本文中，我们提出了一种将单步菲涅耳衍射与子采样快速傅立叶变换相结合的方法。这种方法能够根据高分辨率数据以所需的分辨率快速且节省内存地计算衍射结果，同时避免混叠噪声。</w:t>
      </w:r>
    </w:p>
    <w:p>
      <w:pPr>
        <w:spacing w:before="120"/>
      </w:pPr>
      <w:r>
        <w:rPr>
          <w:rFonts w:ascii="Times New Roman" w:hAnsi="Times New Roman" w:eastAsia="宋体"/>
          <w:b/>
          <w:sz w:val="21"/>
        </w:rPr>
        <w:t>English Abstract:</w:t>
      </w:r>
    </w:p>
    <w:p>
      <w:r>
        <w:rPr>
          <w:rFonts w:ascii="Times New Roman" w:hAnsi="Times New Roman" w:eastAsia="宋体"/>
          <w:sz w:val="21"/>
        </w:rPr>
        <w:t>The rapid increase in the size of image sensors and growing computational power have generated demand for large-scale diffraction calculations across a wide range of optical applications. For instance, synthetic-aperture digital holography requires diffraction calculations exceeding 10,000 × 10,000 pixels, whereas computer-generated holography may require more than 100,000 × 100,000 pixels. Conventional diffraction calculations generally assume equal pixel counts in the source and destination planes. However, when high-resolution diffraction results are verified on lower-resolution display devices, the resolution mismatch incurs unnecessary computational costs. Downsampling can reduce the computation cost, but it introduces aliasing artifacts. In this paper, we propose a method that combines single-step Fresnel diffraction with a subsampled fast Fourier transform. This approach enables fast and memory-efficient computation of diffraction results at the desired resolution from high-resolution data, while avoiding aliasing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低损耗亚碲酸盐抗谐振嵌套毛细管空心光纤</w:t>
      </w:r>
    </w:p>
    <w:p>
      <w:r>
        <w:rPr>
          <w:rFonts w:ascii="Times New Roman" w:hAnsi="Times New Roman" w:eastAsia="宋体"/>
          <w:b/>
          <w:color w:val="003264"/>
          <w:sz w:val="24"/>
        </w:rPr>
        <w:t>Low-loss tellurite anti-resonant hollow-core fiber with nested capillaries</w:t>
      </w:r>
    </w:p>
    <w:p>
      <w:r>
        <w:rPr>
          <w:rFonts w:ascii="Times New Roman" w:hAnsi="Times New Roman" w:eastAsia="宋体"/>
          <w:sz w:val="21"/>
        </w:rPr>
        <w:t>作者: Jun Zhu, Ziqian Zhang, Chengzhen Liu, Yanjie Chang, Hao Zhang, Xusheng Xiao, Yang Xiao, Yantao Xu, Haitao Guo</w:t>
        <w:br/>
      </w:r>
      <w:r>
        <w:rPr>
          <w:rFonts w:ascii="Times New Roman" w:hAnsi="Times New Roman" w:eastAsia="宋体"/>
          <w:sz w:val="21"/>
        </w:rPr>
        <w:t xml:space="preserve">时间: 2026-01-27 | </w:t>
      </w:r>
      <w:r>
        <w:t xml:space="preserve">链接: </w:t>
      </w:r>
      <w:hyperlink r:id="rId353">
        <w:r>
          <w:rPr>
            <w:rFonts w:ascii="Times New Roman" w:hAnsi="Times New Roman" w:eastAsia="宋体"/>
            <w:color w:val="0000FF"/>
            <w:sz w:val="21"/>
            <w:u w:val="single"/>
          </w:rPr>
          <w:t>https://doi.org/10.1364/ol.579861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我们报道了一种具有嵌套毛细管结构的亚碲酸盐抗谐振空心光纤（AR-HCF）。据我们所知，这种光纤由围绕空气芯的五组嵌套双层毛细管组成，是第一个使用红外玻璃制造的嵌套 AR-HCF。得益于嵌套毛细管设计增强的光限制能力，所制造的光纤在 4.65 μm 的单波长（通过从 3 m 切割至 1 m 测量）下实现了 0.15 ± 0.04 dB/m 的低传输损耗。 0.8 米长的嵌套亚碲酸盐 AR-HCF 可提供近衍射极限的激光输出，光束质量 (M 2 ) 为 1.07。数值模拟证实，与单层毛细管结构相比，嵌套结构将约束损失减少了大约两个数量级。随着制造工艺的进一步优化，嵌套亚碲酸盐AR-HCF有望实现更低的损耗，从而展示出在中红外（3-10μm）激光传输系统中的巨大应用潜力。</w:t>
      </w:r>
    </w:p>
    <w:p>
      <w:pPr>
        <w:spacing w:before="120"/>
      </w:pPr>
      <w:r>
        <w:rPr>
          <w:rFonts w:ascii="Times New Roman" w:hAnsi="Times New Roman" w:eastAsia="宋体"/>
          <w:b/>
          <w:sz w:val="21"/>
        </w:rPr>
        <w:t>English Abstract:</w:t>
      </w:r>
    </w:p>
    <w:p>
      <w:r>
        <w:rPr>
          <w:rFonts w:ascii="Times New Roman" w:hAnsi="Times New Roman" w:eastAsia="宋体"/>
          <w:sz w:val="21"/>
        </w:rPr>
        <w:t>We report a tellurite anti-resonant hollow-core fiber (AR-HCF) with a nested capillary structure. To the best of our knowledge, this fiber, comprising five sets of nested double-layer capillaries around the air core, is the first nested AR-HCF fabricated using infrared glass. Benefiting from the enhanced light confinement capability of the nested capillary design, the fabricated fiber achieves a low transmission loss of 0.15 ± 0.04 dB/m at a single wavelength of 4.65 μm measured by cutting from 3 m to 1 m. A 0.8-m-long nested tellurite AR-HCF delivers near-diffraction-limited laser output, with a beam quality (M 2 ) of 1.07. Numerical simulations confirm that the nested structure reduces confinement loss by approximately two orders of magnitude compared to the single-layer capillary configuration. With further optimization of the fabrication process, the nested tellurite AR-HCF is expected to achieve lower losses, thereby demonstrating substantial potential for applications in mid-infrared (3–10 μm) laser transmission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12:42 ---</w:t>
      </w:r>
    </w:p>
    <w:p>
      <w:pPr>
        <w:pStyle w:val="Heading1"/>
      </w:pPr>
      <w:r>
        <w:rPr>
          <w:rFonts w:ascii="Times New Roman" w:hAnsi="Times New Roman" w:eastAsia="宋体"/>
          <w:b/>
          <w:color w:val="000000"/>
          <w:sz w:val="32"/>
        </w:rPr>
        <w:t>Nature Methods</w:t>
      </w:r>
    </w:p>
    <w:p>
      <w:pPr>
        <w:jc w:val="center"/>
      </w:pPr>
      <w:r>
        <w:t>--- 更新: 12:48 ---</w:t>
      </w:r>
    </w:p>
    <w:p>
      <w:pPr>
        <w:pStyle w:val="Heading2"/>
      </w:pPr>
      <w:r/>
      <w:r>
        <w:rPr>
          <w:rFonts w:ascii="Times New Roman" w:hAnsi="Times New Roman" w:eastAsia="宋体"/>
          <w:b/>
          <w:color w:val="000000"/>
          <w:sz w:val="24"/>
        </w:rPr>
        <w:t>连接组学的不确定性量化</w:t>
      </w:r>
    </w:p>
    <w:p>
      <w:r>
        <w:rPr>
          <w:rFonts w:ascii="Times New Roman" w:hAnsi="Times New Roman" w:eastAsia="宋体"/>
          <w:b/>
          <w:color w:val="003264"/>
          <w:sz w:val="24"/>
        </w:rPr>
        <w:t>Uncertainty quantification for connectomics</w:t>
      </w:r>
    </w:p>
    <w:p>
      <w:r>
        <w:rPr>
          <w:rFonts w:ascii="Times New Roman" w:hAnsi="Times New Roman" w:eastAsia="宋体"/>
          <w:sz w:val="21"/>
        </w:rPr>
        <w:t>作者: Jan Funke</w:t>
        <w:br/>
      </w:r>
      <w:r>
        <w:rPr>
          <w:rFonts w:ascii="Times New Roman" w:hAnsi="Times New Roman" w:eastAsia="宋体"/>
          <w:sz w:val="21"/>
        </w:rPr>
        <w:t xml:space="preserve">时间: 2025-12-08 | </w:t>
      </w:r>
      <w:r>
        <w:t xml:space="preserve">链接: </w:t>
      </w:r>
      <w:hyperlink r:id="rId216">
        <w:r>
          <w:rPr>
            <w:rFonts w:ascii="Times New Roman" w:hAnsi="Times New Roman" w:eastAsia="宋体"/>
            <w:color w:val="0000FF"/>
            <w:sz w:val="21"/>
            <w:u w:val="single"/>
          </w:rPr>
          <w:t>https://doi.org/10.1038/s41592-025-02945-3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随着连接组学数据集规模和数量的增长，未来的重建方法将必须在最少或没有人类监督的情况下工作。为此，我们需要能够量化数据和建模不确定性的方法，以评估我们可以在连接体下游分析中进行的信任水平。</w:t>
      </w:r>
    </w:p>
    <w:p>
      <w:pPr>
        <w:spacing w:before="120"/>
      </w:pPr>
      <w:r>
        <w:rPr>
          <w:rFonts w:ascii="Times New Roman" w:hAnsi="Times New Roman" w:eastAsia="宋体"/>
          <w:b/>
          <w:sz w:val="21"/>
        </w:rPr>
        <w:t>English Abstract:</w:t>
      </w:r>
    </w:p>
    <w:p>
      <w:r>
        <w:rPr>
          <w:rFonts w:ascii="Times New Roman" w:hAnsi="Times New Roman" w:eastAsia="宋体"/>
          <w:sz w:val="21"/>
        </w:rPr>
        <w:t>As connectomics datasets grow in size and quantity, future reconstruction methods will have to work with minimal or no human supervision. For that, we will need methods that can quantify data and model uncertainty in order to assess the level of trust we can put in the downstream analysis of connectomes.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超越电子显微镜的连接组学</w:t>
      </w:r>
    </w:p>
    <w:p>
      <w:r>
        <w:rPr>
          <w:rFonts w:ascii="Times New Roman" w:hAnsi="Times New Roman" w:eastAsia="宋体"/>
          <w:b/>
          <w:color w:val="003264"/>
          <w:sz w:val="24"/>
        </w:rPr>
        <w:t>Connectomics beyond electron microscopy</w:t>
      </w:r>
    </w:p>
    <w:p>
      <w:r>
        <w:rPr>
          <w:rFonts w:ascii="Times New Roman" w:hAnsi="Times New Roman" w:eastAsia="宋体"/>
          <w:sz w:val="21"/>
        </w:rPr>
        <w:t>作者: Ramin Khajeh, Wei-Chung Allen Lee</w:t>
        <w:br/>
      </w:r>
      <w:r>
        <w:rPr>
          <w:rFonts w:ascii="Times New Roman" w:hAnsi="Times New Roman" w:eastAsia="宋体"/>
          <w:sz w:val="21"/>
        </w:rPr>
        <w:t xml:space="preserve">时间: 2025-12-08 | </w:t>
      </w:r>
      <w:r>
        <w:t xml:space="preserve">链接: </w:t>
      </w:r>
      <w:hyperlink r:id="rId217">
        <w:r>
          <w:rPr>
            <w:rFonts w:ascii="Times New Roman" w:hAnsi="Times New Roman" w:eastAsia="宋体"/>
            <w:color w:val="0000FF"/>
            <w:sz w:val="21"/>
            <w:u w:val="single"/>
          </w:rPr>
          <w:t>https://doi.org/10.1038/s41592-025-02943-5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连接组学是在纳米级分辨率下对神经回路进行全面绘图，历来依赖于电子显微镜 (EM)，包括透射 (TEM) 和扫描 (SEM)。然而，随着连接组学向更大的脑容量和整个哺乳动物大脑扩展，出现了巨大的技术挑战。在这里，我们重点介绍一些有希望的关键挑战和先进方法，特别是那些集成三维、多分辨率和时间分辨成像以捕获远距离和局部布线（低至超分子分辨率）的方法。</w:t>
      </w:r>
    </w:p>
    <w:p>
      <w:pPr>
        <w:spacing w:before="120"/>
      </w:pPr>
      <w:r>
        <w:rPr>
          <w:rFonts w:ascii="Times New Roman" w:hAnsi="Times New Roman" w:eastAsia="宋体"/>
          <w:b/>
          <w:sz w:val="21"/>
        </w:rPr>
        <w:t>English Abstract:</w:t>
      </w:r>
    </w:p>
    <w:p>
      <w:r>
        <w:rPr>
          <w:rFonts w:ascii="Times New Roman" w:hAnsi="Times New Roman" w:eastAsia="宋体"/>
          <w:sz w:val="21"/>
        </w:rPr>
        <w:t>Connectomics, the comprehensive mapping of neural circuits at nanoscale resolution, has historically relied on electron microscopy (EM), both transmission (TEM) and scanning (SEM). However, as connectomics scales towards larger brain volumes and whole mammalian brains, substantial technical challenges emerge. Here, we highlight key challenges and advancing approaches that hold promise, particularly those that integrate three-dimensional, multi-resolution and time-resolved imaging to capture both long-range and local wiring, down to supramolecular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年度最佳方法：EM 连接组学</w:t>
      </w:r>
    </w:p>
    <w:p>
      <w:r>
        <w:rPr>
          <w:rFonts w:ascii="Times New Roman" w:hAnsi="Times New Roman" w:eastAsia="宋体"/>
          <w:b/>
          <w:color w:val="003264"/>
          <w:sz w:val="24"/>
        </w:rPr>
        <w:t>Method of the Year: EM connectomics</w:t>
      </w:r>
    </w:p>
    <w:p>
      <w:r>
        <w:rPr>
          <w:rFonts w:ascii="Times New Roman" w:hAnsi="Times New Roman" w:eastAsia="宋体"/>
          <w:sz w:val="21"/>
        </w:rPr>
        <w:t>作者: Vivien Marx</w:t>
        <w:br/>
      </w:r>
      <w:r>
        <w:rPr>
          <w:rFonts w:ascii="Times New Roman" w:hAnsi="Times New Roman" w:eastAsia="宋体"/>
          <w:sz w:val="21"/>
        </w:rPr>
        <w:t xml:space="preserve">时间: 2025-12-08 | </w:t>
      </w:r>
      <w:r>
        <w:t xml:space="preserve">链接: </w:t>
      </w:r>
      <w:hyperlink r:id="rId218">
        <w:r>
          <w:rPr>
            <w:rFonts w:ascii="Times New Roman" w:hAnsi="Times New Roman" w:eastAsia="宋体"/>
            <w:color w:val="0000FF"/>
            <w:sz w:val="21"/>
            <w:u w:val="single"/>
          </w:rPr>
          <w:t>https://doi.org/10.1038/s41592-025-02906-w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使用电子显微镜，科学家以单神经元分辨率绘制了秀丽隐杆线虫神经系统和果蝇大脑的图谱。连接组学研究更大的大脑需要新的方法策略。</w:t>
      </w:r>
    </w:p>
    <w:p>
      <w:pPr>
        <w:spacing w:before="120"/>
      </w:pPr>
      <w:r>
        <w:rPr>
          <w:rFonts w:ascii="Times New Roman" w:hAnsi="Times New Roman" w:eastAsia="宋体"/>
          <w:b/>
          <w:sz w:val="21"/>
        </w:rPr>
        <w:t>English Abstract:</w:t>
      </w:r>
    </w:p>
    <w:p>
      <w:r>
        <w:rPr>
          <w:rFonts w:ascii="Times New Roman" w:hAnsi="Times New Roman" w:eastAsia="宋体"/>
          <w:sz w:val="21"/>
        </w:rPr>
        <w:t>Using electron microscopy, scientists mapped a Caenorhabditis elegans nervous system and Drosophila brain at single-neuron resolution. Connectomics work on bigger brains takes new methods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功能连接组学的过去和未来</w:t>
      </w:r>
    </w:p>
    <w:p>
      <w:r>
        <w:rPr>
          <w:rFonts w:ascii="Times New Roman" w:hAnsi="Times New Roman" w:eastAsia="宋体"/>
          <w:b/>
          <w:color w:val="003264"/>
          <w:sz w:val="24"/>
        </w:rPr>
        <w:t>The past and future of functional connectomics</w:t>
      </w:r>
    </w:p>
    <w:p>
      <w:r>
        <w:rPr>
          <w:rFonts w:ascii="Times New Roman" w:hAnsi="Times New Roman" w:eastAsia="宋体"/>
          <w:sz w:val="21"/>
        </w:rPr>
        <w:t>作者: R. Clay Reid</w:t>
        <w:br/>
      </w:r>
      <w:r>
        <w:rPr>
          <w:rFonts w:ascii="Times New Roman" w:hAnsi="Times New Roman" w:eastAsia="宋体"/>
          <w:sz w:val="21"/>
        </w:rPr>
        <w:t xml:space="preserve">时间: 2025-12-08 | </w:t>
      </w:r>
      <w:r>
        <w:t xml:space="preserve">链接: </w:t>
      </w:r>
      <w:hyperlink r:id="rId219">
        <w:r>
          <w:rPr>
            <w:rFonts w:ascii="Times New Roman" w:hAnsi="Times New Roman" w:eastAsia="宋体"/>
            <w:color w:val="0000FF"/>
            <w:sz w:val="21"/>
            <w:u w:val="single"/>
          </w:rPr>
          <w:t>https://doi.org/10.1038/s41592-025-02971-1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功能连接组学是一种新方法，涉及神经元活动的钙成像，然后对相同神经元进行相关电子显微镜连接组学，将神经元建立的连接与其体内功能联系起来。我相信这种研究结构和功能的组合方法将继续应用于越来越大的网络，包括整个神经系统。</w:t>
      </w:r>
    </w:p>
    <w:p>
      <w:pPr>
        <w:spacing w:before="120"/>
      </w:pPr>
      <w:r>
        <w:rPr>
          <w:rFonts w:ascii="Times New Roman" w:hAnsi="Times New Roman" w:eastAsia="宋体"/>
          <w:b/>
          <w:sz w:val="21"/>
        </w:rPr>
        <w:t>English Abstract:</w:t>
      </w:r>
    </w:p>
    <w:p>
      <w:r>
        <w:rPr>
          <w:rFonts w:ascii="Times New Roman" w:hAnsi="Times New Roman" w:eastAsia="宋体"/>
          <w:sz w:val="21"/>
        </w:rPr>
        <w:t>Functional connectomics is a new approach, involving calcium imaging of neuronal activity followed by correlated electron microscopy connectomics of the same neurons, that relates connections made by neurons to their in vivo function. I believe that this combined approach for studying structure and function will continue with ever-larger networks, including entire nervous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 RNA 成像的 PRISM</w:t>
      </w:r>
    </w:p>
    <w:p>
      <w:r>
        <w:rPr>
          <w:rFonts w:ascii="Times New Roman" w:hAnsi="Times New Roman" w:eastAsia="宋体"/>
          <w:b/>
          <w:color w:val="003264"/>
          <w:sz w:val="24"/>
        </w:rPr>
        <w:t>A PRISM for spatial RNA imaging</w:t>
      </w:r>
    </w:p>
    <w:p>
      <w:r>
        <w:rPr>
          <w:rFonts w:ascii="Times New Roman" w:hAnsi="Times New Roman" w:eastAsia="宋体"/>
          <w:sz w:val="21"/>
        </w:rPr>
        <w:t>作者: Aparna Anantharaman</w:t>
        <w:br/>
      </w:r>
      <w:r>
        <w:rPr>
          <w:rFonts w:ascii="Times New Roman" w:hAnsi="Times New Roman" w:eastAsia="宋体"/>
          <w:sz w:val="21"/>
        </w:rPr>
        <w:t xml:space="preserve">时间: 2025-12-08 | </w:t>
      </w:r>
      <w:r>
        <w:t xml:space="preserve">链接: </w:t>
      </w:r>
      <w:hyperlink r:id="rId220">
        <w:r>
          <w:rPr>
            <w:rFonts w:ascii="Times New Roman" w:hAnsi="Times New Roman" w:eastAsia="宋体"/>
            <w:color w:val="0000FF"/>
            <w:sz w:val="21"/>
            <w:u w:val="single"/>
          </w:rPr>
          <w:t>https://doi.org/10.1038/s41592-025-02985-9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2025 年度方法：基于电子显微镜的连接组学</w:t>
      </w:r>
    </w:p>
    <w:p>
      <w:r>
        <w:rPr>
          <w:rFonts w:ascii="Times New Roman" w:hAnsi="Times New Roman" w:eastAsia="宋体"/>
          <w:b/>
          <w:color w:val="003264"/>
          <w:sz w:val="24"/>
        </w:rPr>
        <w:t>Method of the Year 2025: electron microscopy-based connectomics</w:t>
      </w:r>
    </w:p>
    <w:p>
      <w:r>
        <w:rPr>
          <w:rFonts w:ascii="Times New Roman" w:hAnsi="Times New Roman" w:eastAsia="宋体"/>
          <w:sz w:val="21"/>
        </w:rPr>
        <w:t>作者: Unknown</w:t>
        <w:br/>
      </w:r>
      <w:r>
        <w:rPr>
          <w:rFonts w:ascii="Times New Roman" w:hAnsi="Times New Roman" w:eastAsia="宋体"/>
          <w:sz w:val="21"/>
        </w:rPr>
        <w:t xml:space="preserve">时间: 2025-12-08 | </w:t>
      </w:r>
      <w:r>
        <w:t xml:space="preserve">链接: </w:t>
      </w:r>
      <w:hyperlink r:id="rId221">
        <w:r>
          <w:rPr>
            <w:rFonts w:ascii="Times New Roman" w:hAnsi="Times New Roman" w:eastAsia="宋体"/>
            <w:color w:val="0000FF"/>
            <w:sz w:val="21"/>
            <w:u w:val="single"/>
          </w:rPr>
          <w:t>https://doi.org/10.1038/s41592-025-02988-6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相互连接的神经元组成的大型网络是大脑功能和行为的基础。方法论的进步使得能够重建各种生物体的大规模甚至全脑连接组。</w:t>
      </w:r>
    </w:p>
    <w:p>
      <w:pPr>
        <w:spacing w:before="120"/>
      </w:pPr>
      <w:r>
        <w:rPr>
          <w:rFonts w:ascii="Times New Roman" w:hAnsi="Times New Roman" w:eastAsia="宋体"/>
          <w:b/>
          <w:sz w:val="21"/>
        </w:rPr>
        <w:t>English Abstract:</w:t>
      </w:r>
    </w:p>
    <w:p>
      <w:r>
        <w:rPr>
          <w:rFonts w:ascii="Times New Roman" w:hAnsi="Times New Roman" w:eastAsia="宋体"/>
          <w:sz w:val="21"/>
        </w:rPr>
        <w:t>A large network of interconnected neurons serves as the basis of brain function and of behavior. Methodological advances have enabled the reconstruction of large-scale and even whole-brain connectomes of various 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FACED 2.0 可实现体内大规模电压和钙成像</w:t>
      </w:r>
    </w:p>
    <w:p>
      <w:r>
        <w:rPr>
          <w:rFonts w:ascii="Times New Roman" w:hAnsi="Times New Roman" w:eastAsia="宋体"/>
          <w:b/>
          <w:color w:val="003264"/>
          <w:sz w:val="24"/>
        </w:rPr>
        <w:t>FACED 2.0 enables large-scale voltage and calcium imaging in vivo</w:t>
      </w:r>
    </w:p>
    <w:p>
      <w:r>
        <w:rPr>
          <w:rFonts w:ascii="Times New Roman" w:hAnsi="Times New Roman" w:eastAsia="宋体"/>
          <w:sz w:val="21"/>
        </w:rPr>
        <w:t>作者: Jian Zhong, Ryan G. Natan, Qinrong Zhang, Justin S. J. Wong, Christoph Miehl, Krishnashish Bose, Xiaoyu Lu, François St-Pierre, Su Guo, Brent Doiron, Kevin K. Tsia, Na Ji</w:t>
        <w:br/>
      </w:r>
      <w:r>
        <w:rPr>
          <w:rFonts w:ascii="Times New Roman" w:hAnsi="Times New Roman" w:eastAsia="宋体"/>
          <w:sz w:val="21"/>
        </w:rPr>
        <w:t xml:space="preserve">时间: 2025-12-09 | </w:t>
      </w:r>
      <w:r>
        <w:t xml:space="preserve">链接: </w:t>
      </w:r>
      <w:hyperlink r:id="rId222">
        <w:r>
          <w:rPr>
            <w:rFonts w:ascii="Times New Roman" w:hAnsi="Times New Roman" w:eastAsia="宋体"/>
            <w:color w:val="0000FF"/>
            <w:sz w:val="21"/>
            <w:u w:val="single"/>
          </w:rPr>
          <w:t>https://doi.org/10.1038/s41592-025-02925-7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和高时空分辨率监测神经元活动对于理解大脑内的信息处理至关重要。在这里，我们优化了具有全光学兆赫线扫描速率的千赫帧速率双光子荧光显微镜，以实现亚细胞分辨率下大面积和体积的超快成像。将该技术应用于体内电压和钙成像，我们展示了同时记录小鼠视觉皮层 200 多个神经元的电压活动和 14,000 多个神经元的钙活动，以及幼虫斑马鱼大脑的体积钙成像。</w:t>
      </w:r>
    </w:p>
    <w:p>
      <w:pPr>
        <w:spacing w:before="120"/>
      </w:pPr>
      <w:r>
        <w:rPr>
          <w:rFonts w:ascii="Times New Roman" w:hAnsi="Times New Roman" w:eastAsia="宋体"/>
          <w:b/>
          <w:sz w:val="21"/>
        </w:rPr>
        <w:t>English Abstract:</w:t>
      </w:r>
    </w:p>
    <w:p>
      <w:r>
        <w:rPr>
          <w:rFonts w:ascii="Times New Roman" w:hAnsi="Times New Roman" w:eastAsia="宋体"/>
          <w:sz w:val="21"/>
        </w:rPr>
        <w:t>Abstract Monitoring neuronal activity at large scale and high spatiotemporal resolution is crucial for understanding information processing within the brain. Here we optimized a kilohertz-frame-rate two-photon fluorescence microscope with an all-optical megahertz line-scan rate to achieve ultrafast imaging across large areas and volumes at subcellular resolution. Applying this technique to in vivo voltage and calcium imaging, we demonstrated simultaneous recording of voltage activity over 200 neurons and calcium activity over 14,000 neurons from the mouse visual cortex, as well as volumetric calcium imaging of the larval zebrafish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通过自监督重建结构照明显微镜实现生物友好的高精度超分辨率成像</w:t>
      </w:r>
    </w:p>
    <w:p>
      <w:r>
        <w:rPr>
          <w:rFonts w:ascii="Times New Roman" w:hAnsi="Times New Roman" w:eastAsia="宋体"/>
          <w:b/>
          <w:color w:val="003264"/>
          <w:sz w:val="24"/>
        </w:rPr>
        <w:t>Bio-friendly and high-precision super-resolution imaging through self-supervised reconstruction structured illumination microscopy</w:t>
      </w:r>
    </w:p>
    <w:p>
      <w:r>
        <w:rPr>
          <w:rFonts w:ascii="Times New Roman" w:hAnsi="Times New Roman" w:eastAsia="宋体"/>
          <w:sz w:val="21"/>
        </w:rPr>
        <w:t>作者: Jiahao Liu, Xue Dong, Huaide Lu, Tao Liu, Wei Liu, Xinyao Hu, Quan Meng, Amin Jiang, Tao Jiang, Xiaohan Geng, Haosen Liu, Jun Cheng, Edmund Y. Lam, Yan-Jun Liu, Shan Tan, Dong Li</w:t>
        <w:br/>
      </w:r>
      <w:r>
        <w:rPr>
          <w:rFonts w:ascii="Times New Roman" w:hAnsi="Times New Roman" w:eastAsia="宋体"/>
          <w:sz w:val="21"/>
        </w:rPr>
        <w:t xml:space="preserve">时间: 2025-12-12 | </w:t>
      </w:r>
      <w:r>
        <w:t xml:space="preserve">链接: </w:t>
      </w:r>
      <w:hyperlink r:id="rId223">
        <w:r>
          <w:rPr>
            <w:rFonts w:ascii="Times New Roman" w:hAnsi="Times New Roman" w:eastAsia="宋体"/>
            <w:color w:val="0000FF"/>
            <w:sz w:val="21"/>
            <w:u w:val="single"/>
          </w:rPr>
          <w:t>https://doi.org/10.1038/s41592-025-02966-y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自监督重建结构照明显微镜 (SSR-SIM) 是一种 SIM 重建方法，通过包含光调制先验和重建伪影信息来改进图像重建，同时消除对地面真实图像的需求。这些改进允许对敏感细胞过程进行长期成像。</w:t>
      </w:r>
    </w:p>
    <w:p>
      <w:pPr>
        <w:spacing w:before="120"/>
      </w:pPr>
      <w:r>
        <w:rPr>
          <w:rFonts w:ascii="Times New Roman" w:hAnsi="Times New Roman" w:eastAsia="宋体"/>
          <w:b/>
          <w:sz w:val="21"/>
        </w:rPr>
        <w:t>English Abstract:</w:t>
      </w:r>
    </w:p>
    <w:p>
      <w:r>
        <w:rPr>
          <w:rFonts w:ascii="Times New Roman" w:hAnsi="Times New Roman" w:eastAsia="宋体"/>
          <w:sz w:val="21"/>
        </w:rPr>
        <w:t>Self-supervised reconstruction structured illumination microscopy (SSR-SIM) is a reconstruction approach for SIM that improves image reconstruction by including light modulation priors and information on reconstruction artifacts, while simultaneously eliminating the need for ground-truth images. The improvements allow long-term imaging of sensitive cellular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 RNA 结合蛋白降解以改善动物细胞中 mRNA 实时成像</w:t>
      </w:r>
    </w:p>
    <w:p>
      <w:r>
        <w:rPr>
          <w:rFonts w:ascii="Times New Roman" w:hAnsi="Times New Roman" w:eastAsia="宋体"/>
          <w:b/>
          <w:color w:val="003264"/>
          <w:sz w:val="24"/>
        </w:rPr>
        <w:t>Targeted RNA-binding protein degradation to improve mRNA live imaging in animal cells</w:t>
      </w:r>
    </w:p>
    <w:p>
      <w:r>
        <w:rPr>
          <w:rFonts w:ascii="Times New Roman" w:hAnsi="Times New Roman" w:eastAsia="宋体"/>
          <w:sz w:val="21"/>
        </w:rPr>
        <w:t>作者: Gal Haimovich</w:t>
        <w:br/>
      </w:r>
      <w:r>
        <w:rPr>
          <w:rFonts w:ascii="Times New Roman" w:hAnsi="Times New Roman" w:eastAsia="宋体"/>
          <w:sz w:val="21"/>
        </w:rPr>
        <w:t xml:space="preserve">时间: 2025-12-17 | </w:t>
      </w:r>
      <w:r>
        <w:t xml:space="preserve">链接: </w:t>
      </w:r>
      <w:hyperlink r:id="rId224">
        <w:r>
          <w:rPr>
            <w:rFonts w:ascii="Times New Roman" w:hAnsi="Times New Roman" w:eastAsia="宋体"/>
            <w:color w:val="0000FF"/>
            <w:sz w:val="21"/>
            <w:u w:val="single"/>
          </w:rPr>
          <w:t>https://doi.org/10.1038/s41592-025-02869-y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 mRNA 成像的黄金标准系统刚刚通过降解而得到升级。这一进展提高了信噪比，并可能有助于更好地理解 mRNA 运输和定位。</w:t>
      </w:r>
    </w:p>
    <w:p>
      <w:pPr>
        <w:spacing w:before="120"/>
      </w:pPr>
      <w:r>
        <w:rPr>
          <w:rFonts w:ascii="Times New Roman" w:hAnsi="Times New Roman" w:eastAsia="宋体"/>
          <w:b/>
          <w:sz w:val="21"/>
        </w:rPr>
        <w:t>English Abstract:</w:t>
      </w:r>
    </w:p>
    <w:p>
      <w:r>
        <w:rPr>
          <w:rFonts w:ascii="Times New Roman" w:hAnsi="Times New Roman" w:eastAsia="宋体"/>
          <w:sz w:val="21"/>
        </w:rPr>
        <w:t>The gold standard system for mRNA imaging in live cells just got upgraded by being degraded. This development improves signal-to-noise ratios and may lead to a better understanding of mRNA transport and localization.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用于三色 RNA 成像的正交 RNA 调节去稳定结构域，RNA 扰动最小</w:t>
      </w:r>
    </w:p>
    <w:p>
      <w:r>
        <w:rPr>
          <w:rFonts w:ascii="Times New Roman" w:hAnsi="Times New Roman" w:eastAsia="宋体"/>
          <w:b/>
          <w:color w:val="003264"/>
          <w:sz w:val="24"/>
        </w:rPr>
        <w:t>Orthogonal RNA-regulated destabilization domains for three-color RNA imaging with minimal RNA perturbation</w:t>
      </w:r>
    </w:p>
    <w:p>
      <w:r>
        <w:rPr>
          <w:rFonts w:ascii="Times New Roman" w:hAnsi="Times New Roman" w:eastAsia="宋体"/>
          <w:sz w:val="21"/>
        </w:rPr>
        <w:t>作者: Tien G. Pham, Omoyemi Ajayi, Jiaze He, Irina Sagarbarria, Jeanne A. Hardy, Jiahui Wu</w:t>
        <w:br/>
      </w:r>
      <w:r>
        <w:rPr>
          <w:rFonts w:ascii="Times New Roman" w:hAnsi="Times New Roman" w:eastAsia="宋体"/>
          <w:sz w:val="21"/>
        </w:rPr>
        <w:t xml:space="preserve">时间: 2025-12-17 | </w:t>
      </w:r>
      <w:r>
        <w:t xml:space="preserve">链接: </w:t>
      </w:r>
      <w:hyperlink r:id="rId225">
        <w:r>
          <w:rPr>
            <w:rFonts w:ascii="Times New Roman" w:hAnsi="Times New Roman" w:eastAsia="宋体"/>
            <w:color w:val="0000FF"/>
            <w:sz w:val="21"/>
            <w:u w:val="single"/>
          </w:rPr>
          <w:t>https://doi.org/10.1038/s41592-025-02905-x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这项工作提出了两个不同的 RNA 调节的不稳定结构域，支持单个 mRNA 分子的三色活细胞成像，其中之一对 RNA 稳定性的影响最小。</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two distinct RNA-regulated destabilization domains that support three-color live-cell imaging of single mRNA molecules, one of which shows minimal impact on RNA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分析细胞迁移数据的方法：基础知识和实用指南</w:t>
      </w:r>
    </w:p>
    <w:p>
      <w:r>
        <w:rPr>
          <w:rFonts w:ascii="Times New Roman" w:hAnsi="Times New Roman" w:eastAsia="宋体"/>
          <w:b/>
          <w:color w:val="003264"/>
          <w:sz w:val="24"/>
        </w:rPr>
        <w:t>Methods to analyze cell migration data: fundamentals and practical guidelines</w:t>
      </w:r>
    </w:p>
    <w:p>
      <w:r>
        <w:rPr>
          <w:rFonts w:ascii="Times New Roman" w:hAnsi="Times New Roman" w:eastAsia="宋体"/>
          <w:sz w:val="21"/>
        </w:rPr>
        <w:t>作者: Pei-Hsun Wu, Jude M. Phillip, Wenxuan Du, Andre Forjaz, Praful R. Nair, Denis Wirtz</w:t>
        <w:br/>
      </w:r>
      <w:r>
        <w:rPr>
          <w:rFonts w:ascii="Times New Roman" w:hAnsi="Times New Roman" w:eastAsia="宋体"/>
          <w:sz w:val="21"/>
        </w:rPr>
        <w:t xml:space="preserve">时间: 2025-12-18 | </w:t>
      </w:r>
      <w:r>
        <w:t xml:space="preserve">链接: </w:t>
      </w:r>
      <w:hyperlink r:id="rId226">
        <w:r>
          <w:rPr>
            <w:rFonts w:ascii="Times New Roman" w:hAnsi="Times New Roman" w:eastAsia="宋体"/>
            <w:color w:val="0000FF"/>
            <w:sz w:val="21"/>
            <w:u w:val="single"/>
          </w:rPr>
          <w:t>https://doi.org/10.1038/s41592-025-02935-5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本综述描述了从细胞迁移测定中提取定量数据的数据分析原理。它还强调了先进的图像分析工具，并为感兴趣的用户提供实用指导。</w:t>
      </w:r>
    </w:p>
    <w:p>
      <w:pPr>
        <w:spacing w:before="120"/>
      </w:pPr>
      <w:r>
        <w:rPr>
          <w:rFonts w:ascii="Times New Roman" w:hAnsi="Times New Roman" w:eastAsia="宋体"/>
          <w:b/>
          <w:sz w:val="21"/>
        </w:rPr>
        <w:t>English Abstract:</w:t>
      </w:r>
    </w:p>
    <w:p>
      <w:r>
        <w:rPr>
          <w:rFonts w:ascii="Times New Roman" w:hAnsi="Times New Roman" w:eastAsia="宋体"/>
          <w:sz w:val="21"/>
        </w:rPr>
        <w:t>This Review describes the principles of data analysis for extracting quantitative data from cell migration assays. It also highlights advanced image analysis tools and offers practical guidance for interested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SpaceBar 通过基于成像的空间转录组学实现单细胞分辨率克隆追踪</w:t>
      </w:r>
    </w:p>
    <w:p>
      <w:r>
        <w:rPr>
          <w:rFonts w:ascii="Times New Roman" w:hAnsi="Times New Roman" w:eastAsia="宋体"/>
          <w:b/>
          <w:color w:val="003264"/>
          <w:sz w:val="24"/>
        </w:rPr>
        <w:t>SpaceBar enables single-cell-resolution clone tracing with imaging-based spatial transcriptomics</w:t>
      </w:r>
    </w:p>
    <w:p>
      <w:r>
        <w:rPr>
          <w:rFonts w:ascii="Times New Roman" w:hAnsi="Times New Roman" w:eastAsia="宋体"/>
          <w:sz w:val="21"/>
        </w:rPr>
        <w:t>作者: Grant Kinsler, Caitlin Fagan, Haiyin Li, Jessica Kaster, Maggie Dunne, Robert J. Vander Velde, Ryan H. Boe, Sydney Shaffer, Meenhard Herlyn, Arjun Raj, Yael Heyman</w:t>
        <w:br/>
      </w:r>
      <w:r>
        <w:rPr>
          <w:rFonts w:ascii="Times New Roman" w:hAnsi="Times New Roman" w:eastAsia="宋体"/>
          <w:sz w:val="21"/>
        </w:rPr>
        <w:t xml:space="preserve">时间: 2025-12-18 | </w:t>
      </w:r>
      <w:r>
        <w:t xml:space="preserve">链接: </w:t>
      </w:r>
      <w:hyperlink r:id="rId227">
        <w:r>
          <w:rPr>
            <w:rFonts w:ascii="Times New Roman" w:hAnsi="Times New Roman" w:eastAsia="宋体"/>
            <w:color w:val="0000FF"/>
            <w:sz w:val="21"/>
            <w:u w:val="single"/>
          </w:rPr>
          <w:t>https://doi.org/10.1038/s41592-025-02968-w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SpaceBar 是一种细胞条形码策略，用于同时分析细胞克隆和空间身份。</w:t>
      </w:r>
    </w:p>
    <w:p>
      <w:pPr>
        <w:spacing w:before="120"/>
      </w:pPr>
      <w:r>
        <w:rPr>
          <w:rFonts w:ascii="Times New Roman" w:hAnsi="Times New Roman" w:eastAsia="宋体"/>
          <w:b/>
          <w:sz w:val="21"/>
        </w:rPr>
        <w:t>English Abstract:</w:t>
      </w:r>
    </w:p>
    <w:p>
      <w:r>
        <w:rPr>
          <w:rFonts w:ascii="Times New Roman" w:hAnsi="Times New Roman" w:eastAsia="宋体"/>
          <w:sz w:val="21"/>
        </w:rPr>
        <w:t>SpaceBar is a cellular barcoding strategy for simultaneous analysis of cell clonal and spatial identities.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无标记显微镜图像中细胞上下文相关的计算机细胞器定位</w:t>
      </w:r>
    </w:p>
    <w:p>
      <w:r>
        <w:rPr>
          <w:rFonts w:ascii="Times New Roman" w:hAnsi="Times New Roman" w:eastAsia="宋体"/>
          <w:b/>
          <w:color w:val="003264"/>
          <w:sz w:val="24"/>
        </w:rPr>
        <w:t>Cell context-dependent in silico organelle localization in label-free microscopy images</w:t>
      </w:r>
    </w:p>
    <w:p>
      <w:r>
        <w:rPr>
          <w:rFonts w:ascii="Times New Roman" w:hAnsi="Times New Roman" w:eastAsia="宋体"/>
          <w:sz w:val="21"/>
        </w:rPr>
        <w:t>作者: Nitsan Elmalam, Assaf Zaritsky</w:t>
        <w:br/>
      </w:r>
      <w:r>
        <w:rPr>
          <w:rFonts w:ascii="Times New Roman" w:hAnsi="Times New Roman" w:eastAsia="宋体"/>
          <w:sz w:val="21"/>
        </w:rPr>
        <w:t xml:space="preserve">时间: 2025-12-19 | </w:t>
      </w:r>
      <w:r>
        <w:t xml:space="preserve">链接: </w:t>
      </w:r>
      <w:hyperlink r:id="rId228">
        <w:r>
          <w:rPr>
            <w:rFonts w:ascii="Times New Roman" w:hAnsi="Times New Roman" w:eastAsia="宋体"/>
            <w:color w:val="0000FF"/>
            <w:sz w:val="21"/>
            <w:u w:val="single"/>
          </w:rPr>
          <w:t>https://doi.org/10.1038/s41592-025-02960-4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CELTIC 是一种用于计算机细胞器定位的上下文相关深度学习模型，它使用生物学先验来实现从无标记图像中对细胞器荧光进行广义和协调的预测。</w:t>
      </w:r>
    </w:p>
    <w:p>
      <w:pPr>
        <w:spacing w:before="120"/>
      </w:pPr>
      <w:r>
        <w:rPr>
          <w:rFonts w:ascii="Times New Roman" w:hAnsi="Times New Roman" w:eastAsia="宋体"/>
          <w:b/>
          <w:sz w:val="21"/>
        </w:rPr>
        <w:t>English Abstract:</w:t>
      </w:r>
    </w:p>
    <w:p>
      <w:r>
        <w:rPr>
          <w:rFonts w:ascii="Times New Roman" w:hAnsi="Times New Roman" w:eastAsia="宋体"/>
          <w:sz w:val="21"/>
        </w:rPr>
        <w:t>CELTIC is a context-dependent deep learning model for in silico organelle localization that uses biological priors to enable the generalized and harmonized prediction of organelle fluorescence from label-free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高分辨率追踪细胞祖先和空间基因表达</w:t>
      </w:r>
    </w:p>
    <w:p>
      <w:r>
        <w:rPr>
          <w:rFonts w:ascii="Times New Roman" w:hAnsi="Times New Roman" w:eastAsia="宋体"/>
          <w:b/>
          <w:color w:val="003264"/>
          <w:sz w:val="24"/>
        </w:rPr>
        <w:t>Tracking cell ancestry and spatial gene expression with high resolution</w:t>
      </w:r>
    </w:p>
    <w:p>
      <w:r>
        <w:rPr>
          <w:rFonts w:ascii="Times New Roman" w:hAnsi="Times New Roman" w:eastAsia="宋体"/>
          <w:sz w:val="21"/>
        </w:rPr>
        <w:t>作者: Unknown</w:t>
        <w:br/>
      </w:r>
      <w:r>
        <w:rPr>
          <w:rFonts w:ascii="Times New Roman" w:hAnsi="Times New Roman" w:eastAsia="宋体"/>
          <w:sz w:val="21"/>
        </w:rPr>
        <w:t xml:space="preserve">时间: 2025-12-22 | </w:t>
      </w:r>
      <w:r>
        <w:t xml:space="preserve">链接: </w:t>
      </w:r>
      <w:hyperlink r:id="rId229">
        <w:r>
          <w:rPr>
            <w:rFonts w:ascii="Times New Roman" w:hAnsi="Times New Roman" w:eastAsia="宋体"/>
            <w:color w:val="0000FF"/>
            <w:sz w:val="21"/>
            <w:u w:val="single"/>
          </w:rPr>
          <w:t>https://doi.org/10.1038/s41592-025-02964-0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SpaceBar，这是一种使用 DNA 条形码来标记单个细胞及其后代的方法，并与基于高分辨率成像的空间转录组学技术无缝集成。这种新方法能够阐明细胞的位置和祖先如何共同影响其在复杂组织中的功能和基因表达。</w:t>
      </w:r>
    </w:p>
    <w:p>
      <w:pPr>
        <w:spacing w:before="120"/>
      </w:pPr>
      <w:r>
        <w:rPr>
          <w:rFonts w:ascii="Times New Roman" w:hAnsi="Times New Roman" w:eastAsia="宋体"/>
          <w:b/>
          <w:sz w:val="21"/>
        </w:rPr>
        <w:t>English Abstract:</w:t>
      </w:r>
    </w:p>
    <w:p>
      <w:r>
        <w:rPr>
          <w:rFonts w:ascii="Times New Roman" w:hAnsi="Times New Roman" w:eastAsia="宋体"/>
          <w:sz w:val="21"/>
        </w:rPr>
        <w:t>We developed SpaceBar, a method that uses DNA barcodes to label both individual cells and their progeny and seamlessly integrates with high-resolution imaging-based spatial transcriptomics technologies. This new approach enables the elucidation of how a cell’s location and ancestry jointly inform its function and gene expression in complex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用于比较大分子复合物的全自动基准测试套件</w:t>
      </w:r>
    </w:p>
    <w:p>
      <w:r>
        <w:rPr>
          <w:rFonts w:ascii="Times New Roman" w:hAnsi="Times New Roman" w:eastAsia="宋体"/>
          <w:b/>
          <w:color w:val="003264"/>
          <w:sz w:val="24"/>
        </w:rPr>
        <w:t>A fully automated benchmarking suite to compare macromolecular complexes</w:t>
      </w:r>
    </w:p>
    <w:p>
      <w:r>
        <w:rPr>
          <w:rFonts w:ascii="Times New Roman" w:hAnsi="Times New Roman" w:eastAsia="宋体"/>
          <w:sz w:val="21"/>
        </w:rPr>
        <w:t>作者: Gabriel Studer, Xavier Robin, Stefan Bienert, Janani Durairaj, Peter Škrinjar, Gerardo Tauriello, Andrew Mark Waterhouse, Torsten Schwede</w:t>
        <w:br/>
      </w:r>
      <w:r>
        <w:rPr>
          <w:rFonts w:ascii="Times New Roman" w:hAnsi="Times New Roman" w:eastAsia="宋体"/>
          <w:sz w:val="21"/>
        </w:rPr>
        <w:t xml:space="preserve">时间: 2025-12-22 | </w:t>
      </w:r>
      <w:r>
        <w:t xml:space="preserve">链接: </w:t>
      </w:r>
      <w:hyperlink r:id="rId230">
        <w:r>
          <w:rPr>
            <w:rFonts w:ascii="Times New Roman" w:hAnsi="Times New Roman" w:eastAsia="宋体"/>
            <w:color w:val="0000FF"/>
            <w:sz w:val="21"/>
            <w:u w:val="single"/>
          </w:rPr>
          <w:t>https://doi.org/10.1038/s41592-025-02973-z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蛋白质结构预测在基准测试方面有着悠久的历史，例如结构预测的严格评估、连续自动化模型评估和相互作用预测的严格评估。随着基于人工智能的大分子复合物预测方法的兴起，使用大型数据集和稳健、无监督的分数进行基准测试以将预测与参考进行比较已变得至关重要。此外，通过晶体学或低温电子显微镜实验确定的参考结构的尺寸和复杂性不断增加，对结构比较方法提出了挑战。在这里，我们回顾了评分方法的当前技术水平，确定了现有的局限性，并提出了更适合对三级和四级结构、蛋白质-蛋白质界面和蛋白质-配体复合物进行评分的方法。我们的方法旨在有效扩展，从而能够评估大型复杂系统。所有开发都可以在 OpenStructure 的结构基准测试框架中获得。 OpenStructure 是开源软件，可从 https://openstruct.org/ 免费获取。</w:t>
      </w:r>
    </w:p>
    <w:p>
      <w:pPr>
        <w:spacing w:before="120"/>
      </w:pPr>
      <w:r>
        <w:rPr>
          <w:rFonts w:ascii="Times New Roman" w:hAnsi="Times New Roman" w:eastAsia="宋体"/>
          <w:b/>
          <w:sz w:val="21"/>
        </w:rPr>
        <w:t>English Abstract:</w:t>
      </w:r>
    </w:p>
    <w:p>
      <w:r>
        <w:rPr>
          <w:rFonts w:ascii="Times New Roman" w:hAnsi="Times New Roman" w:eastAsia="宋体"/>
          <w:sz w:val="21"/>
        </w:rPr>
        <w:t>Abstract Protein structure prediction has a long history of benchmarking efforts such as critical assessment of structure prediction, continuous automated model evaluation and critical assessment of prediction of interactions. With the rise of artificial intelligence-based methods for prediction of macromolecular complexes, benchmarking with large datasets and robust, unsupervised scores to compare predictions against a reference has become essential. Also, the increasing size and complexity of experimentally determined reference structures by crystallography or cryogenic electron microscopy poses challenges for structure comparison methods. Here we review the current state of the art in scoring methodologies, identify existing limitations and present more suitable approaches for scoring of tertiary and quaternary structures, protein–protein interfaces and protein–ligand complexes. Our methods are designed to scale efficiently, enabling the assessment of large, complex systems. All developments are available in the structure benchmarking framework of OpenStructure. OpenStructure is open source software and available for free at https://openstructure.org/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利用非稳态成像提高 fMRI 的时间 SNR</w:t>
      </w:r>
    </w:p>
    <w:p>
      <w:r>
        <w:rPr>
          <w:rFonts w:ascii="Times New Roman" w:hAnsi="Times New Roman" w:eastAsia="宋体"/>
          <w:b/>
          <w:color w:val="003264"/>
          <w:sz w:val="24"/>
        </w:rPr>
        <w:t>Taking advantage of non-steady-state imaging to increase temporal SNR for fMRI</w:t>
      </w:r>
    </w:p>
    <w:p>
      <w:r>
        <w:rPr>
          <w:rFonts w:ascii="Times New Roman" w:hAnsi="Times New Roman" w:eastAsia="宋体"/>
          <w:sz w:val="21"/>
        </w:rPr>
        <w:t>作者: Alexander J. S. Beckett, David A. Feinberg</w:t>
        <w:br/>
      </w:r>
      <w:r>
        <w:rPr>
          <w:rFonts w:ascii="Times New Roman" w:hAnsi="Times New Roman" w:eastAsia="宋体"/>
          <w:sz w:val="21"/>
        </w:rPr>
        <w:t xml:space="preserve">时间: 2025-12-23 | </w:t>
      </w:r>
      <w:r>
        <w:t xml:space="preserve">链接: </w:t>
      </w:r>
      <w:hyperlink r:id="rId231">
        <w:r>
          <w:rPr>
            <w:rFonts w:ascii="Times New Roman" w:hAnsi="Times New Roman" w:eastAsia="宋体"/>
            <w:color w:val="0000FF"/>
            <w:sz w:val="21"/>
            <w:u w:val="single"/>
          </w:rPr>
          <w:t>https://doi.org/10.1038/s41592-025-02992-w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一种称为 SASS 的技术通过利用收集功能图像时达到稳定状态所需的时间来提高功能 MRI 的时间信噪比。</w:t>
      </w:r>
    </w:p>
    <w:p>
      <w:pPr>
        <w:spacing w:before="120"/>
      </w:pPr>
      <w:r>
        <w:rPr>
          <w:rFonts w:ascii="Times New Roman" w:hAnsi="Times New Roman" w:eastAsia="宋体"/>
          <w:b/>
          <w:sz w:val="21"/>
        </w:rPr>
        <w:t>English Abstract:</w:t>
      </w:r>
    </w:p>
    <w:p>
      <w:r>
        <w:rPr>
          <w:rFonts w:ascii="Times New Roman" w:hAnsi="Times New Roman" w:eastAsia="宋体"/>
          <w:sz w:val="21"/>
        </w:rPr>
        <w:t>A technique called SASS increases temporal signal-to-noise ratio for functional MRI by taking advantage of the time it takes to reach steady state when collecting functional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谷氨酸指示剂具有更高的灵敏度和定制的失活率</w:t>
      </w:r>
    </w:p>
    <w:p>
      <w:r>
        <w:rPr>
          <w:rFonts w:ascii="Times New Roman" w:hAnsi="Times New Roman" w:eastAsia="宋体"/>
          <w:b/>
          <w:color w:val="003264"/>
          <w:sz w:val="24"/>
        </w:rPr>
        <w:t>Glutamate indicators with increased sensitivity and tailored deactivation rates</w:t>
      </w:r>
    </w:p>
    <w:p>
      <w:r>
        <w:rPr>
          <w:rFonts w:ascii="Times New Roman" w:hAnsi="Times New Roman" w:eastAsia="宋体"/>
          <w:sz w:val="21"/>
        </w:rPr>
        <w:t>作者: Abhi Aggarwal, Adrian Negrean, Yang Chen, Rishyashring Iyer, Daniel Reep, Anyi Liu, Anirudh Palutla, Michael E. Xie, Bryan J. MacLennan, Kenta M. Hagihara, Lucas W. Kinsey, Julianna L. Sun, Pantong Yao, Jihong Zheng, Arthur Tsang, Getahun Tsegaye, Yonghai Zhang, Ronak H. Patel, Benjamin J. Arthur, Julien Hiblot, Philipp Leippe, Miroslaw Tarnawski, Jonathan S. Marvin, Jason D. Vevea, Srinivas C. Turaga, Alison G. Tebo, Matteo Carandini, L. Federico Rossi, David Kleinfeld, Arthur Konnerth, Karel Svoboda, Glenn C. Turner, Jeremy P. Hasseman, Kaspar Podgorski</w:t>
        <w:br/>
      </w:r>
      <w:r>
        <w:rPr>
          <w:rFonts w:ascii="Times New Roman" w:hAnsi="Times New Roman" w:eastAsia="宋体"/>
          <w:sz w:val="21"/>
        </w:rPr>
        <w:t xml:space="preserve">时间: 2025-12-23 | </w:t>
      </w:r>
      <w:r>
        <w:t xml:space="preserve">链接: </w:t>
      </w:r>
      <w:hyperlink r:id="rId232">
        <w:r>
          <w:rPr>
            <w:rFonts w:ascii="Times New Roman" w:hAnsi="Times New Roman" w:eastAsia="宋体"/>
            <w:color w:val="0000FF"/>
            <w:sz w:val="21"/>
            <w:u w:val="single"/>
          </w:rPr>
          <w:t>https://doi.org/10.1038/s41592-025-02965-z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摘要：了解神经元如何整合来自数千个输入突触的信号需要同时监测多个位点的神经传递的方法。荧光蛋白谷氨酸指示剂 iGluSnFR 能够实现突触信号传导的可视化，但此类测量的灵敏度、规模和速度受到现有变体的限制。在这里，我们开发了两种高度敏感的第四代 iGluSnFR 变体，具有快速激活和定制的失活率：用于跟踪快速动态的 iGluSnFR4f 和用于记录大量突触的 iGluSnFR4s。这些指标以高空间特异性和体内单囊泡敏感性检测谷氨酸。我们用它们记录小鼠多个实验环境中突触传递的自然模式，包括皮质层 1-4 和海马 CA1 的双光子成像，以及中脑的光度测定。 iGluSnFR4 变体扩展了谷氨酸成像的速度、灵敏度和可扩展性，从而能够直接观察完整大脑中神经网络的信息流。</w:t>
      </w:r>
    </w:p>
    <w:p>
      <w:pPr>
        <w:spacing w:before="120"/>
      </w:pPr>
      <w:r>
        <w:rPr>
          <w:rFonts w:ascii="Times New Roman" w:hAnsi="Times New Roman" w:eastAsia="宋体"/>
          <w:b/>
          <w:sz w:val="21"/>
        </w:rPr>
        <w:t>English Abstract:</w:t>
      </w:r>
    </w:p>
    <w:p>
      <w:r>
        <w:rPr>
          <w:rFonts w:ascii="Times New Roman" w:hAnsi="Times New Roman" w:eastAsia="宋体"/>
          <w:sz w:val="21"/>
        </w:rPr>
        <w:t>Abstract Understanding how neurons integrate signals from thousands of input synapses requires methods to monitor neurotransmission across many sites simultaneously. The fluorescent protein glutamate indicator iGluSnFR enables visualization of synaptic signaling, but the sensitivity, scale and speed of such measurements are limited by existing variants. Here we developed two highly sensitive fourth-generation iGluSnFR variants with fast activation and tailored deactivation rates: iGluSnFR4f for tracking rapid dynamics, and iGluSnFR4s for recording from large populations of synapses. These indicators detect glutamate with high spatial specificity and single-vesicle sensitivity in vivo. We used them to record natural patterns of synaptic transmission across multiple experimental contexts in mice, including two-photon imaging in cortical layers 1–4 and hippocampal CA1, and photometry in the midbrain. The iGluSnFR4 variants extend the speed, sensitivity and scalability of glutamate imaging, enabling direct observation of information flow through neural networks in the intact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DynamicAtlas：果蝇发育的形态动力学图谱</w:t>
      </w:r>
    </w:p>
    <w:p>
      <w:r>
        <w:rPr>
          <w:rFonts w:ascii="Times New Roman" w:hAnsi="Times New Roman" w:eastAsia="宋体"/>
          <w:b/>
          <w:color w:val="003264"/>
          <w:sz w:val="24"/>
        </w:rPr>
        <w:t>DynamicAtlas: a morphodynamic atlas for Drosophila development</w:t>
      </w:r>
    </w:p>
    <w:p>
      <w:r>
        <w:rPr>
          <w:rFonts w:ascii="Times New Roman" w:hAnsi="Times New Roman" w:eastAsia="宋体"/>
          <w:sz w:val="21"/>
        </w:rPr>
        <w:t>作者: Matthew F. Lefebvre, Vishank Jain-Sharma, Nikolas Claussen, Noah P. Mitchell, Marion K. Raich, Hannah J. Gustafson, Friederike E. Streichan, Andreas R. Bausch, Sebastian J. Streichan</w:t>
        <w:br/>
      </w:r>
      <w:r>
        <w:rPr>
          <w:rFonts w:ascii="Times New Roman" w:hAnsi="Times New Roman" w:eastAsia="宋体"/>
          <w:sz w:val="21"/>
        </w:rPr>
        <w:t xml:space="preserve">时间: 2025-12-24 | </w:t>
      </w:r>
      <w:r>
        <w:t xml:space="preserve">链接: </w:t>
      </w:r>
      <w:hyperlink r:id="rId233">
        <w:r>
          <w:rPr>
            <w:rFonts w:ascii="Times New Roman" w:hAnsi="Times New Roman" w:eastAsia="宋体"/>
            <w:color w:val="0000FF"/>
            <w:sz w:val="21"/>
            <w:u w:val="single"/>
          </w:rPr>
          <w:t>https://doi.org/10.1038/s41592-025-02897-8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生物体通过基因表达和力学的相互作用来形成其形状。虽然静态样本图谱表征了细胞命运和基因调控，但了解动态形状变化需要实时成像。在这里，我们展示 DynamicAtlas：来自 500 个果蝇胚胎（野生型和 18 个突变体）的实时和静态数据集的“形态动力学图集”，与共同的形态时间线对齐。令人惊讶的是，表征野生型表面组织流揭示了独特的“形态动力学模块”——整体运动模式静止的时间段——对应于关键的发育阶段。突变分析显示，静态流动模式取决于打破背腹轴空间对称性的基因。温度扰动表明形态动力学模块随着累积的组织变形而变化，而不是随着时间的推移而变化。将我们的方法扩展到胚胎果蝇中肠，我们发现了动态三维表面的协变测量的模块。 DynamicAtlas 为研究生命系统中的形状形成提供了一个高分辨率框架。</w:t>
      </w:r>
    </w:p>
    <w:p>
      <w:pPr>
        <w:spacing w:before="120"/>
      </w:pPr>
      <w:r>
        <w:rPr>
          <w:rFonts w:ascii="Times New Roman" w:hAnsi="Times New Roman" w:eastAsia="宋体"/>
          <w:b/>
          <w:sz w:val="21"/>
        </w:rPr>
        <w:t>English Abstract:</w:t>
      </w:r>
    </w:p>
    <w:p>
      <w:r>
        <w:rPr>
          <w:rFonts w:ascii="Times New Roman" w:hAnsi="Times New Roman" w:eastAsia="宋体"/>
          <w:sz w:val="21"/>
        </w:rPr>
        <w:t>Abstract Living organisms develop their shape through the interplay of gene expression and mechanics. While atlases of static samples characterize cell fates and gene regulation, understanding dynamic shape changes requires live imaging. Here we present DynamicAtlas: a ‘morphodynamic atlas’ of live and static datasets from 500 Drosophila melanogaster embryos (wild type and 18 mutants), aligned to a common morphological timeline. Surprisingly, characterizing wild-type surface tissue flows reveals distinct ‘morphodynamic modules’—time periods in which the global pattern of motion is stationary—corresponding to key developmental stages. Mutant analysis shows stationary flow patterns depend on genes that break spatial symmetry along the dorsal–ventral axis. Temperature perturbations indicate that morphodynamic modules change in response to accumulated tissue deformation, rather than elapsed time. Extending our approach to the embryonic Drosophila midgut, we find modules in covariant measures of the dynamic three-dimensional surface. DynamicAtlas provides a high-resolution framework for studying shape formation across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SmartEM：机器学习引导的电子显微镜</w:t>
      </w:r>
    </w:p>
    <w:p>
      <w:r>
        <w:rPr>
          <w:rFonts w:ascii="Times New Roman" w:hAnsi="Times New Roman" w:eastAsia="宋体"/>
          <w:b/>
          <w:color w:val="003264"/>
          <w:sz w:val="24"/>
        </w:rPr>
        <w:t>SmartEM: machine learning-guided electron microscopy</w:t>
      </w:r>
    </w:p>
    <w:p>
      <w:r>
        <w:rPr>
          <w:rFonts w:ascii="Times New Roman" w:hAnsi="Times New Roman" w:eastAsia="宋体"/>
          <w:sz w:val="21"/>
        </w:rPr>
        <w:t>作者: Yaron Meirovitch, Ishaan Singh Chandok, Core Francisco Park, Pavel Potocek, Lu Mi, Shashata Sawmya, Yicong Li, Thomas L. Athey, Vladislav Susoy, Neha Karlupia, Yuelong Wu, Daniel R. Berger, Richard Schalek, Caitlyn A. Bishop, Daniel Xenes, Hannah Martinez, Jordan Matelsky, Brock A. Wester, Hanspeter Pfister, Remco Schoenmakers, Maurice Peemen, Jeff W. Lichtman, Aravinthan D. T. Samuel, Nir Shavit</w:t>
        <w:br/>
      </w:r>
      <w:r>
        <w:rPr>
          <w:rFonts w:ascii="Times New Roman" w:hAnsi="Times New Roman" w:eastAsia="宋体"/>
          <w:sz w:val="21"/>
        </w:rPr>
        <w:t xml:space="preserve">时间: 2025-12-29 | </w:t>
      </w:r>
      <w:r>
        <w:t xml:space="preserve">链接: </w:t>
      </w:r>
      <w:hyperlink r:id="rId234">
        <w:r>
          <w:rPr>
            <w:rFonts w:ascii="Times New Roman" w:hAnsi="Times New Roman" w:eastAsia="宋体"/>
            <w:color w:val="0000FF"/>
            <w:sz w:val="21"/>
            <w:u w:val="single"/>
          </w:rPr>
          <w:t>https://doi.org/10.1038/s41592-025-02929-3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SmartEM 是一种“智能”管道，用于基于电子显微镜的连接组学数据采集。为了有效地对大型数据集进行成像，该方法涉及以短像素停留时间进行成像并识别有问题的区域，然后以更长的停留时间进行成像，从而获得更高的质量。</w:t>
      </w:r>
    </w:p>
    <w:p>
      <w:pPr>
        <w:spacing w:before="120"/>
      </w:pPr>
      <w:r>
        <w:rPr>
          <w:rFonts w:ascii="Times New Roman" w:hAnsi="Times New Roman" w:eastAsia="宋体"/>
          <w:b/>
          <w:sz w:val="21"/>
        </w:rPr>
        <w:t>English Abstract:</w:t>
      </w:r>
    </w:p>
    <w:p>
      <w:r>
        <w:rPr>
          <w:rFonts w:ascii="Times New Roman" w:hAnsi="Times New Roman" w:eastAsia="宋体"/>
          <w:sz w:val="21"/>
        </w:rPr>
        <w:t>SmartEM is a ‘smart’ pipeline for electron microscopy-based data acquisition for connectomics. In order to efficiently image large datasets, the approach involves imaging at short pixel dwell times and identifying problematic regions that are then imaged with longer dwell times and therefore higher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当前和未来十年的 3D 牵引力显微镜指南</w:t>
      </w:r>
    </w:p>
    <w:p>
      <w:r>
        <w:rPr>
          <w:rFonts w:ascii="Times New Roman" w:hAnsi="Times New Roman" w:eastAsia="宋体"/>
          <w:b/>
          <w:color w:val="003264"/>
          <w:sz w:val="24"/>
        </w:rPr>
        <w:t>Guidance for 3D traction force microscopy today and in the next decade</w:t>
      </w:r>
    </w:p>
    <w:p>
      <w:r>
        <w:rPr>
          <w:rFonts w:ascii="Times New Roman" w:hAnsi="Times New Roman" w:eastAsia="宋体"/>
          <w:sz w:val="21"/>
        </w:rPr>
        <w:t>作者: Jorge Barrasa-Fano, Apeksha Shapeti, Alejandro Apolinar-Fernández, Laurens Kimps, Bart Smeets, José Antonio Sanz-Herrera, Hans Van Oosterwyck</w:t>
        <w:br/>
      </w:r>
      <w:r>
        <w:rPr>
          <w:rFonts w:ascii="Times New Roman" w:hAnsi="Times New Roman" w:eastAsia="宋体"/>
          <w:sz w:val="21"/>
        </w:rPr>
        <w:t xml:space="preserve">时间: 2025-12-29 | </w:t>
      </w:r>
      <w:r>
        <w:t xml:space="preserve">链接: </w:t>
      </w:r>
      <w:hyperlink r:id="rId235">
        <w:r>
          <w:rPr>
            <w:rFonts w:ascii="Times New Roman" w:hAnsi="Times New Roman" w:eastAsia="宋体"/>
            <w:color w:val="0000FF"/>
            <w:sz w:val="21"/>
            <w:u w:val="single"/>
          </w:rPr>
          <w:t>https://doi.org/10.1038/s41592-025-02934-6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本视角展望了 3DTFM 的未来，并为其应用的实验和计算策略提供了实用指南。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This Perspective envisions the future of 3DTFM and provides practical guidelines for experimental and computation strategies for its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人工智能引导电子显微镜加速大脑绘图</w:t>
      </w:r>
    </w:p>
    <w:p>
      <w:r>
        <w:rPr>
          <w:rFonts w:ascii="Times New Roman" w:hAnsi="Times New Roman" w:eastAsia="宋体"/>
          <w:b/>
          <w:color w:val="003264"/>
          <w:sz w:val="24"/>
        </w:rPr>
        <w:t>AI-guided electron microscopy accelerates brain mapping</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36">
        <w:r>
          <w:rPr>
            <w:rFonts w:ascii="Times New Roman" w:hAnsi="Times New Roman" w:eastAsia="宋体"/>
            <w:color w:val="0000FF"/>
            <w:sz w:val="21"/>
            <w:u w:val="single"/>
          </w:rPr>
          <w:t>https://doi.org/10.1038/s41592-025-02930-w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 SmartEM，这是一种将机器学习直接集成到电子显微镜图像采集过程中的方法。通过以特定方式分配成像时间（首先快速扫描，然后以较慢的速度仅重新扫描关键区域），我们能够在不牺牲准确性的情况下将神经回路的映射速度加快七倍。</w:t>
      </w:r>
    </w:p>
    <w:p>
      <w:pPr>
        <w:spacing w:before="120"/>
      </w:pPr>
      <w:r>
        <w:rPr>
          <w:rFonts w:ascii="Times New Roman" w:hAnsi="Times New Roman" w:eastAsia="宋体"/>
          <w:b/>
          <w:sz w:val="21"/>
        </w:rPr>
        <w:t>English Abstract:</w:t>
      </w:r>
    </w:p>
    <w:p>
      <w:r>
        <w:rPr>
          <w:rFonts w:ascii="Times New Roman" w:hAnsi="Times New Roman" w:eastAsia="宋体"/>
          <w:sz w:val="21"/>
        </w:rPr>
        <w:t>We developed SmartEM, a method that integrates machine learning directly into the image acquisition process of an electron microscope. By allocating imaging time in a specific manner — scanning quickly at first, then rescanning only critical areas more slowly — we are able to accelerate the mapping of neural circuits up to sevenfold without sacrificing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人工智能支持的超分辨率显微镜：纳米级细胞成像的革命</w:t>
      </w:r>
    </w:p>
    <w:p>
      <w:r>
        <w:rPr>
          <w:rFonts w:ascii="Times New Roman" w:hAnsi="Times New Roman" w:eastAsia="宋体"/>
          <w:b/>
          <w:color w:val="003264"/>
          <w:sz w:val="24"/>
        </w:rPr>
        <w:t>AI-empowered super-resolution microscopy: a revolution in nanoscale cellular imaging</w:t>
      </w:r>
    </w:p>
    <w:p>
      <w:r>
        <w:rPr>
          <w:rFonts w:ascii="Times New Roman" w:hAnsi="Times New Roman" w:eastAsia="宋体"/>
          <w:sz w:val="21"/>
        </w:rPr>
        <w:t>作者: Sen Li, Xiangjie Meng, Bo Zhou, Wenfeng Tian, Liangyi Chen, Yang Zhang</w:t>
        <w:br/>
      </w:r>
      <w:r>
        <w:rPr>
          <w:rFonts w:ascii="Times New Roman" w:hAnsi="Times New Roman" w:eastAsia="宋体"/>
          <w:sz w:val="21"/>
        </w:rPr>
        <w:t xml:space="preserve">时间: 2025-12-31 | </w:t>
      </w:r>
      <w:r>
        <w:t xml:space="preserve">链接: </w:t>
      </w:r>
      <w:hyperlink r:id="rId237">
        <w:r>
          <w:rPr>
            <w:rFonts w:ascii="Times New Roman" w:hAnsi="Times New Roman" w:eastAsia="宋体"/>
            <w:color w:val="0000FF"/>
            <w:sz w:val="21"/>
            <w:u w:val="single"/>
          </w:rPr>
          <w:t>https://doi.org/10.1038/s41592-025-02871-4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这篇综述全面讨论了如何使用机器学习和计算机视觉方法来改进超分辨率显微镜，以深入了解亚细胞生物学。</w:t>
      </w:r>
    </w:p>
    <w:p>
      <w:pPr>
        <w:spacing w:before="120"/>
      </w:pPr>
      <w:r>
        <w:rPr>
          <w:rFonts w:ascii="Times New Roman" w:hAnsi="Times New Roman" w:eastAsia="宋体"/>
          <w:b/>
          <w:sz w:val="21"/>
        </w:rPr>
        <w:t>English Abstract:</w:t>
      </w:r>
    </w:p>
    <w:p>
      <w:r>
        <w:rPr>
          <w:rFonts w:ascii="Times New Roman" w:hAnsi="Times New Roman" w:eastAsia="宋体"/>
          <w:sz w:val="21"/>
        </w:rPr>
        <w:t>This Review provides a comprehensive discussion of how methods in machine learning and computer vision have been used to improve super-resolution microscopy to gain insights into subcellular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回顾年份 2025</w:t>
      </w:r>
    </w:p>
    <w:p>
      <w:r>
        <w:rPr>
          <w:rFonts w:ascii="Times New Roman" w:hAnsi="Times New Roman" w:eastAsia="宋体"/>
          <w:b/>
          <w:color w:val="003264"/>
          <w:sz w:val="24"/>
        </w:rPr>
        <w:t>Year in review 2025</w:t>
      </w:r>
    </w:p>
    <w:p>
      <w:r>
        <w:rPr>
          <w:rFonts w:ascii="Times New Roman" w:hAnsi="Times New Roman" w:eastAsia="宋体"/>
          <w:sz w:val="21"/>
        </w:rPr>
        <w:t>作者: Unknown</w:t>
        <w:br/>
      </w:r>
      <w:r>
        <w:rPr>
          <w:rFonts w:ascii="Times New Roman" w:hAnsi="Times New Roman" w:eastAsia="宋体"/>
          <w:sz w:val="21"/>
        </w:rPr>
        <w:t xml:space="preserve">时间: 2026-01-12 | </w:t>
      </w:r>
      <w:r>
        <w:t xml:space="preserve">链接: </w:t>
      </w:r>
      <w:hyperlink r:id="rId238">
        <w:r>
          <w:rPr>
            <w:rFonts w:ascii="Times New Roman" w:hAnsi="Times New Roman" w:eastAsia="宋体"/>
            <w:color w:val="0000FF"/>
            <w:sz w:val="21"/>
            <w:u w:val="single"/>
          </w:rPr>
          <w:t>https://doi.org/10.1038/s41592-025-02997-5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我们重点介绍 NatureMethods 团队在 2025 年发表的一些最受欢迎的论文，反映了一些趋势和新技术的发展。</w:t>
      </w:r>
    </w:p>
    <w:p>
      <w:pPr>
        <w:spacing w:before="120"/>
      </w:pPr>
      <w:r>
        <w:rPr>
          <w:rFonts w:ascii="Times New Roman" w:hAnsi="Times New Roman" w:eastAsia="宋体"/>
          <w:b/>
          <w:sz w:val="21"/>
        </w:rPr>
        <w:t>English Abstract:</w:t>
      </w:r>
    </w:p>
    <w:p>
      <w:r>
        <w:rPr>
          <w:rFonts w:ascii="Times New Roman" w:hAnsi="Times New Roman" w:eastAsia="宋体"/>
          <w:sz w:val="21"/>
        </w:rPr>
        <w:t>We highlight some of the Nature Methods team’s favorite papers published in 2025, reflecting on some trends and new technology developments.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DBiTplus 在同一组织切片上集成基于成像和基于测序的空间组学绘图</w:t>
      </w:r>
    </w:p>
    <w:p>
      <w:r>
        <w:rPr>
          <w:rFonts w:ascii="Times New Roman" w:hAnsi="Times New Roman" w:eastAsia="宋体"/>
          <w:b/>
          <w:color w:val="003264"/>
          <w:sz w:val="24"/>
        </w:rPr>
        <w:t>Integration of imaging-based and sequencing-based spatial omics mapping on the same tissue section via DBiTplus</w:t>
      </w:r>
    </w:p>
    <w:p>
      <w:r>
        <w:rPr>
          <w:rFonts w:ascii="Times New Roman" w:hAnsi="Times New Roman" w:eastAsia="宋体"/>
          <w:sz w:val="21"/>
        </w:rPr>
        <w:t>作者: Archibald Enninful, Zhaojun Zhang, Dmytro Klymyshyn, Matthew Ingalls, Mingyu Yang, Hailing Zong, Zhiliang Bai, Negin Farzad, Graham Su, Alev Baysoy, Jungmin Nam, Yao Lu, Shuozhen Bao, Siyan Deng, Nancy R. Zhang, Oliver Braubach, Mina L. Xu, Zongming Ma, Rong Fan</w:t>
        <w:br/>
      </w:r>
      <w:r>
        <w:rPr>
          <w:rFonts w:ascii="Times New Roman" w:hAnsi="Times New Roman" w:eastAsia="宋体"/>
          <w:sz w:val="21"/>
        </w:rPr>
        <w:t xml:space="preserve">时间: 2026-01-15 | </w:t>
      </w:r>
      <w:r>
        <w:t xml:space="preserve">链接: </w:t>
      </w:r>
      <w:hyperlink r:id="rId239">
        <w:r>
          <w:rPr>
            <w:rFonts w:ascii="Times New Roman" w:hAnsi="Times New Roman" w:eastAsia="宋体"/>
            <w:color w:val="0000FF"/>
            <w:sz w:val="21"/>
            <w:u w:val="single"/>
          </w:rPr>
          <w:t>https://doi.org/10.1038/s41592-025-02948-0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同一组织切片中绘制转录组和蛋白质组的空间图谱可以深刻推进我们对细胞异质性和功能的理解。在这里，我们介绍了组织测序+中的确定性条形码（DBiTplus），这是一种综合多模式空间组学方法，将基于测序的空间转录组学和同一切片上的多重蛋白质成像相结合，实现了单细胞分辨率的细胞分型和生物途径的转录组范围内的询问。 DBiTplus 利用空间条形码和 RNase H 介导的 cDNA 检索，保留组织结构以进行多重蛋白质成像。我们开发了计算管道来整合这些模式，从而允许成像引导的反卷积生成单细胞解析的空间转录组图谱。我们在不同的样本中展示了 DBiTplus，包括冷冻小鼠胚胎、福尔马林固定石蜡包埋的人类淋巴结和淋巴瘤组织，强调了它与具有挑战性的临床样本的兼容性。 DBiTplus 揭示了人类淋巴瘤发生、进展和转化的机制。因此，DBiTplus 是一个统一的工作流程，用于在转录组规模上以逐个细胞的方式进行空间解析的单细胞图谱和无偏见的生物机制探索。</w:t>
      </w:r>
    </w:p>
    <w:p>
      <w:pPr>
        <w:spacing w:before="120"/>
      </w:pPr>
      <w:r>
        <w:rPr>
          <w:rFonts w:ascii="Times New Roman" w:hAnsi="Times New Roman" w:eastAsia="宋体"/>
          <w:b/>
          <w:sz w:val="21"/>
        </w:rPr>
        <w:t>English Abstract:</w:t>
      </w:r>
    </w:p>
    <w:p>
      <w:r>
        <w:rPr>
          <w:rFonts w:ascii="Times New Roman" w:hAnsi="Times New Roman" w:eastAsia="宋体"/>
          <w:sz w:val="21"/>
        </w:rPr>
        <w:t>Abstract Spatially mapping the transcriptome and proteome in the same tissue section can profoundly advance our understanding of cellular heterogeneity and function. Here we present Deterministic Barcoding in Tissue sequencing plus (DBiTplus), an integrative multimodal spatial omics approach combining sequencing-based spatial transcriptomics and multiplexed protein imaging on the same section, enabling both single-cell-resolution cell typing and transcriptome-wide interrogation of biological pathways. DBiTplus utilizes spatial barcoding and RNase H-mediated cDNA retrieval, preserving tissue architecture for multiplexed protein imaging. We developed computational pipelines to integrate these modalities, allowing imaging-guided deconvolution to generate single-cell-resolved spatial transcriptome atlases. We demonstrate DBiTplus across diverse samples including frozen mouse embryos, and formalin-fixed paraffin-embedded human lymph nodes and lymphoma tissues, highlighting its compatibility with challenging clinical specimens. DBiTplus uncovered mechanisms of lymphomagenesis, progression and transformation in human lymphomas. Thus, DBiTplus is a unified workflow for spatially resolved single-cell atlasing and unbiased exploration of biological mechanisms in a cell-by-cell manner at transcriptome scale.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12:50 ---</w:t>
      </w:r>
    </w:p>
    <w:p>
      <w:pPr>
        <w:pStyle w:val="Heading2"/>
      </w:pPr>
      <w:r/>
      <w:r>
        <w:rPr>
          <w:rFonts w:ascii="Times New Roman" w:hAnsi="Times New Roman" w:eastAsia="宋体"/>
          <w:b/>
          <w:color w:val="000000"/>
          <w:sz w:val="24"/>
        </w:rPr>
        <w:t>学习连续变量系统的量子态</w:t>
      </w:r>
    </w:p>
    <w:p>
      <w:r>
        <w:rPr>
          <w:rFonts w:ascii="Times New Roman" w:hAnsi="Times New Roman" w:eastAsia="宋体"/>
          <w:b/>
          <w:color w:val="003264"/>
          <w:sz w:val="24"/>
        </w:rPr>
        <w:t>Learning quantum states of continuous-variable systems</w:t>
      </w:r>
    </w:p>
    <w:p>
      <w:r>
        <w:rPr>
          <w:rFonts w:ascii="Times New Roman" w:hAnsi="Times New Roman" w:eastAsia="宋体"/>
          <w:sz w:val="21"/>
        </w:rPr>
        <w:t>作者: Francesco A. Mele, Antonio A. Mele, Lennart Bittel, Jens Eisert, Vittorio Giovannetti, Ludovico Lami, Lorenzo Leone, Salvatore F. E. Oliviero</w:t>
        <w:br/>
      </w:r>
      <w:r>
        <w:rPr>
          <w:rFonts w:ascii="Times New Roman" w:hAnsi="Times New Roman" w:eastAsia="宋体"/>
          <w:sz w:val="21"/>
        </w:rPr>
        <w:t xml:space="preserve">时间: 2025-11-26 | </w:t>
      </w:r>
      <w:r>
        <w:t xml:space="preserve">链接: </w:t>
      </w:r>
      <w:hyperlink r:id="rId240">
        <w:r>
          <w:rPr>
            <w:rFonts w:ascii="Times New Roman" w:hAnsi="Times New Roman" w:eastAsia="宋体"/>
            <w:color w:val="0000FF"/>
            <w:sz w:val="21"/>
            <w:u w:val="single"/>
          </w:rPr>
          <w:t>https://doi.org/10.1038/s41567-025-03086-2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测量是概率性的，通常只能提供有关底层量子态的部分信息。获得未知量子态的完整经典描述需要分析几种不同的测量结果，这项任务称为量子态断层扫描。在这里，我们分析了连续变量系统（例如玻色子和量子光学系统）的层析成像的最终可实现的性能。我们证明，这些系统的断层扫描在时间资源方面效率极低，比量子位等有限维系统的断层扫描低得多。断层扫描所需的最小状态副本数量不仅与模式数量成指数关系，而且即使对于低能状态，它也会与原始状态与其估计的经典描述之间的轨迹距离误差成不利比例。从更积极的角度来看，我们通过在指定误差范围内的第一和第二时刻的知识近似高斯状态时建立轨迹距离误差的界限来证明高斯状态的层析成像是有效的。最后，我们证明通过高斯酉和一些局部非高斯演化制备的非高斯态层析成像是有效的并且在实验上是可行的。</w:t>
      </w:r>
    </w:p>
    <w:p>
      <w:pPr>
        <w:spacing w:before="120"/>
      </w:pPr>
      <w:r>
        <w:rPr>
          <w:rFonts w:ascii="Times New Roman" w:hAnsi="Times New Roman" w:eastAsia="宋体"/>
          <w:b/>
          <w:sz w:val="21"/>
        </w:rPr>
        <w:t>English Abstract:</w:t>
      </w:r>
    </w:p>
    <w:p>
      <w:r>
        <w:rPr>
          <w:rFonts w:ascii="Times New Roman" w:hAnsi="Times New Roman" w:eastAsia="宋体"/>
          <w:sz w:val="21"/>
        </w:rPr>
        <w:t>Abstract Quantum measurements are probabilistic and, in general, provide only partial information about the underlying quantum state. Obtaining a full classical description of an unknown quantum state requires the analysis of several different measurements, a task known as quantum-state tomography. Here we analyse the ultimate achievable performance in the tomography of continuous-variable systems, such as bosonic and quantum optical systems. We prove that tomography of these systems is extremely inefficient in terms of time resources, much more so than tomography of finite-dimensional systems such as qubits. Not only does the minimum number of state copies needed for tomography scale exponentially with the number of modes, but, even for low-energy states, it also scales unfavourably with the trace-distance error between the original state and its estimated classical description. On a more positive note, we prove that the tomography of Gaussian states is efficient by establishing a bound on the trace-distance error made when approximating a Gaussian state from knowledge of the first and second moments within a specified error bound. Last, we demonstrate that the tomography of non-Gaussian states prepared through Gaussian unitaries and a few local non-Gaussian evolutions is efficient and experimentally feasible.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Hubbard 模型转化为动量混合 Hatsugai-Kohmoto 模型</w:t>
      </w:r>
    </w:p>
    <w:p>
      <w:r>
        <w:rPr>
          <w:rFonts w:ascii="Times New Roman" w:hAnsi="Times New Roman" w:eastAsia="宋体"/>
          <w:b/>
          <w:color w:val="003264"/>
          <w:sz w:val="24"/>
        </w:rPr>
        <w:t>Twisting the Hubbard model into the momentum-mixing Hatsugai–Kohmoto model</w:t>
      </w:r>
    </w:p>
    <w:p>
      <w:r>
        <w:rPr>
          <w:rFonts w:ascii="Times New Roman" w:hAnsi="Times New Roman" w:eastAsia="宋体"/>
          <w:sz w:val="21"/>
        </w:rPr>
        <w:t>作者: Peizhi Mai, Jinchao Zhao, Gaurav Tenkila, Nico A. Hackner, Dhruv Kush, Derek Pan, Philip W. Phillips</w:t>
        <w:br/>
      </w:r>
      <w:r>
        <w:rPr>
          <w:rFonts w:ascii="Times New Roman" w:hAnsi="Times New Roman" w:eastAsia="宋体"/>
          <w:sz w:val="21"/>
        </w:rPr>
        <w:t xml:space="preserve">时间: 2025-11-27 | </w:t>
      </w:r>
      <w:r>
        <w:t xml:space="preserve">链接: </w:t>
      </w:r>
      <w:hyperlink r:id="rId241">
        <w:r>
          <w:rPr>
            <w:rFonts w:ascii="Times New Roman" w:hAnsi="Times New Roman" w:eastAsia="宋体"/>
            <w:color w:val="0000FF"/>
            <w:sz w:val="21"/>
            <w:u w:val="single"/>
          </w:rPr>
          <w:t>https://doi.org/10.1038/s41567-025-03095-1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伯德模型是研究具有强电子-电子相互作用的材料（例如铜酸盐超导体）的标准理论工具。不幸的是，相互作用驱动的现象，例如进入强相关莫特绝缘体相的转变，很难用现有的理论技术来处理。然而，完全可解的 Hatsugai-Kohmoto 模型显示出类似的莫特物理学。在这里，我们展示了如何将 Hatsugai-Kohmoto 模型连续变形为 Hubbard 模型。诀窍是系统地重新引入原始 Hatsugai-Kohmoto 模型忽略的所有动量混合。这可以通过将 n 个动量分组到一个单元中并将它们杂交来实现，从而产生动量混合 Hatsugai-Kohmoto 模型。我们仅从十个混合动量中将一维 Hubbard 模型的 Bethe ansatz 基态能量恢复到 1% 以内。总体而言，收敛比例为 1/n2，这与标准有限簇技术的逆线性行为相反。我们对方形晶格的结果再现了最先进的模拟中的所有已知特征，并且仅具有一些混合动量。因此，我们相信动量混合 Hatsugai-Kohmoto 模型为强相关量子物质提供了另一种工具。哈伯德模型描述了强相关电子系统的物理现象，但很难求解。现在，已经确定了一种系统有效地将可精确求解的 Hatsugai-Kohmoto 模型与 Hubbard 模型联系起来的方案。</w:t>
      </w:r>
    </w:p>
    <w:p>
      <w:pPr>
        <w:spacing w:before="120"/>
      </w:pPr>
      <w:r>
        <w:rPr>
          <w:rFonts w:ascii="Times New Roman" w:hAnsi="Times New Roman" w:eastAsia="宋体"/>
          <w:b/>
          <w:sz w:val="21"/>
        </w:rPr>
        <w:t>English Abstract:</w:t>
      </w:r>
    </w:p>
    <w:p>
      <w:r>
        <w:rPr>
          <w:rFonts w:ascii="Times New Roman" w:hAnsi="Times New Roman" w:eastAsia="宋体"/>
          <w:sz w:val="21"/>
        </w:rPr>
        <w:t>The Hubbard model is a standard theoretical tool for studying materials with strong electron–electron interactions, such as cuprate superconductors. Unfortunately, interaction-driven phenomena, such as a transition into the strongly correlated Mott insulator phase, are difficult to treat with established theoretical techniques. However, the exactly solvable Hatsugai–Kohmoto model displays similar Mott physics. Here we show how the Hatsugai–Kohmoto model can be deformed continuously into the Hubbard model. The trick is to systematically reintroduce all the momentum mixing that the original Hatsugai–Kohmoto model omits. This can be accomplished by grouping n momenta into a cell and hybridizing them, resulting in the momentum-mixing Hatsugai–Kohmoto model. We recover the Bethe ansatz ground-state energy of the one-dimensional Hubbard model to within 1% from only ten mixed momenta. Overall, the convergence scales as 1/n2 as opposed to the inverse linear behaviour of standard finite-cluster techniques. Our results for a square lattice reproduce all the known features from state-of-the-art simulations also with only a few mixed momenta. Consequently, we believe that the momentum-mixing Hatsugai–Kohmoto model offers an alternative tool for strongly correlated quantum matter. The Hubbard model describes the physics of strongly correlated electron systems, but is difficult to solve. Now, a scheme to systematically and efficiently relate the exactly solvable Hatsugai–Kohmoto model to the Hubbard model has been identified.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有效界面张力产生的蛋白质模式形态和动力学</w:t>
      </w:r>
    </w:p>
    <w:p>
      <w:r>
        <w:rPr>
          <w:rFonts w:ascii="Times New Roman" w:hAnsi="Times New Roman" w:eastAsia="宋体"/>
          <w:b/>
          <w:color w:val="003264"/>
          <w:sz w:val="24"/>
        </w:rPr>
        <w:t>Protein pattern morphology and dynamics emerging from effective interfacial tension</w:t>
      </w:r>
    </w:p>
    <w:p>
      <w:r>
        <w:rPr>
          <w:rFonts w:ascii="Times New Roman" w:hAnsi="Times New Roman" w:eastAsia="宋体"/>
          <w:sz w:val="21"/>
        </w:rPr>
        <w:t>作者: Henrik Weyer, Tobias A. Roth, Erwin Frey</w:t>
        <w:br/>
      </w:r>
      <w:r>
        <w:rPr>
          <w:rFonts w:ascii="Times New Roman" w:hAnsi="Times New Roman" w:eastAsia="宋体"/>
          <w:sz w:val="21"/>
        </w:rPr>
        <w:t xml:space="preserve">时间: 2025-12-02 | </w:t>
      </w:r>
      <w:r>
        <w:t xml:space="preserve">链接: </w:t>
      </w:r>
      <w:hyperlink r:id="rId242">
        <w:r>
          <w:rPr>
            <w:rFonts w:ascii="Times New Roman" w:hAnsi="Times New Roman" w:eastAsia="宋体"/>
            <w:color w:val="0000FF"/>
            <w:sz w:val="21"/>
            <w:u w:val="single"/>
          </w:rPr>
          <w:t>https://doi.org/10.1038/s41567-025-03101-6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对于分裂和极化等细胞功能，NTPase 循环驱动的蛋白质模式形成是一种中心空间控制策略。远离平衡状态，没有一般理论将微观反应网络和参数与这些蛋白质系统中的模式类型和动力学联系起来。在这里，我们发现了一种产生有效界面张力的通用机制，组织非平衡稳态模式的宏观结构。也就是说，通过循环蛋白质附着和分离来维持蛋白质密度界面会产生曲率依赖性蛋白质重新分布，从而拉直界面。我们为界面连接和网格图案开发了非平衡诺依曼角定律和高原顶点条件，从而引入了“图灵混合物”和“图灵泡沫”的概念。与液体泡沫和混合物相比，这些非平衡图案可以通过中断类似平衡的粗化过程来选择固有波长。大肠杆菌 Min 蛋白系统体外实验的数据验证了顶点条件并支持波长动力学。我们的研究表明，与热力学关系相对应的界面定律如何从活跃系统中的不同物理过程中产生。它允许设计特定的图案形态，具有作为合成细胞中的空间控制策略的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For cellular functions such as division and polarization, protein pattern formation driven by NTPase cycles is a central spatial control strategy. Operating far from equilibrium, no general theory links microscopic reaction networks and parameters to the pattern type and dynamics in these protein systems. Here we discover a generic mechanism giving rise to an effective interfacial tension organizing the macroscopic structure of non-equilibrium steady-state patterns. Namely, maintaining protein-density interfaces by cyclic protein attachment and detachment produces curvature-dependent protein redistribution, which straightens the interface. We develop a non-equilibrium Neumann angle law and Plateau vertex conditions for interface junctions and mesh patterns, thus introducing the concepts of ‘Turing mixtures’ and ‘Turing foams’. In contrast to liquid foams and mixtures, these non-equilibrium patterns can select an intrinsic wavelength by interrupting an equilibrium-like coarsening process. Data from in vitro experiments with the Escherichia coli Min protein system verify the vertex conditions and support the wavelength dynamics. Our study shows how interface laws with correspondence to thermodynamic relations can arise from distinct physical processes in active systems. It allows the design of specific pattern morphologies with potential applications as spatial control strategies in synthetic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电调谐光拓扑</w:t>
      </w:r>
    </w:p>
    <w:p>
      <w:r>
        <w:rPr>
          <w:rFonts w:ascii="Times New Roman" w:hAnsi="Times New Roman" w:eastAsia="宋体"/>
          <w:b/>
          <w:color w:val="003264"/>
          <w:sz w:val="24"/>
        </w:rPr>
        <w:t>Electrically tuned light topology</w:t>
      </w:r>
    </w:p>
    <w:p>
      <w:r>
        <w:rPr>
          <w:rFonts w:ascii="Times New Roman" w:hAnsi="Times New Roman" w:eastAsia="宋体"/>
          <w:sz w:val="21"/>
        </w:rPr>
        <w:t>作者: Shai Tsesses, Aviv Karnieli</w:t>
        <w:br/>
      </w:r>
      <w:r>
        <w:rPr>
          <w:rFonts w:ascii="Times New Roman" w:hAnsi="Times New Roman" w:eastAsia="宋体"/>
          <w:sz w:val="21"/>
        </w:rPr>
        <w:t xml:space="preserve">时间: 2025-12-03 | </w:t>
      </w:r>
      <w:r>
        <w:t xml:space="preserve">链接: </w:t>
      </w:r>
      <w:hyperlink r:id="rId243">
        <w:r>
          <w:rPr>
            <w:rFonts w:ascii="Times New Roman" w:hAnsi="Times New Roman" w:eastAsia="宋体"/>
            <w:color w:val="0000FF"/>
            <w:sz w:val="21"/>
            <w:u w:val="single"/>
          </w:rPr>
          <w:t>https://doi.org/10.1038/s41567-025-03116-z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控制拓扑光子准粒子是其在设备中实现的先决条件。现在，它们的精确操纵已经通过基于材料介电指数操纵的合成规范场得到了证明。</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photonic quasiparticles is a prerequisite for their implementation in devices. Now, their precise manipulation has been demonstrated using synthetic gauge fields based on the manipulation of the material’s dielectric index.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激子-极化子的扭转引起的非厄米拓扑</w:t>
      </w:r>
    </w:p>
    <w:p>
      <w:r>
        <w:rPr>
          <w:rFonts w:ascii="Times New Roman" w:hAnsi="Times New Roman" w:eastAsia="宋体"/>
          <w:b/>
          <w:color w:val="003264"/>
          <w:sz w:val="24"/>
        </w:rPr>
        <w:t>Twist-induced non-Hermitian topology of exciton–polaritons</w:t>
      </w:r>
    </w:p>
    <w:p>
      <w:r>
        <w:rPr>
          <w:rFonts w:ascii="Times New Roman" w:hAnsi="Times New Roman" w:eastAsia="宋体"/>
          <w:sz w:val="21"/>
        </w:rPr>
        <w:t>作者: Jie Liang, Hao Zheng, Feng Jin, Ruiqi Bao, Kevin Dini, Jiahao Ren, Yuxi Liu, Mateusz Król, Elena A. Ostrovskaya, Eliezer Estrecho, Baile Zhang, Timothy C. H. Liew, Rui Su</w:t>
        <w:br/>
      </w:r>
      <w:r>
        <w:rPr>
          <w:rFonts w:ascii="Times New Roman" w:hAnsi="Times New Roman" w:eastAsia="宋体"/>
          <w:sz w:val="21"/>
        </w:rPr>
        <w:t xml:space="preserve">时间: 2025-12-04 | </w:t>
      </w:r>
      <w:r>
        <w:t xml:space="preserve">链接: </w:t>
      </w:r>
      <w:hyperlink r:id="rId244">
        <w:r>
          <w:rPr>
            <w:rFonts w:ascii="Times New Roman" w:hAnsi="Times New Roman" w:eastAsia="宋体"/>
            <w:color w:val="0000FF"/>
            <w:sz w:val="21"/>
            <w:u w:val="single"/>
          </w:rPr>
          <w:t>https://doi.org/10.1038/s41567-025-03115-0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强耦合的光-物质系统可以增强对拓扑现象的操纵。现在，可调谐的非厄米效应通过扭转自由度引起的激子极化激元得到了证明。</w:t>
      </w:r>
    </w:p>
    <w:p>
      <w:pPr>
        <w:spacing w:before="120"/>
      </w:pPr>
      <w:r>
        <w:rPr>
          <w:rFonts w:ascii="Times New Roman" w:hAnsi="Times New Roman" w:eastAsia="宋体"/>
          <w:b/>
          <w:sz w:val="21"/>
        </w:rPr>
        <w:t>English Abstract:</w:t>
      </w:r>
    </w:p>
    <w:p>
      <w:r>
        <w:rPr>
          <w:rFonts w:ascii="Times New Roman" w:hAnsi="Times New Roman" w:eastAsia="宋体"/>
          <w:sz w:val="21"/>
        </w:rPr>
        <w:t>Strongly coupled light–matter systems could offer enhanced manipulation of topological phenomena. Now, tunable non-Hermitian effects are demonstrated with exciton–polaritons induced by a twist degree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用于机器学习的多模波传播的任意控制</w:t>
      </w:r>
    </w:p>
    <w:p>
      <w:r>
        <w:rPr>
          <w:rFonts w:ascii="Times New Roman" w:hAnsi="Times New Roman" w:eastAsia="宋体"/>
          <w:b/>
          <w:color w:val="003264"/>
          <w:sz w:val="24"/>
        </w:rPr>
        <w:t>Arbitrary control over multimode wave propagation for machine learning</w:t>
      </w:r>
    </w:p>
    <w:p>
      <w:r>
        <w:rPr>
          <w:rFonts w:ascii="Times New Roman" w:hAnsi="Times New Roman" w:eastAsia="宋体"/>
          <w:sz w:val="21"/>
        </w:rPr>
        <w:t>作者: Tatsuhiro Onodera, Martin M. Stein, Benjamin A. Ash, Mandar M. Sohoni, Melissa Bosch, Ryotatsu Yanagimoto, Marc Jankowski, Timothy P. McKenna, Tianyu Wang, Gennady Shvets, Maxim R. Shcherbakov, Logan G. Wright, Peter L. McMahon</w:t>
        <w:br/>
      </w:r>
      <w:r>
        <w:rPr>
          <w:rFonts w:ascii="Times New Roman" w:hAnsi="Times New Roman" w:eastAsia="宋体"/>
          <w:sz w:val="21"/>
        </w:rPr>
        <w:t xml:space="preserve">时间: 2025-12-08 | </w:t>
      </w:r>
      <w:r>
        <w:t xml:space="preserve">链接: </w:t>
      </w:r>
      <w:hyperlink r:id="rId245">
        <w:r>
          <w:rPr>
            <w:rFonts w:ascii="Times New Roman" w:hAnsi="Times New Roman" w:eastAsia="宋体"/>
            <w:color w:val="0000FF"/>
            <w:sz w:val="21"/>
            <w:u w:val="single"/>
          </w:rPr>
          <w:t>https://doi.org/10.1038/s41567-025-03094-2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与基于单模波导连接的分立元件的架构相比，受控多模波传播可以实现更节省空间的光子处理器。人们可以雕刻光子处理器的连续基板，以通过二维多模干涉来执行计算，而不是定义离散元件。在这里，我们设计并演示了一种具有折射率的装置，可以在空间中快速重新编程，从而可以任意控制波传播。该器件是一种二维可编程波导，采用平行电光调制平板波导的折射率，具有约 10 4 个可编程空间自由度。我们在单次传递中对多达 49 维向量的基准任务实施了神经网络推理，无需数字预处理或后处理。理论和数值分析进一步表明，二维可编程波导不仅可以提供器件面积的恒定因子减小，而且还具有缩放优势，所需面积以N 1.5 而非N 2 的形式增长。</w:t>
      </w:r>
    </w:p>
    <w:p>
      <w:pPr>
        <w:spacing w:before="120"/>
      </w:pPr>
      <w:r>
        <w:rPr>
          <w:rFonts w:ascii="Times New Roman" w:hAnsi="Times New Roman" w:eastAsia="宋体"/>
          <w:b/>
          <w:sz w:val="21"/>
        </w:rPr>
        <w:t>English Abstract:</w:t>
      </w:r>
    </w:p>
    <w:p>
      <w:r>
        <w:rPr>
          <w:rFonts w:ascii="Times New Roman" w:hAnsi="Times New Roman" w:eastAsia="宋体"/>
          <w:sz w:val="21"/>
        </w:rPr>
        <w:t>Abstract Controlled multimode wave propagation can enable more space-efficient photonic processors than architectures based on discrete components connected by single-mode waveguides. Instead of defining discrete elements, one can sculpt the continuous substrate of a photonic processor to perform computations through multimode interference in two dimensions. Here we designed and demonstrated a device with a refractive index that can be rapidly reprogrammed across space, allowing arbitrary control of wave propagation. The device, a two-dimensional programmable waveguide, uses parallel electro-optic modulation of the refractive index of a slab waveguide with about 10 4 programmable spatial degrees of freedom. We implemented neural network inference on benchmark tasks with up to 49-dimensional vectors in a single pass, without digital pre-processing or post-processing. Theoretical and numerical analyses further indicated that two-dimensional programmable waveguides may offer not only a constant-factor reduction in device area but also a scaling benefit, with the area required growing as N 1.5 rather than N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类粒子手性向列涡结的聚变与裂变</w:t>
      </w:r>
    </w:p>
    <w:p>
      <w:r>
        <w:rPr>
          <w:rFonts w:ascii="Times New Roman" w:hAnsi="Times New Roman" w:eastAsia="宋体"/>
          <w:b/>
          <w:color w:val="003264"/>
          <w:sz w:val="24"/>
        </w:rPr>
        <w:t>Fusion and fission of particle-like chiral nematic vortex knots</w:t>
      </w:r>
    </w:p>
    <w:p>
      <w:r>
        <w:rPr>
          <w:rFonts w:ascii="Times New Roman" w:hAnsi="Times New Roman" w:eastAsia="宋体"/>
          <w:sz w:val="21"/>
        </w:rPr>
        <w:t>作者: Darian Hall, Jung-Shen Benny Tai, Louis H. Kauffman, Ivan I. Smalyukh</w:t>
        <w:br/>
      </w:r>
      <w:r>
        <w:rPr>
          <w:rFonts w:ascii="Times New Roman" w:hAnsi="Times New Roman" w:eastAsia="宋体"/>
          <w:sz w:val="21"/>
        </w:rPr>
        <w:t xml:space="preserve">时间: 2025-12-15 | </w:t>
      </w:r>
      <w:r>
        <w:t xml:space="preserve">链接: </w:t>
      </w:r>
      <w:hyperlink r:id="rId246">
        <w:r>
          <w:rPr>
            <w:rFonts w:ascii="Times New Roman" w:hAnsi="Times New Roman" w:eastAsia="宋体"/>
            <w:color w:val="0000FF"/>
            <w:sz w:val="21"/>
            <w:u w:val="single"/>
          </w:rPr>
          <w:t>https://doi.org/10.1038/s41567-025-03107-0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许多物理系统中都发现涡结正在衰减。在这里，我们描述了拓扑保护的涡结，它保持稳定并经历融合和裂变并保持拓扑不变量。主体介质是手性向列液晶，表现出分子排列的固有手性，而涡线的核心是结构上的非手性区域，其中分子扭曲无法定义。我们可以通过施加电脉冲在这些涡结的融合和裂变之间可逆地切换。这揭示了结理论中概念的物理体现，​​例如结的连接和和带手术。我们的研究结果证明了从组成分子到宿主介质以及能量稳定的手性涡结的层级水平上手性效应的相互作用。这种新兴的物理行为可能使得电光和光子学中的应用成为可能，其中涡结的聚变和裂变过程可用于控制光。</w:t>
      </w:r>
    </w:p>
    <w:p>
      <w:pPr>
        <w:spacing w:before="120"/>
      </w:pPr>
      <w:r>
        <w:rPr>
          <w:rFonts w:ascii="Times New Roman" w:hAnsi="Times New Roman" w:eastAsia="宋体"/>
          <w:b/>
          <w:sz w:val="21"/>
        </w:rPr>
        <w:t>English Abstract:</w:t>
      </w:r>
    </w:p>
    <w:p>
      <w:r>
        <w:rPr>
          <w:rFonts w:ascii="Times New Roman" w:hAnsi="Times New Roman" w:eastAsia="宋体"/>
          <w:sz w:val="21"/>
        </w:rPr>
        <w:t>Abstract Vortex knots have been seen decaying in many physical systems. Here we describe topologically protected vortex knots, which remain stable and undergo fusion and fission and conserve a topological invariant. The host medium, a chiral nematic liquid crystal, exhibits intrinsic chirality of molecular alignment, whereas cores of the vortex lines are structurally achiral regions in which a molecular twist cannot be defined. We can reversibly switch between fusion and fission of these vortex knots by applying electric pulses. This reveals the physical embodiments of concepts in knot theory, such as connected sums of knots and band surgeries. Our findings demonstrate the interplay of chirality effects at hierarchical levels from constituent molecules to the host medium and the energetically stable chiral vortex knots. This emergent physical behaviour may enable applications in electro-optics and photonics in which such fusion and fission processes of vortex knots can be used for controlling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轨道角动量和手性的相互作用</w:t>
      </w:r>
    </w:p>
    <w:p>
      <w:r>
        <w:rPr>
          <w:rFonts w:ascii="Times New Roman" w:hAnsi="Times New Roman" w:eastAsia="宋体"/>
          <w:b/>
          <w:color w:val="003264"/>
          <w:sz w:val="24"/>
        </w:rPr>
        <w:t>Interplay of orbital angular momentum and chirality</w:t>
      </w:r>
    </w:p>
    <w:p>
      <w:r>
        <w:rPr>
          <w:rFonts w:ascii="Times New Roman" w:hAnsi="Times New Roman" w:eastAsia="宋体"/>
          <w:sz w:val="21"/>
        </w:rPr>
        <w:t>作者: Dongjin Oh, Hendrik Bentmann, Riccardo Comin</w:t>
        <w:br/>
      </w:r>
      <w:r>
        <w:rPr>
          <w:rFonts w:ascii="Times New Roman" w:hAnsi="Times New Roman" w:eastAsia="宋体"/>
          <w:sz w:val="21"/>
        </w:rPr>
        <w:t xml:space="preserve">时间: 2025-12-29 | </w:t>
      </w:r>
      <w:r>
        <w:t xml:space="preserve">链接: </w:t>
      </w:r>
      <w:hyperlink r:id="rId247">
        <w:r>
          <w:rPr>
            <w:rFonts w:ascii="Times New Roman" w:hAnsi="Times New Roman" w:eastAsia="宋体"/>
            <w:color w:val="0000FF"/>
            <w:sz w:val="21"/>
            <w:u w:val="single"/>
          </w:rPr>
          <w:t>https://doi.org/10.1038/s41567-025-03113-2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轨道角动量纹理可以驱动轨道电流并实现轨道电子学中的应用。该视角展示了偏振相关的角度分辨光电子能谱如何可视化动量空间中的轨道纹理。</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textures can drive orbital currents and enable applications in orbitronics. This Perspective shows how polarization-dependent angle-resolved photoemission spectroscopy can visualize orbital textures in momentum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空间纹理电子流体的实验证据</w:t>
      </w:r>
    </w:p>
    <w:p>
      <w:r>
        <w:rPr>
          <w:rFonts w:ascii="Times New Roman" w:hAnsi="Times New Roman" w:eastAsia="宋体"/>
          <w:b/>
          <w:color w:val="003264"/>
          <w:sz w:val="24"/>
        </w:rPr>
        <w:t>Experimental evidence of a spatially textured electron fluid</w:t>
      </w:r>
    </w:p>
    <w:p>
      <w:r>
        <w:rPr>
          <w:rFonts w:ascii="Times New Roman" w:hAnsi="Times New Roman" w:eastAsia="宋体"/>
          <w:sz w:val="21"/>
        </w:rPr>
        <w:t>作者: Unknown</w:t>
        <w:br/>
      </w:r>
      <w:r>
        <w:rPr>
          <w:rFonts w:ascii="Times New Roman" w:hAnsi="Times New Roman" w:eastAsia="宋体"/>
          <w:sz w:val="21"/>
        </w:rPr>
        <w:t xml:space="preserve">时间: 2025-12-30 | </w:t>
      </w:r>
      <w:r>
        <w:t xml:space="preserve">链接: </w:t>
      </w:r>
      <w:hyperlink r:id="rId248">
        <w:r>
          <w:rPr>
            <w:rFonts w:ascii="Times New Roman" w:hAnsi="Times New Roman" w:eastAsia="宋体"/>
            <w:color w:val="0000FF"/>
            <w:sz w:val="21"/>
            <w:u w:val="single"/>
          </w:rPr>
          <w:t>https://doi.org/10.1038/s41567-025-03133-y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大多数金属中，自由电子形成均匀且各向同性的流体。然而，当电子与晶体主体的振动强烈相互作用时，人们认为会形成周期性调制的电子流体（称为液体电荷密度波）。现在可以使用超快电子衍射来观察这种状态。</w:t>
      </w:r>
    </w:p>
    <w:p>
      <w:pPr>
        <w:spacing w:before="120"/>
      </w:pPr>
      <w:r>
        <w:rPr>
          <w:rFonts w:ascii="Times New Roman" w:hAnsi="Times New Roman" w:eastAsia="宋体"/>
          <w:b/>
          <w:sz w:val="21"/>
        </w:rPr>
        <w:t>English Abstract:</w:t>
      </w:r>
    </w:p>
    <w:p>
      <w:r>
        <w:rPr>
          <w:rFonts w:ascii="Times New Roman" w:hAnsi="Times New Roman" w:eastAsia="宋体"/>
          <w:sz w:val="21"/>
        </w:rPr>
        <w:t>In most metals, free electrons form a homogeneous and isotropic fluid. However, a periodically modulated electronic fluid — known as a liquid charge density wave — is thought to form when electrons interact strongly with the vibrations of the crystalline host. This state is now observed using ultrafast electron diffraction.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自诱导超辐射玛斯汀</w:t>
      </w:r>
    </w:p>
    <w:p>
      <w:r>
        <w:rPr>
          <w:rFonts w:ascii="Times New Roman" w:hAnsi="Times New Roman" w:eastAsia="宋体"/>
          <w:b/>
          <w:color w:val="003264"/>
          <w:sz w:val="24"/>
        </w:rPr>
        <w:t>Self-induced superradiant masing</w:t>
      </w:r>
    </w:p>
    <w:p>
      <w:r>
        <w:rPr>
          <w:rFonts w:ascii="Times New Roman" w:hAnsi="Times New Roman" w:eastAsia="宋体"/>
          <w:sz w:val="21"/>
        </w:rPr>
        <w:t>作者: Wenzel Kersten, Nikolaus de Zordo, Oliver Diekmann, Elena S. Redchenko, Andrew N. Kanagin, Andreas Angerer, William J. Munro, Kae Nemoto, Igor E. Mazets, Stefan Rotter, Thomas Pohl, Jörg Schmiedmayer</w:t>
        <w:br/>
      </w:r>
      <w:r>
        <w:rPr>
          <w:rFonts w:ascii="Times New Roman" w:hAnsi="Times New Roman" w:eastAsia="宋体"/>
          <w:sz w:val="21"/>
        </w:rPr>
        <w:t xml:space="preserve">时间: 2026-01-02 | </w:t>
      </w:r>
      <w:r>
        <w:t xml:space="preserve">链接: </w:t>
      </w:r>
      <w:hyperlink r:id="rId249">
        <w:r>
          <w:rPr>
            <w:rFonts w:ascii="Times New Roman" w:hAnsi="Times New Roman" w:eastAsia="宋体"/>
            <w:color w:val="0000FF"/>
            <w:sz w:val="21"/>
            <w:u w:val="single"/>
          </w:rPr>
          <w:t>https://doi.org/10.1038/s41567-025-03123-0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腔量子电动力学，特别是超辐射中，发射器通常被认为是独立的，仅通过共模共享的光相互作用。尽管这种光子介导的相互作用会导致广泛的集体光学效应，但发射体群内的直接偶极子相互作用通常被视为退相干的来源。在这里，我们报告了直接自旋-自旋相互作用作为驱动金刚石中与超导微波腔耦合的氮空位中心自旋混合系统的超辐射动力学的作用。在最初的快速超辐射爆发之后，我们观察到一系列后续发射脉冲，然后是长达一毫秒的准连续玛斯。我们证明这种行为是由谱孔重新填充引起的，其中自旋反转被重新分配到与腔谐振的自旋超辐射窗口中。我们报告的测量结果排除了其他与空腔相关的效应，并进行了微观模拟，证实观察到的行为是由自旋之间的偶极子相互作用驱动的。这些发现为探索致密无序系统中复杂的自旋-自旋相互作用开辟了道路，并为纯粹由微波驱动的自旋控制驱动的超窄线宽固态超辐射微波激射器提供了可能性。</w:t>
      </w:r>
    </w:p>
    <w:p>
      <w:pPr>
        <w:spacing w:before="120"/>
      </w:pPr>
      <w:r>
        <w:rPr>
          <w:rFonts w:ascii="Times New Roman" w:hAnsi="Times New Roman" w:eastAsia="宋体"/>
          <w:b/>
          <w:sz w:val="21"/>
        </w:rPr>
        <w:t>English Abstract:</w:t>
      </w:r>
    </w:p>
    <w:p>
      <w:r>
        <w:rPr>
          <w:rFonts w:ascii="Times New Roman" w:hAnsi="Times New Roman" w:eastAsia="宋体"/>
          <w:sz w:val="21"/>
        </w:rPr>
        <w:t>Abstract In cavity quantum electrodynamics and particularly superradiance, emitters are typically assumed to be independent, interacting only through light shared via a common mode. Although such photon-mediated interactions lead to a wide range of collective optical effects, direct dipole–dipole interactions within the emitter ensemble are generally viewed as a source of decoherence. Here we report the role of direct spin–spin interactions as a drive for the superradiant dynamics of a hybrid system of nitrogen-vacancy centre spins in a diamond coupled to a superconducting microwave cavity. After an initial fast superradiant burst, we observe a train of subsequent emission pulses followed by quasi-continuous masing for up to one millisecond. We show that this behaviour arises from spectral hole refilling, where spin inversion is redistributed into the superradiant window of spins resonant with the cavity. We report measurements that exclude other cavity-related effects and perform microscopic simulations that confirm that the observed behaviour is driven by dipole–dipole interactions between the spins. These findings open pathways for exploring complex spin–spin interactions in dense disordered systems and offer possibilities for ultranarrow-linewidth solid-state superradiant masers powered purely by microwave-driven spin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斑马鱼胚胎中几何驱动的不对称细胞分裂模式细胞周期和合子基因组激活</w:t>
      </w:r>
    </w:p>
    <w:p>
      <w:r>
        <w:rPr>
          <w:rFonts w:ascii="Times New Roman" w:hAnsi="Times New Roman" w:eastAsia="宋体"/>
          <w:b/>
          <w:color w:val="003264"/>
          <w:sz w:val="24"/>
        </w:rPr>
        <w:t>Geometry-driven asymmetric cell divisions pattern cell cycles and zygotic genome activation in the zebrafish embryo</w:t>
      </w:r>
    </w:p>
    <w:p>
      <w:r>
        <w:rPr>
          <w:rFonts w:ascii="Times New Roman" w:hAnsi="Times New Roman" w:eastAsia="宋体"/>
          <w:sz w:val="21"/>
        </w:rPr>
        <w:t>作者: Nikhil Mishra, Yuting Irene Li, Edouard Hannezo, Carl-Philipp Heisenberg</w:t>
        <w:br/>
      </w:r>
      <w:r>
        <w:rPr>
          <w:rFonts w:ascii="Times New Roman" w:hAnsi="Times New Roman" w:eastAsia="宋体"/>
          <w:sz w:val="21"/>
        </w:rPr>
        <w:t xml:space="preserve">时间: 2026-01-05 | </w:t>
      </w:r>
      <w:r>
        <w:t xml:space="preserve">链接: </w:t>
      </w:r>
      <w:hyperlink r:id="rId250">
        <w:r>
          <w:rPr>
            <w:rFonts w:ascii="Times New Roman" w:hAnsi="Times New Roman" w:eastAsia="宋体"/>
            <w:color w:val="0000FF"/>
            <w:sz w:val="21"/>
            <w:u w:val="single"/>
          </w:rPr>
          <w:t>https://doi.org/10.1038/s41567-025-03122-1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早期胚胎几何形状是最不变的物种特异性特征之一，但其在确保发育再现性和稳健性方面的作用仍未得到充分探索。在这里，我们表明，在斑马鱼中，受精卵的几何形状（特别是其曲率和体积）是触发一系列影响发育的事件的关键初始条件。胚胎几何形状引导胚盘中图案化的不对称细胞分裂，产生细胞体积和核质比率的径向梯度。这些梯度产生有丝分裂相波，核质比率决定独立于其他细胞的单个细胞周期周期。我们证明，减少细胞自主性会重塑这些波，强调几何衍生的体积模式在设置细胞周期振荡器的固有周期方面的指导作用。除了组织细胞周期之外，早期胚胎的几何形状在囊胚中转变时对合子基因组激活进行空间模式，这是建立胚胎自主性的关键步骤。破坏胚胎形状会改变合子基因组激活模式并导致异位胚层规范，强调了几何学的发育意义。总之，我们的研究结果揭示了早期胚胎几何形状在协调细胞周期和转录模式中的对称性破坏功能。</w:t>
      </w:r>
    </w:p>
    <w:p>
      <w:pPr>
        <w:spacing w:before="120"/>
      </w:pPr>
      <w:r>
        <w:rPr>
          <w:rFonts w:ascii="Times New Roman" w:hAnsi="Times New Roman" w:eastAsia="宋体"/>
          <w:b/>
          <w:sz w:val="21"/>
        </w:rPr>
        <w:t>English Abstract:</w:t>
      </w:r>
    </w:p>
    <w:p>
      <w:r>
        <w:rPr>
          <w:rFonts w:ascii="Times New Roman" w:hAnsi="Times New Roman" w:eastAsia="宋体"/>
          <w:sz w:val="21"/>
        </w:rPr>
        <w:t>Abstract Early embryo geometry is one of the most invariant species-specific traits, yet its role in ensuring developmental reproducibility and robustness remains underexplored. Here we show that in zebrafish, the geometry of the fertilized egg—specifically its curvature and volume—serves as a critical initial condition triggering a cascade of events that influence development. The embryo geometry guides patterned asymmetric cell divisions in the blastoderm, generating radial gradients of cell volume and nucleocytoplasmic ratio. These gradients generate mitotic phase waves, with the nucleocytoplasmic ratio determining individual cell cycle periods independently of other cells. We demonstrate that reducing cell autonomy reshapes these waves, emphasizing the instructive role of geometry-derived volume patterns in setting the intrinsic period of the cell cycle oscillator. In addition to organizing cell cycles, early embryo geometry spatially patterns zygotic genome activation at the midblastula transition, a key step in establishing embryonic autonomy. Disrupting the embryo shape alters the zygotic genome activation pattern and causes ectopic germ layer specification, underscoring the developmental significance of geometry. Together, our findings reveal a symmetry-breaking function of early embryo geometry in coordinating cell cycle and transcriptional patterning.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胚胎几何形状决定节奏</w:t>
      </w:r>
    </w:p>
    <w:p>
      <w:r>
        <w:rPr>
          <w:rFonts w:ascii="Times New Roman" w:hAnsi="Times New Roman" w:eastAsia="宋体"/>
          <w:b/>
          <w:color w:val="003264"/>
          <w:sz w:val="24"/>
        </w:rPr>
        <w:t>Embryo geometry sets the tempo</w:t>
      </w:r>
    </w:p>
    <w:p>
      <w:r>
        <w:rPr>
          <w:rFonts w:ascii="Times New Roman" w:hAnsi="Times New Roman" w:eastAsia="宋体"/>
          <w:sz w:val="21"/>
        </w:rPr>
        <w:t>作者: Jeremy Sallé, Nicolas Minc</w:t>
        <w:br/>
      </w:r>
      <w:r>
        <w:rPr>
          <w:rFonts w:ascii="Times New Roman" w:hAnsi="Times New Roman" w:eastAsia="宋体"/>
          <w:sz w:val="21"/>
        </w:rPr>
        <w:t xml:space="preserve">时间: 2026-01-05 | </w:t>
      </w:r>
      <w:r>
        <w:t xml:space="preserve">链接: </w:t>
      </w:r>
      <w:hyperlink r:id="rId251">
        <w:r>
          <w:rPr>
            <w:rFonts w:ascii="Times New Roman" w:hAnsi="Times New Roman" w:eastAsia="宋体"/>
            <w:color w:val="0000FF"/>
            <w:sz w:val="21"/>
            <w:u w:val="single"/>
          </w:rPr>
          <w:t>https://doi.org/10.1038/s41567-025-03136-9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斑马鱼卵的几何形状在连续的细胞分裂时会产生细胞大小的梯度。该梯度指定了细胞周期进程、合子基因组激活和细胞命运规范的刻板模式。</w:t>
      </w:r>
    </w:p>
    <w:p>
      <w:pPr>
        <w:spacing w:before="120"/>
      </w:pPr>
      <w:r>
        <w:rPr>
          <w:rFonts w:ascii="Times New Roman" w:hAnsi="Times New Roman" w:eastAsia="宋体"/>
          <w:b/>
          <w:sz w:val="21"/>
        </w:rPr>
        <w:t>English Abstract:</w:t>
      </w:r>
    </w:p>
    <w:p>
      <w:r>
        <w:rPr>
          <w:rFonts w:ascii="Times New Roman" w:hAnsi="Times New Roman" w:eastAsia="宋体"/>
          <w:sz w:val="21"/>
        </w:rPr>
        <w:t>The geometry of the zebrafish egg is shown to generate a gradient in cell size upon successive cell divisions. This gradient specifies stereotyped patterns of cell-cycle progression, zygotic genome activation and cell-fate specification.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魔角扭曲双层石墨烯轨道磁性的光学控制</w:t>
      </w:r>
    </w:p>
    <w:p>
      <w:r>
        <w:rPr>
          <w:rFonts w:ascii="Times New Roman" w:hAnsi="Times New Roman" w:eastAsia="宋体"/>
          <w:b/>
          <w:color w:val="003264"/>
          <w:sz w:val="24"/>
        </w:rPr>
        <w:t>Optical control of orbital magnetism in magic-angle twisted bilayer graphene</w:t>
      </w:r>
    </w:p>
    <w:p>
      <w:r>
        <w:rPr>
          <w:rFonts w:ascii="Times New Roman" w:hAnsi="Times New Roman" w:eastAsia="宋体"/>
          <w:sz w:val="21"/>
        </w:rPr>
        <w:t>作者: Eylon Persky, Léonie Parisot, Minhao He, Jiaqi Cai, Takashi Taniguchi, Kenji Watanabe, Julian May-Mann, Xiaodong Xu, Aharon Kapitulnik</w:t>
        <w:br/>
      </w:r>
      <w:r>
        <w:rPr>
          <w:rFonts w:ascii="Times New Roman" w:hAnsi="Times New Roman" w:eastAsia="宋体"/>
          <w:sz w:val="21"/>
        </w:rPr>
        <w:t xml:space="preserve">时间: 2026-01-06 | </w:t>
      </w:r>
      <w:r>
        <w:t xml:space="preserve">链接: </w:t>
      </w:r>
      <w:hyperlink r:id="rId252">
        <w:r>
          <w:rPr>
            <w:rFonts w:ascii="Times New Roman" w:hAnsi="Times New Roman" w:eastAsia="宋体"/>
            <w:color w:val="0000FF"/>
            <w:sz w:val="21"/>
            <w:u w:val="single"/>
          </w:rPr>
          <w:t>https://doi.org/10.1038/s41567-025-03117-y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扭曲石墨烯结构中的平带具有各种强相关和拓扑现象。对它们进行光学探测和控制可以揭示对称性和动力学等重要信息，但由于与光学波长相比能隙较小，这一直具有挑战性。在这里，我们报告了单层 WSe2 器件上魔角扭曲双层石墨烯中轨道磁性的近红外光学控制以及相关的反常霍尔效应。我们演示了使用圆偏振光对整数莫尔填充附近的反常霍尔效应的滞后和幅度的控制。通过调制光螺旋度，我们观察到各种填充物中横向电阻的周期性调制，表明通过大的逆法拉第效应引起的光诱导轨道磁化。在金属和反常霍尔效应状态之间的转变中，我们还揭示了霍尔电阻率的大且随机的切换，我们将其归因于光调谐的磁域渗透簇。我们的结果证明了莫尔结构中相关性和拓扑的光学操纵的潜力。在莫尔石墨烯中已经看到了强相关性和拓扑结构，但它们的光学控制尚未显示。现在，轨道磁性和反常霍尔效应的光学操纵在魔角扭曲双层石墨烯中得到了证明。</w:t>
      </w:r>
    </w:p>
    <w:p>
      <w:pPr>
        <w:spacing w:before="120"/>
      </w:pPr>
      <w:r>
        <w:rPr>
          <w:rFonts w:ascii="Times New Roman" w:hAnsi="Times New Roman" w:eastAsia="宋体"/>
          <w:b/>
          <w:sz w:val="21"/>
        </w:rPr>
        <w:t>English Abstract:</w:t>
      </w:r>
    </w:p>
    <w:p>
      <w:r>
        <w:rPr>
          <w:rFonts w:ascii="Times New Roman" w:hAnsi="Times New Roman" w:eastAsia="宋体"/>
          <w:sz w:val="21"/>
        </w:rPr>
        <w:t>Flat bands in twisted graphene structures host various strongly correlated and topological phenomena. Optically probing and controlling them can reveal important information such as symmetry and dynamics, but this has been challenging due to the small energy gap compared with optical wavelengths. Here we report on the near-infrared optical control of orbital magnetism and associated anomalous Hall effects in a magic-angle twisted bilayer graphene on a monolayer WSe2 device. We demonstrate control over the hysteresis and amplitude of the anomalous Hall effect near integer moiré fillings using circularly polarized light. By modulating the light helicity, we observe periodic modulation of the transverse resistance in a wide range of fillings, indicating light-induced orbital magnetization through a large inverse Faraday effect. At the transition between metallic and anomalous Hall effect regimes, we also reveal large and random switching of the Hall resistivity, which we attribute to the light-tuned percolating cluster of magnetic domains. Our results demonstrate the potential of the optical manipulation of correlation and topology in moiré structures. Strong correlations and topology have been seen in moiré graphene, but their optical control has not been shown yet. Now, the optical manipulation of orbital magnetism and anomalous Hall effects is demonstrated in magic-angle twisted bilayer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外尔磁体中磁畴壁耗散滑动动力学引起的涌现电场</w:t>
      </w:r>
    </w:p>
    <w:p>
      <w:r>
        <w:rPr>
          <w:rFonts w:ascii="Times New Roman" w:hAnsi="Times New Roman" w:eastAsia="宋体"/>
          <w:b/>
          <w:color w:val="003264"/>
          <w:sz w:val="24"/>
        </w:rPr>
        <w:t>Emergent electric field induced by dissipative sliding dynamics of domain walls in a Weyl magnet</w:t>
      </w:r>
    </w:p>
    <w:p>
      <w:r>
        <w:rPr>
          <w:rFonts w:ascii="Times New Roman" w:hAnsi="Times New Roman" w:eastAsia="宋体"/>
          <w:sz w:val="21"/>
        </w:rPr>
        <w:t>作者: Rinsuke Yamada, Daichi Kurebayashi, Yukako Fujishiro, Shun Okumura, Daisuke Nakamura, Fehmi S. Yasin, Taro Nakajima, Tomoyuki Yokouchi, Akiko Kikkawa, Yasujiro Taguchi, Yoshinori Tokura, Oleg A. Tretiakov, Max Hirschberger</w:t>
        <w:br/>
      </w:r>
      <w:r>
        <w:rPr>
          <w:rFonts w:ascii="Times New Roman" w:hAnsi="Times New Roman" w:eastAsia="宋体"/>
          <w:sz w:val="21"/>
        </w:rPr>
        <w:t xml:space="preserve">时间: 2026-01-15 | </w:t>
      </w:r>
      <w:r>
        <w:t xml:space="preserve">链接: </w:t>
      </w:r>
      <w:hyperlink r:id="rId253">
        <w:r>
          <w:rPr>
            <w:rFonts w:ascii="Times New Roman" w:hAnsi="Times New Roman" w:eastAsia="宋体"/>
            <w:color w:val="0000FF"/>
            <w:sz w:val="21"/>
            <w:u w:val="single"/>
          </w:rPr>
          <w:t>https://doi.org/10.1038/s41567-025-03124-z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体中拓扑缺陷的动态运动会产生涌现电场，如斯格明子涡流的连续流动所示。然而，人们对这个新兴领域的电动力学仍然知之甚少。在这种背景下，磁畴壁——具有滑动和自旋倾斜两种集体模式的一维拓扑缺陷——提供了一个有前途的探索平台。在这里，我们证明了在振荡电流激励下磁畴壁的耗散运动会产生一个涌现电场。我们对基于磁性 Weyl 半金属 NdAlSi 的介观器件中的外加磁场下的磁畴图案进行成像并量化磁畴壁长度。这些器件表现出异常强的畴壁散射和明显的涌现电场，在复阻抗的虚部中观察到。自旋动力学模拟表明，磁畴壁滑动比自旋倾斜占主导地位，其中磁畴壁运动相对于驱动力的相位延迟会影响出现的电场。我们的研究结果将畴壁动力学建立为研究新兴电磁场的平台，并激发了对磁孤子和传导电子耦合运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The dynamic motion of topological defects in magnets induces an emergent electric field, as exemplified by the continuous flow of skyrmion vortices. However, the electrodynamics underlying this emergent field remains poorly understood. In this context, magnetic domain walls - one dimensional topological defects with two collective modes, sliding and spin tilt - offer a promising platform for exploration. Here, we demonstrate that the dissipative motion of domain walls under oscillatory current excitation generates an emergent electric field. We image domain patterns and quantify domain wall length under applied magnetic fields in mesoscopic devices based on the magnetic Weyl semimetal NdAlSi. These devices exhibit exceptionally strong domain wall scattering and a pronounced emergent electric field, observed in the imaginary component of the complex impedance. Spin dynamics simulations reveal that domain wall sliding dominates over spin tilting, where the phase delay of the domain wall motion with respect to the driving force impacts the emergent electric field. Our findings establish domain-wall dynamics as a platform for studying emergent electromagnetic fields and motivate further investigations on the coupled motion of magnetic solitons and conduction electrons.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用激子场驱动 Floquet 物理</w:t>
      </w:r>
    </w:p>
    <w:p>
      <w:r>
        <w:rPr>
          <w:rFonts w:ascii="Times New Roman" w:hAnsi="Times New Roman" w:eastAsia="宋体"/>
          <w:b/>
          <w:color w:val="003264"/>
          <w:sz w:val="24"/>
        </w:rPr>
        <w:t>Driving Floquet physics with excitonic fields</w:t>
      </w:r>
    </w:p>
    <w:p>
      <w:r>
        <w:rPr>
          <w:rFonts w:ascii="Times New Roman" w:hAnsi="Times New Roman" w:eastAsia="宋体"/>
          <w:sz w:val="21"/>
        </w:rPr>
        <w:t>作者: Vivek Pareek, David R. Bacon, Xing Zhu, Yang-Hao Chan, Fabio Bussolotti, Marcos G. Menezes, Nicholas S. Chan, Joel Pérez Urquizo, Kenji Watanabe, Takashi Taniguchi, Enrico Perfetto, Michael K. L. Man, Julien Madéo, Gianluca Stefanucci, Diana Y. Qiu, Kuan Eng Johnson Goh, Felipe H. da Jornada, Keshav M. Dani</w:t>
        <w:br/>
      </w:r>
      <w:r>
        <w:rPr>
          <w:rFonts w:ascii="Times New Roman" w:hAnsi="Times New Roman" w:eastAsia="宋体"/>
          <w:sz w:val="21"/>
        </w:rPr>
        <w:t xml:space="preserve">时间: 2026-01-19 | </w:t>
      </w:r>
      <w:r>
        <w:t xml:space="preserve">链接: </w:t>
      </w:r>
      <w:hyperlink r:id="rId254">
        <w:r>
          <w:rPr>
            <w:rFonts w:ascii="Times New Roman" w:hAnsi="Times New Roman" w:eastAsia="宋体"/>
            <w:color w:val="0000FF"/>
            <w:sz w:val="21"/>
            <w:u w:val="single"/>
          </w:rPr>
          <w:t>https://doi.org/10.1038/s41567-025-03132-z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Floquet 工程通常受到弱光-物质耦合和加热的限制。现在，研究表明单层半导体中的激子驱动场会产生更强、寿命更长的弗洛奎特效应，并揭示与激子相相关的杂化。</w:t>
      </w:r>
    </w:p>
    <w:p>
      <w:pPr>
        <w:spacing w:before="120"/>
      </w:pPr>
      <w:r>
        <w:rPr>
          <w:rFonts w:ascii="Times New Roman" w:hAnsi="Times New Roman" w:eastAsia="宋体"/>
          <w:b/>
          <w:sz w:val="21"/>
        </w:rPr>
        <w:t>English Abstract:</w:t>
      </w:r>
    </w:p>
    <w:p>
      <w:r>
        <w:rPr>
          <w:rFonts w:ascii="Times New Roman" w:hAnsi="Times New Roman" w:eastAsia="宋体"/>
          <w:sz w:val="21"/>
        </w:rPr>
        <w:t>Floquet engineering is often limited by weak light–matter coupling and heating. Now it is shown that exciton-driven fields in monolayer semiconductors produce stronger, longer-lived Floquet effects and reveal hybridization linked to excitonic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超莫尔晶格中的强相关性和超导性</w:t>
      </w:r>
    </w:p>
    <w:p>
      <w:r>
        <w:rPr>
          <w:rFonts w:ascii="Times New Roman" w:hAnsi="Times New Roman" w:eastAsia="宋体"/>
          <w:b/>
          <w:color w:val="003264"/>
          <w:sz w:val="24"/>
        </w:rPr>
        <w:t>Strong correlations and superconductivity in the supermoiré lattice</w:t>
      </w:r>
    </w:p>
    <w:p>
      <w:r>
        <w:rPr>
          <w:rFonts w:ascii="Times New Roman" w:hAnsi="Times New Roman" w:eastAsia="宋体"/>
          <w:sz w:val="21"/>
        </w:rPr>
        <w:t>作者: Zekang Zhou, Cheng Shen, Kryštof Kolář, Kenji Watanabe, Takashi Taniguchi, Cyprian Lewandowski, Mitali Banerjee</w:t>
        <w:br/>
      </w:r>
      <w:r>
        <w:rPr>
          <w:rFonts w:ascii="Times New Roman" w:hAnsi="Times New Roman" w:eastAsia="宋体"/>
          <w:sz w:val="21"/>
        </w:rPr>
        <w:t xml:space="preserve">时间: 2026-01-20 | </w:t>
      </w:r>
      <w:r>
        <w:t xml:space="preserve">链接: </w:t>
      </w:r>
      <w:hyperlink r:id="rId255">
        <w:r>
          <w:rPr>
            <w:rFonts w:ascii="Times New Roman" w:hAnsi="Times New Roman" w:eastAsia="宋体"/>
            <w:color w:val="0000FF"/>
            <w:sz w:val="21"/>
            <w:u w:val="single"/>
          </w:rPr>
          <w:t>https://doi.org/10.1038/s41567-025-03131-0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莫尔晶格由多个莫尔图案的干涉产生，通过引入新的微带和修改能带色散，极大地重塑了电子能带结构。同时，莫尔平带内强烈的电子相互作用导致各种相关态的出现。然而，超莫尔晶格对具有强相互作用的平带系统的影响在很大程度上仍未被探索。在这里，我们报告了镜面对称破缺的扭曲三层石墨烯中超莫尔晶格的存在，阐明了其在产生迷你平带和迷你狄拉克带中的作用。此外，我们还证明了超莫尔微平带中相互作用引起的对称破缺相，以及由超莫尔晶格实现的超导体-绝缘体跃迁级联。我们的工作表明，镜面对称破缺的 TTG 中可以存在鲁棒的超导性，并强调了超莫尔晶格作为调节扭曲多层系统中电子特性的附加自由度的重要性，揭示了相关的量子相，例如原始莫尔平带中的超导性，并强调了使用超莫尔晶格设计和模拟新型量子相的潜力。</w:t>
      </w:r>
    </w:p>
    <w:p>
      <w:pPr>
        <w:spacing w:before="120"/>
      </w:pPr>
      <w:r>
        <w:rPr>
          <w:rFonts w:ascii="Times New Roman" w:hAnsi="Times New Roman" w:eastAsia="宋体"/>
          <w:b/>
          <w:sz w:val="21"/>
        </w:rPr>
        <w:t>English Abstract:</w:t>
      </w:r>
    </w:p>
    <w:p>
      <w:r>
        <w:rPr>
          <w:rFonts w:ascii="Times New Roman" w:hAnsi="Times New Roman" w:eastAsia="宋体"/>
          <w:sz w:val="21"/>
        </w:rPr>
        <w:t>The supermoir\'e lattice, arising from the interference of multiple moir\'e patterns, dramatically reshapes the electronic band structure by introducing new minibands and modifying band dispersion. Concurrently, strong electronic interactions within moir\'e flat bands lead to the emergence of various correlated states. However, the impact of the supermoir\'e lattice on the flat band systems with strong interactions remains largely unexplored. Here, we report the existence of the supermoir\'e lattice in the mirror-symmetry-broken twisted trilayer graphene, elucidating its role in generating mini-flat bands and mini-Dirac bands. Furthermore, we demonstrate interaction-induced symmetry-broken phases in the supermoir\'e mini-flat bands alongside the cascade of superconductor-insulator transitions enabled by the supermoir\'e lattice. Our work shows that robust superconductivity can exist in the mirror-symmetry-broken TTG and underscores the significance of the supermoir\'e lattice as an additional degree of freedom for tuning the electronic properties in twisted multilayer systems, sheds light on the correlated quantum phases such as superconductivity in the original moir\'e flat bands, and highlights the potential of using the supermoir\'e lattice to design and simulate novel quantum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使用自由电子激光器进行纳米级超快晶格调制</w:t>
      </w:r>
    </w:p>
    <w:p>
      <w:r>
        <w:rPr>
          <w:rFonts w:ascii="Times New Roman" w:hAnsi="Times New Roman" w:eastAsia="宋体"/>
          <w:b/>
          <w:color w:val="003264"/>
          <w:sz w:val="24"/>
        </w:rPr>
        <w:t>Nanoscale ultrafast lattice modulation with a free-electron laser</w:t>
      </w:r>
    </w:p>
    <w:p>
      <w:r>
        <w:rPr>
          <w:rFonts w:ascii="Times New Roman" w:hAnsi="Times New Roman" w:eastAsia="宋体"/>
          <w:sz w:val="21"/>
        </w:rPr>
        <w:t>作者: Haoyuan Li, Nan Wang, Leon Zhang, Sanghoon Song, Yanwen Sun, May-Ling Ng, Takahiro Sato, Dillon Hanlon, Sajal Dahal, Mario D. Balcazar, Vincent Esposito, Selene She, Chance Caleb Ornelas-Skarin, Joan Vila-Comamala, Christian David, Nadia Berndt, Peter R. Miedaner, Zhuquan Zhang, Matthias Ihme, Mariano Trigo, Keith A. Nelson, Jerome B. Hastings, Alexei A. Maznev, Laura Foglia, Samuel Teitelbaum, David A. Reis, Diling Zhu</w:t>
        <w:br/>
      </w:r>
      <w:r>
        <w:rPr>
          <w:rFonts w:ascii="Times New Roman" w:hAnsi="Times New Roman" w:eastAsia="宋体"/>
          <w:sz w:val="21"/>
        </w:rPr>
        <w:t xml:space="preserve">时间: 2026-01-27 | </w:t>
      </w:r>
      <w:r>
        <w:t xml:space="preserve">链接: </w:t>
      </w:r>
      <w:hyperlink r:id="rId256">
        <w:r>
          <w:rPr>
            <w:rFonts w:ascii="Times New Roman" w:hAnsi="Times New Roman" w:eastAsia="宋体"/>
            <w:color w:val="0000FF"/>
            <w:sz w:val="21"/>
            <w:u w:val="single"/>
          </w:rPr>
          <w:t>https://doi.org/10.1038/s41567-025-03161-8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基于光学激光的技术的应用受到激光的长波长的限制。现在，利用全硬 X 射线瞬态光栅光谱技术对纳米长度尺度的声子和热传输进行了观察。</w:t>
      </w:r>
    </w:p>
    <w:p>
      <w:pPr>
        <w:spacing w:before="120"/>
      </w:pPr>
      <w:r>
        <w:rPr>
          <w:rFonts w:ascii="Times New Roman" w:hAnsi="Times New Roman" w:eastAsia="宋体"/>
          <w:b/>
          <w:sz w:val="21"/>
        </w:rPr>
        <w:t>English Abstract:</w:t>
      </w:r>
    </w:p>
    <w:p>
      <w:r>
        <w:rPr>
          <w:rFonts w:ascii="Times New Roman" w:hAnsi="Times New Roman" w:eastAsia="宋体"/>
          <w:sz w:val="21"/>
        </w:rPr>
        <w:t>Applications of optical laser-based techniques are limited by the long wavelengths of the lasers. Now, observations of phonons and thermal transport at nanometre length scales are reported with an all-hard X-ray transient-grating spectroscopy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具有混合赝自旋的共同传播光子拓扑界面态</w:t>
      </w:r>
    </w:p>
    <w:p>
      <w:r>
        <w:rPr>
          <w:rFonts w:ascii="Times New Roman" w:hAnsi="Times New Roman" w:eastAsia="宋体"/>
          <w:b/>
          <w:color w:val="003264"/>
          <w:sz w:val="24"/>
        </w:rPr>
        <w:t>Co-propagating photonic topological interface states with hybridized pseudo-spins</w:t>
      </w:r>
    </w:p>
    <w:p>
      <w:r>
        <w:rPr>
          <w:rFonts w:ascii="Times New Roman" w:hAnsi="Times New Roman" w:eastAsia="宋体"/>
          <w:sz w:val="21"/>
        </w:rPr>
        <w:t>作者: Xilin Feng, Tianwei Wu, Li Ge, Liang Feng</w:t>
        <w:br/>
      </w:r>
      <w:r>
        <w:rPr>
          <w:rFonts w:ascii="Times New Roman" w:hAnsi="Times New Roman" w:eastAsia="宋体"/>
          <w:sz w:val="21"/>
        </w:rPr>
        <w:t xml:space="preserve">时间: 2026-02-02 | </w:t>
      </w:r>
      <w:r>
        <w:t xml:space="preserve">链接: </w:t>
      </w:r>
      <w:hyperlink r:id="rId257">
        <w:r>
          <w:rPr>
            <w:rFonts w:ascii="Times New Roman" w:hAnsi="Times New Roman" w:eastAsia="宋体"/>
            <w:color w:val="0000FF"/>
            <w:sz w:val="21"/>
            <w:u w:val="single"/>
          </w:rPr>
          <w:t>https://doi.org/10.1038/s41567-026-03172-z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拓扑界面状态通常支持单个状态在每个方向上的传播，这限制了它们的适用性。现在，在光子拓扑绝缘体系统中实现了同传播态。</w:t>
      </w:r>
    </w:p>
    <w:p>
      <w:pPr>
        <w:spacing w:before="120"/>
      </w:pPr>
      <w:r>
        <w:rPr>
          <w:rFonts w:ascii="Times New Roman" w:hAnsi="Times New Roman" w:eastAsia="宋体"/>
          <w:b/>
          <w:sz w:val="21"/>
        </w:rPr>
        <w:t>English Abstract:</w:t>
      </w:r>
    </w:p>
    <w:p>
      <w:r>
        <w:rPr>
          <w:rFonts w:ascii="Times New Roman" w:hAnsi="Times New Roman" w:eastAsia="宋体"/>
          <w:sz w:val="21"/>
        </w:rPr>
        <w:t>Topological interface states typically support the propagation of a single state in each direction, which limits their applicability. Now, co-propagating states are achieved in a photonic topological insulator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12:51 ---</w:t>
      </w:r>
    </w:p>
    <w:p>
      <w:pPr>
        <w:pStyle w:val="Heading2"/>
      </w:pPr>
      <w:r/>
      <w:r>
        <w:rPr>
          <w:rFonts w:ascii="Times New Roman" w:hAnsi="Times New Roman" w:eastAsia="宋体"/>
          <w:b/>
          <w:color w:val="000000"/>
          <w:sz w:val="24"/>
        </w:rPr>
        <w:t>多关节软外装改善脊髓损伤患者的肩部和肘部运动功能</w:t>
      </w:r>
    </w:p>
    <w:p>
      <w:r>
        <w:rPr>
          <w:rFonts w:ascii="Times New Roman" w:hAnsi="Times New Roman" w:eastAsia="宋体"/>
          <w:b/>
          <w:color w:val="003264"/>
          <w:sz w:val="24"/>
        </w:rPr>
        <w:t>A multi-joint soft exosuit improves shoulder and elbow motor functions in individuals with spinal cord injury</w:t>
      </w:r>
    </w:p>
    <w:p>
      <w:r>
        <w:rPr>
          <w:rFonts w:ascii="Times New Roman" w:hAnsi="Times New Roman" w:eastAsia="宋体"/>
          <w:sz w:val="21"/>
        </w:rPr>
        <w:t>作者: Roberto Ferroni, Gaetano D’Avola, Giorgia Sciarrone, Gabriele Righi, Claudia De Santis, Jacopo Carpaneto, Marta Gandolla, Giulio Del Popolo, Silvestro Micera, Tommaso Proietti</w:t>
        <w:br/>
      </w:r>
      <w:r>
        <w:rPr>
          <w:rFonts w:ascii="Times New Roman" w:hAnsi="Times New Roman" w:eastAsia="宋体"/>
          <w:sz w:val="21"/>
        </w:rPr>
        <w:t xml:space="preserve">时间: 2025-09-22 | </w:t>
      </w:r>
      <w:r>
        <w:t xml:space="preserve">链接: </w:t>
      </w:r>
      <w:hyperlink r:id="rId258">
        <w:r>
          <w:rPr>
            <w:rFonts w:ascii="Times New Roman" w:hAnsi="Times New Roman" w:eastAsia="宋体"/>
            <w:color w:val="0000FF"/>
            <w:sz w:val="21"/>
            <w:u w:val="single"/>
          </w:rPr>
          <w:t>https://doi.org/10.1038/s42256-025-01105-8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推出了一种轻型模块化辅助软外装，可为颈髓损伤患者的肩部和肘部运动提供支持。该设备增强耐力和运动范围，减少肌肉力量并提高临床测试分数。</w:t>
      </w:r>
    </w:p>
    <w:p>
      <w:pPr>
        <w:spacing w:before="120"/>
      </w:pPr>
      <w:r>
        <w:rPr>
          <w:rFonts w:ascii="Times New Roman" w:hAnsi="Times New Roman" w:eastAsia="宋体"/>
          <w:b/>
          <w:sz w:val="21"/>
        </w:rPr>
        <w:t>English Abstract:</w:t>
      </w:r>
    </w:p>
    <w:p>
      <w:r>
        <w:rPr>
          <w:rFonts w:ascii="Times New Roman" w:hAnsi="Times New Roman" w:eastAsia="宋体"/>
          <w:sz w:val="21"/>
        </w:rPr>
        <w:t>A lightweight, modular assistive soft exosuit is introduced, which supports shoulder and elbow movement in individuals with cervical spinal cord injury. The device enhances endurance and range of motion, reduces muscle effort and improves clinical test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迈向超越视觉和语言的以部署为中心的多模式人工智能</w:t>
      </w:r>
    </w:p>
    <w:p>
      <w:r>
        <w:rPr>
          <w:rFonts w:ascii="Times New Roman" w:hAnsi="Times New Roman" w:eastAsia="宋体"/>
          <w:b/>
          <w:color w:val="003264"/>
          <w:sz w:val="24"/>
        </w:rPr>
        <w:t>Towards deployment-centric multimodal AI beyond vision and language</w:t>
      </w:r>
    </w:p>
    <w:p>
      <w:r>
        <w:rPr>
          <w:rFonts w:ascii="Times New Roman" w:hAnsi="Times New Roman" w:eastAsia="宋体"/>
          <w:sz w:val="21"/>
        </w:rPr>
        <w:t>作者: Xianyuan Liu, Jiayang Zhang, Shuo Zhou, Thijs L. van der Plas, Avish Vijayaraghavan, Anastasiia Grishina, Mengdie Zhuang, Daniel Schofield, Christopher Tomlinson, Yuhan Wang, Ruizhe Li, Louisa van Zeeland, Sina Tabakhi, Cyndie Demeocq, Xiang Li, Arunav Das, Orlando Timmerman, Thomas Baldwin-McDonald, Jinge Wu, Peizhen Bai, Zahraa Al Sahili, Omnia Alwazzan, Thao N. Do, Mohammod N. I. Suvon, Angeline Wang, Lucia Cipolina-Kun, Luigi A. Moretti, Lucas Farndale, Nitisha Jain, Natalia Efremova, Yan Ge, Marta Varela, Hak-Keung Lam, Oya Celiktutan, Ben R. Evans, Alejandro Coca-Castro, Honghan Wu, Zahraa S. Abdallah, Chen Chen, Valentin Danchev, Nataliya Tkachenko, Lei Lu, Tingting Zhu, Gregory G. Slabaugh, Roger K. Moore, William K. Cheung, Peter H. Charlton, Haiping Lu</w:t>
        <w:br/>
      </w:r>
      <w:r>
        <w:rPr>
          <w:rFonts w:ascii="Times New Roman" w:hAnsi="Times New Roman" w:eastAsia="宋体"/>
          <w:sz w:val="21"/>
        </w:rPr>
        <w:t xml:space="preserve">时间: 2025-10-21 | </w:t>
      </w:r>
      <w:r>
        <w:t xml:space="preserve">链接: </w:t>
      </w:r>
      <w:hyperlink r:id="rId259">
        <w:r>
          <w:rPr>
            <w:rFonts w:ascii="Times New Roman" w:hAnsi="Times New Roman" w:eastAsia="宋体"/>
            <w:color w:val="0000FF"/>
            <w:sz w:val="21"/>
            <w:u w:val="single"/>
          </w:rPr>
          <w:t>https://doi.org/10.1038/s42256-025-01116-5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多模态人工智能 (AI) 通过机器学习集成不同类型的数据，以改善医疗保健、科学和工程等跨学科的理解、预测和决策。然而，大多数多模态人工智能的进步都集中在视觉和语言数据模型上，它们的可部署性仍然是一个关键挑战。我们提倡以部署为中心的工作流程，该工作流程尽早纳入部署约束，以减少无法部署解决方案的可能性，补充以数据为中心和以模型为中心的方法。我们还强调通过利益相关者参与和跨学科合作，跨多个层次的多模态进行更深入的整合，以扩大视觉和语言之外的研究范围。为了促进这种方法的实施，我们确定了跨学科共同面临的常见多模式人工智能特定挑战，并研究了三个现实世界的用例：流行病应对、自动驾驶汽车设计和气候变化适应，汲取医疗保健、社会科学、工程、科学、可持续发展和金融方面的专业知识。通过促进跨学科对话和开放研究实践，我们的社区可以加速以部署为中心的开发，从而产生广泛的社会影响。多模态人工智能结合了不同类型的数据，以改善医疗保健和工程等领域的决策，但迄今为止的工作主要集中在视觉和语言模型上。为了使这些系统在现实世界中更可用，Liu 等人。与相关学科的专家密切合作，讨论从一开始就考虑到部署的方法的必要性。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Multimodal artificial intelligence (AI) integrates diverse types of data via machine learning to improve understanding, prediction and decision-making across disciplines such as healthcare, science and engineering. However, most multimodal AI advances focus on models for vision and language data, and their deployability remains a key challenge. We advocate a deployment-centric workflow that incorporates deployment constraints early on to reduce the likelihood of undeployable solutions, complementing data-centric and model-centric approaches. We also emphasize deeper integration across multiple levels of multimodality through stakeholder engagement and interdisciplinary collaboration to broaden the research scope beyond vision and language. To facilitate this approach, we identify common multimodal-AI-specific challenges shared across disciplines and examine three real-world use cases: pandemic response, self-driving car design and climate change adaptation, drawing expertise from healthcare, social science, engineering, science, sustainability and finance. By fostering interdisciplinary dialogue and open research practices, our community can accelerate deployment-centric development for broad societal impact. Multimodal AI combines different types of data to improve decision-making in fields such as healthcare and engineering, but work so far has focused on vision and language models. To make these systems more usable in the real world, Liu et al. discuss the need to develop approaches with deployment in mind from the start, working closely with experts across relevant disciplines.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预测抗体和 T 细胞受体互补决定区的构象灵活性</w:t>
      </w:r>
    </w:p>
    <w:p>
      <w:r>
        <w:rPr>
          <w:rFonts w:ascii="Times New Roman" w:hAnsi="Times New Roman" w:eastAsia="宋体"/>
          <w:b/>
          <w:color w:val="003264"/>
          <w:sz w:val="24"/>
        </w:rPr>
        <w:t>Predicting the conformational flexibility of antibody and T cell receptor complementarity-determining regions</w:t>
      </w:r>
    </w:p>
    <w:p>
      <w:r>
        <w:rPr>
          <w:rFonts w:ascii="Times New Roman" w:hAnsi="Times New Roman" w:eastAsia="宋体"/>
          <w:sz w:val="21"/>
        </w:rPr>
        <w:t>作者: Fabian C. Spoendlin, Monica L. Fernández-Quintero, Sai S. R. Raghavan, Hannah L. Turner, Anant Gharpure, Johannes R. Loeffler, Wing K. Wong, Alexander Bujotzek, Guy Georges, Andrew B. Ward, Charlotte M. Deane</w:t>
        <w:br/>
      </w:r>
      <w:r>
        <w:rPr>
          <w:rFonts w:ascii="Times New Roman" w:hAnsi="Times New Roman" w:eastAsia="宋体"/>
          <w:sz w:val="21"/>
        </w:rPr>
        <w:t xml:space="preserve">时间: 2025-10-16 | </w:t>
      </w:r>
      <w:r>
        <w:t xml:space="preserve">链接: </w:t>
      </w:r>
      <w:hyperlink r:id="rId260">
        <w:r>
          <w:rPr>
            <w:rFonts w:ascii="Times New Roman" w:hAnsi="Times New Roman" w:eastAsia="宋体"/>
            <w:color w:val="0000FF"/>
            <w:sz w:val="21"/>
            <w:u w:val="single"/>
          </w:rPr>
          <w:t>https://doi.org/10.1038/s42256-025-01131-6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许多蛋白质具有高度灵活性，它们适应形状的能力对其功能特性至关重要。例如，抗体互补决定区（CDR）环的灵活性影响结合亲和力和特异性，使其成为理解和设计抗原相互作用的关键因素。使用 AlphaFold 等方法，可以通过计算高精度预测单个静态蛋白质结构。然而，结构柔性的可靠预测尚未实现。限制这种预测的一个主要因素是缺乏合适的训练数据。在这里，我们重点预测功能重要的抗体和 T 细胞受体 CDR3 环的结构灵活性。为此，我们通过从蛋白质数据库中存放的所有结构中提取 CDR3 和 CDR3 样环基序来构建 ALL 构象。该数据集包含 120 万个循环结构，代表超过 100,000 个独特序列，并捕获了这些基序的所有实验观察到的构象。使用该数据集，我们开发了 ITsFlexible，一种具有图神经网络架构的深度学习工具。我们训练模型根据抗体结构的输入将 CDR 环二元分类为“刚性”或“灵活”。 ITsFlexible 在我们的晶体结构数据集上优于所有替代方法，并成功推广到分子动力学模拟。我们还使用 ITsFlexible 来预测三个没有解析结构的 CDRH3 环的灵活性，并使用低温电子显微镜通过实验确定了它们的构象。</w:t>
      </w:r>
    </w:p>
    <w:p>
      <w:pPr>
        <w:spacing w:before="120"/>
      </w:pPr>
      <w:r>
        <w:rPr>
          <w:rFonts w:ascii="Times New Roman" w:hAnsi="Times New Roman" w:eastAsia="宋体"/>
          <w:b/>
          <w:sz w:val="21"/>
        </w:rPr>
        <w:t>English Abstract:</w:t>
      </w:r>
    </w:p>
    <w:p>
      <w:r>
        <w:rPr>
          <w:rFonts w:ascii="Times New Roman" w:hAnsi="Times New Roman" w:eastAsia="宋体"/>
          <w:sz w:val="21"/>
        </w:rPr>
        <w:t>Abstract Many proteins are highly flexible and their ability to adapt their shape can be fundamental to their functional properties. For example, the flexibility of antibody complementarity-determining region (CDR) loops influences binding affinity and specificity, making it a key factor in understanding and designing antigen interactions. With methods such as AlphaFold, it is possible to computationally predict a single, static protein structure with high accuracy. However, the reliable prediction of structural flexibility has not yet been achieved. A major factor limiting such predictions is the scarcity of suitable training data. Here we focus on predicting the structural flexibility of functionally important antibody and T cell receptor CDR3 loops. To this end, we constructed ALL-conformations by extracting CDR3s and CDR3-like loop motifs from all structures deposited in the Protein Data Bank. This dataset comprises 1.2 million loop structures representing more than 100,000 unique sequences and captures all experimentally observed conformations of these motifs. Using this dataset, we develop ITsFlexible, a deep learning tool with graph neural network architecture. We trained the model to binary classify CDR loops as ‘rigid’ or ‘flexible’ from inputs of antibody structures. ITsFlexible outperforms all alternative approaches on our crystal structure datasets and successfully generalizes to molecular dynamics simulations. We also used ITsFlexible to predict the flexibility of three CDRH3 loops with no solved structures and experimentally determined their conformations using cryogenic electron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神经网络表示是通用的还是特殊的？</w:t>
      </w:r>
    </w:p>
    <w:p>
      <w:r>
        <w:rPr>
          <w:rFonts w:ascii="Times New Roman" w:hAnsi="Times New Roman" w:eastAsia="宋体"/>
          <w:b/>
          <w:color w:val="003264"/>
          <w:sz w:val="24"/>
        </w:rPr>
        <w:t>Are neural network representations universal or idiosyncratic?</w:t>
      </w:r>
    </w:p>
    <w:p>
      <w:r>
        <w:rPr>
          <w:rFonts w:ascii="Times New Roman" w:hAnsi="Times New Roman" w:eastAsia="宋体"/>
          <w:sz w:val="21"/>
        </w:rPr>
        <w:t>作者: Unknown</w:t>
        <w:br/>
      </w:r>
      <w:r>
        <w:rPr>
          <w:rFonts w:ascii="Times New Roman" w:hAnsi="Times New Roman" w:eastAsia="宋体"/>
          <w:sz w:val="21"/>
        </w:rPr>
        <w:t xml:space="preserve">时间: 2025-10-21 | </w:t>
      </w:r>
      <w:r>
        <w:t xml:space="preserve">链接: </w:t>
      </w:r>
      <w:hyperlink r:id="rId261">
        <w:r>
          <w:rPr>
            <w:rFonts w:ascii="Times New Roman" w:hAnsi="Times New Roman" w:eastAsia="宋体"/>
            <w:color w:val="0000FF"/>
            <w:sz w:val="21"/>
            <w:u w:val="single"/>
          </w:rPr>
          <w:t>https://doi.org/10.1038/s42256-025-01139-y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关于神经网络是否学习通用表示或模型特定表示的问题在 2025 年 8 月的认知计算神经科学会议上举办了一场社区活动，强调了 NeuroAI 基本主题的未来方向。</w:t>
      </w:r>
    </w:p>
    <w:p>
      <w:pPr>
        <w:spacing w:before="120"/>
      </w:pPr>
      <w:r>
        <w:rPr>
          <w:rFonts w:ascii="Times New Roman" w:hAnsi="Times New Roman" w:eastAsia="宋体"/>
          <w:b/>
          <w:sz w:val="21"/>
        </w:rPr>
        <w:t>English Abstract:</w:t>
      </w:r>
    </w:p>
    <w:p>
      <w:r>
        <w:rPr>
          <w:rFonts w:ascii="Times New Roman" w:hAnsi="Times New Roman" w:eastAsia="宋体"/>
          <w:sz w:val="21"/>
        </w:rPr>
        <w:t>Questions over whether neural networks learn universal or model-specific representations framed a community event at the Cognitive Computational Neuroscience conference in August 2025, highlighting future directions on a fundamental topic in NeuroAI.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模拟类人自适应视觉，实现高效灵活的机器视觉感知</w:t>
      </w:r>
    </w:p>
    <w:p>
      <w:r>
        <w:rPr>
          <w:rFonts w:ascii="Times New Roman" w:hAnsi="Times New Roman" w:eastAsia="宋体"/>
          <w:b/>
          <w:color w:val="003264"/>
          <w:sz w:val="24"/>
        </w:rPr>
        <w:t>Emulating human-like adaptive vision for efficient and flexible machine visual perception</w:t>
      </w:r>
    </w:p>
    <w:p>
      <w:r>
        <w:rPr>
          <w:rFonts w:ascii="Times New Roman" w:hAnsi="Times New Roman" w:eastAsia="宋体"/>
          <w:sz w:val="21"/>
        </w:rPr>
        <w:t>作者: Yulin Wang, Yang Yue, Yang Yue, Huanqian Wang, Haojun Jiang, Yizeng Han, Zanlin Ni, Yifan Pu, Minglei Shi, Rui Lu, Qisen Yang, Andrew Zhao, Zhuofan Xia, Shiji Song, Gao Huang</w:t>
        <w:br/>
      </w:r>
      <w:r>
        <w:rPr>
          <w:rFonts w:ascii="Times New Roman" w:hAnsi="Times New Roman" w:eastAsia="宋体"/>
          <w:sz w:val="21"/>
        </w:rPr>
        <w:t xml:space="preserve">时间: 2025-11-06 | </w:t>
      </w:r>
      <w:r>
        <w:t xml:space="preserve">链接: </w:t>
      </w:r>
      <w:hyperlink r:id="rId262">
        <w:r>
          <w:rPr>
            <w:rFonts w:ascii="Times New Roman" w:hAnsi="Times New Roman" w:eastAsia="宋体"/>
            <w:color w:val="0000FF"/>
            <w:sz w:val="21"/>
            <w:u w:val="single"/>
          </w:rPr>
          <w:t>https://doi.org/10.1038/s42256-025-01130-7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具有高度适应性，通过顺序关注与任务相关的区域来有效地采样复杂的环境。相比之下，流行的机器视觉模型一次被动地处理整个场景，导致过多的资源需求随着时空输入分辨率和模型大小而扩展，从而产生阻碍未来进步和实际应用的关键限制。在这里，我们介绍 AdaptiveNN，一个通用框架，旨在实现从“被动”视觉模型到“主动和自适应”视觉模型的转变。 AdaptiveNN 将视觉感知制定为从粗到细的顺序决策过程，逐步识别和关注与任务相关的区域，逐步组合不同注视点的信息，并在足够时主动结束观察。我们建立了一种将表征学习与自我奖励强化学习相结合的理论，从而能够对不可微的 AdaptiveNN 进行端到端训练，而无需对注视位置进行额外的监督。我们根据涵盖 9 项任务的 17 个基准对 AdaptiveNN 进行评估，包括大规模视觉识别、细粒度辨别、视觉搜索、处理来自真实驾驶和医疗场景的图像、语言驱动的具体人工智能以及与人类的并排比较。 AdaptiveNN 在不牺牲准确性的情况下实现了高达 28 倍的推理成本降低，无需重新训练即可灵活适应不同的任务需求和资源预算，并通过其固定模式提供增强的可解释性，展示了一条实现高效、灵活和可解释的计算机视觉的有前途的途径。此外，AdaptiveNN 在许多情况下表现出与人类非常相似的感知行为，揭示了其作为研究视觉认知的有价值工具的潜力。深度学习方法 AdaptiveNN 将机器视觉模型从被动转变为主动，以模仿人类的感知。该方法在不损失准确性的情况下将推理成本降低了 28 倍，同时展示了在线适应和可解释的行为。</w:t>
      </w:r>
    </w:p>
    <w:p>
      <w:pPr>
        <w:spacing w:before="120"/>
      </w:pPr>
      <w:r>
        <w:rPr>
          <w:rFonts w:ascii="Times New Roman" w:hAnsi="Times New Roman" w:eastAsia="宋体"/>
          <w:b/>
          <w:sz w:val="21"/>
        </w:rPr>
        <w:t>English Abstract:</w:t>
      </w:r>
    </w:p>
    <w:p>
      <w:r>
        <w:rPr>
          <w:rFonts w:ascii="Times New Roman" w:hAnsi="Times New Roman" w:eastAsia="宋体"/>
          <w:sz w:val="21"/>
        </w:rPr>
        <w:t>Human vision is highly adaptive, efficiently sampling intricate environments by sequentially fixating on task-relevant regions. In contrast, prevailing machine vision models passively process entire scenes at once, resulting in excessive resource demands scaling with spatial–temporal input resolution and model size, yielding critical limitations impeding both future advancements and real-world application. Here we introduce AdaptiveNN, a general framework aiming to enable the transition from ‘passive’ to ‘active and adaptive’ vision models. AdaptiveNN formulates visual perception as a coarse-to-fine sequential decision-making process, progressively identifying and attending to regions pertinent to the task, incrementally combining information across fixations and actively concluding observation when sufficient. We establish a theory integrating representation learning with self-rewarding reinforcement learning, enabling end-to-end training of the non-differentiable AdaptiveNN without additional supervision on fixation locations. We assess AdaptiveNN on 17 benchmarks spanning 9 tasks, including large-scale visual recognition, fine-grained discrimination, visual search, processing images from real driving and medical scenarios, language-driven embodied artificial intelligence and side-by-side comparisons with humans. AdaptiveNN achieves up to 28 times inference cost reduction without sacrificing accuracy, flexibly adapts to varying task demands and resource budgets without retraining, and provides enhanced interpretability via its fixation patterns, demonstrating a promising avenue towards efficient, flexible and interpretable computer vision. Furthermore, AdaptiveNN exhibits closely human-like perceptual behaviours in many cases, revealing its potential as a valuable tool for investigating visual cognition. A deep learning approach, AdaptiveNN, shifts machine vision models from passive to active to mimic human-like perception. The method achieves inference costs that are up to 28-times lower without accuracy loss, while showcasing online-adaptable and interpretable behaviours.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卷积架构是从头开始与皮质对齐的</w:t>
      </w:r>
    </w:p>
    <w:p>
      <w:r>
        <w:rPr>
          <w:rFonts w:ascii="Times New Roman" w:hAnsi="Times New Roman" w:eastAsia="宋体"/>
          <w:b/>
          <w:color w:val="003264"/>
          <w:sz w:val="24"/>
        </w:rPr>
        <w:t>Convolutional architectures are cortex-aligned de novo</w:t>
      </w:r>
    </w:p>
    <w:p>
      <w:r>
        <w:rPr>
          <w:rFonts w:ascii="Times New Roman" w:hAnsi="Times New Roman" w:eastAsia="宋体"/>
          <w:sz w:val="21"/>
        </w:rPr>
        <w:t>作者: Atlas Kazemian, Eric Elmoznino, Michael F. Bonner</w:t>
        <w:br/>
      </w:r>
      <w:r>
        <w:rPr>
          <w:rFonts w:ascii="Times New Roman" w:hAnsi="Times New Roman" w:eastAsia="宋体"/>
          <w:sz w:val="21"/>
        </w:rPr>
        <w:t xml:space="preserve">时间: 2025-11-13 | </w:t>
      </w:r>
      <w:r>
        <w:t xml:space="preserve">链接: </w:t>
      </w:r>
      <w:hyperlink r:id="rId263">
        <w:r>
          <w:rPr>
            <w:rFonts w:ascii="Times New Roman" w:hAnsi="Times New Roman" w:eastAsia="宋体"/>
            <w:color w:val="0000FF"/>
            <w:sz w:val="21"/>
            <w:u w:val="single"/>
          </w:rPr>
          <w:t>https://doi.org/10.1038/s42256-025-01142-3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深度神经网络模型中皮层对齐表示的出现背后的原因是什么？早期的工作表明，共享架构约束是一个主要因素，但预训练后各种架构的成功引发了关于架构约束重要性的关键问题。在这里，我们表明，在训练最少的广泛网络中，架构归纳偏差起着突出的作用。我们检查了具有不同架构但没有预训练的网络，并量化了它们预测猴子和人类视觉皮层图像表示的能力。我们发现，皮层对齐的表示出现在卷积架构中，该架构结合了两种关键的维度操作：通过池化在空间域中压缩，以及通过增加通道数量在特征域中扩展。我们进一步表明，卷积架构的归纳偏差对于从特征扩展中获得性能增益至关重要——维度操作在其他架构和具有目标病变的卷积模型中相对无效。我们的研究结果表明，卷积网络的架构约束足够接近生物视觉的约束，甚至在通过经验调整突触连接之前，皮质视觉表征的许多方面就可以出现。</w:t>
      </w:r>
    </w:p>
    <w:p>
      <w:pPr>
        <w:spacing w:before="120"/>
      </w:pPr>
      <w:r>
        <w:rPr>
          <w:rFonts w:ascii="Times New Roman" w:hAnsi="Times New Roman" w:eastAsia="宋体"/>
          <w:b/>
          <w:sz w:val="21"/>
        </w:rPr>
        <w:t>English Abstract:</w:t>
      </w:r>
    </w:p>
    <w:p>
      <w:r>
        <w:rPr>
          <w:rFonts w:ascii="Times New Roman" w:hAnsi="Times New Roman" w:eastAsia="宋体"/>
          <w:sz w:val="21"/>
        </w:rPr>
        <w:t>What underlies the emergence of cortex-aligned representations in deep neural network models of vision? Earlier work suggested that shared architectural constraints were a major factor, but the success of widely varied architectures after pre-training raises critical questions about the importance of architectural constraints. Here we show that in wide networks with minimal training, architectural inductive biases have a prominent role. We examined networks with varied architectures but no pre-training and quantified their ability to predict image representations in the visual cortices of monkeys and humans. We found that cortex-aligned representations emerge in convolutional architectures that combine two key manipulations of dimensionality: compression in the spatial domain, through pooling, and expansion in the feature domain by increasing the number of channels. We further show that the inductive biases of convolutional architectures are critical for obtaining performance gains from feature expansion—dimensionality manipulations were relatively ineffective in other architectures and in convolutional models with targeted lesions. Our findings suggest that the architectural constraints of convolutional networks are sufficiently close to the constraints of biological vision to allow many aspects of cortical visual representation to emerge even before synaptic connections have been tuned through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南亚人在语言和视觉模型方面的偏见</w:t>
      </w:r>
    </w:p>
    <w:p>
      <w:r>
        <w:rPr>
          <w:rFonts w:ascii="Times New Roman" w:hAnsi="Times New Roman" w:eastAsia="宋体"/>
          <w:b/>
          <w:color w:val="003264"/>
          <w:sz w:val="24"/>
        </w:rPr>
        <w:t>South Asian biases in language and vision models</w:t>
      </w:r>
    </w:p>
    <w:p>
      <w:r>
        <w:rPr>
          <w:rFonts w:ascii="Times New Roman" w:hAnsi="Times New Roman" w:eastAsia="宋体"/>
          <w:sz w:val="21"/>
        </w:rPr>
        <w:t>作者: Mohammad Nadeem, Shahab Saquib Sohail, Erik Cambria, Shagufta Afreen</w:t>
        <w:br/>
      </w:r>
      <w:r>
        <w:rPr>
          <w:rFonts w:ascii="Times New Roman" w:hAnsi="Times New Roman" w:eastAsia="宋体"/>
          <w:sz w:val="21"/>
        </w:rPr>
        <w:t xml:space="preserve">时间: 2025-11-13 | </w:t>
      </w:r>
      <w:r>
        <w:t xml:space="preserve">链接: </w:t>
      </w:r>
      <w:hyperlink r:id="rId264">
        <w:r>
          <w:rPr>
            <w:rFonts w:ascii="Times New Roman" w:hAnsi="Times New Roman" w:eastAsia="宋体"/>
            <w:color w:val="0000FF"/>
            <w:sz w:val="21"/>
            <w:u w:val="single"/>
          </w:rPr>
          <w:t>https://doi.org/10.1038/s42256-025-01144-1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人工智能模型的偏见主要通过西方视角进行研究，忽视了南亚独特的种姓、宗教、肤色和代表性背景。该评论强调了语言和视觉模型中特定区域的偏见，并呼吁建立基于南亚现实的公平框架。</w:t>
      </w:r>
    </w:p>
    <w:p>
      <w:pPr>
        <w:spacing w:before="120"/>
      </w:pPr>
      <w:r>
        <w:rPr>
          <w:rFonts w:ascii="Times New Roman" w:hAnsi="Times New Roman" w:eastAsia="宋体"/>
          <w:b/>
          <w:sz w:val="21"/>
        </w:rPr>
        <w:t>English Abstract:</w:t>
      </w:r>
    </w:p>
    <w:p>
      <w:r>
        <w:rPr>
          <w:rFonts w:ascii="Times New Roman" w:hAnsi="Times New Roman" w:eastAsia="宋体"/>
          <w:sz w:val="21"/>
        </w:rPr>
        <w:t>Biases in artificial intelligence models have been studied predominantly through Western lenses, overlooking South Asia’s unique contexts of caste, religion, colourism and representation. This Comment highlights region-specific biases in language and vision models and calls for fairness frameworks grounded in South Asian realities.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血细胞形态的深度生成分类</w:t>
      </w:r>
    </w:p>
    <w:p>
      <w:r>
        <w:rPr>
          <w:rFonts w:ascii="Times New Roman" w:hAnsi="Times New Roman" w:eastAsia="宋体"/>
          <w:b/>
          <w:color w:val="003264"/>
          <w:sz w:val="24"/>
        </w:rPr>
        <w:t>Deep generative classification of blood cell morphology</w:t>
      </w:r>
    </w:p>
    <w:p>
      <w:r>
        <w:rPr>
          <w:rFonts w:ascii="Times New Roman" w:hAnsi="Times New Roman" w:eastAsia="宋体"/>
          <w:sz w:val="21"/>
        </w:rPr>
        <w:t>作者: Simon Deltadahl, Julian Gilbey, Christine Van Laer, Nancy Boeckx, Mathie P. G. Leers, Tanya Freeman, Laura Aiken, Timothy Farren, Matthew Smith, Mohamad Zeina, Stephen MacDonald, Daniel Gleghorn, Martijn Schut, Folkert Asselbergs, Sujoy Kar, Sophie Williams, Mickey Koh, Yvonne Henskens, Norbert de Wit, Umberto D’Alessandro, Bubacarr Bah, Ousman Secka, Rajeev Gupta, Sara Trompeter, Christine van Laer, Gordon A. Awandare, Kwabena Sarpong, Lucas Amenga-Etego, Willem H. Ouwehand, James H. F. Rudd, James HF Rudd, Concetta Piazzese, Joseph Taylor, Nicholas Gleadall, Carola-Bibiane Schönlieb, Suthesh Sivapalaratnam, Michael Roberts, Parashkev Nachev</w:t>
        <w:br/>
      </w:r>
      <w:r>
        <w:rPr>
          <w:rFonts w:ascii="Times New Roman" w:hAnsi="Times New Roman" w:eastAsia="宋体"/>
          <w:sz w:val="21"/>
        </w:rPr>
        <w:t xml:space="preserve">时间: 2025-11-19 | </w:t>
      </w:r>
      <w:r>
        <w:t xml:space="preserve">链接: </w:t>
      </w:r>
      <w:hyperlink r:id="rId265">
        <w:r>
          <w:rPr>
            <w:rFonts w:ascii="Times New Roman" w:hAnsi="Times New Roman" w:eastAsia="宋体"/>
            <w:color w:val="0000FF"/>
            <w:sz w:val="21"/>
            <w:u w:val="single"/>
          </w:rPr>
          <w:t>https://doi.org/10.1038/s42256-025-01122-7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通过光学显微镜进行的血细胞形态评估构成了血液学诊断的基石，为了解不同的病理状况提供了重要的见解。由于微妙的形态变化、生物异质性和技术成像因素阻碍了自动化方法，这项复杂的任务需要专家的解释。使用判别模型的传统机器学习方法难以应对领域转移、类内变异和罕见的形态变异，限制了它们的临床实用性。我们推出 CytoDiffusion，一种基于扩散的生成分类器，它忠实地模拟血细胞形态的分布，将准确的分类与强大的异常检测、对分布变化的抵抗力、可解释性、数据效率和不确定性量化相结合，超越了临床专家。我们的方法在异常检测（曲线下面积，0.990 与 0.916）、抗域偏移（0.854 与 0.738 准确度）以及低数据状态下的性能（0.962 与 0.924 平衡准确度）方面优于最先进的判别模型。特别是，CytoDiffusion 生成的合成血细胞图像是血液学家专家无法将其与真实图像区分开来的（准确度，0.523；95% 置信区间：[0.505, 0.542]），证明了对基础分布的良好掌握。此外，我们通过直接可解释的反事实热图增强模型的可解释性。我们的综合评估框架为血液学医学图像分析建立了多维基准，最终提高了临床环境中的诊断准确性。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Abstract Blood cell morphology assessment via light microscopy constitutes a cornerstone of haematological diagnostics, providing crucial insights into diverse pathological conditions. This complex task demands expert interpretation owing to subtle morphological variations, biological heterogeneity and technical imaging factors that obstruct automated approaches. Conventional machine learning methods using discriminative models struggle with domain shifts, intraclass variability and rare morphological variants, constraining their clinical utility. We introduce CytoDiffusion, a diffusion-based generative classifier that faithfully models the distribution of blood cell morphology, combining accurate classification with robust anomaly detection, resistance to distributional shifts, interpretability, data efficiency and uncertainty quantification that surpasses clinical experts. Our approach outperforms state-of-the-art discriminative models in anomaly detection (area under the curve, 0.990 versus 0.916), resistance to domain shifts (0.854 versus 0.738 accuracy) and performance in low-data regimes (0.962 versus 0.924 balanced accuracy). In particular, CytoDiffusion generates synthetic blood cell images that expert haematologists cannot distinguish from real ones (accuracy, 0.523; 95% confidence interval: [0.505, 0.542]), demonstrating good command of the underlying distribution. Furthermore, we enhance model explainability through directly interpretable counterfactual heat maps. Our comprehensive evaluation framework establishes a multidimensional benchmark for medical image analysis in haematology, ultimately enabling improved diagnostic accuracy in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可重用性报告：使用 AlphaTensor-Quantum 优化通用量子电路中的 T 计数</w:t>
      </w:r>
    </w:p>
    <w:p>
      <w:r>
        <w:rPr>
          <w:rFonts w:ascii="Times New Roman" w:hAnsi="Times New Roman" w:eastAsia="宋体"/>
          <w:b/>
          <w:color w:val="003264"/>
          <w:sz w:val="24"/>
        </w:rPr>
        <w:t>Reusability report: Optimizing T count in general quantum circuits with AlphaTensor-Quantum</w:t>
      </w:r>
    </w:p>
    <w:p>
      <w:r>
        <w:rPr>
          <w:rFonts w:ascii="Times New Roman" w:hAnsi="Times New Roman" w:eastAsia="宋体"/>
          <w:sz w:val="21"/>
        </w:rPr>
        <w:t>作者: Remmy Zen, Maximilian Nägele, Florian Marquardt</w:t>
        <w:br/>
      </w:r>
      <w:r>
        <w:rPr>
          <w:rFonts w:ascii="Times New Roman" w:hAnsi="Times New Roman" w:eastAsia="宋体"/>
          <w:sz w:val="21"/>
        </w:rPr>
        <w:t xml:space="preserve">时间: 2025-12-31 | </w:t>
      </w:r>
      <w:r>
        <w:t xml:space="preserve">链接: </w:t>
      </w:r>
      <w:hyperlink r:id="rId266">
        <w:r>
          <w:rPr>
            <w:rFonts w:ascii="Times New Roman" w:hAnsi="Times New Roman" w:eastAsia="宋体"/>
            <w:color w:val="0000FF"/>
            <w:sz w:val="21"/>
            <w:u w:val="single"/>
          </w:rPr>
          <w:t>https://doi.org/10.1038/s42256-025-01166-9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量子计算有潜力解决经典计算机难以解决的问题，可能在药物发现和高能物理等领域得到应用。然而，量子计算的实际实现受到硬件上执行量子电路的复杂性的阻碍。特别是，最小化 T 门的数量对于实现高效的量子算法至关重要。 AlphaTensor-Quantum 1 是一种基于强化学习的方法，旨在通过将问题表述为张量分解任务来优化量子电路的 T 计数。尽管它在基准量子算术电路上表现出了优于现有方法的性能，但迄今为止，其适用性仅限于特定的电路系列，需要针对每个新应用进行单独的、耗时的培训。该报告重现了原始工作的一些关键结果，并扩展了 AlphaTensor-Quantum 的能力，以简化具有不同量子位计数的随机量子电路，从而无需对新电路进行重新训练。我们的实验表明，在 5 到 8 个量子位电路上训练的通用代理比以前的方法对大部分量子电路实现了更大的 T 计数减少。此外，我们证明了在具有不同量子位数的电路上训练的通用智能体优于在固定量子位数上训练的智能体，突出了该方法的通用性及其在更广泛的量子电路优化任务中的潜力。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Quantum computing has the potential to solve problems that are intractable for classical computers, with possible applications in areas such as drug discovery and high-energy physics. However, the practical implementation of quantum computation is hindered by the complexity of executing quantum circuits on hardware. In particular, minimizing the number of T gates is crucial for implementing efficient quantum algorithms. AlphaTensor-Quantum 1 is a reinforcement-learning-based method designed to optimize the T count of quantum circuits by formulating the problem as a tensor decomposition task. Although it has demonstrated superior performance over existing methods on benchmark quantum arithmetic circuits, its applicability has so far been restricted to specific circuit families, requiring separate, time-intensive training for each new application. This report reproduces some of the key results of the original work and extends AlphaTensor-Quantum’s capabilities to simplify random quantum circuits with varying qubit counts, eliminating the need for retraining on new circuits. Our experiments show that a general agent trained on five- to eight-qubit circuits achieves greater T-count reduction than previous methods for a large fraction of quantum circuits. Furthermore, we demonstrate that a general agent trained on circuits with varying qubit numbers outperforms agents trained on fixed qubit numbers, highlighting the method’s generalizability and its potential for broader quantum circuit optimization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通过解释自监督图转换器学习到的细胞状态和生态位相关性来推断空间单细胞级相互作用</w:t>
      </w:r>
    </w:p>
    <w:p>
      <w:r>
        <w:rPr>
          <w:rFonts w:ascii="Times New Roman" w:hAnsi="Times New Roman" w:eastAsia="宋体"/>
          <w:b/>
          <w:color w:val="003264"/>
          <w:sz w:val="24"/>
        </w:rPr>
        <w:t>Inferring spatial single-cell-level interactions through interpreting cell state and niche correlations learned by self-supervised graph transformer</w:t>
      </w:r>
    </w:p>
    <w:p>
      <w:r>
        <w:rPr>
          <w:rFonts w:ascii="Times New Roman" w:hAnsi="Times New Roman" w:eastAsia="宋体"/>
          <w:sz w:val="21"/>
        </w:rPr>
        <w:t>作者: Xiao Xiao, Le Zhang, Hongyu Zhao, Zuoheng Wang</w:t>
        <w:br/>
      </w:r>
      <w:r>
        <w:rPr>
          <w:rFonts w:ascii="Times New Roman" w:hAnsi="Times New Roman" w:eastAsia="宋体"/>
          <w:sz w:val="21"/>
        </w:rPr>
        <w:t xml:space="preserve">时间: 2025-12-31 | </w:t>
      </w:r>
      <w:r>
        <w:t xml:space="preserve">链接: </w:t>
      </w:r>
      <w:hyperlink r:id="rId267">
        <w:r>
          <w:rPr>
            <w:rFonts w:ascii="Times New Roman" w:hAnsi="Times New Roman" w:eastAsia="宋体"/>
            <w:color w:val="0000FF"/>
            <w:sz w:val="21"/>
            <w:u w:val="single"/>
          </w:rPr>
          <w:t>https://doi.org/10.1038/s42256-025-01161-0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肖等人。 GITIII 是一种轻量级且可解释的图形转换器，用于推断空间单细胞水平的相互作用并量化空间转录组学中邻近细胞对接收细胞基因表达的影响。</w:t>
      </w:r>
    </w:p>
    <w:p>
      <w:pPr>
        <w:spacing w:before="120"/>
      </w:pPr>
      <w:r>
        <w:rPr>
          <w:rFonts w:ascii="Times New Roman" w:hAnsi="Times New Roman" w:eastAsia="宋体"/>
          <w:b/>
          <w:sz w:val="21"/>
        </w:rPr>
        <w:t>English Abstract:</w:t>
      </w:r>
    </w:p>
    <w:p>
      <w:r>
        <w:rPr>
          <w:rFonts w:ascii="Times New Roman" w:hAnsi="Times New Roman" w:eastAsia="宋体"/>
          <w:sz w:val="21"/>
        </w:rPr>
        <w:t>Xiao et al. present GITIII, a lightweight and interpretable graph transformer for inferring spatial single-cell-level interactions and quantifying the influence of neighbouring cells on the gene expression of receiver cells in spatial transcriptomics.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具有空间频率动力学的超表面结构发现的电流扩散模型</w:t>
      </w:r>
    </w:p>
    <w:p>
      <w:r>
        <w:rPr>
          <w:rFonts w:ascii="Times New Roman" w:hAnsi="Times New Roman" w:eastAsia="宋体"/>
          <w:b/>
          <w:color w:val="003264"/>
          <w:sz w:val="24"/>
        </w:rPr>
        <w:t>Current-diffusion model for metasurface structure discoveries with spatial-frequency dynamics</w:t>
      </w:r>
    </w:p>
    <w:p>
      <w:r>
        <w:rPr>
          <w:rFonts w:ascii="Times New Roman" w:hAnsi="Times New Roman" w:eastAsia="宋体"/>
          <w:sz w:val="21"/>
        </w:rPr>
        <w:t>作者: Erji Li, Yusong Wang, Lei Jin, Zheng Zong, Enze Zhu, Bao Wang, Qian Wang, Zongyin Yang, Wen-Yan Yin, Zhun Wei</w:t>
        <w:br/>
      </w:r>
      <w:r>
        <w:rPr>
          <w:rFonts w:ascii="Times New Roman" w:hAnsi="Times New Roman" w:eastAsia="宋体"/>
          <w:sz w:val="21"/>
        </w:rPr>
        <w:t xml:space="preserve">时间: 2025-12-31 | </w:t>
      </w:r>
      <w:r>
        <w:t xml:space="preserve">链接: </w:t>
      </w:r>
      <w:hyperlink r:id="rId268">
        <w:r>
          <w:rPr>
            <w:rFonts w:ascii="Times New Roman" w:hAnsi="Times New Roman" w:eastAsia="宋体"/>
            <w:color w:val="0000FF"/>
            <w:sz w:val="21"/>
            <w:u w:val="single"/>
          </w:rPr>
          <w:t>https://doi.org/10.1038/s42256-025-01162-z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由人工智能驱动的超表面设计面临着挑战，例如外推到未探索的性能体系。 MetaAI 是一种物理感知电流扩散框架，旨在推进超材料发现从插值到外推的发展。</w:t>
      </w:r>
    </w:p>
    <w:p>
      <w:pPr>
        <w:spacing w:before="120"/>
      </w:pPr>
      <w:r>
        <w:rPr>
          <w:rFonts w:ascii="Times New Roman" w:hAnsi="Times New Roman" w:eastAsia="宋体"/>
          <w:b/>
          <w:sz w:val="21"/>
        </w:rPr>
        <w:t>English Abstract:</w:t>
      </w:r>
    </w:p>
    <w:p>
      <w:r>
        <w:rPr>
          <w:rFonts w:ascii="Times New Roman" w:hAnsi="Times New Roman" w:eastAsia="宋体"/>
          <w:sz w:val="21"/>
        </w:rPr>
        <w:t>Metasurface design driven by AI faces challenges, such as extrapolation to unexplored performance regimes. MetaAI, a physics-aware current-diffusion framework, is introduced to advance metamaterial discovery from interpolation to extrapolation.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学习逆超表面设计的中间物理状态</w:t>
      </w:r>
    </w:p>
    <w:p>
      <w:r>
        <w:rPr>
          <w:rFonts w:ascii="Times New Roman" w:hAnsi="Times New Roman" w:eastAsia="宋体"/>
          <w:b/>
          <w:color w:val="003264"/>
          <w:sz w:val="24"/>
        </w:rPr>
        <w:t>Learning intermediate physical states for inverse metasurface design</w:t>
      </w:r>
    </w:p>
    <w:p>
      <w:r>
        <w:rPr>
          <w:rFonts w:ascii="Times New Roman" w:hAnsi="Times New Roman" w:eastAsia="宋体"/>
          <w:sz w:val="21"/>
        </w:rPr>
        <w:t>作者: Chun-Teh Chen</w:t>
        <w:br/>
      </w:r>
      <w:r>
        <w:rPr>
          <w:rFonts w:ascii="Times New Roman" w:hAnsi="Times New Roman" w:eastAsia="宋体"/>
          <w:sz w:val="21"/>
        </w:rPr>
        <w:t xml:space="preserve">时间: 2025-12-31 | </w:t>
      </w:r>
      <w:r>
        <w:t xml:space="preserve">链接: </w:t>
      </w:r>
      <w:hyperlink r:id="rId269">
        <w:r>
          <w:rPr>
            <w:rFonts w:ascii="Times New Roman" w:hAnsi="Times New Roman" w:eastAsia="宋体"/>
            <w:color w:val="0000FF"/>
            <w:sz w:val="21"/>
            <w:u w:val="single"/>
          </w:rPr>
          <w:t>https://doi.org/10.1038/s42256-025-01167-8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学习中间表面电流图的深度生成模型，而不是直接布局，为可调和堆叠超表面的逆向设计提供了更稳定的途径。</w:t>
      </w:r>
    </w:p>
    <w:p>
      <w:pPr>
        <w:spacing w:before="120"/>
      </w:pPr>
      <w:r>
        <w:rPr>
          <w:rFonts w:ascii="Times New Roman" w:hAnsi="Times New Roman" w:eastAsia="宋体"/>
          <w:b/>
          <w:sz w:val="21"/>
        </w:rPr>
        <w:t>English Abstract:</w:t>
      </w:r>
    </w:p>
    <w:p>
      <w:r>
        <w:rPr>
          <w:rFonts w:ascii="Times New Roman" w:hAnsi="Times New Roman" w:eastAsia="宋体"/>
          <w:sz w:val="21"/>
        </w:rPr>
        <w:t>Deep generative models that learn intermediate surface-current maps, rather than layouts directly, offer a more stable route to inverse design of tunable and stacked metasurfaces.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12:53 ---</w:t>
      </w:r>
    </w:p>
    <w:p>
      <w:pPr>
        <w:pStyle w:val="Heading2"/>
      </w:pPr>
      <w:r/>
      <w:r>
        <w:rPr>
          <w:rFonts w:ascii="Times New Roman" w:hAnsi="Times New Roman" w:eastAsia="宋体"/>
          <w:b/>
          <w:color w:val="000000"/>
          <w:sz w:val="24"/>
        </w:rPr>
        <w:t>离体机器灌注过程中系统生产用于猪肾移植的人肾类器官</w:t>
      </w:r>
    </w:p>
    <w:p>
      <w:r>
        <w:rPr>
          <w:rFonts w:ascii="Times New Roman" w:hAnsi="Times New Roman" w:eastAsia="宋体"/>
          <w:b/>
          <w:color w:val="003264"/>
          <w:sz w:val="24"/>
        </w:rPr>
        <w:t>Systematic production of human kidney organoids for transplantation in porcine kidneys during ex vivo machine perfusion</w:t>
      </w:r>
    </w:p>
    <w:p>
      <w:r>
        <w:rPr>
          <w:rFonts w:ascii="Times New Roman" w:hAnsi="Times New Roman" w:eastAsia="宋体"/>
          <w:sz w:val="21"/>
        </w:rPr>
        <w:t>作者: Elena Garreta, Daniel Moya-Rull, Alberto Centeno, Andrés Marco, Asier Ullate-Agote, Gaia Amato, Carlos J. Aranda, Roger Oria, Daniel Lozano-Ojalvo, Merel B. F. Pool, Tim L. Hamelink, Idoia Lucía Selfa, Federico González, Carolina Tarantino, Alejandro Montero Salinas, Patricia López San Martín, Priyanka Koshy, Aleix Gavaldà-Navarro, Amaia Vilas-Zornoza, Juan R. Rodríguez-Madoz, Antón Fernández García, Inmaculada Marquez-Leiva, Henri G. D. Leuvenink, Cristobal Belda-Iniesta, Maarten Naesens, Beatriz Dominguez-Gil, Marcelino González-Martín, Javier Rodríguez-Rivera, Jordi Ochando, Felipe Prosper, Cyril Moers, Nuria Montserrat</w:t>
        <w:br/>
      </w:r>
      <w:r>
        <w:rPr>
          <w:rFonts w:ascii="Times New Roman" w:hAnsi="Times New Roman" w:eastAsia="宋体"/>
          <w:sz w:val="21"/>
        </w:rPr>
        <w:t xml:space="preserve">时间: 2025-10-31 | </w:t>
      </w:r>
      <w:r>
        <w:t xml:space="preserve">链接: </w:t>
      </w:r>
      <w:hyperlink r:id="rId270">
        <w:r>
          <w:rPr>
            <w:rFonts w:ascii="Times New Roman" w:hAnsi="Times New Roman" w:eastAsia="宋体"/>
            <w:color w:val="0000FF"/>
            <w:sz w:val="21"/>
            <w:u w:val="single"/>
          </w:rPr>
          <w:t>https://doi.org/10.1038/s41551-025-01542-1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源自人类多能干 (hPS) 细胞的类器官有望用于治疗目的。然而，仍然缺乏在确保差异化保真度的同时克服大规模生产的技术进步。在这里，我们报告了一种使用可扩展、可重复且负担得起的方法维持从 hPS 细胞衍生肾脏类器官（hPSC-肾脏类器官）的程序，该方法允许 hPSC-肾脏类器官分化为不同的肾细胞类型。使用单细胞 RNA 测序、共焦图像分析、代谢测定和 CRISPR-Cas9 工程来生成荧光报告基因，我们表明 hPSC-肾脏类器官在细胞与细胞接触后表现出转录多样性和细胞组成。我们使用常温机器灌注将人肾类器官注入离体猪肾脏，并证明 hPSC 肾类器官的体内移植。我们进一步评估免疫反应，确认该程序的可行性和可行性。我们通过原位杂交、免疫组织化学、共聚焦显微镜、图像分析和定量、体内成像和流式细胞术来鉴定常温机器灌注和体内移植后的人源细胞。这项工作为在临床试验中使用 hPSC 肾类器官进行离体细胞疗法奠定了基础。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Organoids derived from human pluripotent stem (hPS) cells hold promise for therapeutic purposes. However, technological advances to overcome their massive production while ensuring differentiation fidelity are still lacking. Here we report a procedure sustaining the derivation of kidney organoids from hPS cells (hPSC-kidney organoids) using a scalable, reproducible and affordable approach that allows hPSC-kidney organoid differentiation into different renal cell types. Using single-cell RNA sequencing, confocal image analysis, metabolic assays and CRISPR–Cas9 engineering for generation of fluorescent reporters, we show that hPSC-kidney organoids exhibit transcriptional variety and cellular composition following cell-to-cell contact. We infuse human kidney organoids into ex vivo porcine kidneys using normothermic machine perfusion, and demonstrate in vivo engraftment of hPSC-kidney organoids. We further evaluate the immune response, confirming the feasibility and viability of the procedure. We identify cells of human origin after normothermic machine perfusion and in vivo transplantation by means of in situ hybridization, immunohistochemistry, confocal microscopy, image analysis and quantification, in vivo imaging, and flow cytometry. This work provides a foundation for using hPSC-kidney organoids for ex vivo cell-based therapies in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适用于多种临床呼吸系统疾病应用的视觉语言预训练转换器</w:t>
      </w:r>
    </w:p>
    <w:p>
      <w:r>
        <w:rPr>
          <w:rFonts w:ascii="Times New Roman" w:hAnsi="Times New Roman" w:eastAsia="宋体"/>
          <w:b/>
          <w:color w:val="003264"/>
          <w:sz w:val="24"/>
        </w:rPr>
        <w:t>A vision–language pretrained transformer for versatile clinical respiratory disease applications</w:t>
      </w:r>
    </w:p>
    <w:p>
      <w:r>
        <w:rPr>
          <w:rFonts w:ascii="Times New Roman" w:hAnsi="Times New Roman" w:eastAsia="宋体"/>
          <w:sz w:val="21"/>
        </w:rPr>
        <w:t>作者: Liangdi Ma, Hengrui Liang, Yuwei He, Wei Wang, Zeping Yan, Wuchao Li, Rongpin Wang, Yongyi Li, Yuerong Lizhu, Yaou Liu, Yuchen Guo, Jianxing He, Feng Xu</w:t>
        <w:br/>
      </w:r>
      <w:r>
        <w:rPr>
          <w:rFonts w:ascii="Times New Roman" w:hAnsi="Times New Roman" w:eastAsia="宋体"/>
          <w:sz w:val="21"/>
        </w:rPr>
        <w:t xml:space="preserve">时间: 2025-11-06 | </w:t>
      </w:r>
      <w:r>
        <w:t xml:space="preserve">链接: </w:t>
      </w:r>
      <w:hyperlink r:id="rId271">
        <w:r>
          <w:rPr>
            <w:rFonts w:ascii="Times New Roman" w:hAnsi="Times New Roman" w:eastAsia="宋体"/>
            <w:color w:val="0000FF"/>
            <w:sz w:val="21"/>
            <w:u w:val="single"/>
          </w:rPr>
          <w:t>https://doi.org/10.1038/s41551-025-01544-z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多模态预训练 Transformer 使用 154,274 对胸部 CT 扫描及其相应报告，并应用于具有多模态数据的各种临床任务。</w:t>
      </w:r>
    </w:p>
    <w:p>
      <w:pPr>
        <w:spacing w:before="120"/>
      </w:pPr>
      <w:r>
        <w:rPr>
          <w:rFonts w:ascii="Times New Roman" w:hAnsi="Times New Roman" w:eastAsia="宋体"/>
          <w:b/>
          <w:sz w:val="21"/>
        </w:rPr>
        <w:t>English Abstract:</w:t>
      </w:r>
    </w:p>
    <w:p>
      <w:r>
        <w:rPr>
          <w:rFonts w:ascii="Times New Roman" w:hAnsi="Times New Roman" w:eastAsia="宋体"/>
          <w:sz w:val="21"/>
        </w:rPr>
        <w:t>A multimodal pretrained transformer uses 154,274 pairs of chest CT scans and their corresponding reports and is applied to diverse clinical tasks with multimodal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无标记导航系统通过组织 pH 值和前列腺特异性抗原活性对前列腺肿瘤恶性肿瘤进行原位分级</w:t>
      </w:r>
    </w:p>
    <w:p>
      <w:r>
        <w:rPr>
          <w:rFonts w:ascii="Times New Roman" w:hAnsi="Times New Roman" w:eastAsia="宋体"/>
          <w:b/>
          <w:color w:val="003264"/>
          <w:sz w:val="24"/>
        </w:rPr>
        <w:t>Label-free navigation system for grading prostate tumour malignancy in situ via tissue pH and prostate-specific antigen activity</w:t>
      </w:r>
    </w:p>
    <w:p>
      <w:r>
        <w:rPr>
          <w:rFonts w:ascii="Times New Roman" w:hAnsi="Times New Roman" w:eastAsia="宋体"/>
          <w:sz w:val="21"/>
        </w:rPr>
        <w:t>作者: Ziyi Jin, Sihui Chen, Xiaoyan Dong, Zheng Zhao, Huaiyang Zeng, Pengcheng Zhang, Hang Yin, Suhongrui Zhou, Changle Li, Chang He, Jiaqi Huang, Jun Zhang, Jie Cheng, Hairong Zheng, Jinhua Yu, Hui Yang, Hang Wang, Cong Li</w:t>
        <w:br/>
      </w:r>
      <w:r>
        <w:rPr>
          <w:rFonts w:ascii="Times New Roman" w:hAnsi="Times New Roman" w:eastAsia="宋体"/>
          <w:sz w:val="21"/>
        </w:rPr>
        <w:t xml:space="preserve">时间: 2025-11-18 | </w:t>
      </w:r>
      <w:r>
        <w:t xml:space="preserve">链接: </w:t>
      </w:r>
      <w:hyperlink r:id="rId272">
        <w:r>
          <w:rPr>
            <w:rFonts w:ascii="Times New Roman" w:hAnsi="Times New Roman" w:eastAsia="宋体"/>
            <w:color w:val="0000FF"/>
            <w:sz w:val="21"/>
            <w:u w:val="single"/>
          </w:rPr>
          <w:t>https://doi.org/10.1038/s41551-025-01561-y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集成的表面增强拉曼散射导航仪器可以通过同时评估组织酸度和前列腺特异性抗原酶活性来对恶性前列腺肿瘤进行术中分类。</w:t>
      </w:r>
    </w:p>
    <w:p>
      <w:pPr>
        <w:spacing w:before="120"/>
      </w:pPr>
      <w:r>
        <w:rPr>
          <w:rFonts w:ascii="Times New Roman" w:hAnsi="Times New Roman" w:eastAsia="宋体"/>
          <w:b/>
          <w:sz w:val="21"/>
        </w:rPr>
        <w:t>English Abstract:</w:t>
      </w:r>
    </w:p>
    <w:p>
      <w:r>
        <w:rPr>
          <w:rFonts w:ascii="Times New Roman" w:hAnsi="Times New Roman" w:eastAsia="宋体"/>
          <w:sz w:val="21"/>
        </w:rPr>
        <w:t>An integrated surface-enhanced Raman scattering navigation instrument allows the intraoperative classification of malignant-grade prostate tumours by simultaneously assessing tissue acidity and prostate-specific antigen enzymatic activity.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通过孟德尔随机化使用成像和临床数据推断多器官遗传联系</w:t>
      </w:r>
    </w:p>
    <w:p>
      <w:r>
        <w:rPr>
          <w:rFonts w:ascii="Times New Roman" w:hAnsi="Times New Roman" w:eastAsia="宋体"/>
          <w:b/>
          <w:color w:val="003264"/>
          <w:sz w:val="24"/>
        </w:rPr>
        <w:t>Inferring multi-organ genetic connections using imaging and clinical data through Mendelian randomization</w:t>
      </w:r>
    </w:p>
    <w:p>
      <w:r>
        <w:rPr>
          <w:rFonts w:ascii="Times New Roman" w:hAnsi="Times New Roman" w:eastAsia="宋体"/>
          <w:sz w:val="21"/>
        </w:rPr>
        <w:t>作者: Juan Shu, Rong Zheng, Julio Chirinos, Carlos Copana, Bingxuan Li, Zirui Fan, Xiaochen Yang, Yilin Yang, Xiyao Wang, Yujue Li, Bowei Xi, Tengfei Li, Hongtu Zhu, Bingxin Zhao</w:t>
        <w:br/>
      </w:r>
      <w:r>
        <w:rPr>
          <w:rFonts w:ascii="Times New Roman" w:hAnsi="Times New Roman" w:eastAsia="宋体"/>
          <w:sz w:val="21"/>
        </w:rPr>
        <w:t xml:space="preserve">时间: 2025-11-19 | </w:t>
      </w:r>
      <w:r>
        <w:t xml:space="preserve">链接: </w:t>
      </w:r>
      <w:hyperlink r:id="rId273">
        <w:r>
          <w:rPr>
            <w:rFonts w:ascii="Times New Roman" w:hAnsi="Times New Roman" w:eastAsia="宋体"/>
            <w:color w:val="0000FF"/>
            <w:sz w:val="21"/>
            <w:u w:val="single"/>
          </w:rPr>
          <w:t>https://doi.org/10.1038/s41551-025-01554-x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孟德尔随机化用于评估多器官成像特征与临床结果之间的遗传关联，显示各种疾病中器官系统之间的遗传联系。</w:t>
      </w:r>
    </w:p>
    <w:p>
      <w:pPr>
        <w:spacing w:before="120"/>
      </w:pPr>
      <w:r>
        <w:rPr>
          <w:rFonts w:ascii="Times New Roman" w:hAnsi="Times New Roman" w:eastAsia="宋体"/>
          <w:b/>
          <w:sz w:val="21"/>
        </w:rPr>
        <w:t>English Abstract:</w:t>
      </w:r>
    </w:p>
    <w:p>
      <w:r>
        <w:rPr>
          <w:rFonts w:ascii="Times New Roman" w:hAnsi="Times New Roman" w:eastAsia="宋体"/>
          <w:sz w:val="21"/>
        </w:rPr>
        <w:t>Mendelian randomization is used to evaluate genetic associations between multi-organ imaging traits and clinical outcomes, showing genetic links between organ systems in a variety of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非病毒载体作为降低基因治疗遗传毒性风险的希望灯塔</w:t>
      </w:r>
    </w:p>
    <w:p>
      <w:r>
        <w:rPr>
          <w:rFonts w:ascii="Times New Roman" w:hAnsi="Times New Roman" w:eastAsia="宋体"/>
          <w:b/>
          <w:color w:val="003264"/>
          <w:sz w:val="24"/>
        </w:rPr>
        <w:t>Non-viral vectors as beacons of hope for reducing genotoxic risks of gene therapy</w:t>
      </w:r>
    </w:p>
    <w:p>
      <w:r>
        <w:rPr>
          <w:rFonts w:ascii="Times New Roman" w:hAnsi="Times New Roman" w:eastAsia="宋体"/>
          <w:sz w:val="21"/>
        </w:rPr>
        <w:t>作者: Marie-Madeleine Nzila, Ulrike Koehl, Zoltán Ivics</w:t>
        <w:br/>
      </w:r>
      <w:r>
        <w:rPr>
          <w:rFonts w:ascii="Times New Roman" w:hAnsi="Times New Roman" w:eastAsia="宋体"/>
          <w:sz w:val="21"/>
        </w:rPr>
        <w:t xml:space="preserve">时间: 2026-01-05 | </w:t>
      </w:r>
      <w:r>
        <w:t xml:space="preserve">链接: </w:t>
      </w:r>
      <w:hyperlink r:id="rId274">
        <w:r>
          <w:rPr>
            <w:rFonts w:ascii="Times New Roman" w:hAnsi="Times New Roman" w:eastAsia="宋体"/>
            <w:color w:val="0000FF"/>
            <w:sz w:val="21"/>
            <w:u w:val="single"/>
          </w:rPr>
          <w:t>https://doi.org/10.1038/s41551-025-01581-8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前景广阔，但基因和细胞疗法可能会带来基因毒性风险，使临床应用变得复杂。我们描述了这些风险的分子基础，讨论了评估遗传毒性的工具，并强调了非病毒基因组工程技术在更安全的基因组工程方面的优势。</w:t>
      </w:r>
    </w:p>
    <w:p>
      <w:pPr>
        <w:spacing w:before="120"/>
      </w:pPr>
      <w:r>
        <w:rPr>
          <w:rFonts w:ascii="Times New Roman" w:hAnsi="Times New Roman" w:eastAsia="宋体"/>
          <w:b/>
          <w:sz w:val="21"/>
        </w:rPr>
        <w:t>English Abstract:</w:t>
      </w:r>
    </w:p>
    <w:p>
      <w:r>
        <w:rPr>
          <w:rFonts w:ascii="Times New Roman" w:hAnsi="Times New Roman" w:eastAsia="宋体"/>
          <w:sz w:val="21"/>
        </w:rPr>
        <w:t>Although promising, gene and cell therapies can pose genotoxic risks that complicate clinical application. We describe the molecular basis of these risks, discuss tools to assess genotoxicity and highlight the advantages of non-viral genome engineering technologies for safer genome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用于通用无注释病理定位的多模态视觉语言模型</w:t>
      </w:r>
    </w:p>
    <w:p>
      <w:r>
        <w:rPr>
          <w:rFonts w:ascii="Times New Roman" w:hAnsi="Times New Roman" w:eastAsia="宋体"/>
          <w:b/>
          <w:color w:val="003264"/>
          <w:sz w:val="24"/>
        </w:rPr>
        <w:t>A multimodal vision–language model for generalizable annotation-free pathology localization</w:t>
      </w:r>
    </w:p>
    <w:p>
      <w:r>
        <w:rPr>
          <w:rFonts w:ascii="Times New Roman" w:hAnsi="Times New Roman" w:eastAsia="宋体"/>
          <w:sz w:val="21"/>
        </w:rPr>
        <w:t>作者: Hao Yang, Hong-Yu Zhou, Jiarun Liu, Weijian Huang, Cheng Li, Zhihuan Li, Yuanxu Gao, Qiegen Liu, Yong Liang, Qi Yang, Song Wu, Tao Tan, Hairong Zheng, Kang Zhang, Shanshan Wang</w:t>
        <w:br/>
      </w:r>
      <w:r>
        <w:rPr>
          <w:rFonts w:ascii="Times New Roman" w:hAnsi="Times New Roman" w:eastAsia="宋体"/>
          <w:sz w:val="21"/>
        </w:rPr>
        <w:t xml:space="preserve">时间: 2026-01-06 | </w:t>
      </w:r>
      <w:r>
        <w:t xml:space="preserve">链接: </w:t>
      </w:r>
      <w:hyperlink r:id="rId275">
        <w:r>
          <w:rPr>
            <w:rFonts w:ascii="Times New Roman" w:hAnsi="Times New Roman" w:eastAsia="宋体"/>
            <w:color w:val="0000FF"/>
            <w:sz w:val="21"/>
            <w:u w:val="single"/>
          </w:rPr>
          <w:t>https://doi.org/10.1038/s41551-025-01574-7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现有的从临床影像数据定义病理学的深度学习模型依赖于专家注释，缺乏开放临床环境中的泛化能力。在这里，我们提出了一种用于无注释病理定位（AFLoc）的通用视觉语言模型。 AFLoc 的核心优势是基于广泛的多级语义结构的对比学习，它将多粒度医学概念与丰富的图像特征全面结合起来，以适应病理的多样化表达，而不依赖于专家图像注释。我们对 220,000 对图像报告胸部 X 射线图像的数据集进行了初步实验，并在涵盖 34 种胸部病理类型的 8 个外部数据集上进行了验证。结果表明，AFLoc 在无注释定位和分类任务中均优于最先进的方法。此外，我们还评估了 AFLoc 在其他模式上的普遍性，包括组织病理学和视网膜眼底图像。我们证明 AFLoc 表现出强大的泛化能力，甚至在定位五种不同类型的病理图像方面超越了人类基准。这些结果凸显了 AFLoc 在减少注释需求方面的潜力及其在复杂临床环境中的适用性。</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models for defining pathology from clinical imaging data rely on expert annotations and lack generalization capabilities in open clinical environments. Here we present a generalizable vision-language model for Annotation-Free pathology Localization (AFLoc). The core strength of AFLoc is extensive multilevel semantic structure-based contrastive learning, which comprehensively aligns multigranularity medical concepts with abundant image features to adapt to the diverse expressions of pathologies without the reliance on expert image annotations. We conducted primary experiments on a dataset of 220,000 pairs of image-report chest X-ray images and performed validation across 8 external datasets encompassing 34 types of chest pathology. The results demonstrate that AFLoc outperforms state-of-the-art methods in both annotation-free localization and classification tasks. In addition, we assessed the generalizability of AFLoc on other modalities, including histopathology and retinal fundus images. We show that AFLoc exhibits robust generalization capabilities, even surpassing human benchmarks in localizing five different types of pathological image. These results highlight the potential of AFLoc in reducing annotation requirements and its applicability in complex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人体旋转超声和光声断层扫描</w:t>
      </w:r>
    </w:p>
    <w:p>
      <w:r>
        <w:rPr>
          <w:rFonts w:ascii="Times New Roman" w:hAnsi="Times New Roman" w:eastAsia="宋体"/>
          <w:b/>
          <w:color w:val="003264"/>
          <w:sz w:val="24"/>
        </w:rPr>
        <w:t>Rotational ultrasound and photoacoustic tomography of the human body</w:t>
      </w:r>
    </w:p>
    <w:p>
      <w:r>
        <w:rPr>
          <w:rFonts w:ascii="Times New Roman" w:hAnsi="Times New Roman" w:eastAsia="宋体"/>
          <w:sz w:val="21"/>
        </w:rPr>
        <w:t>作者: Yang Zhang, Shuai Na, Jonathan J. Russin, Karteekeya Sastry, Li Lin, Junfu Zheng, Yilin Luo, Xin Tong, Yujin An, Peng Hu, Konstantin Maslov, Tze-Woei Tan, Charles Y. Liu, Lihong V. Wang</w:t>
        <w:br/>
      </w:r>
      <w:r>
        <w:rPr>
          <w:rFonts w:ascii="Times New Roman" w:hAnsi="Times New Roman" w:eastAsia="宋体"/>
          <w:sz w:val="21"/>
        </w:rPr>
        <w:t xml:space="preserve">时间: 2026-01-16 | </w:t>
      </w:r>
      <w:r>
        <w:t xml:space="preserve">链接: </w:t>
      </w:r>
      <w:hyperlink r:id="rId276">
        <w:r>
          <w:rPr>
            <w:rFonts w:ascii="Times New Roman" w:hAnsi="Times New Roman" w:eastAsia="宋体"/>
            <w:color w:val="0000FF"/>
            <w:sz w:val="21"/>
            <w:u w:val="single"/>
          </w:rPr>
          <w:t>https://doi.org/10.1038/s41551-025-01603-5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快速全景旋转超声断层扫描和光声断层扫描集成在一起，可实现混合旋转超声和光声断层扫描，对人体软组织和脉管系统进行三维双对比成像。</w:t>
      </w:r>
    </w:p>
    <w:p>
      <w:pPr>
        <w:spacing w:before="120"/>
      </w:pPr>
      <w:r>
        <w:rPr>
          <w:rFonts w:ascii="Times New Roman" w:hAnsi="Times New Roman" w:eastAsia="宋体"/>
          <w:b/>
          <w:sz w:val="21"/>
        </w:rPr>
        <w:t>English Abstract:</w:t>
      </w:r>
    </w:p>
    <w:p>
      <w:r>
        <w:rPr>
          <w:rFonts w:ascii="Times New Roman" w:hAnsi="Times New Roman" w:eastAsia="宋体"/>
          <w:sz w:val="21"/>
        </w:rPr>
        <w:t>Fast panoramic rotational ultrasound tomography and photoacoustic tomography are integrated for hybrid rotational ultrasound and photoacoustic tomography, for three-dimensional dual-contrast imaging of soft tissue and vasculature across the human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用于人类肝脏恶性肿瘤可视化的无标记组织 NIR-II 自发荧光成像</w:t>
      </w:r>
    </w:p>
    <w:p>
      <w:r>
        <w:rPr>
          <w:rFonts w:ascii="Times New Roman" w:hAnsi="Times New Roman" w:eastAsia="宋体"/>
          <w:b/>
          <w:color w:val="003264"/>
          <w:sz w:val="24"/>
        </w:rPr>
        <w:t>Label-free tissue NIR-II autofluorescence imaging for visualization of human liver malignancy</w:t>
      </w:r>
    </w:p>
    <w:p>
      <w:r>
        <w:rPr>
          <w:rFonts w:ascii="Times New Roman" w:hAnsi="Times New Roman" w:eastAsia="宋体"/>
          <w:sz w:val="21"/>
        </w:rPr>
        <w:t>作者: Haisheng He, Wenwei Zhu, Han Miao, Shangfeng Wang, Zunguo Du, Hongxin Zhang, Jiang Ming, Ben Shi, Hao Wang, Jianping Qi, Yong Fan, Wei Wu, Dongyuan Zhao, Lun-Xiu Qin, Fan Zhang</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https://doi.org/10.1038/s41551-025-01593-4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无标记成像方法可检测人类肝脏恶性肿瘤和邻近组织之间 NIR-II 自发荧光强度的差异。</w:t>
      </w:r>
    </w:p>
    <w:p>
      <w:pPr>
        <w:spacing w:before="120"/>
      </w:pPr>
      <w:r>
        <w:rPr>
          <w:rFonts w:ascii="Times New Roman" w:hAnsi="Times New Roman" w:eastAsia="宋体"/>
          <w:b/>
          <w:sz w:val="21"/>
        </w:rPr>
        <w:t>English Abstract:</w:t>
      </w:r>
    </w:p>
    <w:p>
      <w:r>
        <w:rPr>
          <w:rFonts w:ascii="Times New Roman" w:hAnsi="Times New Roman" w:eastAsia="宋体"/>
          <w:sz w:val="21"/>
        </w:rPr>
        <w:t>A label-free imaging approach detects differences in NIR-II autofluorescence intensity between human liver malignancy and the adjacent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生物医学工程的前景</w:t>
      </w:r>
    </w:p>
    <w:p>
      <w:r>
        <w:rPr>
          <w:rFonts w:ascii="Times New Roman" w:hAnsi="Times New Roman" w:eastAsia="宋体"/>
          <w:b/>
          <w:color w:val="003264"/>
          <w:sz w:val="24"/>
        </w:rPr>
        <w:t>On the horizon in biomedical engineering</w:t>
      </w:r>
    </w:p>
    <w:p>
      <w:r>
        <w:rPr>
          <w:rFonts w:ascii="Times New Roman" w:hAnsi="Times New Roman" w:eastAsia="宋体"/>
          <w:sz w:val="21"/>
        </w:rPr>
        <w:t>作者: Unknown</w:t>
        <w:br/>
      </w:r>
      <w:r>
        <w:rPr>
          <w:rFonts w:ascii="Times New Roman" w:hAnsi="Times New Roman" w:eastAsia="宋体"/>
          <w:sz w:val="21"/>
        </w:rPr>
        <w:t xml:space="preserve">时间: 2026-01-22 | </w:t>
      </w:r>
      <w:r>
        <w:t xml:space="preserve">链接: </w:t>
      </w:r>
      <w:hyperlink r:id="rId278">
        <w:r>
          <w:rPr>
            <w:rFonts w:ascii="Times New Roman" w:hAnsi="Times New Roman" w:eastAsia="宋体"/>
            <w:color w:val="0000FF"/>
            <w:sz w:val="21"/>
            <w:u w:val="single"/>
          </w:rPr>
          <w:t>https://doi.org/10.1038/s41551-026-01611-z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对于生物医学工程来说，这是一个激动人心的时刻，其进步迅速重塑了转化研究和医学的前沿。在这里，我们重点介绍一些我们在未来几年特别兴奋的领域和技术。</w:t>
      </w:r>
    </w:p>
    <w:p>
      <w:pPr>
        <w:spacing w:before="120"/>
      </w:pPr>
      <w:r>
        <w:rPr>
          <w:rFonts w:ascii="Times New Roman" w:hAnsi="Times New Roman" w:eastAsia="宋体"/>
          <w:b/>
          <w:sz w:val="21"/>
        </w:rPr>
        <w:t>English Abstract:</w:t>
      </w:r>
    </w:p>
    <w:p>
      <w:r>
        <w:rPr>
          <w:rFonts w:ascii="Times New Roman" w:hAnsi="Times New Roman" w:eastAsia="宋体"/>
          <w:sz w:val="21"/>
        </w:rPr>
        <w:t>It is an exciting time for biomedical engineering, with advances rapidly reshaping the forefront of translational research and medicine. Here we highlight some areas and technologies that we are particularly excited about for the coming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异种学习：基于深度学习的光谱图像分析中跨物种的知识转移</w:t>
      </w:r>
    </w:p>
    <w:p>
      <w:r>
        <w:rPr>
          <w:rFonts w:ascii="Times New Roman" w:hAnsi="Times New Roman" w:eastAsia="宋体"/>
          <w:b/>
          <w:color w:val="003264"/>
          <w:sz w:val="24"/>
        </w:rPr>
        <w:t>Xeno-learning: knowledge transfer across species in deep learning-based spectral image analysis</w:t>
      </w:r>
    </w:p>
    <w:p>
      <w:r>
        <w:rPr>
          <w:rFonts w:ascii="Times New Roman" w:hAnsi="Times New Roman" w:eastAsia="宋体"/>
          <w:sz w:val="21"/>
        </w:rPr>
        <w:t>作者: Jan Sellner, Alexander Studier-Fischer, Ahmad Bin Qasim, Silvia Seidlitz, Nicholas Schreck, Minu Tizabi, Manuel Wiesenfarth, Annette Kopp-Schneider, Janne Heinecke, Jule Brandt, Samuel Knoedler, Caelan Max Haney, Gabriel Salg, Berkin Özdemir, Maximilian Dietrich, Maurice Stephan Michel, Felix Nickel, Karl-Friedrich Kowalewski, Lena Maier-Hein</w:t>
        <w:br/>
      </w:r>
      <w:r>
        <w:rPr>
          <w:rFonts w:ascii="Times New Roman" w:hAnsi="Times New Roman" w:eastAsia="宋体"/>
          <w:sz w:val="21"/>
        </w:rPr>
        <w:t xml:space="preserve">时间: 2026-01-26 | </w:t>
      </w:r>
      <w:r>
        <w:t xml:space="preserve">链接: </w:t>
      </w:r>
      <w:hyperlink r:id="rId279">
        <w:r>
          <w:rPr>
            <w:rFonts w:ascii="Times New Roman" w:hAnsi="Times New Roman" w:eastAsia="宋体"/>
            <w:color w:val="0000FF"/>
            <w:sz w:val="21"/>
            <w:u w:val="single"/>
          </w:rPr>
          <w:t>https://doi.org/10.1038/s41551-025-01585-4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学成像技术，例如高光谱成像与基于机器学习的分析相结合，有可能彻底改变临床手术成像。然而，这些模式面临着缺乏大规模、有代表性的临床数据来训练基于机器学习的算法。虽然通过标准化实验可以获得大量临床前动物数据，并且可以控制病理组织状态的诱导，但从伦理上讲，从患者那里获得类似的数据是不可能的。为了利用这种情况，我们提出了“异种学习”，这是一种受异种移植启发的跨物种知识转移概念。在这里，我们使用来自人类以及猪和大鼠模型的总共 14,013 张高光谱图像表明，尽管不同物种的器官的光谱特征存在很大差异，但病理或手术操作（例如灌注不良或注射造影剂）引起的相对变化是可比的。在一个物种中学到的这种变化可以通过“基于生理学的数据增强”方法转移到新物种，从而实现临床前动物数据的大规模二次利用以供人类应用。由此产生的好处有望使所提出的知识转移概念对该领域的未来发展产生重大影响。</w:t>
      </w:r>
    </w:p>
    <w:p>
      <w:pPr>
        <w:spacing w:before="120"/>
      </w:pPr>
      <w:r>
        <w:rPr>
          <w:rFonts w:ascii="Times New Roman" w:hAnsi="Times New Roman" w:eastAsia="宋体"/>
          <w:b/>
          <w:sz w:val="21"/>
        </w:rPr>
        <w:t>English Abstract:</w:t>
      </w:r>
    </w:p>
    <w:p>
      <w:r>
        <w:rPr>
          <w:rFonts w:ascii="Times New Roman" w:hAnsi="Times New Roman" w:eastAsia="宋体"/>
          <w:sz w:val="21"/>
        </w:rPr>
        <w:t>Abstract Optical imaging techniques, such as hyperspectral imaging combined with machine learning-based analysis, have the potential to revolutionize clinical surgical imaging. However, these modalities face a shortage of large-scale, representative clinical data for training machine learning-based algorithms. While preclinical animal data are abundantly available through standardized experiments and allow for controlled induction of pathological tissue states, it is not ethically possible to obtain similar data from patients. To leverage this situation, we propose ‘xeno-learning’, a cross-species knowledge-transfer concept inspired by xeno-transplantation. Here, using a total of 14,013 hyperspectral images from humans as well as porcine and rat models, we show that, although spectral signatures of organs differ substantially across species, relative changes resulting from pathologies or surgical manipulation such as malperfusion or injection of contrast agent are comparable. Such changes learnt in one species can be transferred to a new species through a ‘physiology-based data augmentation’ method, enabling the large-scale secondary use of preclinical animal data for human application. The resulting benefits promise a high impact of the proposed knowledge-transfer concept on future developments in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人工智能跨物种学习以解决人类临床成像数据稀疏问题</w:t>
      </w:r>
    </w:p>
    <w:p>
      <w:r>
        <w:rPr>
          <w:rFonts w:ascii="Times New Roman" w:hAnsi="Times New Roman" w:eastAsia="宋体"/>
          <w:b/>
          <w:color w:val="003264"/>
          <w:sz w:val="24"/>
        </w:rPr>
        <w:t>AI learns across species to address human clinical imaging data sparsity</w:t>
      </w:r>
    </w:p>
    <w:p>
      <w:r>
        <w:rPr>
          <w:rFonts w:ascii="Times New Roman" w:hAnsi="Times New Roman" w:eastAsia="宋体"/>
          <w:sz w:val="21"/>
        </w:rPr>
        <w:t>作者: Unknown</w:t>
        <w:br/>
      </w:r>
      <w:r>
        <w:rPr>
          <w:rFonts w:ascii="Times New Roman" w:hAnsi="Times New Roman" w:eastAsia="宋体"/>
          <w:sz w:val="21"/>
        </w:rPr>
        <w:t xml:space="preserve">时间: 2026-01-26 | </w:t>
      </w:r>
      <w:r>
        <w:t xml:space="preserve">链接: </w:t>
      </w:r>
      <w:hyperlink r:id="rId280">
        <w:r>
          <w:rPr>
            <w:rFonts w:ascii="Times New Roman" w:hAnsi="Times New Roman" w:eastAsia="宋体"/>
            <w:color w:val="0000FF"/>
            <w:sz w:val="21"/>
            <w:u w:val="single"/>
          </w:rPr>
          <w:t>https://doi.org/10.1038/s41551-025-01586-3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训练人工智能 (AI) 模型所需的人类数据有限，限制了外科应用高光谱成像 (HSI) 的发展。我们开发了异种学习，这是一种人工智能方法，利用跨物种发现的共享生物反应，允许使用动物的实验数据来训练人工智能模型，以应用于人类的 HSI。</w:t>
      </w:r>
    </w:p>
    <w:p>
      <w:pPr>
        <w:spacing w:before="120"/>
      </w:pPr>
      <w:r>
        <w:rPr>
          <w:rFonts w:ascii="Times New Roman" w:hAnsi="Times New Roman" w:eastAsia="宋体"/>
          <w:b/>
          <w:sz w:val="21"/>
        </w:rPr>
        <w:t>English Abstract:</w:t>
      </w:r>
    </w:p>
    <w:p>
      <w:r>
        <w:rPr>
          <w:rFonts w:ascii="Times New Roman" w:hAnsi="Times New Roman" w:eastAsia="宋体"/>
          <w:sz w:val="21"/>
        </w:rPr>
        <w:t>Limited human data, needed to train artificial intelligence (AI) models, has constrained the development of hyperspectral imaging (HSI) for surgical applications. We developed xeno-learning, an AI method that harnesses shared biological responses found across species, allowing experimental data from animals to be used in training AI models for HSI applications in humans.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12:54 ---</w:t>
      </w:r>
    </w:p>
    <w:p>
      <w:pPr>
        <w:pStyle w:val="Heading2"/>
      </w:pPr>
      <w:r/>
      <w:r>
        <w:rPr>
          <w:rFonts w:ascii="Times New Roman" w:hAnsi="Times New Roman" w:eastAsia="宋体"/>
          <w:b/>
          <w:color w:val="000000"/>
          <w:sz w:val="24"/>
        </w:rPr>
        <w:t>对称星暴的正向和逆向问题</w:t>
      </w:r>
    </w:p>
    <w:p>
      <w:r>
        <w:rPr>
          <w:rFonts w:ascii="Times New Roman" w:hAnsi="Times New Roman" w:eastAsia="宋体"/>
          <w:b/>
          <w:color w:val="003264"/>
          <w:sz w:val="24"/>
        </w:rPr>
        <w:t>Forward and inverse problems for symmetric starbursts</w:t>
      </w:r>
    </w:p>
    <w:p>
      <w:r>
        <w:rPr>
          <w:rFonts w:ascii="Times New Roman" w:hAnsi="Times New Roman" w:eastAsia="宋体"/>
          <w:sz w:val="21"/>
        </w:rPr>
        <w:t>作者: Jacob Rubinstein</w:t>
        <w:br/>
      </w:r>
      <w:r>
        <w:rPr>
          <w:rFonts w:ascii="Times New Roman" w:hAnsi="Times New Roman" w:eastAsia="宋体"/>
          <w:sz w:val="21"/>
        </w:rPr>
        <w:t xml:space="preserve">时间: 2026-02-02 | </w:t>
      </w:r>
      <w:r>
        <w:t xml:space="preserve">链接: </w:t>
      </w:r>
      <w:hyperlink r:id="rId281">
        <w:r>
          <w:rPr>
            <w:rFonts w:ascii="Times New Roman" w:hAnsi="Times New Roman" w:eastAsia="宋体"/>
            <w:color w:val="0000FF"/>
            <w:sz w:val="21"/>
            <w:u w:val="single"/>
          </w:rPr>
          <w:t>https://doi.org/10.1364/josaa.582961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视觉星爆是人们在瞳孔放大的情况下观看明亮光源时感知到的图像。它们是由人眼的光学像差产生的。针对两个对称像差函数族考虑星暴问题。第一个是齐次多项式，第二个是像差函数，对于任何整数 q 旋转 2 π / q 时都保持不变。在这两种情况下都给出了星暴的完整几何特征。该理论用于解决根据观测到的星暴估计高阶像差的反演问题。</w:t>
      </w:r>
    </w:p>
    <w:p>
      <w:pPr>
        <w:spacing w:before="120"/>
      </w:pPr>
      <w:r>
        <w:rPr>
          <w:rFonts w:ascii="Times New Roman" w:hAnsi="Times New Roman" w:eastAsia="宋体"/>
          <w:b/>
          <w:sz w:val="21"/>
        </w:rPr>
        <w:t>English Abstract:</w:t>
      </w:r>
    </w:p>
    <w:p>
      <w:r>
        <w:rPr>
          <w:rFonts w:ascii="Times New Roman" w:hAnsi="Times New Roman" w:eastAsia="宋体"/>
          <w:sz w:val="21"/>
        </w:rPr>
        <w:t>Visual starbursts are images perceived by people watching a bright light source with a dilated pupil. They are generated by the optical aberrations of a person’s eye. The problem of starbursts is considered for two families of symmetric aberration functions. The first is homogeneous polynomials, and the second is aberration functions that are invariants under rotation by 2 π / q for any integer q . A complete geometrical characterization of the starbursts is given in both cases. The theory is used to solve the inverse problem of estimating the high-order aberrations from the observed starbursts.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螺旋圆锥相位调制下方位偏振洛伦兹-高斯光束焦点场中能量流的演化</w:t>
      </w:r>
    </w:p>
    <w:p>
      <w:r>
        <w:rPr>
          <w:rFonts w:ascii="Times New Roman" w:hAnsi="Times New Roman" w:eastAsia="宋体"/>
          <w:b/>
          <w:color w:val="003264"/>
          <w:sz w:val="24"/>
        </w:rPr>
        <w:t>Evolution of energy flow in the focal field of azimuthally polarized Lorentz–Gauss beams under helico-conical phase modulation</w:t>
      </w:r>
    </w:p>
    <w:p>
      <w:r>
        <w:rPr>
          <w:rFonts w:ascii="Times New Roman" w:hAnsi="Times New Roman" w:eastAsia="宋体"/>
          <w:sz w:val="21"/>
        </w:rPr>
        <w:t>作者: Shuo Yu, Jinsong Li, Chundi Zheng, Shuo Jia, Hao Wang</w:t>
        <w:br/>
      </w:r>
      <w:r>
        <w:rPr>
          <w:rFonts w:ascii="Times New Roman" w:hAnsi="Times New Roman" w:eastAsia="宋体"/>
          <w:sz w:val="21"/>
        </w:rPr>
        <w:t xml:space="preserve">时间: 2026-02-02 | </w:t>
      </w:r>
      <w:r>
        <w:t xml:space="preserve">链接: </w:t>
      </w:r>
      <w:hyperlink r:id="rId334">
        <w:r>
          <w:rPr>
            <w:rFonts w:ascii="Times New Roman" w:hAnsi="Times New Roman" w:eastAsia="宋体"/>
            <w:color w:val="0000FF"/>
            <w:sz w:val="21"/>
            <w:u w:val="single"/>
          </w:rPr>
          <w:t>https://doi.org/10.1364/josaa.585628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螺旋圆锥调制下洛伦兹-高斯光束中能量流分布的演变。基于Richards-Wolf矢量衍射理论，我们推导了方位偏振洛伦兹-高斯光束的电磁场表达式。通过坡印廷矢量获得纵向和横向能量流分布。随后，应用螺旋锥形调制来系统地研究各种参数对能量流分布的影响。通过多个参数的协调调制，实现了纵向和横向能量流分量的多向扩散。这种能量流分布可以在多向光信息传输和相关领域提供潜在的应用。</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evolution of energy flow distribution in Lorentz–Gauss beams under helico-conical modulation. Based on the Richards–Wolf vector diffraction theory, we derived the electromagnetic field expressions for azimuthally polarized Lorentz–Gauss beams. The longitudinal and transverse energy flow distributions were obtained via the Poynting vector. Subsequently, helico-conical modulation was applied to systematically examine the influence of various parameters on the energy flow distribution. Through coordinated modulation of multiple parameters, we achieved multi-directional spreading of both longitudinal and transverse energy flow components. Such energy flow distributions may offer potential applications in multi-directional optical information transfer and related fields.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12:56 ---</w:t>
      </w:r>
    </w:p>
    <w:p>
      <w:pPr>
        <w:pStyle w:val="Heading2"/>
      </w:pPr>
      <w:r/>
      <w:r>
        <w:rPr>
          <w:rFonts w:ascii="Times New Roman" w:hAnsi="Times New Roman" w:eastAsia="宋体"/>
          <w:b/>
          <w:color w:val="000000"/>
          <w:sz w:val="24"/>
        </w:rPr>
        <w:t>束缚于单个外尔点的光子循环轨道</w:t>
      </w:r>
    </w:p>
    <w:p>
      <w:r>
        <w:rPr>
          <w:rFonts w:ascii="Times New Roman" w:hAnsi="Times New Roman" w:eastAsia="宋体"/>
          <w:b/>
          <w:color w:val="003264"/>
          <w:sz w:val="24"/>
        </w:rPr>
        <w:t>Photonic cyclic orbit bound to a single Weyl point</w:t>
      </w:r>
    </w:p>
    <w:p>
      <w:r>
        <w:rPr>
          <w:rFonts w:ascii="Times New Roman" w:hAnsi="Times New Roman" w:eastAsia="宋体"/>
          <w:sz w:val="21"/>
        </w:rPr>
        <w:t>作者: Anonymous</w:t>
        <w:br/>
      </w:r>
      <w:r>
        <w:rPr>
          <w:rFonts w:ascii="Times New Roman" w:hAnsi="Times New Roman" w:eastAsia="宋体"/>
          <w:sz w:val="21"/>
        </w:rPr>
        <w:t xml:space="preserve">时间: 2026-01-27 | </w:t>
      </w:r>
      <w:r>
        <w:t xml:space="preserve">链接: </w:t>
      </w:r>
      <w:hyperlink r:id="rId282">
        <w:r>
          <w:rPr>
            <w:rFonts w:ascii="Times New Roman" w:hAnsi="Times New Roman" w:eastAsia="宋体"/>
            <w:color w:val="0000FF"/>
            <w:sz w:val="21"/>
            <w:u w:val="single"/>
          </w:rPr>
          <w:t>https://doi.org/10.1103/bpjc-8kz7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二聚体投影接触和单一费米气体的时钟偏移</w:t>
      </w:r>
    </w:p>
    <w:p>
      <w:r>
        <w:rPr>
          <w:rFonts w:ascii="Times New Roman" w:hAnsi="Times New Roman" w:eastAsia="宋体"/>
          <w:b/>
          <w:color w:val="003264"/>
          <w:sz w:val="24"/>
        </w:rPr>
        <w:t>Dimer-projection contact and the clock shift of a unitary Fermi gas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3">
        <w:r>
          <w:rPr>
            <w:rFonts w:ascii="Times New Roman" w:hAnsi="Times New Roman" w:eastAsia="宋体"/>
            <w:color w:val="0000FF"/>
            <w:sz w:val="21"/>
            <w:u w:val="single"/>
          </w:rPr>
          <w:t>https://doi.org/10.1103/44rc-34n1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短程关联的动态是强相互作用费米气体的一个核心挑战。在超冷气体中，这些相关性通过接触参数进行量化，但迄今为止的测量仅限于平衡系统或相对缓慢的全局动态。在这里，我们介绍了一种快速光谱技术，该技术基于将相互作用态投影到具有低位二聚体态的替代散射通道上。我们演示了微秒时间尺度上的接触测量——比逆费米能量更快。使用宽$s$波Feshbach共振附近的$^{40}$K，我们表明二聚体投影特征的强度与从射频光谱高频尾部提取的接触参数成比例，这与耦合通道计算一致。对光谱的分析进一步表明，二聚体特征对酉费米气体的时钟移位做出了主要贡献，从而实现了对该数量的第一个实验限制。观察到的与普遍预测的偏差凸显了多渠道效应的重要性。我们的结果为研究接触相关器、流体动力吸引子和量子临界行为开辟了新途径。</w:t>
      </w:r>
    </w:p>
    <w:p>
      <w:pPr>
        <w:spacing w:before="120"/>
      </w:pPr>
      <w:r>
        <w:rPr>
          <w:rFonts w:ascii="Times New Roman" w:hAnsi="Times New Roman" w:eastAsia="宋体"/>
          <w:b/>
          <w:sz w:val="21"/>
        </w:rPr>
        <w:t>English Abstract:</w:t>
      </w:r>
    </w:p>
    <w:p>
      <w:r>
        <w:rPr>
          <w:rFonts w:ascii="Times New Roman" w:hAnsi="Times New Roman" w:eastAsia="宋体"/>
          <w:sz w:val="21"/>
        </w:rPr>
        <w:t>Understanding the dynamics of short-range correlations is a central challenge in strongly interacting Fermi gases. In ultracold gases, these correlations are quantified by the contact parameter, yet measurements to date have been limited to equilibrium systems or relatively slow, global dynamics. Here, we introduce a rapid spectroscopic technique based on projection of the interacting state onto an alternate scattering channel with a low-lying dimer state. We demonstrate contact measurements on the microsecond timescale -- faster than the inverse Fermi energy. Using $^{40}$K near a broad $s$-wave Feshbach resonance, we show that the strength of the dimer-projection feature scales proportionally with the contact parameter extracted from the high-frequency tail of radio-frequency spectroscopy, in agreement with coupled-channels calculations. Analysis of the spectra further reveals that the dimer feature provides the dominant contribution to the clock shift of the unitary Fermi gas, allowing the first experimental bound on this quantity. The observed deviations from universal predictions highlight the importance of multichannel effects. Our results open new avenues for studying contact correlators, hydrodynamic attractors, and quantum critical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采用厘米级扭摆的全光学阿托牛顿力传感</w:t>
      </w:r>
    </w:p>
    <w:p>
      <w:r>
        <w:rPr>
          <w:rFonts w:ascii="Times New Roman" w:hAnsi="Times New Roman" w:eastAsia="宋体"/>
          <w:b/>
          <w:color w:val="003264"/>
          <w:sz w:val="24"/>
        </w:rPr>
        <w:t>All-optically operated atto-Newton force sensing with a centimeter-milligram-scale torsion pendulum</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4">
        <w:r>
          <w:rPr>
            <w:rFonts w:ascii="Times New Roman" w:hAnsi="Times New Roman" w:eastAsia="宋体"/>
            <w:color w:val="0000FF"/>
            <w:sz w:val="21"/>
            <w:u w:val="single"/>
          </w:rPr>
          <w:t>https://doi.org/10.1103/2qrz-5b94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毫米波介电光晕镜对暗光子暗物质的新限制</w:t>
      </w:r>
    </w:p>
    <w:p>
      <w:r>
        <w:rPr>
          <w:rFonts w:ascii="Times New Roman" w:hAnsi="Times New Roman" w:eastAsia="宋体"/>
          <w:b/>
          <w:color w:val="003264"/>
          <w:sz w:val="24"/>
        </w:rPr>
        <w:t>New constraints on dark photon dark matter with a millimeter-wave dielectric haloscope</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5">
        <w:r>
          <w:rPr>
            <w:rFonts w:ascii="Times New Roman" w:hAnsi="Times New Roman" w:eastAsia="宋体"/>
            <w:color w:val="0000FF"/>
            <w:sz w:val="21"/>
            <w:u w:val="single"/>
          </w:rPr>
          <w:t>https://doi.org/10.1103/yk7n-lrpj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具有铁磁势垒的自旋轨道耦合混合纳米线中的自旋分裂超导</w:t>
      </w:r>
    </w:p>
    <w:p>
      <w:r>
        <w:rPr>
          <w:rFonts w:ascii="Times New Roman" w:hAnsi="Times New Roman" w:eastAsia="宋体"/>
          <w:b/>
          <w:color w:val="003264"/>
          <w:sz w:val="24"/>
        </w:rPr>
        <w:t>Spin-split superconductivity in spin-orbit coupled hybrid nanowires with ferromagnetic barriers</w:t>
      </w:r>
    </w:p>
    <w:p>
      <w:r>
        <w:rPr>
          <w:rFonts w:ascii="Times New Roman" w:hAnsi="Times New Roman" w:eastAsia="宋体"/>
          <w:sz w:val="21"/>
        </w:rPr>
        <w:t>作者: Anonymous</w:t>
        <w:br/>
      </w:r>
      <w:r>
        <w:rPr>
          <w:rFonts w:ascii="Times New Roman" w:hAnsi="Times New Roman" w:eastAsia="宋体"/>
          <w:sz w:val="21"/>
        </w:rPr>
        <w:t xml:space="preserve">时间: 2026-01-28 | </w:t>
      </w:r>
      <w:r>
        <w:t xml:space="preserve">链接: </w:t>
      </w:r>
      <w:hyperlink r:id="rId286">
        <w:r>
          <w:rPr>
            <w:rFonts w:ascii="Times New Roman" w:hAnsi="Times New Roman" w:eastAsia="宋体"/>
            <w:color w:val="0000FF"/>
            <w:sz w:val="21"/>
            <w:u w:val="single"/>
          </w:rPr>
          <w:t>https://doi.org/10.1103/k8sv-lp1j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我们报告了基于半导体 InAs 纳米线的混合约瑟夫森结的输运研究，该纳米线具有完全重叠的外延铁磁绝缘体 EuS 和超导 Al 部分壳。电流偏置测量揭示了一个磁滞超导窗口，在铁磁绝缘体的矫顽场附近有相当大的超电流，并伴有多次安德烈夫反射。隧道光谱显示了一个以三个峰为特征的超导间隙，我们将其归因于交换分裂超导体之间的隧道效应。理论模型再现了观察到的特征，并表明由相当大的自旋轨道耦合驱动的自旋混合对于它们的形成至关重要。我们的结果证明了通过铁磁绝缘体的邻近感应超导性，并为探索自旋三重态配对建立了一个新平台。</w:t>
      </w:r>
    </w:p>
    <w:p>
      <w:pPr>
        <w:spacing w:before="120"/>
      </w:pPr>
      <w:r>
        <w:rPr>
          <w:rFonts w:ascii="Times New Roman" w:hAnsi="Times New Roman" w:eastAsia="宋体"/>
          <w:b/>
          <w:sz w:val="21"/>
        </w:rPr>
        <w:t>English Abstract:</w:t>
      </w:r>
    </w:p>
    <w:p>
      <w:r>
        <w:rPr>
          <w:rFonts w:ascii="Times New Roman" w:hAnsi="Times New Roman" w:eastAsia="宋体"/>
          <w:sz w:val="21"/>
        </w:rPr>
        <w:t>We report transport studies of hybrid Josephson junctions based on semiconducting InAs nanowires with fully overlapping epitaxial ferromagnetic insulator EuS and superconducting Al partial shells. Current-biased measurements reveal a hysteretic superconducting window with a sizable supercurrent near the coercive field of the ferromagnetic insulator, accompanied by multiple Andreev reflections. Tunneling spectroscopy shows a superconducting gap characterized by three peaks, which we attribute to tunneling between exchange-split superconductors. A theoretical model reproduces the observed features and indicates that spin mixing, driven by sizable spin-orbit coupling, is essential to their formation. Our results demonstrate proximity-induced superconductivity through a ferromagnetic insulator and establish a new platform for exploring spin-triplet pairing.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石墨烯中圆形 p-n 结周围磁传输的纳米级成像</w:t>
      </w:r>
    </w:p>
    <w:p>
      <w:r>
        <w:rPr>
          <w:rFonts w:ascii="Times New Roman" w:hAnsi="Times New Roman" w:eastAsia="宋体"/>
          <w:b/>
          <w:color w:val="003264"/>
          <w:sz w:val="24"/>
        </w:rPr>
        <w:t>Nanoscale imaging of magnetotransport around a circular p-n junction in graphene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7">
        <w:r>
          <w:rPr>
            <w:rFonts w:ascii="Times New Roman" w:hAnsi="Times New Roman" w:eastAsia="宋体"/>
            <w:color w:val="0000FF"/>
            <w:sz w:val="21"/>
            <w:u w:val="single"/>
          </w:rPr>
          <w:t>https://doi.org/10.1103/3ml4-gr6h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在薄膜铌酸锂中实现的片上电光可调窄线宽布里渊微型激光器</w:t>
      </w:r>
    </w:p>
    <w:p>
      <w:r>
        <w:rPr>
          <w:rFonts w:ascii="Times New Roman" w:hAnsi="Times New Roman" w:eastAsia="宋体"/>
          <w:b/>
          <w:color w:val="003264"/>
          <w:sz w:val="24"/>
        </w:rPr>
        <w:t>On-chip electro-optically tunable narrow linewidth Brillouin microlasers implemented in thin film lithium niobate</w:t>
      </w:r>
    </w:p>
    <w:p>
      <w:r>
        <w:rPr>
          <w:rFonts w:ascii="Times New Roman" w:hAnsi="Times New Roman" w:eastAsia="宋体"/>
          <w:sz w:val="21"/>
        </w:rPr>
        <w:t>作者: Anonymous</w:t>
        <w:br/>
      </w:r>
      <w:r>
        <w:rPr>
          <w:rFonts w:ascii="Times New Roman" w:hAnsi="Times New Roman" w:eastAsia="宋体"/>
          <w:sz w:val="21"/>
        </w:rPr>
        <w:t xml:space="preserve">时间: 2026-01-29 | </w:t>
      </w:r>
      <w:r>
        <w:t xml:space="preserve">链接: </w:t>
      </w:r>
      <w:hyperlink r:id="rId288">
        <w:r>
          <w:rPr>
            <w:rFonts w:ascii="Times New Roman" w:hAnsi="Times New Roman" w:eastAsia="宋体"/>
            <w:color w:val="0000FF"/>
            <w:sz w:val="21"/>
            <w:u w:val="single"/>
          </w:rPr>
          <w:t>https://doi.org/10.1103/nw4m-s6xy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圆偏振激光场中 Xe 原子电子关联动力学的非偶极效应</w:t>
      </w:r>
    </w:p>
    <w:p>
      <w:r>
        <w:rPr>
          <w:rFonts w:ascii="Times New Roman" w:hAnsi="Times New Roman" w:eastAsia="宋体"/>
          <w:b/>
          <w:color w:val="003264"/>
          <w:sz w:val="24"/>
        </w:rPr>
        <w:t>Nondipole effects on electron correlation dynamics of Xe atoms in circularly polarized laser fields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89">
        <w:r>
          <w:rPr>
            <w:rFonts w:ascii="Times New Roman" w:hAnsi="Times New Roman" w:eastAsia="宋体"/>
            <w:color w:val="0000FF"/>
            <w:sz w:val="21"/>
            <w:u w:val="single"/>
          </w:rPr>
          <w:t>https://doi.org/10.1103/55pk-rxzg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交织受挫向下转换过程的无可争议的贝尔定理</w:t>
      </w:r>
    </w:p>
    <w:p>
      <w:r>
        <w:rPr>
          <w:rFonts w:ascii="Times New Roman" w:hAnsi="Times New Roman" w:eastAsia="宋体"/>
          <w:b/>
          <w:color w:val="003264"/>
          <w:sz w:val="24"/>
        </w:rPr>
        <w:t>Unquestionable Bell theorem for interwoven frustrated down conversion processes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290">
        <w:r>
          <w:rPr>
            <w:rFonts w:ascii="Times New Roman" w:hAnsi="Times New Roman" w:eastAsia="宋体"/>
            <w:color w:val="0000FF"/>
            <w:sz w:val="21"/>
            <w:u w:val="single"/>
          </w:rPr>
          <w:t>https://doi.org/10.1103/h2l1-fcz9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交织的受阻参数下变频 (PDC) 过程会产生基于路径标识的干扰效应 [Phys.莱特牧师。 118, 080401(2017)]。在这封信中，我们展示了过程的贝尔非经典性：当局部测量由最终局部 PDC 过程的开关控制时，对 Clauser-Horne 不等式的适当违反。需要这种非标准方法，因为如果仅将局部相移用于测量设置，如 Sci 中报告的实验中所做的那样。副词。 1794年（2025年）11日，存在干扰的局部现实模型，我们也在这封信中介绍了该模型。然而，所报道的相消干涉足够深，足以违反使用开关时的不等式，因此我们的结果在理论和实验上为新干涉测量的非经典性奠定了坚实的基础。基于路径同一性的干扰的贝尔分析的开关方法形成了寻找新的高度违反直觉的量子现象的新平台。</w:t>
      </w:r>
    </w:p>
    <w:p>
      <w:pPr>
        <w:spacing w:before="120"/>
      </w:pPr>
      <w:r>
        <w:rPr>
          <w:rFonts w:ascii="Times New Roman" w:hAnsi="Times New Roman" w:eastAsia="宋体"/>
          <w:b/>
          <w:sz w:val="21"/>
        </w:rPr>
        <w:t>English Abstract:</w:t>
      </w:r>
    </w:p>
    <w:p>
      <w:r>
        <w:rPr>
          <w:rFonts w:ascii="Times New Roman" w:hAnsi="Times New Roman" w:eastAsia="宋体"/>
          <w:sz w:val="21"/>
        </w:rPr>
        <w:t>Interwoven frustrated parametric down conversion (PDC) processes produce interference effects based on path identity [Phys. Rev. Lett. 118, 080401 (2017)]. In this letter we show Bell nonclassicality of the processes: a proper violation of the Clauser-Horne inequality when the local measurements are controlled by on-off switching of the final local PDC processes. Such a non-standard approach is needed because if only the local phase shifts are used for the measurement settings, as done in the experiment reported in Sci. Adv. 11, 1794 (2025), there exists a local realistic model of the interference, which we also present in this letter. Nevertheless, the reported destructive interference is deep enough to violate the inequality when using on-off switching, so our result establishes a firm footing for non-classicality of the new interferometry, in both theory and experiment. The on-off approach to Bell analysis of path-identity-based interference forms a new platform for seeking new highly counterintuitive quantum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色散光子时间晶体中的宽带偶极子吸收</w:t>
      </w:r>
    </w:p>
    <w:p>
      <w:r>
        <w:rPr>
          <w:rFonts w:ascii="Times New Roman" w:hAnsi="Times New Roman" w:eastAsia="宋体"/>
          <w:b/>
          <w:color w:val="003264"/>
          <w:sz w:val="24"/>
        </w:rPr>
        <w:t>Broadband dipole absorption in dispersive photonic time crystals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1">
        <w:r>
          <w:rPr>
            <w:rFonts w:ascii="Times New Roman" w:hAnsi="Times New Roman" w:eastAsia="宋体"/>
            <w:color w:val="0000FF"/>
            <w:sz w:val="21"/>
            <w:u w:val="single"/>
          </w:rPr>
          <w:t>https://doi.org/10.1103/gttv-6lqc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独立控制谷值电流的瞬时光学选择规则</w:t>
      </w:r>
    </w:p>
    <w:p>
      <w:r>
        <w:rPr>
          <w:rFonts w:ascii="Times New Roman" w:hAnsi="Times New Roman" w:eastAsia="宋体"/>
          <w:b/>
          <w:color w:val="003264"/>
          <w:sz w:val="24"/>
        </w:rPr>
        <w:t>Instantaneous optical selection rule for independent control of valley currents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2">
        <w:r>
          <w:rPr>
            <w:rFonts w:ascii="Times New Roman" w:hAnsi="Times New Roman" w:eastAsia="宋体"/>
            <w:color w:val="0000FF"/>
            <w:sz w:val="21"/>
            <w:u w:val="single"/>
          </w:rPr>
          <w:t>https://doi.org/10.1103/nmbq-w5dm</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超表面的声轨道角动量霍尔效应</w:t>
      </w:r>
    </w:p>
    <w:p>
      <w:r>
        <w:rPr>
          <w:rFonts w:ascii="Times New Roman" w:hAnsi="Times New Roman" w:eastAsia="宋体"/>
          <w:b/>
          <w:color w:val="003264"/>
          <w:sz w:val="24"/>
        </w:rPr>
        <w:t>Acoustic orbital angular momentum Hall effect at metasurfaces</w:t>
      </w:r>
    </w:p>
    <w:p>
      <w:r>
        <w:rPr>
          <w:rFonts w:ascii="Times New Roman" w:hAnsi="Times New Roman" w:eastAsia="宋体"/>
          <w:sz w:val="21"/>
        </w:rPr>
        <w:t>作者: Anonymous</w:t>
        <w:br/>
      </w:r>
      <w:r>
        <w:rPr>
          <w:rFonts w:ascii="Times New Roman" w:hAnsi="Times New Roman" w:eastAsia="宋体"/>
          <w:sz w:val="21"/>
        </w:rPr>
        <w:t xml:space="preserve">时间: 2026-02-02 | </w:t>
      </w:r>
      <w:r>
        <w:t xml:space="preserve">链接: </w:t>
      </w:r>
      <w:hyperlink r:id="rId293">
        <w:r>
          <w:rPr>
            <w:rFonts w:ascii="Times New Roman" w:hAnsi="Times New Roman" w:eastAsia="宋体"/>
            <w:color w:val="0000FF"/>
            <w:sz w:val="21"/>
            <w:u w:val="single"/>
          </w:rPr>
          <w:t>https://doi.org/10.1103/wh12-sm3t</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激光驱动从块状晶体到层状材料的结构转变</w:t>
      </w:r>
    </w:p>
    <w:p>
      <w:r>
        <w:rPr>
          <w:rFonts w:ascii="Times New Roman" w:hAnsi="Times New Roman" w:eastAsia="宋体"/>
          <w:b/>
          <w:color w:val="003264"/>
          <w:sz w:val="24"/>
        </w:rPr>
        <w:t>Laser-driven structural transformation from a bulk crystal a layered material</w:t>
      </w:r>
    </w:p>
    <w:p>
      <w:r>
        <w:rPr>
          <w:rFonts w:ascii="Times New Roman" w:hAnsi="Times New Roman" w:eastAsia="宋体"/>
          <w:sz w:val="21"/>
        </w:rPr>
        <w:t>作者: Anonymous</w:t>
        <w:br/>
      </w:r>
      <w:r>
        <w:rPr>
          <w:rFonts w:ascii="Times New Roman" w:hAnsi="Times New Roman" w:eastAsia="宋体"/>
          <w:sz w:val="21"/>
        </w:rPr>
        <w:t xml:space="preserve">时间: 2026-02-03 | </w:t>
      </w:r>
      <w:r>
        <w:t xml:space="preserve">链接: </w:t>
      </w:r>
      <w:hyperlink r:id="rId294">
        <w:r>
          <w:rPr>
            <w:rFonts w:ascii="Times New Roman" w:hAnsi="Times New Roman" w:eastAsia="宋体"/>
            <w:color w:val="0000FF"/>
            <w:sz w:val="21"/>
            <w:u w:val="single"/>
          </w:rPr>
          <w:t>https://doi.org/10.1103/fv5l-rjyv</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双梳干涉测量中的相位相关挤压</w:t>
      </w:r>
    </w:p>
    <w:p>
      <w:r>
        <w:rPr>
          <w:rFonts w:ascii="Times New Roman" w:hAnsi="Times New Roman" w:eastAsia="宋体"/>
          <w:b/>
          <w:color w:val="003264"/>
          <w:sz w:val="24"/>
        </w:rPr>
        <w:t>Phase-dependent squeezing in dual-comb interferometry</w:t>
      </w:r>
    </w:p>
    <w:p>
      <w:r>
        <w:rPr>
          <w:rFonts w:ascii="Times New Roman" w:hAnsi="Times New Roman" w:eastAsia="宋体"/>
          <w:sz w:val="21"/>
        </w:rPr>
        <w:t>作者: Anonymous</w:t>
        <w:br/>
      </w:r>
      <w:r>
        <w:rPr>
          <w:rFonts w:ascii="Times New Roman" w:hAnsi="Times New Roman" w:eastAsia="宋体"/>
          <w:sz w:val="21"/>
        </w:rPr>
        <w:t xml:space="preserve">时间: 2026-02-03 | </w:t>
      </w:r>
      <w:r>
        <w:t xml:space="preserve">链接: </w:t>
      </w:r>
      <w:hyperlink r:id="rId339">
        <w:r>
          <w:rPr>
            <w:rFonts w:ascii="Times New Roman" w:hAnsi="Times New Roman" w:eastAsia="宋体"/>
            <w:color w:val="0000FF"/>
            <w:sz w:val="21"/>
            <w:u w:val="single"/>
          </w:rPr>
          <w:t>https://doi.org/10.1103/31w7-69c8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X</w:t>
      </w:r>
    </w:p>
    <w:p>
      <w:pPr>
        <w:jc w:val="center"/>
      </w:pPr>
      <w:r>
        <w:t>--- 更新: 12:57 ---</w:t>
      </w:r>
    </w:p>
    <w:p>
      <w:pPr>
        <w:pStyle w:val="Heading2"/>
      </w:pPr>
      <w:r/>
      <w:r>
        <w:rPr>
          <w:rFonts w:ascii="Times New Roman" w:hAnsi="Times New Roman" w:eastAsia="宋体"/>
          <w:b/>
          <w:color w:val="000000"/>
          <w:sz w:val="24"/>
        </w:rPr>
        <w:t>准二维 Ruddlesden-Popper 混合钙钛矿超晶格中的各向异性热传输</w:t>
      </w:r>
    </w:p>
    <w:p>
      <w:r>
        <w:rPr>
          <w:rFonts w:ascii="Times New Roman" w:hAnsi="Times New Roman" w:eastAsia="宋体"/>
          <w:b/>
          <w:color w:val="003264"/>
          <w:sz w:val="24"/>
        </w:rPr>
        <w:t>Anisotropic Thermal Transport in Quasi-2D Ruddlesden-Popper Hybrid Perovskite Superlattices</w:t>
      </w:r>
    </w:p>
    <w:p>
      <w:r>
        <w:rPr>
          <w:rFonts w:ascii="Times New Roman" w:hAnsi="Times New Roman" w:eastAsia="宋体"/>
          <w:sz w:val="21"/>
        </w:rPr>
        <w:t>作者: Du Chen, Thu T. M. Chu, Yanyan Li, Shunran Li, Qixuan Hu, Jee Yung Park, Tyler Wang, Luoqi Dai, Ming Lu, Mengxia Liu, Letian Dou, Xiaotong Li, Yi Xia, Peijun Guo</w:t>
        <w:br/>
      </w:r>
      <w:r>
        <w:rPr>
          <w:rFonts w:ascii="Times New Roman" w:hAnsi="Times New Roman" w:eastAsia="宋体"/>
          <w:sz w:val="21"/>
        </w:rPr>
        <w:t xml:space="preserve">时间: 2025-12-22 | </w:t>
      </w:r>
      <w:r>
        <w:t xml:space="preserve">链接: </w:t>
      </w:r>
      <w:hyperlink r:id="rId295">
        <w:r>
          <w:rPr>
            <w:rFonts w:ascii="Times New Roman" w:hAnsi="Times New Roman" w:eastAsia="宋体"/>
            <w:color w:val="0000FF"/>
            <w:sz w:val="21"/>
            <w:u w:val="single"/>
          </w:rPr>
          <w:t>https://doi.org/10.1103/kh5d-jrxw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混合金属卤化物钙钛矿（2D-MHP）已成为重要的溶液加工半导体，具有良好的光学和电子性能，可用于光伏、光电子和自旋电子学的多种应用。准二维层状结构的特点是有机和无机亚晶格之间存在较大的声阻抗失配，预计将导致沿横向和面内方向的独特且各向异性的热传输特性。在这里，我们介绍了无传感器振动泵可见光探针（VPVP）方法，该方法能够准确量化各种典型单晶 2D-MHP 中的各向异性热传输特性。具体来说，使用 VPVP 光谱和 VPVP 显微镜，我们测量了具有系统变化的 Pb-I 八面体层厚度以及有机间隔物类型和长度的 2D-MHP 的各向异性热扩散率，揭示了这些结构参数如何以不同的方式改变跨平面和面内热传输特性。虽然扩散界面散射在决定跨平面热传输中起着重要作用，但面内热传输主要由互连无机层内的声子传输决定。结合四声子散射的密度泛函理论可以进一步深入了解 2D-MHP 中的低导热率和适度的导热各向异性。我们的工作展示了一种新的全光学和非接触方法，该方法需要最少的样品制备，并允许直接可视化跨平面和面内热传输，可能与样品环境兼容。所展示的 VPVP 方法可以增进对 2D-MHP 以及 2D-MHP 之外的广泛混合和聚合物半导体中热传输的理解。</w:t>
      </w:r>
    </w:p>
    <w:p>
      <w:pPr>
        <w:spacing w:before="120"/>
      </w:pPr>
      <w:r>
        <w:rPr>
          <w:rFonts w:ascii="Times New Roman" w:hAnsi="Times New Roman" w:eastAsia="宋体"/>
          <w:b/>
          <w:sz w:val="21"/>
        </w:rPr>
        <w:t>English Abstract:</w:t>
      </w:r>
    </w:p>
    <w:p>
      <w:r>
        <w:rPr>
          <w:rFonts w:ascii="Times New Roman" w:hAnsi="Times New Roman" w:eastAsia="宋体"/>
          <w:sz w:val="21"/>
        </w:rPr>
        <w:t>Two-dimensional hybrid metal-halide perovskites (2D-MHPs) have emerged as important solution-processed semiconductors with favorable optical and electronic properties for diverse applications in photovoltaics, optoelectronics, and spintronics. The quasi-2D layered structures, featuring large acoustic impedance mismatches between the organic and inorganic sublattices, are expected to result in distinct and anisotropic thermal transport properties along the cross-plane and in-plane directions. Here, we introduce transducer-free vibrational-pump-visible-probe (VPVP) approaches that enable accurate quantification of anisotropic thermal transport properties in various archetypical single-crystalline 2D-MHPs. Specifically, using VPVP spectroscopy and VPVP microscopy, we measure the anisotropic thermal diffusivities of 2D-MHPs with systematically varied Pb-I octahedral layer thicknesses, as well as organic spacer types and lengths, revealing how these structural parameters alter the cross-plane and in-plane thermal transport properties in distinct ways. While diffuse interface scattering plays an important role in dictating cross-plane thermal transport, in-plane thermal transport is primarily determined by phonon transport within interconnected inorganic layers. Density functional theory incorporating four-phonon scatterings provides further insight into the low thermal conductivity and modest thermal conduction anisotropy in 2D-MHPs. Our work demonstrates a new all-optical and noncontact method, which requires minimal sample preparation and allows direct visualization of cross-plane and in-plane thermal transport, potentially compatible with sample environments. The demonstrated VPVP approaches can advance understanding of thermal transport in 2D-MHPs as well as wide-ranging hybrid and polymeric semiconductors beyond 2D-MHPs.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具有顶点校正的超准粒子输运：电子声子相互作用的自洽梯形式主义</w:t>
      </w:r>
    </w:p>
    <w:p>
      <w:r>
        <w:rPr>
          <w:rFonts w:ascii="Times New Roman" w:hAnsi="Times New Roman" w:eastAsia="宋体"/>
          <w:b/>
          <w:color w:val="003264"/>
          <w:sz w:val="24"/>
        </w:rPr>
        <w:t>Beyond-Quasiparticle Transport with Vertex Correction: Self-Consistent Ladder Formalism for Electron-Phonon Interactions</w:t>
      </w:r>
    </w:p>
    <w:p>
      <w:r>
        <w:rPr>
          <w:rFonts w:ascii="Times New Roman" w:hAnsi="Times New Roman" w:eastAsia="宋体"/>
          <w:sz w:val="21"/>
        </w:rPr>
        <w:t>作者: Jae-Mo Lihm, Samuel Poncé</w:t>
        <w:br/>
      </w:r>
      <w:r>
        <w:rPr>
          <w:rFonts w:ascii="Times New Roman" w:hAnsi="Times New Roman" w:eastAsia="宋体"/>
          <w:sz w:val="21"/>
        </w:rPr>
        <w:t xml:space="preserve">时间: 2026-01-13 | </w:t>
      </w:r>
      <w:r>
        <w:t xml:space="preserve">链接: </w:t>
      </w:r>
      <w:hyperlink r:id="rId296">
        <w:r>
          <w:rPr>
            <w:rFonts w:ascii="Times New Roman" w:hAnsi="Times New Roman" w:eastAsia="宋体"/>
            <w:color w:val="0000FF"/>
            <w:sz w:val="21"/>
            <w:u w:val="single"/>
          </w:rPr>
          <w:t>https://doi.org/10.1103/mtjf-ylf7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我们提出了一个自洽的多体框架，用于从第一原理计算声子限制电子传输，结合超准粒子效应和顶点校正。使用最近开发的第一原理 sc G D 0 方法，我们计算具有非微扰效应的谱函数，例如展宽、卫星和能量相关重整化。我们表明，sc G D 0 谱函数在模型哈密顿量和真实材料中优于一次性 G 0 D 0 和累积量近似，消除了非物理谱扭结并正确预测了声子发射连续谱。在此基础上，我们引入了传输的自洽梯形形式，它捕获了由于电子-声子相互作用而产生的顶点校正。这种方法统一并改进了第一原理声子限制输运的两种最先进的方法：气泡近似和玻尔兹曼输运方程。此外，作为电荷守恒近似，它可以对光导率和介电函数进行一致的计算。我们根据稀极化子极限下模型哈密顿量的数值精确结果验证了所开发的方法，并将其应用于实际材料。我们的结果显示与本征半导体Si和ZnO以及SrVO 3 金属的实验直流电导率定量一致，并且与Si和ZnO的实验太赫兹光学和介电性质非常一致。这项工作统一了研究输运的第一原理和多体方法，为将多体理论应用于具有强电子声子相互作用的材料开辟了新的方向。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self-consistent many-body framework for computing phonon-limited electronic transport from first principles, incorporating both beyond-quasiparticle effects and vertex corrections. Using the recently developed first-principles sc G D 0 method, we calculate spectral functions with nonperturbative effects such as broadening, satellites, and energy-dependent renormalization. We show that the sc G D 0 spectral functions outperform one-shot G 0 D 0 and cumulant approximations in model Hamiltonians and real materials, eliminating unphysical spectral kinks and correctly predicting the phonon emission continuum. Building on this, we introduce the self-consistent ladder formalism for transport, which captures vertex corrections due to electron-phonon interactions. This approach unifies and improves upon the two state-of-the-art approaches for first-principles phonon-limited transport: the bubble approximation and the Boltzmann transport equation. Moreover, as a charge-conserving approximation, it enables consistent calculations of the optical conductivity and dielectric function. We validate the developed method against numerically exact results for model Hamiltonians in the dilute polaronic limit and apply it to real materials. Our results show quantitative agreement with the experimental dc conductivities in intrinsic semiconductors Si and ZnO and the SrVO 3 metal, as well as excellent agreement with the experimental THz optical and dielectric properties of Si and ZnO. This work unifies first-principles and many-body approaches for studying transport, opening new directions for applying many-body theory to materials with strong electron-phonon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具有交织密度波序的三层镍酸盐中的晶格电荷耦合</w:t>
      </w:r>
    </w:p>
    <w:p>
      <w:r>
        <w:rPr>
          <w:rFonts w:ascii="Times New Roman" w:hAnsi="Times New Roman" w:eastAsia="宋体"/>
          <w:b/>
          <w:color w:val="003264"/>
          <w:sz w:val="24"/>
        </w:rPr>
        <w:t>Lattice-Charge Coupling in a Trilayer Nickelate with Intertwined Density Wave Order</w:t>
      </w:r>
    </w:p>
    <w:p>
      <w:r>
        <w:rPr>
          <w:rFonts w:ascii="Times New Roman" w:hAnsi="Times New Roman" w:eastAsia="宋体"/>
          <w:sz w:val="21"/>
        </w:rPr>
        <w:t>作者: Xun Jia, Yao Shen, Harrison LaBollita, Xinglong Chen, Junjie Zhang, Yu Li, Hengdi Zhao, Mercouri G. Kanatzidis, Matthew Krogstad, Hong Zheng, Ayman H. Said, Ahmet Alatas, Stephan Rosenkranz, Daniel Phelan, Mark P. M. Dean, M. R. Norman, J. F. Mitchell, Antia S. Botana, Yue Cao</w:t>
        <w:br/>
      </w:r>
      <w:r>
        <w:rPr>
          <w:rFonts w:ascii="Times New Roman" w:hAnsi="Times New Roman" w:eastAsia="宋体"/>
          <w:sz w:val="21"/>
        </w:rPr>
        <w:t xml:space="preserve">时间: 2026-01-23 | </w:t>
      </w:r>
      <w:r>
        <w:t xml:space="preserve">链接: </w:t>
      </w:r>
      <w:hyperlink r:id="rId297">
        <w:r>
          <w:rPr>
            <w:rFonts w:ascii="Times New Roman" w:hAnsi="Times New Roman" w:eastAsia="宋体"/>
            <w:color w:val="0000FF"/>
            <w:sz w:val="21"/>
            <w:u w:val="single"/>
          </w:rPr>
          <w:t>https://doi.org/10.1103/s5j9-cbg7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互缠绕的电荷和自旋相关性在各种过渡金属氧化物中普遍存在，并且通常被认为与非常规超导性密切相关。理论上，设想由强电子相关性驱动，通常发现交织有序与晶格强烈耦合，如明显的声子软化所表明的那样。最近，在几种 Ruddlesden-Popper (RP) 镍酸盐，特别是三层镍酸盐 RE 4 Ni 3 O 10 ( RE = Pr , La) 中发现了电荷和自旋密度波（CDW 和 SDW）以及超导性。交织顺序的本质和晶格电荷耦合的作用是有关这些材料的争论的核心。使用非弹性 X 射线散射，我们绘制了 RE 4 Ni 3 O 10 中的低能声子色散，发现在很宽的温度范围内 CDW 波矢量附近没有软化的证据，这与铜酸盐超导体中经常观察到的明显异常形成鲜明对比。电子磁化率的计算揭示了观察到的 SDW 有序向量处的峰值，但 CDW 波向量处没有峰值。我们的实验和理论研究结果强调了自旋自由度的关键作用，并为理解 RP 镍酸盐超导体及其他超导体中的超导性和密度波跃迁之间的相互作用奠定了基础。</w:t>
      </w:r>
    </w:p>
    <w:p>
      <w:pPr>
        <w:spacing w:before="120"/>
      </w:pPr>
      <w:r>
        <w:rPr>
          <w:rFonts w:ascii="Times New Roman" w:hAnsi="Times New Roman" w:eastAsia="宋体"/>
          <w:b/>
          <w:sz w:val="21"/>
        </w:rPr>
        <w:t>English Abstract:</w:t>
      </w:r>
    </w:p>
    <w:p>
      <w:r>
        <w:rPr>
          <w:rFonts w:ascii="Times New Roman" w:hAnsi="Times New Roman" w:eastAsia="宋体"/>
          <w:sz w:val="21"/>
        </w:rPr>
        <w:t>Intertwined charge and spin correlations are ubiquitous in a wide range of transition metal oxides and are often perceived as intimately related to unconventional superconductivity. Theoretically envisioned as driven by strong electronic correlations, the intertwined order is usually found to be strongly coupled to the lattice as signaled by pronounced phonon softening. Recently, both charge and spin density waves (CDW and SDW) and superconductivity have been discovered in several Ruddlesden-Popper (RP) nickelates, in particular trilayer nickelates R E 4 Ni 3 O 10 ( R E = Pr , La). The nature of the intertwined order and the role of lattice-charge coupling are at the heart of the debate about these materials. Using inelastic x-ray scattering, we mapped the low-energy phonon dispersions in R E 4 Ni 3 O 10 and found no evidence of softening near the CDW wave vector over a wide temperature range, which contrasts with the pronounced anomalies frequently observed in cuprate superconductors. Calculations of the electronic susceptibility revealed a peak at the observed SDW ordering vector but not at the CDW wave vector. Our experimental and theoretical findings highlight the crucial role of the spin degree of freedom and establish a foundation for understanding the interplay between superconductivity and density-wave transitions in RP nickelate superconductors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超导电路中四组激励的耗散</w:t>
      </w:r>
    </w:p>
    <w:p>
      <w:r>
        <w:rPr>
          <w:rFonts w:ascii="Times New Roman" w:hAnsi="Times New Roman" w:eastAsia="宋体"/>
          <w:b/>
          <w:color w:val="003264"/>
          <w:sz w:val="24"/>
        </w:rPr>
        <w:t>Dissipating quartets of excitations in a superconducting circuit</w:t>
      </w:r>
    </w:p>
    <w:p>
      <w:r>
        <w:rPr>
          <w:rFonts w:ascii="Times New Roman" w:hAnsi="Times New Roman" w:eastAsia="宋体"/>
          <w:sz w:val="21"/>
        </w:rPr>
        <w:t>作者: Anonymous</w:t>
        <w:br/>
      </w:r>
      <w:r>
        <w:rPr>
          <w:rFonts w:ascii="Times New Roman" w:hAnsi="Times New Roman" w:eastAsia="宋体"/>
          <w:sz w:val="21"/>
        </w:rPr>
        <w:t xml:space="preserve">时间: 2025-12-10 | </w:t>
      </w:r>
      <w:r>
        <w:t xml:space="preserve">链接: </w:t>
      </w:r>
      <w:hyperlink r:id="rId298">
        <w:r>
          <w:rPr>
            <w:rFonts w:ascii="Times New Roman" w:hAnsi="Times New Roman" w:eastAsia="宋体"/>
            <w:color w:val="0000FF"/>
            <w:sz w:val="21"/>
            <w:u w:val="single"/>
          </w:rPr>
          <w:t>https://doi.org/10.1103/bjpc-8xcf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十年中，玻色子量子位的自主稳定已成为一种有前途的硬件高效保护量子信息的方法。然而，将这些技术应用于比薛定格猫代码更复杂的编码需要对高阶波混合过程进行精确控制。挑战在于启用特定的多光子耗散通道，同时避免意外的非线性相互作用。在这项工作中，我们利用由近无克尔约瑟夫森元件实现的真正的六波混合过程来强制高阻抗超导谐振器中四组激励的耗散。由于杂散引起的残余非线性由于我们电路中的电感，该耗散通道仅在谐振器保持特定数量的光子时才有效，将其应用于谐振器的第四激发态，我们显示出状态衰减率的一个数量级增强，同时仅略微影响较低能态的弛豫和相干性，因为可以通过电路设计的简单修改来大大减少杂散电感，并且我们的方法可以适应激活更高阶的耗散通道，这些结果为动态稳定铺平了道路。四分量薛定格猫量子位，甚至更复杂的玻色子量子位。</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 autonomous stabilization of bosonic qubits has emerged as a promising approach for hardware-efficient protection of quantum information. However, applying these techniques to more complex encodings than the Schr\"odinger cat code requires exquisite control of high-order wave mixing processes. The challenge is to enable specific multiphotonic dissipation channels while avoiding unintended non-linear interactions. In this work, we leverage a genuine six-wave mixing process enabled by a near Kerr-free Josephson element to enforce dissipation of quartets of excitations in a high-impedance superconducting resonator. Owing to residual non-linearities stemming from stray inductances in our circuit, this dissipation channel is only effective when the resonator holds a specific number of photons. Applying it to the fourth excited state of the resonator, we show an order of magnitude enhancement of the state decay rate while only marginally impacting the relaxation and coherence of lower energy states. Given that stray inductances could be strongly reduced through simple modifications in circuit design and that our methods can be adapted to activate even higher-order dissipation channels, these results pave the way toward the dynamical stabilization of four-component Schr\"odinger cat qubits and even more complex bosonic qubits.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半填充扭曲过渡金属二硫化物中具有费米弧和费米口袋的赝能隙</w:t>
      </w:r>
    </w:p>
    <w:p>
      <w:r>
        <w:rPr>
          <w:rFonts w:ascii="Times New Roman" w:hAnsi="Times New Roman" w:eastAsia="宋体"/>
          <w:b/>
          <w:color w:val="003264"/>
          <w:sz w:val="24"/>
        </w:rPr>
        <w:t>Pseudogap with Fermi Arcs and Fermi Pockets in Half-Filled Twisted Transition Metal Dichalcogenides</w:t>
      </w:r>
    </w:p>
    <w:p>
      <w:r>
        <w:rPr>
          <w:rFonts w:ascii="Times New Roman" w:hAnsi="Times New Roman" w:eastAsia="宋体"/>
          <w:sz w:val="21"/>
        </w:rPr>
        <w:t>作者: Yong-Yue Zong, Zhao-Long Gu, Jian-Xin Li</w:t>
        <w:br/>
      </w:r>
      <w:r>
        <w:rPr>
          <w:rFonts w:ascii="Times New Roman" w:hAnsi="Times New Roman" w:eastAsia="宋体"/>
          <w:sz w:val="21"/>
        </w:rPr>
        <w:t xml:space="preserve">时间: 2026-01-06 | </w:t>
      </w:r>
      <w:r>
        <w:t xml:space="preserve">链接: </w:t>
      </w:r>
      <w:hyperlink r:id="rId299">
        <w:r>
          <w:rPr>
            <w:rFonts w:ascii="Times New Roman" w:hAnsi="Times New Roman" w:eastAsia="宋体"/>
            <w:color w:val="0000FF"/>
            <w:sz w:val="21"/>
            <w:u w:val="single"/>
          </w:rPr>
          <w:t>https://doi.org/10.1103/kmn8-y59j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扭曲过渡金属二硫属化物是实现具有高可调性的强相关物理的新平台。最近的运输实验[A. Ghiotto 报道了通过调整固定在半填充的扭曲 WS e 2 (tWS e 2 ) 中的位移场，莫特绝缘体的带宽驱动演变为奇怪的金属行为。然而，整个过程中涉及的相关态的性质和相关的莫特物理仍有待确定。在这里，我们从理论上揭示了应用于 tWS e 2 的半填充莫尔哈伯德模型的基态演化，从具有费米弧的赝能隙态过渡到 120° Néel 有序莫特绝缘体，然后过渡到另一个具有费米口袋的赝能隙态，并最终通过 Lifshitz 跃迁过渡到费米液体。赝能隙相可以通过费米表面部分上准粒子权重的消失来确定，其余部分形成不连续的费米弧或具有明确准粒子的袋。我们证明了费米弧或袋是由电子关联驱动的电子能带结构重建的结果，其标志是单粒子格林函数的极点和零点共存。通过进一步计算电阻率的温度依赖性，我们将在 tWSe 2 中实验观察到的以线性 T 电阻率为特征的奇怪金属的基态归因于第二赝能隙态。这项工作揭示了莫特内斯莫尔系统的基本方面，并将通过角分辨光电子能谱和扫描隧道显微镜刺激对传输之外的基础物理的直接探索。</w:t>
      </w:r>
    </w:p>
    <w:p>
      <w:pPr>
        <w:spacing w:before="120"/>
      </w:pPr>
      <w:r>
        <w:rPr>
          <w:rFonts w:ascii="Times New Roman" w:hAnsi="Times New Roman" w:eastAsia="宋体"/>
          <w:b/>
          <w:sz w:val="21"/>
        </w:rPr>
        <w:t>English Abstract:</w:t>
      </w:r>
    </w:p>
    <w:p>
      <w:r>
        <w:rPr>
          <w:rFonts w:ascii="Times New Roman" w:hAnsi="Times New Roman" w:eastAsia="宋体"/>
          <w:sz w:val="21"/>
        </w:rPr>
        <w:t>Twisted transition metal dichalcogenides are a new platform for realizing strongly correlated physics with high tunability. Recent transport experiments [A. Ghiotto , ] have reported the bandwidth-driven evolution of a Mott insulator to a strange metal behavior via the tuning of a displacement field in twisted WS e 2 ( tWS e 2 ) fixed at half filling. However, the nature of the correlated states and the related Mott physics involved in the whole process remain to be determined. Here, we unveil theoretically the evolution of the ground state of the half-filled moiré Hubbard model as applied to tWS e 2 , transiting from a pseudogap state with Fermi arcs to a 120° Néel ordered Mott insulator, then to another pseudogap state with Fermi pockets, and eventually to a Fermi liquid via a Lifshitz transition. The pseudogap phases are definitely identified by the vanishing of quasiparticle weights over parts of the Fermi surface, with the remaining parts forming disconnected Fermi arcs or pockets with well-defined quasiparticles. We demonstrate that the Fermi arc or pocket results from the electronic band structure reconstruction driven by electron correlations, marked by the coexistence of the poles and zeros of the single-particle Green’s function. We ascribe the ground state of the strange metal featured by the linear- T resistivity observed experimentally in tWSe 2 to the second pseudogap state by further calculating the temperature dependence of resistivity. This work reveals the fundamental aspects of the Mottness in moiré system and will stimulate the direct probes of the underlying physics beyond transports via the angle-resolved photoemission spectroscopy and scanning tunneling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揭示超快状态下的实时化学位移</w:t>
      </w:r>
    </w:p>
    <w:p>
      <w:r>
        <w:rPr>
          <w:rFonts w:ascii="Times New Roman" w:hAnsi="Times New Roman" w:eastAsia="宋体"/>
          <w:b/>
          <w:color w:val="003264"/>
          <w:sz w:val="24"/>
        </w:rPr>
        <w:t>Unraveling real-time chemical shifts in the ultrafast regime</w:t>
      </w:r>
    </w:p>
    <w:p>
      <w:r>
        <w:rPr>
          <w:rFonts w:ascii="Times New Roman" w:hAnsi="Times New Roman" w:eastAsia="宋体"/>
          <w:sz w:val="21"/>
        </w:rPr>
        <w:t>作者: Anonymous</w:t>
        <w:br/>
      </w:r>
      <w:r>
        <w:rPr>
          <w:rFonts w:ascii="Times New Roman" w:hAnsi="Times New Roman" w:eastAsia="宋体"/>
          <w:sz w:val="21"/>
        </w:rPr>
        <w:t xml:space="preserve">时间: 2025-12-11 | </w:t>
      </w:r>
      <w:r>
        <w:t xml:space="preserve">链接: </w:t>
      </w:r>
      <w:hyperlink r:id="rId300">
        <w:r>
          <w:rPr>
            <w:rFonts w:ascii="Times New Roman" w:hAnsi="Times New Roman" w:eastAsia="宋体"/>
            <w:color w:val="0000FF"/>
            <w:sz w:val="21"/>
            <w:u w:val="single"/>
          </w:rPr>
          <w:t>https://doi.org/10.1103/y6dt-1sfw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 X 射线光电子能谱 (XPS) 依赖于光电子结合能和局部化学环境之间的直接映射，平衡系统的静电部分电荷模型很好地表征了这种映射。然而，由于缺乏能够以高光谱和时间分辨率访问多个原子位点的 X 射线源，以及缺乏解释观察到的信号的简单理论程序，该技术向非平衡系统的扩展受到阻碍。在这项工作中，我们采用多位点 XPS 和窄带飞秒 X 射线探针来揭示多原子分子氟甲烷 (CH$_{3}$F) 的不同超快解离过程。我们证明 XPS 可以实时跟踪 C-F 和 C-H 键的裂解，尽管这些通道的结合能接近。此外，我们应用部分电荷模型来描述这些动态，并通过先进的从头计算和实验数据验证这种扩展。这些结果通过关联来自多个原子位点的实时信息并通过可行的理论模型解释测量结果，使该技术能够应用于更高复杂性的非平衡系统。</w:t>
      </w:r>
    </w:p>
    <w:p>
      <w:pPr>
        <w:spacing w:before="120"/>
      </w:pPr>
      <w:r>
        <w:rPr>
          <w:rFonts w:ascii="Times New Roman" w:hAnsi="Times New Roman" w:eastAsia="宋体"/>
          <w:b/>
          <w:sz w:val="21"/>
        </w:rPr>
        <w:t>English Abstract:</w:t>
      </w:r>
    </w:p>
    <w:p>
      <w:r>
        <w:rPr>
          <w:rFonts w:ascii="Times New Roman" w:hAnsi="Times New Roman" w:eastAsia="宋体"/>
          <w:sz w:val="21"/>
        </w:rPr>
        <w:t>Traditional x-ray photoelectron spectroscopy (XPS) relies upon a direct mapping between the photoelectron binding energies and the local chemical environment, which is well-characterized by an electrostatic partial charges model for systems in equilibrium. However, the extension of this technique to out-of-equilibrium systems has been hampered by the lack of x-ray sources capable of accessing multiple atomic sites with high spectral and temporal resolution, as well as the lack of simple theoretical procedures to interpret the observed signals. In this work we employ multi-site XPS with a narrowband femtosecond x-ray probe to unravel different ultrafast dissociation processes of a polyatomic molecule, fluoromethane (CH$_{3}$F). We show that XPS can follow the cleavage of both the C-F and C-H bonds in real time, despite these channels lying close in binding energy. Additionally, we apply the partial charges model to describe these dynamics, and verify this extension with both advanced ab-initio calculations and experimental data. These results enable the application of this technique to out-of-equilibrium systems of higher complexity, by correlating real-time information from multiple atomic sites and interpreting the measurements through a viable theoretical modelling.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部分填充 Kagome 平带中的向列序和轨道选择性莫特态</w:t>
      </w:r>
    </w:p>
    <w:p>
      <w:r>
        <w:rPr>
          <w:rFonts w:ascii="Times New Roman" w:hAnsi="Times New Roman" w:eastAsia="宋体"/>
          <w:b/>
          <w:color w:val="003264"/>
          <w:sz w:val="24"/>
        </w:rPr>
        <w:t>Nematic Order and Orbital Selective Mott State in a Partially Filled Kagome Flat Band</w:t>
      </w:r>
    </w:p>
    <w:p>
      <w:r>
        <w:rPr>
          <w:rFonts w:ascii="Times New Roman" w:hAnsi="Times New Roman" w:eastAsia="宋体"/>
          <w:sz w:val="21"/>
        </w:rPr>
        <w:t>作者: Caiyun Chen, Jiangchang Zheng, Yuman He, Siqi Wu, Xuzhe Ying, Soumya Sankar, Luanjing Li, Yizhou Wei, Xi Dai, Hoi Chun Po, Berthold Jäck</w:t>
        <w:br/>
      </w:r>
      <w:r>
        <w:rPr>
          <w:rFonts w:ascii="Times New Roman" w:hAnsi="Times New Roman" w:eastAsia="宋体"/>
          <w:sz w:val="21"/>
        </w:rPr>
        <w:t xml:space="preserve">时间: 2026-01-13 | </w:t>
      </w:r>
      <w:r>
        <w:t xml:space="preserve">链接: </w:t>
      </w:r>
      <w:hyperlink r:id="rId301">
        <w:r>
          <w:rPr>
            <w:rFonts w:ascii="Times New Roman" w:hAnsi="Times New Roman" w:eastAsia="宋体"/>
            <w:color w:val="0000FF"/>
            <w:sz w:val="21"/>
            <w:u w:val="single"/>
          </w:rPr>
          <w:t>https://doi.org/10.1103/c93j-k53f</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占据电子平带 (FB) 的电荷载流子之间的库仑相互作用可以产生令人着迷的现象，例如量子临界性、莫特-哈伯德态和不同 FB 填充分数下的非常规超导性。因此，寻找具有可调节载流子填充和强相互作用的新型FB材料是一个中心研究主题，以拓宽我们对强相互作用量子系统的基本理解并实现具有新颖功能的材料。在这项工作中，我们提出了从依赖于温度的扫描隧道显微镜测量中获得的实验证据，这些证据出现在Co 1 − x Fe x Sn的部分占据的kagome FB中，其填充可以通过Fe掺杂水平x来控制。在高温（T ≥ 16 K）下，我们发现旋转对称性在广泛的掺杂范围 0.05 &lt; x &lt; 0.25 上被打破的证据。与模型计算的比较表明，强库仑相互作用（U &gt; 100 meV）混合了两个 3 d 轨道衍生 FB 的状态并赋予向列序参数。引入相敏锁定测量作为不可压缩态的局部扫描隧道显微镜探针，我们还在具有理想 Fe 掺杂 ( x = 0.17 ) 的部分填充的 kagome 平坦带中找到了哈伯德带的直接证据。哈伯德模型计算的结果表明，在半填充的戈薇平带中存在轨道选择性莫特态。与掺杂相关的测量表明，轨道选择性莫特态在电子和空穴掺杂后下降到相关金属相，其特征是光谱间隙突然崩溃。我们的观察表明，kagome FBs 的电子基态敏感地取决于不同温度下的几何挫败、强库仑斥力、轨道简并性和填充分数之间的复杂相互作用。更广泛地说，我们的研究将 kagome 晶格材料建立为新颖量子态的独特平台，这些量子态由拓扑非平凡 FB 中的强电子相关性产生。</w:t>
      </w:r>
    </w:p>
    <w:p>
      <w:pPr>
        <w:spacing w:before="120"/>
      </w:pPr>
      <w:r>
        <w:rPr>
          <w:rFonts w:ascii="Times New Roman" w:hAnsi="Times New Roman" w:eastAsia="宋体"/>
          <w:b/>
          <w:sz w:val="21"/>
        </w:rPr>
        <w:t>English Abstract:</w:t>
      </w:r>
    </w:p>
    <w:p>
      <w:r>
        <w:rPr>
          <w:rFonts w:ascii="Times New Roman" w:hAnsi="Times New Roman" w:eastAsia="宋体"/>
          <w:sz w:val="21"/>
        </w:rPr>
        <w:t>Coulomb interactions among charge carriers that occupy an electronic flat band (FB) can give rise to captivating phenomena such as quantum criticality, Mott-Hubbard states, and unconventional superconductivity at different FB filling fractions. Consequently, the search for new FB materials with tunable charge carrier filling and strong interactions is a central research theme to broaden our fundamental understanding of strongly interacting quantum systems and to realize materials with novel functionalities. In this work, we present experimental evidence obtained from temperature-dependent scanning tunneling microscopy measurements for various strongly correlated states that appear in partially occupied kagome FBs of Co 1 − x Fe x Sn whose filling can be controlled by the Fe-doping level x . At elevated temperatures ( T ≥ 16 K ), we find evidence for rotation symmetry breaking across a broad doping range 0.05 &lt; x &lt; 0.25 . Comparison with model calculations reveals that strong Coulomb interactions ( U &gt; 100 meV ) blend the states of two 3 d -orbital-derived FBs and impart a nematic order parameter. Introducing phase-sensitive lock-in measurements as a local scanning tunneling microscopy probe of incompressible states, we also find direct evidence for Hubbard bands in the partially filled kagome flat bands of samples with ideal Fe doping ( x = 0.17 ). Results from Hubbard model calculations suggest the presence of an orbital-selective Mott state in a half-filled kagome flat band. Doping-dependent measurements show that the orbital-selective Mott state descends into a correlated metal phase upon electron and hole doping, marked by a sudden collapse of the spectral gap. Our observations demonstrate that the electronic ground state of the kagome FBs sensitively depends on the complex interplay between geometric frustration, strong Coulomb repulsion, orbital degeneracy, and filling fraction at different temperatures. More broadly, our research establishes kagome lattice materials as a unique platform for novel quantum states that arise from strong electronic correlations in a topologically nontrivial FB.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对玻色子热霍尔传输的外在贡献</w:t>
      </w:r>
    </w:p>
    <w:p>
      <w:r>
        <w:rPr>
          <w:rFonts w:ascii="Times New Roman" w:hAnsi="Times New Roman" w:eastAsia="宋体"/>
          <w:b/>
          <w:color w:val="003264"/>
          <w:sz w:val="24"/>
        </w:rPr>
        <w:t>Extrinsic contribution to bosonic thermal Hall transport</w:t>
      </w:r>
    </w:p>
    <w:p>
      <w:r>
        <w:rPr>
          <w:rFonts w:ascii="Times New Roman" w:hAnsi="Times New Roman" w:eastAsia="宋体"/>
          <w:sz w:val="21"/>
        </w:rPr>
        <w:t>作者: Anonymous</w:t>
        <w:br/>
      </w:r>
      <w:r>
        <w:rPr>
          <w:rFonts w:ascii="Times New Roman" w:hAnsi="Times New Roman" w:eastAsia="宋体"/>
          <w:sz w:val="21"/>
        </w:rPr>
        <w:t xml:space="preserve">时间: 2025-12-12 | </w:t>
      </w:r>
      <w:r>
        <w:t xml:space="preserve">链接: </w:t>
      </w:r>
      <w:hyperlink r:id="rId302">
        <w:r>
          <w:rPr>
            <w:rFonts w:ascii="Times New Roman" w:hAnsi="Times New Roman" w:eastAsia="宋体"/>
            <w:color w:val="0000FF"/>
            <w:sz w:val="21"/>
            <w:u w:val="single"/>
          </w:rPr>
          <w:t>https://doi.org/10.1103/grzx-v6sj</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子和磁子等玻色子激发主导着磁绝缘体的低温输运。与电子霍尔响应类似，电荷中性玻色子的热霍尔效应（THE）已被提议作为探测其波函数拓扑性质的有力工具。例如，完全洁净系统的THE的内在贡献直接受贝里曲率分布的控制，并且许多关于拓扑磁子和声子绝缘体的实验都是以这种方式解释的。然而，任何材料中都不可避免地存在无序，并且人们对无序对THE的贡献仍然知之甚少。在这里，我们开发了一个关于外在侧跳对玻色子THE贡献的严格动力学理论。我们表明，外在 THE 可以与内在 THE 具有相同的数量级，但敏感地取决于局部缺陷的类型。我们研究了不同类型的杂质，并表明，THE 甚至可以作为系统中纯粹的杂质引起的效应而出现，而系统的内在贡献正在消失。作为副产品，我们还将电子 AHE 的现有结果推广到超出局部势散射标准假设的一般类型杂质。我们讨论了我们的结果对于正确解释测量结果的重要性。</w:t>
      </w:r>
    </w:p>
    <w:p>
      <w:pPr>
        <w:spacing w:before="120"/>
      </w:pPr>
      <w:r>
        <w:rPr>
          <w:rFonts w:ascii="Times New Roman" w:hAnsi="Times New Roman" w:eastAsia="宋体"/>
          <w:b/>
          <w:sz w:val="21"/>
        </w:rPr>
        <w:t>English Abstract:</w:t>
      </w:r>
    </w:p>
    <w:p>
      <w:r>
        <w:rPr>
          <w:rFonts w:ascii="Times New Roman" w:hAnsi="Times New Roman" w:eastAsia="宋体"/>
          <w:sz w:val="21"/>
        </w:rPr>
        <w:t>Bosonic excitations like phonons and magnons dominate the low-temperature transport of magnetic insulators. Similar to electronic Hall responses, the thermal Hall effect (THE) of charge neutral bosons has been proposed as a powerful tool for probing topological properties of their wavefunctions. For example, the intrinsic contribution of the THE of a perfectly clean system is directly governed by the distribution of Berry curvature, and many experiments on topological magnon and phonon insulators have been interpreted in this way. However, disorder is inevitably present in any material and its contribution to the THE has remained poorly understood. Here we develop a rigorous kinetic theory of the extrinsic side-jump contribution to the THE of bosons. We show that the extrinsic THE can be of the same order as the intrinsic one but sensitively depends on the type of local imperfection. We study different types of impurities and show that a THE can even arise as a pure impurity-induced effect in a system with a vanishing intrinsic contribution. As a side product, we also generalize existing results for the electronic AHE to general types of impurities beyond the standard assumption of local potential scattering. We discuss the importance of our results for the correct interpretation of THE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超导电路中驱动引起的不需要的状态转变的表征</w:t>
      </w:r>
    </w:p>
    <w:p>
      <w:r>
        <w:rPr>
          <w:rFonts w:ascii="Times New Roman" w:hAnsi="Times New Roman" w:eastAsia="宋体"/>
          <w:b/>
          <w:color w:val="003264"/>
          <w:sz w:val="24"/>
        </w:rPr>
        <w:t>Characterization of Drive-Induced Unwanted State Transitions in Superconducting Circuits</w:t>
      </w:r>
    </w:p>
    <w:p>
      <w:r>
        <w:rPr>
          <w:rFonts w:ascii="Times New Roman" w:hAnsi="Times New Roman" w:eastAsia="宋体"/>
          <w:sz w:val="21"/>
        </w:rPr>
        <w:t>作者: W. Dai, S. Hazra, D. K. Weiss, P. D. Kurilovich, T. Connolly, H. K. Babla, S. Singh, V. R. Joshi, A. Z. Ding, P. D. Parakh, J. Venkatraman, X. Xiao, L. Frunzio, M. H. Devoret</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https://doi.org/10.1103/zdpg-mhpc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波驱动器对于在超导量子电路中实现控制和读出操作至关重要。然而，增加驱动强度最终会导致不必要的状态转换，从而限制此类操作的速度和保真度。在这项工作中，我们系统地研究了固定频率量子位中的此类转变，该固定频率量子位受到跨越 9 GHz 频率范围的微波驱动。我们确定了这些转变的物理起源，并将它们分为三类：（1）与寄生两能级系统（TLS）的共振能量交换，由驱动引起的交流斯塔克位移激活，（2）多光子跃迁到非计算状态，这是电路哈密顿量固有的，以及（3）非弹性散射过程，其中驱动引起超导电路中的状态转变，同时将多余的能量转移到寄生电磁模式或TLS材料缺陷。我们证明，Floquet 稳态模拟辅以物理设备的电磁模拟，可以准确预测观察到的不涉及 TLS 的转变。我们的结果提供了这些转换的全面分类，并通过驱动频率的明智选择以及改进的电路设计提供缓解策略。</w:t>
      </w:r>
    </w:p>
    <w:p>
      <w:pPr>
        <w:spacing w:before="120"/>
      </w:pPr>
      <w:r>
        <w:rPr>
          <w:rFonts w:ascii="Times New Roman" w:hAnsi="Times New Roman" w:eastAsia="宋体"/>
          <w:b/>
          <w:sz w:val="21"/>
        </w:rPr>
        <w:t>English Abstract:</w:t>
      </w:r>
    </w:p>
    <w:p>
      <w:r>
        <w:rPr>
          <w:rFonts w:ascii="Times New Roman" w:hAnsi="Times New Roman" w:eastAsia="宋体"/>
          <w:sz w:val="21"/>
        </w:rPr>
        <w:t>Microwave drives are essential for implementing control and readout operations in superconducting quantum circuits. However, increasing the drive strength eventually leads to unwanted state transitions which limit the speed and fidelity of such operations. In this work, we systematically investigate such transitions in a fixed-frequency qubit subjected to microwave drives spanning a 9-GHz frequency range. We identify the physical origins of these transitions and classify them into three categories: (1) resonant energy exchange with parasitic two-level systems (TLSs), activated by drive-induced ac-Stark shifts, (2) multiphoton transitions to noncomputational states, intrinsic to the circuit Hamiltonian, and (3) inelastic scattering processes in which the drive causes a state transition in the superconducting circuit, while transferring excess energy to a spurious electromagnetic mode or TLS material defect. We show that the Floquet steady-state simulation, complemented by an electromagnetic simulation of the physical device, accurately predicts the observed transitions that do not involve TLS. Our results provide a comprehensive classification of these transitions and offer mitigation strategies through informed choices of drive frequency as well as improved circuit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自立式 GaN 微桥的深度弹性应变工程</w:t>
      </w:r>
    </w:p>
    <w:p>
      <w:r>
        <w:rPr>
          <w:rFonts w:ascii="Times New Roman" w:hAnsi="Times New Roman" w:eastAsia="宋体"/>
          <w:b/>
          <w:color w:val="003264"/>
          <w:sz w:val="24"/>
        </w:rPr>
        <w:t>Deep Elastic Strain Engineering of Free-Standing GaN Microbridge</w:t>
      </w:r>
    </w:p>
    <w:p>
      <w:r>
        <w:rPr>
          <w:rFonts w:ascii="Times New Roman" w:hAnsi="Times New Roman" w:eastAsia="宋体"/>
          <w:sz w:val="21"/>
        </w:rPr>
        <w:t>作者: Sufeng Fan, Heyi Wang, Chang-Ti Chou, Juzheng Chen, Ying Han, Jingzhuo Zhou, Xiaocui Li, Jyh-Pin Chou, Ju Li, Yang Lu</w:t>
        <w:br/>
      </w:r>
      <w:r>
        <w:rPr>
          <w:rFonts w:ascii="Times New Roman" w:hAnsi="Times New Roman" w:eastAsia="宋体"/>
          <w:sz w:val="21"/>
        </w:rPr>
        <w:t xml:space="preserve">时间: 2026-01-23 | </w:t>
      </w:r>
      <w:r>
        <w:t xml:space="preserve">链接: </w:t>
      </w:r>
      <w:hyperlink r:id="rId304">
        <w:r>
          <w:rPr>
            <w:rFonts w:ascii="Times New Roman" w:hAnsi="Times New Roman" w:eastAsia="宋体"/>
            <w:color w:val="0000FF"/>
            <w:sz w:val="21"/>
            <w:u w:val="single"/>
          </w:rPr>
          <w:t>https://doi.org/10.1103/x76f-2vj8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镓（GaN）作为直接带隙半导体在高效蓝光发光二极管和激光二极管的历史发展中发挥了核心作用，其中通过添加铟（In）来缩小其固有的宽带隙，从而通过改变化学成分来调节光的颜色。然而，这种合金化方法不允许带隙和发射颜色的动态和可逆调制。在这里，我们证明了可以在微制造的单晶GaN微桥中引入超大拉伸弹性应变，并为通过深度弹性应变工程连续调节其能带结构和光电性能提供了前所未有的机会。通过阴极发光 (CL) 以及扫描电子显微镜内的应变 GaN 器件对弹性应变引起的能带隙调制进行了表征和量化。深度应变 (&gt; 5%) GaN 微桥的 CL 发射显示带隙从 ~ 3.4 大幅降低至 2.96 eV（波长 ~ 365 至 420 nm），使其光发射从不可见或紫外光转移到蓝色可见光区域。实验结果与带隙随应变增加的变化的计算结果非常吻合。这种动态、可逆且可控的应变工程将促进电力电子和光电子领域的新型器件应用。</w:t>
      </w:r>
    </w:p>
    <w:p>
      <w:pPr>
        <w:spacing w:before="120"/>
      </w:pPr>
      <w:r>
        <w:rPr>
          <w:rFonts w:ascii="Times New Roman" w:hAnsi="Times New Roman" w:eastAsia="宋体"/>
          <w:b/>
          <w:sz w:val="21"/>
        </w:rPr>
        <w:t>English Abstract:</w:t>
      </w:r>
    </w:p>
    <w:p>
      <w:r>
        <w:rPr>
          <w:rFonts w:ascii="Times New Roman" w:hAnsi="Times New Roman" w:eastAsia="宋体"/>
          <w:sz w:val="21"/>
        </w:rPr>
        <w:t>Gallium nitride (GaN) as a direct band gap semiconductor played a central role in the historical development of efficient blue light-emitting diode and laser diode, in which its intrinsic wide band gap shrinks through the addition of indium (In), thus tuning the color of the light by changing the chemistry. This alloying approach, however, does not allow for dynamic and reversible modulation of the band gap and emission color. Here we show that ultralarge tensile elastic strain can be introduced in microfabricated single crystal GaN microbridges and offer an unprecedented opportunity to modulate its band structure and optoelectronic properties continuously through deep elastic strain engineering. The elastic strain-induced energy band gap modulation was characterized and quantified by cathodoluminescence (CL) as well as via strained GaN devices inside a scanning electron microscope. The CL emission of deeply strained ( &gt; 5 % ) GaN microbridges has shown substantial band gap reduction from ∼ 3.4 to 2.96 eV ( ∼ 365 to 420 nm in wavelength), making its optical emission shift from invisible or UV to the blue visible regime. Experimental results agree well with calculation of the change in band gap with increased strain. This dynamic, reversible, and well-controllable strain engineering would facilitate novel device applications in power electronics and optoelectronics.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扭曲晶体平带中的可编程量子反常霍尔绝缘体</w:t>
      </w:r>
    </w:p>
    <w:p>
      <w:r>
        <w:rPr>
          <w:rFonts w:ascii="Times New Roman" w:hAnsi="Times New Roman" w:eastAsia="宋体"/>
          <w:b/>
          <w:color w:val="003264"/>
          <w:sz w:val="24"/>
        </w:rPr>
        <w:t>Programmable Quantum Anomalous Hall Insulator in Twisted Crystalline Flatbands</w:t>
      </w:r>
    </w:p>
    <w:p>
      <w:r>
        <w:rPr>
          <w:rFonts w:ascii="Times New Roman" w:hAnsi="Times New Roman" w:eastAsia="宋体"/>
          <w:sz w:val="21"/>
        </w:rPr>
        <w:t>作者: Wenxuan Wang, Yijie Wang, Zaizhe Zhang, Zihao Huo, Gengdong Zhou, Shu Zhang, Kenji Watanabe, Takashi Taniguchi, Xiaoxia Yang, Qing Dai, X. C. Xie, Kaihui Liu, Zhida Song, Xiaobo Lu</w:t>
        <w:br/>
      </w:r>
      <w:r>
        <w:rPr>
          <w:rFonts w:ascii="Times New Roman" w:hAnsi="Times New Roman" w:eastAsia="宋体"/>
          <w:sz w:val="21"/>
        </w:rPr>
        <w:t xml:space="preserve">时间: 2026-01-26 | </w:t>
      </w:r>
      <w:r>
        <w:t xml:space="preserve">链接: </w:t>
      </w:r>
      <w:hyperlink r:id="rId305">
        <w:r>
          <w:rPr>
            <w:rFonts w:ascii="Times New Roman" w:hAnsi="Times New Roman" w:eastAsia="宋体"/>
            <w:color w:val="0000FF"/>
            <w:sz w:val="21"/>
            <w:u w:val="single"/>
          </w:rPr>
          <w:t>https://doi.org/10.1103/7m1b-hxy8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凝聚态物质中的同位旋味道可以不断破缺，形成各种对称破缺的量子态。在莫尔晶体中，不同同位旋构型之间的竞争可以通过扭转角度和堆叠顺序来有效调节。在这里，我们报告扭曲双菱面体三层石墨烯作为一种新的扭曲晶体平带系统，表现出丰富的莫尔依赖拓扑现象。在具有小扭转角的器件中，已经观察到在整数莫尔填充 v = 1 时具有陈数 C = 3 的可编程陈绝缘体。我们进一步揭示了一种奇异的隐藏秩序，它可以淬灭陈绝缘体以及不同对称破缺相之间的多个一阶跃迁。有趣的是，在扭转角稍大的器件中，在分数莫尔填充（包括 v = 1 / 4 、 1 / 3 和 1 / 2 ）处观察到了多个 C = 1 的陈绝缘体，而 v = 1 处的陈绝缘体则不存在。我们的研究证明，菱面体多层石墨烯的扭曲平带可以作为研究可调谐高陈绝缘体以及用于量子存储和计算的新设备的新平台。</w:t>
      </w:r>
    </w:p>
    <w:p>
      <w:pPr>
        <w:spacing w:before="120"/>
      </w:pPr>
      <w:r>
        <w:rPr>
          <w:rFonts w:ascii="Times New Roman" w:hAnsi="Times New Roman" w:eastAsia="宋体"/>
          <w:b/>
          <w:sz w:val="21"/>
        </w:rPr>
        <w:t>English Abstract:</w:t>
      </w:r>
    </w:p>
    <w:p>
      <w:r>
        <w:rPr>
          <w:rFonts w:ascii="Times New Roman" w:hAnsi="Times New Roman" w:eastAsia="宋体"/>
          <w:sz w:val="21"/>
        </w:rPr>
        <w:t>The isospin flavors in condensed matters can be continuously broken, forming various symmetry-broken quantum states. In moiré crystals, the competition between different isospin configurations can be effectively tuned by the twist angles and stacking orders. Here we report twisted double rhombohedral-trilayer-graphene as a new twisted crystalline flatband system showing rich moiré dependent topological phenomena. In devices with small twist angles, programmable Chern insulators with Chern number C = 3 at integer moiré filling v = 1 have been observed. We have further revealed an exotic hidden order which can quench the Chern insulator as well as multiple first-order transitions between different symmetry-broken phases. Interestly, in the device with a slightly larger twist angle, multiple Chern insulators with C = 1 at fractional moiré fillings including v = 1 / 4 , 1 / 3 , and 1 / 2 have been observed, whereas the Chern insulator at v = 1 is absent. Our study demonstrated the twisted flatbands form rhombohedral-multilayer-graphene as a new platform to study tunable high Chern insulators as well as new devices for quantum storage and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频率编码光子陈绝缘体中的量化霍尔漂移</w:t>
      </w:r>
    </w:p>
    <w:p>
      <w:r>
        <w:rPr>
          <w:rFonts w:ascii="Times New Roman" w:hAnsi="Times New Roman" w:eastAsia="宋体"/>
          <w:b/>
          <w:color w:val="003264"/>
          <w:sz w:val="24"/>
        </w:rPr>
        <w:t>Quantized Hall drift in a frequency-encoded photonic Chern insulator</w:t>
      </w:r>
    </w:p>
    <w:p>
      <w:r>
        <w:rPr>
          <w:rFonts w:ascii="Times New Roman" w:hAnsi="Times New Roman" w:eastAsia="宋体"/>
          <w:sz w:val="21"/>
        </w:rPr>
        <w:t>作者: Anonymous</w:t>
        <w:br/>
      </w:r>
      <w:r>
        <w:rPr>
          <w:rFonts w:ascii="Times New Roman" w:hAnsi="Times New Roman" w:eastAsia="宋体"/>
          <w:sz w:val="21"/>
        </w:rPr>
        <w:t xml:space="preserve">时间: 2026-01-07 | </w:t>
      </w:r>
      <w:r>
        <w:t xml:space="preserve">链接: </w:t>
      </w:r>
      <w:hyperlink r:id="rId306">
        <w:r>
          <w:rPr>
            <w:rFonts w:ascii="Times New Roman" w:hAnsi="Times New Roman" w:eastAsia="宋体"/>
            <w:color w:val="0000FF"/>
            <w:sz w:val="21"/>
            <w:u w:val="single"/>
          </w:rPr>
          <w:t>https://doi.org/10.1103/2dyh-yhrb</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探索调制一维准晶中二维材料的光致相</w:t>
      </w:r>
    </w:p>
    <w:p>
      <w:r>
        <w:rPr>
          <w:rFonts w:ascii="Times New Roman" w:hAnsi="Times New Roman" w:eastAsia="宋体"/>
          <w:b/>
          <w:color w:val="003264"/>
          <w:sz w:val="24"/>
        </w:rPr>
        <w:t>Exploring light-induced phases of 2D materials in a modulated 1D quasicrystal</w:t>
      </w:r>
    </w:p>
    <w:p>
      <w:r>
        <w:rPr>
          <w:rFonts w:ascii="Times New Roman" w:hAnsi="Times New Roman" w:eastAsia="宋体"/>
          <w:sz w:val="21"/>
        </w:rPr>
        <w:t>作者: Anonymous</w:t>
        <w:br/>
      </w:r>
      <w:r>
        <w:rPr>
          <w:rFonts w:ascii="Times New Roman" w:hAnsi="Times New Roman" w:eastAsia="宋体"/>
          <w:sz w:val="21"/>
        </w:rPr>
        <w:t xml:space="preserve">时间: 2026-01-09 | </w:t>
      </w:r>
      <w:r>
        <w:t xml:space="preserve">链接: </w:t>
      </w:r>
      <w:hyperlink r:id="rId307">
        <w:r>
          <w:rPr>
            <w:rFonts w:ascii="Times New Roman" w:hAnsi="Times New Roman" w:eastAsia="宋体"/>
            <w:color w:val="0000FF"/>
            <w:sz w:val="21"/>
            <w:u w:val="single"/>
          </w:rPr>
          <w:t>https://doi.org/10.1103/37vk-qz71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诱导量子相提供了简单而强大的材料特性调整的潜力。例如，预计用偏振光简单地照射整数量子霍尔体系中的二维材料即可驱动量子相变。由于激光强度和材料纯度的技术限制，这种现象很大程度上超出了当前固态实验的前沿。然而，将二维整数量子霍尔系统与一维准晶体联系起来的哈珀-霍夫施塔特映射使得能够使用驱动准周期光学晶格中的量子气体来观察相同的偏振相关光致相变。我们报告了此类实验的结果。我们观察到局域-离域相变的交错相图作为驱动偏振和振幅的函数。椭圆偏振驱动可以稳定具有多重分形波函数的扩展临界相；我们在异常偏振相关的次扩散传输中观察到这种现象的特征。在这种情况下，增加准周期势的强度可以增强而不是抑制传输。这些实验展示了一种合成奇异多重分形态并探索不同维度的光诱导量子相的简单方法。</w:t>
      </w:r>
    </w:p>
    <w:p>
      <w:pPr>
        <w:spacing w:before="120"/>
      </w:pPr>
      <w:r>
        <w:rPr>
          <w:rFonts w:ascii="Times New Roman" w:hAnsi="Times New Roman" w:eastAsia="宋体"/>
          <w:b/>
          <w:sz w:val="21"/>
        </w:rPr>
        <w:t>English Abstract:</w:t>
      </w:r>
    </w:p>
    <w:p>
      <w:r>
        <w:rPr>
          <w:rFonts w:ascii="Times New Roman" w:hAnsi="Times New Roman" w:eastAsia="宋体"/>
          <w:sz w:val="21"/>
        </w:rPr>
        <w:t>Light-induced quantum phases offer the potential for simple and powerful tuning of material properties. For example, simply illuminating 2D materials in the integer quantum Hall regime with polarized light is predicted to drive quantum phase transitions. Such phenomena are largely beyond the current frontier of solid state experiments due to technical limitations on laser intensity and material purity. However, the Harper-Hofstadter mapping which relates a two-dimensional integer quantum Hall system to a 1D quasicrystal enables the same polarization-dependent light-induced phase transitions to be observed using a quantum gas in a driven quasiperiodic optical lattice. We report results of such an experiment. We observe an interlaced phase diagram of localization-delocalization phase transitions as a function of drive polarization and amplitude. Elliptically polarized driving can stabilize an extended critical phase featuring multifractal wavefunctions; we observe signatures of this phenomenon in anomalous polarization-dependent subdiffusive transport. In this regime, increasing the strength of the quasiperiodic potential can enhance rather than suppress transport. These experiments demonstrate a simple method for synthesizing exotic multifractal states and exploring light-induced quantum phases across different dimensionalities.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晶格孤子分数拓扑泵浦的量子理论</w:t>
      </w:r>
    </w:p>
    <w:p>
      <w:r>
        <w:rPr>
          <w:rFonts w:ascii="Times New Roman" w:hAnsi="Times New Roman" w:eastAsia="宋体"/>
          <w:b/>
          <w:color w:val="003264"/>
          <w:sz w:val="24"/>
        </w:rPr>
        <w:t>Quantum theory of fractional topological pumping of lattice solitons</w:t>
      </w:r>
    </w:p>
    <w:p>
      <w:r>
        <w:rPr>
          <w:rFonts w:ascii="Times New Roman" w:hAnsi="Times New Roman" w:eastAsia="宋体"/>
          <w:sz w:val="21"/>
        </w:rPr>
        <w:t>作者: Anonymous</w:t>
        <w:br/>
      </w:r>
      <w:r>
        <w:rPr>
          <w:rFonts w:ascii="Times New Roman" w:hAnsi="Times New Roman" w:eastAsia="宋体"/>
          <w:sz w:val="21"/>
        </w:rPr>
        <w:t xml:space="preserve">时间: 2026-01-26 | </w:t>
      </w:r>
      <w:r>
        <w:t xml:space="preserve">链接: </w:t>
      </w:r>
      <w:hyperlink r:id="rId308">
        <w:r>
          <w:rPr>
            <w:rFonts w:ascii="Times New Roman" w:hAnsi="Times New Roman" w:eastAsia="宋体"/>
            <w:color w:val="0000FF"/>
            <w:sz w:val="21"/>
            <w:u w:val="single"/>
          </w:rPr>
          <w:t>https://doi.org/10.1103/hhgy-9rd4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拓扑系统的标志之一是粒子传输的鲁棒量化。它是整数值量子霍尔电导率的起源，也是量子信息技术的潜在工具。最近使用光子波导阵列构建并由（晶格平移不变量）Aubry-Andr'e-Harper (AAH) 模型描述的拓扑泵实验已经证明了晶格孤子的整数和分数传输。在这些系统中，背景介质通过克尔非线性介导光子之间的相互作用，并导致自束缚多光子态的形成。在增加相互作用强度时，观察到从泵循环中具有整数传输的相通过分数传输的不同相到没有传输的相的一系列转变。我们在这里根据质心 (COM) 运动的有效哈密顿量提出自束缚多粒子态拓扑泵的量子描述，这允许引入有效的能带结构 $E_\mu(K)$，其中 $K$ 是 COM 动量，并根据广义对称性对拓扑相进行分类。我们提供了强相互作用极限下少数粒子的有效哈密顿量的显式解析表达式，并给出了更一般情况下的数值结果。我们确定了一个拓扑不变量，即有效的单粒子陈数，它完全控制着孤子输运。增加 AAH 模型中的相互作用强度会导致 COM 带的连续合并，这是观察到的拓扑相变序列的起源，也是某些相互作用强度的拓扑量子化的潜在崩溃。</w:t>
      </w:r>
    </w:p>
    <w:p>
      <w:pPr>
        <w:spacing w:before="120"/>
      </w:pPr>
      <w:r>
        <w:rPr>
          <w:rFonts w:ascii="Times New Roman" w:hAnsi="Times New Roman" w:eastAsia="宋体"/>
          <w:b/>
          <w:sz w:val="21"/>
        </w:rPr>
        <w:t>English Abstract:</w:t>
      </w:r>
    </w:p>
    <w:p>
      <w:r>
        <w:rPr>
          <w:rFonts w:ascii="Times New Roman" w:hAnsi="Times New Roman" w:eastAsia="宋体"/>
          <w:sz w:val="21"/>
        </w:rPr>
        <w:t>One of the hallmarks of topological systems is the robust quantization of particle transport. It is the origin of the integer-valued quantum Hall conductivity and a potential tool for quantum information technology. Recent experiments on topological pumps constructed by using arrays of photonic waveguides and described by the (lattice-translational invariant) Aubry-Andr\'e-Harper (AAH) model, have demonstrated both integer and fractional transport of lattice solitons. In these systems, a background medium mediates interactions between photons via a Kerr nonlinearity and leads to the formation of self-bound multi-photon states. Upon increasing the interaction strength a sequence of transitions was observed from a phase with integer transport in a pump cycle through different phases of fractional transport to a phase with no transport. We here present a quantum description of topological pumps of self-bound many-particle states in terms of an effective Hamiltonian of their center-of-mass (COM) motion, which allows to introduce an effective band structure $E_\mu(K)$ with $K$ being the COM momentum, and to classify topological phases in terms of generalized symmetries. We provide an explicit analytic expression of the effective Hamiltonian for few particles in the strong interaction limit and present numerical results in the more general case. We identify a topological invariant, an effective single-particle Chern number, which fully governs the soliton transport. Increasing the interaction strength in the AAH model leads to a successive merging of COM bands, which is the origin of the observed sequence of topological phase transitions and also the potential breakdown of topological quantization for some interaction strength.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使用磁振子模拟 2D 材料</w:t>
      </w:r>
    </w:p>
    <w:p>
      <w:r>
        <w:rPr>
          <w:rFonts w:ascii="Times New Roman" w:hAnsi="Times New Roman" w:eastAsia="宋体"/>
          <w:b/>
          <w:color w:val="003264"/>
          <w:sz w:val="24"/>
        </w:rPr>
        <w:t>Emulating 2D materials with magnons</w:t>
      </w:r>
    </w:p>
    <w:p>
      <w:r>
        <w:rPr>
          <w:rFonts w:ascii="Times New Roman" w:hAnsi="Times New Roman" w:eastAsia="宋体"/>
          <w:sz w:val="21"/>
        </w:rPr>
        <w:t>作者: Anonymous</w:t>
        <w:br/>
      </w:r>
      <w:r>
        <w:rPr>
          <w:rFonts w:ascii="Times New Roman" w:hAnsi="Times New Roman" w:eastAsia="宋体"/>
          <w:sz w:val="21"/>
        </w:rPr>
        <w:t xml:space="preserve">时间: 2026-01-30 | </w:t>
      </w:r>
      <w:r>
        <w:t xml:space="preserve">链接: </w:t>
      </w:r>
      <w:hyperlink r:id="rId309">
        <w:r>
          <w:rPr>
            <w:rFonts w:ascii="Times New Roman" w:hAnsi="Times New Roman" w:eastAsia="宋体"/>
            <w:color w:val="0000FF"/>
            <w:sz w:val="21"/>
            <w:u w:val="single"/>
          </w:rPr>
          <w:t>https://doi.org/10.1103/t7tm-nxyl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波（磁振子）由于其独特的状态和可调谐潜力而受到越来越多的关注。然而，这些系统的许多有趣的特征，包括狄拉克点和拓扑状态，都在高频下出现，而实验探针是有限的。在这里，我们研究了通过在垂直磁化薄膜中形成六边形孔阵列图案而形成的晶体。通过模拟，我们发现波能带结构模仿了石墨烯的能带结构，但还具有一些类似 kagome 的特征，并包含一些平带。令人惊讶的是，它的性质可以使用 9 频带紧束缚哈密顿量来理解。这种与 2D 材料的清晰类比使得 2D 中的带隙工程、沿 1D 相边界的拓扑磁振子以及 0D 点缺陷处的光谱隔离模式成为可能。有趣的是，一维相边界允许通过量子谷霍尔绝缘体的波角模拟来获得谷自由度。这些方法可以扩展到其他磁波系统，但由于模型的简单性，它可​​能更通用，类似于电子、声子、光子和冷原子系统的现有结果。这一发现将二维材料中的自旋波物理学带到了更容易通过实验获得的尺度，对其进行了增强，并概述了控制波角态的一些原则。</w:t>
      </w:r>
    </w:p>
    <w:p>
      <w:pPr>
        <w:spacing w:before="120"/>
      </w:pPr>
      <w:r>
        <w:rPr>
          <w:rFonts w:ascii="Times New Roman" w:hAnsi="Times New Roman" w:eastAsia="宋体"/>
          <w:b/>
          <w:sz w:val="21"/>
        </w:rPr>
        <w:t>English Abstract:</w:t>
      </w:r>
    </w:p>
    <w:p>
      <w:r>
        <w:rPr>
          <w:rFonts w:ascii="Times New Roman" w:hAnsi="Times New Roman" w:eastAsia="宋体"/>
          <w:sz w:val="21"/>
        </w:rPr>
        <w:t>Spin waves (magnons) in 2D materials have received increasing interest due to their unique states and potential for tunability. However, many interesting features of these systems, including Dirac points and topological states, occur at high frequencies, where experimental probes are limited. Here, we study a crystal formed by patterning a hexagonal array of holes in a perpendicularly magnetized thin film. Through simulation, we find that the magnonic band structure imitates that of graphene, but additionally has some kagome-like character and includes a few flat bands. Surprisingly, its nature can be understood using a 9-band tight-binding Hamiltonian. This clear analogy to 2D materials enables band-gap engineering in 2D, topological magnons along 1D phase boundaries, and spectrally isolated modes at 0D point defects. Interestingly, the 1D phase boundaries allow access to the valley degree of freedom through a magnonic analog of the quantum valley-Hall insulator. These approaches can be extended to other magnonic systems, but are potentially more general due to the simplicity of the model, which resembles existing results from electron, phonon, photon, and cold atom systems. This finding brings the physics of spin waves in 2D materials to more experimentally accessible scales, augments it, and outlines a few principles for controlling magnonic states.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13:05 ---</w:t>
      </w:r>
    </w:p>
    <w:p>
      <w:pPr>
        <w:pStyle w:val="Heading2"/>
      </w:pPr>
      <w:r/>
      <w:r>
        <w:rPr>
          <w:rFonts w:ascii="Times New Roman" w:hAnsi="Times New Roman" w:eastAsia="宋体"/>
          <w:b/>
          <w:color w:val="000000"/>
          <w:sz w:val="24"/>
        </w:rPr>
        <w:t>Ostα/β 的结构揭示了独特的折叠和胆汁酸转运机制</w:t>
      </w:r>
    </w:p>
    <w:p>
      <w:r>
        <w:rPr>
          <w:rFonts w:ascii="Times New Roman" w:hAnsi="Times New Roman" w:eastAsia="宋体"/>
          <w:b/>
          <w:color w:val="003264"/>
          <w:sz w:val="24"/>
        </w:rPr>
        <w:t>Structures of Ostα/β reveal a unique fold and bile acid transport mechanism</w:t>
      </w:r>
    </w:p>
    <w:p>
      <w:r>
        <w:rPr>
          <w:rFonts w:ascii="Times New Roman" w:hAnsi="Times New Roman" w:eastAsia="宋体"/>
          <w:sz w:val="21"/>
        </w:rPr>
        <w:t>作者: Xuemei Yang, Nana Cui, Tianyu Li, Xinheng He, Heng Zhang, Canrong Wu, Yang Li, Xiong Ma, H. Eric Xu</w:t>
        <w:br/>
      </w:r>
      <w:r>
        <w:rPr>
          <w:rFonts w:ascii="Times New Roman" w:hAnsi="Times New Roman" w:eastAsia="宋体"/>
          <w:sz w:val="21"/>
        </w:rPr>
        <w:t xml:space="preserve">时间: 2026-01-28 | </w:t>
      </w:r>
      <w:r>
        <w:t xml:space="preserve">链接: </w:t>
      </w:r>
      <w:hyperlink r:id="rId310">
        <w:r>
          <w:rPr>
            <w:rFonts w:ascii="Times New Roman" w:hAnsi="Times New Roman" w:eastAsia="宋体"/>
            <w:color w:val="0000FF"/>
            <w:sz w:val="21"/>
            <w:u w:val="single"/>
          </w:rPr>
          <w:t>https://doi.org/10.1038/s41586-025-10029-7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 Ostα/β 的低温电子显微镜结构揭示了一种独特的转运途径，该途径具有通过两亲性螺旋门控导管连接的两个底物结合位点，电生理学研究证明了电压敏感的双向转运，显示了其在体内的流出作用。</w:t>
      </w:r>
    </w:p>
    <w:p>
      <w:pPr>
        <w:spacing w:before="120"/>
      </w:pPr>
      <w:r>
        <w:rPr>
          <w:rFonts w:ascii="Times New Roman" w:hAnsi="Times New Roman" w:eastAsia="宋体"/>
          <w:b/>
          <w:sz w:val="21"/>
        </w:rPr>
        <w:t>English Abstract:</w:t>
      </w:r>
    </w:p>
    <w:p>
      <w:r>
        <w:rPr>
          <w:rFonts w:ascii="Times New Roman" w:hAnsi="Times New Roman" w:eastAsia="宋体"/>
          <w:sz w:val="21"/>
        </w:rPr>
        <w:t>Cryogenic electron microscopy structures of human Ostα/β uncover a unique transport pathway featuring two substrate-binding sites connected by an amphipathic helix-gated conduit, and electrophysiological studies demonstrate voltage-sensitive, bidirectional transport, showing its efflux role in vivo.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 ≈ 5.7 处发射 X 射线的原星团揭示了快速的结构生长</w:t>
      </w:r>
    </w:p>
    <w:p>
      <w:r>
        <w:rPr>
          <w:rFonts w:ascii="Times New Roman" w:hAnsi="Times New Roman" w:eastAsia="宋体"/>
          <w:b/>
          <w:color w:val="003264"/>
          <w:sz w:val="24"/>
        </w:rPr>
        <w:t>An X-ray-emitting protocluster at z ≈ 5.7 reveals rapid structure growth</w:t>
      </w:r>
    </w:p>
    <w:p>
      <w:r>
        <w:rPr>
          <w:rFonts w:ascii="Times New Roman" w:hAnsi="Times New Roman" w:eastAsia="宋体"/>
          <w:sz w:val="21"/>
        </w:rPr>
        <w:t>作者: Ákos Bogdán, Gerrit Schellenberger, Qiong Li, Christopher J. Conselice</w:t>
        <w:br/>
      </w:r>
      <w:r>
        <w:rPr>
          <w:rFonts w:ascii="Times New Roman" w:hAnsi="Times New Roman" w:eastAsia="宋体"/>
          <w:sz w:val="21"/>
        </w:rPr>
        <w:t xml:space="preserve">时间: 2026-01-28 | </w:t>
      </w:r>
      <w:r>
        <w:t xml:space="preserve">链接: </w:t>
      </w:r>
      <w:hyperlink r:id="rId311">
        <w:r>
          <w:rPr>
            <w:rFonts w:ascii="Times New Roman" w:hAnsi="Times New Roman" w:eastAsia="宋体"/>
            <w:color w:val="0000FF"/>
            <w:sz w:val="21"/>
            <w:u w:val="single"/>
          </w:rPr>
          <w:t>https://doi.org/10.1038/s41586-025-09973-1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星系团是宇宙中质量最大的引力束缚结构，可作为大规模结构组装的示踪剂1。研究它们的祖先，原星团，揭示了星团形成的最早阶段。然而，检测原星系团的要求很高：它们的成员星系是松散束缚的，并且新兴的热星系团内介质（ICM）可能仅处于病毒化的初始阶段2、3-4。最近的詹姆斯·韦伯太空望远镜 (JWST) 观测通过识别 z ≳ 5 星系 5、6、7、8-9 的过密度，找到了几个候选原星系团。然而，这些候选者都没有被 X 射线观测发现，而 X 射线观测提供了揭示热 ICM 的有力方法。在这里，我们报告了钱德拉和 JWST 对原星团 JADES-ID1 的联合检测，其 z ≈ 5.68，距离大爆炸仅 10 亿年。我们测量辐射热X射线光度 Lbol=(1.5−0.6+0.5)×1044ergs−1\documentclass[12pt]{minimal} \usepackage{amsmath} \usepackage{wasysym} \usepackage{amsfonts} \usepackage{amssymb} \usepackage{amsbsy} \usepackage{mathrsfs} \usepackage{upgreek} \setlength{\oddsidemargin}{-69pt} \begin{document}$${L}_{{\rm{bol}}}=(1.{5}_{-0.6}^{+0.5})\times 1{0}^{44}\,{\rm{erg}}\,{{\rm{s}}}^{-1}$$\end{document} 并推断总引力质量为M500=(1.8−0.7+0.6)×1013M⊙\documentclass[12pt]{minimal} \usepackage{amsmath} \usepackage{wasysym} \usepackage{amsfonts} \usepackage{amssymb} \usepackage{amsbsy} \usepackage{mathrsfs} \usepackage{upgreek} \setlength{\oddsidemargin}{-69pt} \begin{document}$${M}_{500}=(1.{8}_{-0.7}^{+0.6})\times 1{0}^{13}\,{M}_{\odot }$$\end{document}，使该系统成为当今最大质量星系团的祖先。对扩展的冲击加热气体的检测表明，早在 z ≈ 5.7 时，大量的 ICM 加热就可能在大质量晕中发生。此外，鉴于调查量有限，从统计上来说，发现如此巨大的星团是不可能的10，这意味着在早期宇宙的某些区域，大规模结构的形成一定比标准宇宙学模型预测的要快。在大爆炸后仅仅十亿年，在 z = 5.68 处发现了一个原星团，这表明早期宇宙的某些区域中大规模结构的形成速度一定比之前认为的要快。</w:t>
      </w:r>
    </w:p>
    <w:p>
      <w:pPr>
        <w:spacing w:before="120"/>
      </w:pPr>
      <w:r>
        <w:rPr>
          <w:rFonts w:ascii="Times New Roman" w:hAnsi="Times New Roman" w:eastAsia="宋体"/>
          <w:b/>
          <w:sz w:val="21"/>
        </w:rPr>
        <w:t>English Abstract:</w:t>
      </w:r>
    </w:p>
    <w:p>
      <w:r>
        <w:rPr>
          <w:rFonts w:ascii="Times New Roman" w:hAnsi="Times New Roman" w:eastAsia="宋体"/>
          <w:sz w:val="21"/>
        </w:rPr>
        <w:t>Galaxy clusters are the most massive gravitationally bound structures in the universe and serve as tracers of the assembly of large-scale structure1. Studying their progenitors, protoclusters, sheds light on the earliest stages of cluster formation. However, detecting protoclusters is demanding: their member galaxies are loosely bound and the emerging hot intracluster medium (ICM) may only be in the initial stages of virialization2, 3–4. Recent James Webb Space Telescope (JWST) observations located several protocluster candidates by identifying overdensities of z ≳ 5 galaxies5, 6, 7, 8–9. However, none of these candidates was detected by X-ray observations, which offer a powerful way to unveil the hot ICM. Here we report the combined Chandra and JWST detection of a protocluster, JADES-ID1, at z ≈ 5.68, merely one billion years after the Big Bang. We measure a bolometric X-ray luminosity of Lbol=(1.5−0.6+0.5)×1044ergs−1\documentclass[12pt]{minimal} \usepackage{amsmath} \usepackage{wasysym} \usepackage{amsfonts} \usepackage{amssymb} \usepackage{amsbsy} \usepackage{mathrsfs} \usepackage{upgreek} \setlength{\oddsidemargin}{-69pt} \begin{document}$${L}_{{\rm{bol}}}=(1.{5}_{-0.6}^{+0.5})\times 1{0}^{44}\,{\rm{erg}}\,{{\rm{s}}}^{-1}$$\end{document} and infer a total gravitating mass of M500=(1.8−0.7+0.6)×1013M⊙\documentclass[12pt]{minimal} \usepackage{amsmath} \usepackage{wasysym} \usepackage{amsfonts} \usepackage{amssymb} \usepackage{amsbsy} \usepackage{mathrsfs} \usepackage{upgreek} \setlength{\oddsidemargin}{-69pt} \begin{document}$${M}_{500}=(1.{8}_{-0.7}^{+0.6})\times 1{0}^{13}\,{M}_{\odot }$$\end{document}, making this system a progenitor of today’s most massive galaxy clusters. The detection of extended, shock-heated gas indicates that substantial ICM heating can occur in massive halos as early as z ≈ 5.7. Also, given the limited survey volume, the discovery of such a massive cluster is statistically unlikely10, implying that the formation of the large-scale structure must have occurred more rapidly in some regions of the early universe than standard cosmological models predict. Discovery of a protocluster at z = 5.68, merely one billion years after the Big Bang, suggests that large-scale structure must have formed more rapidly in some regions of the early universe than previously thought.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莫尔条纹 WSe2 中的带宽调谐莫特跃迁和超导性</w:t>
      </w:r>
    </w:p>
    <w:p>
      <w:r>
        <w:rPr>
          <w:rFonts w:ascii="Times New Roman" w:hAnsi="Times New Roman" w:eastAsia="宋体"/>
          <w:b/>
          <w:color w:val="003264"/>
          <w:sz w:val="24"/>
        </w:rPr>
        <w:t>Bandwidth-tuned Mott transition and superconductivity in moiré WSe2</w:t>
      </w:r>
    </w:p>
    <w:p>
      <w:r>
        <w:rPr>
          <w:rFonts w:ascii="Times New Roman" w:hAnsi="Times New Roman" w:eastAsia="宋体"/>
          <w:sz w:val="21"/>
        </w:rPr>
        <w:t>作者: Yiyu Xia, Zhongdong Han, Jiacheng Zhu, Yichi Zhang, Patrick Knüppel, Kenji Watanabe, Takashi Taniguchi, Kin Fai Mak, Jie Shan</w:t>
        <w:br/>
      </w:r>
      <w:r>
        <w:rPr>
          <w:rFonts w:ascii="Times New Roman" w:hAnsi="Times New Roman" w:eastAsia="宋体"/>
          <w:sz w:val="21"/>
        </w:rPr>
        <w:t xml:space="preserve">时间: 2026-01-28 | </w:t>
      </w:r>
      <w:r>
        <w:t xml:space="preserve">链接: </w:t>
      </w:r>
      <w:hyperlink r:id="rId312">
        <w:r>
          <w:rPr>
            <w:rFonts w:ascii="Times New Roman" w:hAnsi="Times New Roman" w:eastAsia="宋体"/>
            <w:color w:val="0000FF"/>
            <w:sz w:val="21"/>
            <w:u w:val="single"/>
          </w:rPr>
          <w:t>https://doi.org/10.1038/s41586-025-10049-3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强相关材料中高转变温度（T c ）超导的出现仍然是物理学中未解决的主要问题。铜酸盐等高温材料通常很复杂且不易调节，这使得理论建模变得困难。尽管哈伯德模型（晶格上电子相互作用的简单理论模型）被认为捕获了高温 c 材料的基本物理特性 1-5，但获得该模型的精确解（特别是在中等相关性的相关范围内）具有挑战性 6 。最近演示了莫尔 WSe 2 中的鲁棒超导性（参考文献 7,8），其中低能电子带可以通过哈伯德模型描述并且高度可调 9-11 ，为研究高温 c 问题提供了一个新平台。在这里，我们通过扭转角将莫尔条纹 WSe 2 双层调整到中等相关状态，并通过静电门控、电传输和磁光测量来绘制每个莫尔晶胞一个孔 (ν = 1) 周围的相图。我们观察到一系列高温现象，包括 ν = 1 时的反铁磁绝缘体、电子和空穴掺杂的超导圆顶，以及不寻常的金属态，例如奇怪的金属 12-14 。扭转角度依赖性研究进一步表明，最高 T c 总是出现在莫特跃迁附近 3,15 。我们的结果表明强相关性是莫尔纹WSe 2 超导性的关键，并建立了一种以可控方式研究高温超导性的新材料系统。</w:t>
      </w:r>
    </w:p>
    <w:p>
      <w:pPr>
        <w:spacing w:before="120"/>
      </w:pPr>
      <w:r>
        <w:rPr>
          <w:rFonts w:ascii="Times New Roman" w:hAnsi="Times New Roman" w:eastAsia="宋体"/>
          <w:b/>
          <w:sz w:val="21"/>
        </w:rPr>
        <w:t>English Abstract:</w:t>
      </w:r>
    </w:p>
    <w:p>
      <w:r>
        <w:rPr>
          <w:rFonts w:ascii="Times New Roman" w:hAnsi="Times New Roman" w:eastAsia="宋体"/>
          <w:sz w:val="21"/>
        </w:rPr>
        <w:t>Abstract The emergence of high-transition-temperature ( T c ) superconductivity in strongly correlated materials remains the main unsolved problem in physics. High- T c materials, such as cuprates, are generally complex and not easily tunable, making theoretical modelling difficult. Although the Hubbard model—a simple theoretical model of interacting electrons on a lattice—is believed to capture the essential physics of high- T c materials 1–5 , obtaining accurate solutions of the model, especially in the relevant regime of moderate correlation, is challenging 6 . The recent demonstration of robust superconductivity in moiré WSe 2 (refs. 7,8 ), in which low-energy electronic bands can be described by the Hubbard model and are highly tunable 9–11 , presents a new platform for studying the high- T c problem. Here we tune moiré WSe 2 bilayers to the moderate correlation regime through the twist angle and map the phase diagram around one hole per moiré unit cell ( ν = 1) by electrostatic gating and electrical transport and magneto-optical measurements. We observe a range of high- T c phenomenology, including an antiferromagnetic insulator at ν = 1, superconducting domes on electron and hole doping, and unusual metallic states such as strange metals 12–14 . Twist-angle dependence studies further show that the highest T c always occurs adjacent to the Mott transition 3,15 . Our results indicate strong correlation as the key to superconductivity in moiré WSe 2 and establish a new material system for studying high- T c superconductivity in a controllable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光动力细菌成为活的化学工厂</w:t>
      </w:r>
    </w:p>
    <w:p>
      <w:r>
        <w:rPr>
          <w:rFonts w:ascii="Times New Roman" w:hAnsi="Times New Roman" w:eastAsia="宋体"/>
          <w:b/>
          <w:color w:val="003264"/>
          <w:sz w:val="24"/>
        </w:rPr>
        <w:t>Light-powered bacteria become living chemical factories</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3">
        <w:r>
          <w:rPr>
            <w:rFonts w:ascii="Times New Roman" w:hAnsi="Times New Roman" w:eastAsia="宋体"/>
            <w:color w:val="0000FF"/>
            <w:sz w:val="21"/>
            <w:u w:val="single"/>
          </w:rPr>
          <w:t>https://doi.org/10.1038/d41586-026-00275-8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工程大肠杆菌可以为新药和其他化学品的更可持续途径打开大门。</w:t>
      </w:r>
    </w:p>
    <w:p>
      <w:pPr>
        <w:spacing w:before="120"/>
      </w:pPr>
      <w:r>
        <w:rPr>
          <w:rFonts w:ascii="Times New Roman" w:hAnsi="Times New Roman" w:eastAsia="宋体"/>
          <w:b/>
          <w:sz w:val="21"/>
        </w:rPr>
        <w:t>English Abstract:</w:t>
      </w:r>
    </w:p>
    <w:p>
      <w:r>
        <w:rPr>
          <w:rFonts w:ascii="Times New Roman" w:hAnsi="Times New Roman" w:eastAsia="宋体"/>
          <w:sz w:val="21"/>
        </w:rPr>
        <w:t>Engineered Escherichia coli could open the door to more sustainable routes to new drugs and other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中国正在押注“光学”计算机芯片——它们会为人工智能提供动力吗？</w:t>
      </w:r>
    </w:p>
    <w:p>
      <w:r>
        <w:rPr>
          <w:rFonts w:ascii="Times New Roman" w:hAnsi="Times New Roman" w:eastAsia="宋体"/>
          <w:b/>
          <w:color w:val="003264"/>
          <w:sz w:val="24"/>
        </w:rPr>
        <w:t>China is betting on ‘optical’ computer chips — will they power AI?</w:t>
      </w:r>
    </w:p>
    <w:p>
      <w:r>
        <w:rPr>
          <w:rFonts w:ascii="Times New Roman" w:hAnsi="Times New Roman" w:eastAsia="宋体"/>
          <w:sz w:val="21"/>
        </w:rPr>
        <w:t>作者: Mohana Basu</w:t>
        <w:br/>
      </w:r>
      <w:r>
        <w:rPr>
          <w:rFonts w:ascii="Times New Roman" w:hAnsi="Times New Roman" w:eastAsia="宋体"/>
          <w:sz w:val="21"/>
        </w:rPr>
        <w:t xml:space="preserve">时间: 2026-01-30 | </w:t>
      </w:r>
      <w:r>
        <w:t xml:space="preserve">链接: </w:t>
      </w:r>
      <w:hyperlink r:id="rId314">
        <w:r>
          <w:rPr>
            <w:rFonts w:ascii="Times New Roman" w:hAnsi="Times New Roman" w:eastAsia="宋体"/>
            <w:color w:val="0000FF"/>
            <w:sz w:val="21"/>
            <w:u w:val="single"/>
          </w:rPr>
          <w:t>https://doi.org/10.1038/d41586-026-00274-9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处理光而不是电的半导体芯片可以提高处理速度并减少能源消耗。</w:t>
      </w:r>
    </w:p>
    <w:p>
      <w:pPr>
        <w:spacing w:before="120"/>
      </w:pPr>
      <w:r>
        <w:rPr>
          <w:rFonts w:ascii="Times New Roman" w:hAnsi="Times New Roman" w:eastAsia="宋体"/>
          <w:b/>
          <w:sz w:val="21"/>
        </w:rPr>
        <w:t>English Abstract:</w:t>
      </w:r>
    </w:p>
    <w:p>
      <w:r>
        <w:rPr>
          <w:rFonts w:ascii="Times New Roman" w:hAnsi="Times New Roman" w:eastAsia="宋体"/>
          <w:sz w:val="21"/>
        </w:rPr>
        <w:t>Semiconductor chips that process light rather than electricity could boost processing speeds and reduce energy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最大的星系调查证实宇宙还不够块状</w:t>
      </w:r>
    </w:p>
    <w:p>
      <w:r>
        <w:rPr>
          <w:rFonts w:ascii="Times New Roman" w:hAnsi="Times New Roman" w:eastAsia="宋体"/>
          <w:b/>
          <w:color w:val="003264"/>
          <w:sz w:val="24"/>
        </w:rPr>
        <w:t>Largest galaxy survey yet confirms that the Universe is not clumpy enough</w:t>
      </w:r>
    </w:p>
    <w:p>
      <w:r>
        <w:rPr>
          <w:rFonts w:ascii="Times New Roman" w:hAnsi="Times New Roman" w:eastAsia="宋体"/>
          <w:sz w:val="21"/>
        </w:rPr>
        <w:t>作者: Unknown</w:t>
        <w:br/>
      </w:r>
      <w:r>
        <w:rPr>
          <w:rFonts w:ascii="Times New Roman" w:hAnsi="Times New Roman" w:eastAsia="宋体"/>
          <w:sz w:val="21"/>
        </w:rPr>
        <w:t xml:space="preserve">时间: 2026-01-30 | </w:t>
      </w:r>
      <w:r>
        <w:t xml:space="preserve">链接: </w:t>
      </w:r>
      <w:hyperlink r:id="rId315">
        <w:r>
          <w:rPr>
            <w:rFonts w:ascii="Times New Roman" w:hAnsi="Times New Roman" w:eastAsia="宋体"/>
            <w:color w:val="0000FF"/>
            <w:sz w:val="21"/>
            <w:u w:val="single"/>
          </w:rPr>
          <w:t>https://doi.org/10.1038/d41586-026-00276-7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暗能量调查的六年结果凸显了标准宇宙学理论中尚未解决的紧张局势。</w:t>
      </w:r>
    </w:p>
    <w:p>
      <w:pPr>
        <w:spacing w:before="120"/>
      </w:pPr>
      <w:r>
        <w:rPr>
          <w:rFonts w:ascii="Times New Roman" w:hAnsi="Times New Roman" w:eastAsia="宋体"/>
          <w:b/>
          <w:sz w:val="21"/>
        </w:rPr>
        <w:t>English Abstract:</w:t>
      </w:r>
    </w:p>
    <w:p>
      <w:r>
        <w:rPr>
          <w:rFonts w:ascii="Times New Roman" w:hAnsi="Times New Roman" w:eastAsia="宋体"/>
          <w:sz w:val="21"/>
        </w:rPr>
        <w:t>The six-year results from the Dark Energy Survey highlight unresolved tensions in standard cosmological theory.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观察太阳像河豚一样膨胀和收缩——一月最佳科学图片</w:t>
      </w:r>
    </w:p>
    <w:p>
      <w:r>
        <w:rPr>
          <w:rFonts w:ascii="Times New Roman" w:hAnsi="Times New Roman" w:eastAsia="宋体"/>
          <w:b/>
          <w:color w:val="003264"/>
          <w:sz w:val="24"/>
        </w:rPr>
        <w:t>See the Sun expand and contract like a pufferfish — January’s best science images</w:t>
      </w:r>
    </w:p>
    <w:p>
      <w:r>
        <w:rPr>
          <w:rFonts w:ascii="Times New Roman" w:hAnsi="Times New Roman" w:eastAsia="宋体"/>
          <w:sz w:val="21"/>
        </w:rPr>
        <w:t>作者: Fred Schwaller</w:t>
        <w:br/>
      </w:r>
      <w:r>
        <w:rPr>
          <w:rFonts w:ascii="Times New Roman" w:hAnsi="Times New Roman" w:eastAsia="宋体"/>
          <w:sz w:val="21"/>
        </w:rPr>
        <w:t xml:space="preserve">时间: 2026-02-02 | </w:t>
      </w:r>
      <w:r>
        <w:t xml:space="preserve">链接: </w:t>
      </w:r>
      <w:hyperlink r:id="rId316">
        <w:r>
          <w:rPr>
            <w:rFonts w:ascii="Times New Roman" w:hAnsi="Times New Roman" w:eastAsia="宋体"/>
            <w:color w:val="0000FF"/>
            <w:sz w:val="21"/>
            <w:u w:val="single"/>
          </w:rPr>
          <w:t>https://doi.org/10.1038/d41586-026-00307-3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用于可扩展量子中继器的长寿命远程离子纠缠</w:t>
      </w:r>
    </w:p>
    <w:p>
      <w:r>
        <w:rPr>
          <w:rFonts w:ascii="Times New Roman" w:hAnsi="Times New Roman" w:eastAsia="宋体"/>
          <w:b/>
          <w:color w:val="003264"/>
          <w:sz w:val="24"/>
        </w:rPr>
        <w:t>Long-lived remote ion-ion entanglement for scalable quantum repeaters</w:t>
      </w:r>
    </w:p>
    <w:p>
      <w:r>
        <w:rPr>
          <w:rFonts w:ascii="Times New Roman" w:hAnsi="Times New Roman" w:eastAsia="宋体"/>
          <w:sz w:val="21"/>
        </w:rPr>
        <w:t>作者: Wen-Zhao Liu, Ya-Bin Zhou, Jiu-Peng Chen, Bin Wang, Ao Teng, Xiao-Wen Han, Guang-Cheng Liu, Zhi-Jiong Zhang, Yi Yang, Feng-Guang Liu, Chao-Hui Xue, Bo-Wen Yang, Jin Yang, Chao Zeng, Du-Ruo Pan, Ming-Yang Zheng, Xingjian Zhang, Shen Cao, Yi-Zheng Zhen, You Xiao, Hao Li, Lixing You, Xiongfeng Ma, Qi Zhao, Feihu Xu, Ye Wang, Yong Wan, Qiang Zhang, Jian-Wei Pan</w:t>
        <w:br/>
      </w:r>
      <w:r>
        <w:rPr>
          <w:rFonts w:ascii="Times New Roman" w:hAnsi="Times New Roman" w:eastAsia="宋体"/>
          <w:sz w:val="21"/>
        </w:rPr>
        <w:t xml:space="preserve">时间: 2026-02-02 | </w:t>
      </w:r>
      <w:r>
        <w:t xml:space="preserve">链接: </w:t>
      </w:r>
      <w:hyperlink r:id="rId317">
        <w:r>
          <w:rPr>
            <w:rFonts w:ascii="Times New Roman" w:hAnsi="Times New Roman" w:eastAsia="宋体"/>
            <w:color w:val="0000FF"/>
            <w:sz w:val="21"/>
            <w:u w:val="single"/>
          </w:rPr>
          <w:t>https://doi.org/10.1038/s41586-026-10177-4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网络集成了量子通信、量子计量和分布式量子计算，可以提供安全高效的信息传输、高分辨率传感和信息处理的指数级加速1。长距离确定性纠缠分布是可扩展量子网络的先决条件2-5。然而，光纤中的指数光子损耗阻碍了有效且确定性的纠缠分布。量子中继器6将纠缠交换4、7、8和纠缠净化9-11与量子存储器相结合，为克服基于光纤的量子网络中的这一限制提供了最有前途的方法。尽管做出了许多开创性的努力12-25，但一个关键的瓶颈仍然存在，因为远程记忆-记忆纠缠发生退相干的速度比长距离建立和净化的速度更快。在这里，我们演示了由 10 公里缠绕光纤连接的两个节点之间的内存-内存纠缠，其存活时间超出了平均纠缠建立时间。这是通过长寿命俘获离子存储器、高效电信接口和高可见度单光子纠缠协议的开发来实现的26,27。作为一个应用，我们报告了原理验证的设备无关量子密钥分配（DI-QKD）演示，在渐近极限下进行了超过 10 公里的有限尺寸分析和超过 101 公里的正密钥率，这两个距离都超出了之前的工作两个数量级以上28-30。我们的工作为量子中继器提供了关键的构建模块，标志着迈向可扩展量子网络的重要一步。</w:t>
      </w:r>
    </w:p>
    <w:p>
      <w:pPr>
        <w:spacing w:before="120"/>
      </w:pPr>
      <w:r>
        <w:rPr>
          <w:rFonts w:ascii="Times New Roman" w:hAnsi="Times New Roman" w:eastAsia="宋体"/>
          <w:b/>
          <w:sz w:val="21"/>
        </w:rPr>
        <w:t>English Abstract:</w:t>
      </w:r>
    </w:p>
    <w:p>
      <w:r>
        <w:rPr>
          <w:rFonts w:ascii="Times New Roman" w:hAnsi="Times New Roman" w:eastAsia="宋体"/>
          <w:sz w:val="21"/>
        </w:rPr>
        <w:t>Quantum networks, integrating quantum communication, quantum metrology, and distributed quantum computing, could provide secure and efficient information transfer, high-resolution sensing, and an exponential speed-up in information processing1. Deterministic entanglement distribution over long distances is a prerequisite for scalable quantum networks2–5. However, the exponential photon loss in optical fibres prohibits efficient and deterministic entanglement distribution. Quantum repeaters6, incorporating entanglement swapping4,7,8 and entanglement purification9–11 with quantum memories, offer the most promising means to overcome this limitation in fibre-based quantum networks. Despite numerous pioneering efforts12–25, a critical bottleneck remains, as remote memory-memory entanglement suffers from decoherence more rapidly than it can be established and purified over long distances. Here, we demonstrate memory-memory entanglement between two nodes connected by 10 km of spooled fibre surviving beyond the average entanglement establishment time. This is enabled by the development of long-lived trapped-ion memories, an efficient telecom interface, and a high-visibility single-photon entanglement protocol26,27. As an application, we report a proof-of-principle device-independent quantum key distributio (DI-QKD) demonstration with finite-size analysis over 10 km and a positive key rate over 101 km in the asymptotic limit, with both distances exceeding previous work by more than two orders of magnitude28–30. Our work provides a critical building block for quantum repeaters and marks an important step toward scalable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许多人没有心理意象。他们的脑子里在想什么？</w:t>
      </w:r>
    </w:p>
    <w:p>
      <w:r>
        <w:rPr>
          <w:rFonts w:ascii="Times New Roman" w:hAnsi="Times New Roman" w:eastAsia="宋体"/>
          <w:b/>
          <w:color w:val="003264"/>
          <w:sz w:val="24"/>
        </w:rPr>
        <w:t>Many people have no mental imagery. What’s going on in their brains?</w:t>
      </w:r>
    </w:p>
    <w:p>
      <w:r>
        <w:rPr>
          <w:rFonts w:ascii="Times New Roman" w:hAnsi="Times New Roman" w:eastAsia="宋体"/>
          <w:sz w:val="21"/>
        </w:rPr>
        <w:t>作者: Elizabeth Quill</w:t>
        <w:br/>
      </w:r>
      <w:r>
        <w:rPr>
          <w:rFonts w:ascii="Times New Roman" w:hAnsi="Times New Roman" w:eastAsia="宋体"/>
          <w:sz w:val="21"/>
        </w:rPr>
        <w:t xml:space="preserve">时间: 2026-02-03 | </w:t>
      </w:r>
      <w:r>
        <w:t xml:space="preserve">链接: </w:t>
      </w:r>
      <w:hyperlink r:id="rId318">
        <w:r>
          <w:rPr>
            <w:rFonts w:ascii="Times New Roman" w:hAnsi="Times New Roman" w:eastAsia="宋体"/>
            <w:color w:val="0000FF"/>
            <w:sz w:val="21"/>
            <w:u w:val="single"/>
          </w:rPr>
          <w:t>https://doi.org/10.1038/d41586-026-00311-7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每日简报：科学家深入研究历史的味道</w:t>
      </w:r>
    </w:p>
    <w:p>
      <w:r>
        <w:rPr>
          <w:rFonts w:ascii="Times New Roman" w:hAnsi="Times New Roman" w:eastAsia="宋体"/>
          <w:b/>
          <w:color w:val="003264"/>
          <w:sz w:val="24"/>
        </w:rPr>
        <w:t>Daily briefing: Scientists delve into the smells of history</w:t>
      </w:r>
    </w:p>
    <w:p>
      <w:r>
        <w:rPr>
          <w:rFonts w:ascii="Times New Roman" w:hAnsi="Times New Roman" w:eastAsia="宋体"/>
          <w:sz w:val="21"/>
        </w:rPr>
        <w:t>作者: Flora Graham</w:t>
        <w:br/>
      </w:r>
      <w:r>
        <w:rPr>
          <w:rFonts w:ascii="Times New Roman" w:hAnsi="Times New Roman" w:eastAsia="宋体"/>
          <w:sz w:val="21"/>
        </w:rPr>
        <w:t xml:space="preserve">时间: 2026-02-02 | </w:t>
      </w:r>
      <w:r>
        <w:t xml:space="preserve">链接: </w:t>
      </w:r>
      <w:hyperlink r:id="rId319">
        <w:r>
          <w:rPr>
            <w:rFonts w:ascii="Times New Roman" w:hAnsi="Times New Roman" w:eastAsia="宋体"/>
            <w:color w:val="0000FF"/>
            <w:sz w:val="21"/>
            <w:u w:val="single"/>
          </w:rPr>
          <w:t>https://doi.org/10.1038/d41586-026-00353-x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研究人员正在努力重现从木乃伊到滑铁卢战役的遗产和历史的气味。另外，本月最佳科学图像以及我们是否已经实现了“通用人工智能”。</w:t>
      </w:r>
    </w:p>
    <w:p>
      <w:pPr>
        <w:spacing w:before="120"/>
      </w:pPr>
      <w:r>
        <w:rPr>
          <w:rFonts w:ascii="Times New Roman" w:hAnsi="Times New Roman" w:eastAsia="宋体"/>
          <w:b/>
          <w:sz w:val="21"/>
        </w:rPr>
        <w:t>English Abstract:</w:t>
      </w:r>
    </w:p>
    <w:p>
      <w:r>
        <w:rPr>
          <w:rFonts w:ascii="Times New Roman" w:hAnsi="Times New Roman" w:eastAsia="宋体"/>
          <w:sz w:val="21"/>
        </w:rPr>
        <w:t>Researchers are working to reproduce the smells of heritage and history, from mummies to the Battle of Waterloo. Plus, the best science images of the month and whether we’ve already achieved ‘artificial general intelligence’.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13:05 ---</w:t>
      </w:r>
    </w:p>
    <w:p>
      <w:pPr>
        <w:pStyle w:val="Heading2"/>
      </w:pPr>
      <w:r/>
      <w:r>
        <w:rPr>
          <w:rFonts w:ascii="Times New Roman" w:hAnsi="Times New Roman" w:eastAsia="宋体"/>
          <w:b/>
          <w:color w:val="000000"/>
          <w:sz w:val="24"/>
        </w:rPr>
        <w:t>1.43亿年海水锇同位素记录：火山活动和构造的趋势、节奏和动态</w:t>
      </w:r>
    </w:p>
    <w:p>
      <w:r>
        <w:rPr>
          <w:rFonts w:ascii="Times New Roman" w:hAnsi="Times New Roman" w:eastAsia="宋体"/>
          <w:b/>
          <w:color w:val="003264"/>
          <w:sz w:val="24"/>
        </w:rPr>
        <w:t>143–million-year seawater osmium isotopic record: Trends, rhythms, and dynamics of volcanism and tectonics</w:t>
      </w:r>
    </w:p>
    <w:p>
      <w:r>
        <w:rPr>
          <w:rFonts w:ascii="Times New Roman" w:hAnsi="Times New Roman" w:eastAsia="宋体"/>
          <w:sz w:val="21"/>
        </w:rPr>
        <w:t>作者: Hironao Matsumoto, Yasuto Watanabe, Rodolfo Coccioni, Fabrizio Frontalini, Toshihiro Yoshimura, Junichiro Kuroda, Katsuhiko Suzuki</w:t>
        <w:br/>
      </w:r>
      <w:r>
        <w:rPr>
          <w:rFonts w:ascii="Times New Roman" w:hAnsi="Times New Roman" w:eastAsia="宋体"/>
          <w:sz w:val="21"/>
        </w:rPr>
        <w:t xml:space="preserve">时间: 2026-01-22 | </w:t>
      </w:r>
      <w:r>
        <w:t xml:space="preserve">链接: </w:t>
      </w:r>
      <w:hyperlink r:id="rId320">
        <w:r>
          <w:rPr>
            <w:rFonts w:ascii="Times New Roman" w:hAnsi="Times New Roman" w:eastAsia="宋体"/>
            <w:color w:val="0000FF"/>
            <w:sz w:val="21"/>
            <w:u w:val="single"/>
          </w:rPr>
          <w:t>https://doi.org/10.1126/science.adw8301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构造事件和形成大型火成岩省（LIP）的火山脉冲改变了地球的古气候。锇 (Os) 和锶 (Sr) 同位素比是过去大陆风化和 LIP 喷发的关键示踪剂。然而，有限的白垩纪海水 Os 和河流 Os-Sr 数据阻碍了定量重建。在这项研究中，我们提出了从白垩纪至今的长期锇同位素记录，揭示了白垩纪期间约 10 至 2000 万年的周期，与有节奏的 LIP 喷发一致。海水Os-Sr同位素趋势表明，白垩纪晚期[约9000万年前(Ma)]和古近纪(约35 Ma)期间大陆风化模式的转变分别归因于大西洋张开和喜马拉雅山隆起和冰川作用期间冈瓦纳内陆风化的加剧。我们的骨同位素记录强调了其在追踪长期 LIP 周期和识别主要古地理转折点方面的实用性。</w:t>
      </w:r>
    </w:p>
    <w:p>
      <w:pPr>
        <w:spacing w:before="120"/>
      </w:pPr>
      <w:r>
        <w:rPr>
          <w:rFonts w:ascii="Times New Roman" w:hAnsi="Times New Roman" w:eastAsia="宋体"/>
          <w:b/>
          <w:sz w:val="21"/>
        </w:rPr>
        <w:t>English Abstract:</w:t>
      </w:r>
    </w:p>
    <w:p>
      <w:r>
        <w:rPr>
          <w:rFonts w:ascii="Times New Roman" w:hAnsi="Times New Roman" w:eastAsia="宋体"/>
          <w:sz w:val="21"/>
        </w:rPr>
        <w:t>Tectonic events and volcanic pulses forming large igneous provinces (LIPs) have altered Earth’s paleoclimate. Osmium (Os) and strontium (Sr) isotopic ratios are key tracers of past continental weathering and LIP eruptions. However, limited Cretaceous seawater Os and riverine Os–Sr data have hindered quantitative reconstructions. In this study, we present a long-term Os isotopic record from the Cretaceous to the present, revealing ~10– to 20–million-year cycles during the Cretaceous that align with rhythmic LIP eruptions. Seawater Os–Sr isotopic trends indicate transitions in continental weathering patterns during the Late Cretaceous [~90 million years ago (Ma)] and Paleogene (~35 Ma) ascribed to intensified weathering of interior Gondwana during the opening of the Atlantic Ocean and the uplift and glaciation of the Himalaya, respectively. Our Os isotopic record highlights its utility in tracing long-term LIP cycles and identifying major paleogeographic turning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Jelena Stajic, Keith T. Smith, Jake S. Yeston, Phil Szuromi, Yikyung Park, Annalisa VanHook, Courtney Malo, Madeleine Seale, Stella M. Hurtley, Mattia Maroso, Sarah H. Ross, Corinne Simonti, Leoma Bere</w:t>
        <w:br/>
      </w:r>
      <w:r>
        <w:rPr>
          <w:rFonts w:ascii="Times New Roman" w:hAnsi="Times New Roman" w:eastAsia="宋体"/>
          <w:sz w:val="21"/>
        </w:rPr>
        <w:t xml:space="preserve">时间: 2026-01-22 | </w:t>
      </w:r>
      <w:r>
        <w:t xml:space="preserve">链接: </w:t>
      </w:r>
      <w:hyperlink r:id="rId321">
        <w:r>
          <w:rPr>
            <w:rFonts w:ascii="Times New Roman" w:hAnsi="Times New Roman" w:eastAsia="宋体"/>
            <w:color w:val="0000FF"/>
            <w:sz w:val="21"/>
            <w:u w:val="single"/>
          </w:rPr>
          <w:t>https://doi.org/10.1126/science.aef5688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玻色-爱因斯坦凝聚体中爱因斯坦-德哈斯效应的观察</w:t>
      </w:r>
    </w:p>
    <w:p>
      <w:r>
        <w:rPr>
          <w:rFonts w:ascii="Times New Roman" w:hAnsi="Times New Roman" w:eastAsia="宋体"/>
          <w:b/>
          <w:color w:val="003264"/>
          <w:sz w:val="24"/>
        </w:rPr>
        <w:t>Observation of the Einstein–de Haas effect in a Bose–Einstein condensate</w:t>
      </w:r>
    </w:p>
    <w:p>
      <w:r>
        <w:rPr>
          <w:rFonts w:ascii="Times New Roman" w:hAnsi="Times New Roman" w:eastAsia="宋体"/>
          <w:sz w:val="21"/>
        </w:rPr>
        <w:t>作者: Hiroki Matsui, Yuki Miyazawa, Ryoto Goto, Chihiro Nakano, Yuki Kawaguchi, Masahito Ueda, Mikio Kozuma</w:t>
        <w:br/>
      </w:r>
      <w:r>
        <w:rPr>
          <w:rFonts w:ascii="Times New Roman" w:hAnsi="Times New Roman" w:eastAsia="宋体"/>
          <w:sz w:val="21"/>
        </w:rPr>
        <w:t xml:space="preserve">时间: 2026-01-22 | </w:t>
      </w:r>
      <w:r>
        <w:t xml:space="preserve">链接: </w:t>
      </w:r>
      <w:hyperlink r:id="rId322">
        <w:r>
          <w:rPr>
            <w:rFonts w:ascii="Times New Roman" w:hAnsi="Times New Roman" w:eastAsia="宋体"/>
            <w:color w:val="0000FF"/>
            <w:sz w:val="21"/>
            <w:u w:val="single"/>
          </w:rPr>
          <w:t>https://doi.org/10.1126/science.adx2872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爱因斯坦-德哈斯效应是一种角动量从微观自旋转移到宏观刚体机械旋转的现象。我们报告了在自旋偶极玻色-爱因斯坦凝聚体中观察到的爱因斯坦-德哈斯效应，其中固有的磁偶极子-偶极子相互作用介导了角动量从原子自旋到量子流体集体循环的相干转移。去偏振的旋量分量显示出环形密度分布，通过物质波干涉测量证实其为量子化涡旋，揭示了自旋和轨道角动量之间的相干转换。这一观察结果为探索手性对称性破缺、自旋结构和质量循环以及偶极量子气体中的巴尼特效应的基态相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The Einstein–de Haas effect is a phenomenon in which angular momentum is transferred from microscopic spins to mechanical rotation of a macroscopic rigid body. We report an observation of the Einstein–de Haas effect in a spinor-dipolar Bose–Einstein condensate, in which the intrinsic magnetic dipole-dipole interaction mediates coherent transfer of angular momentum from atomic spins to collective circulation of a quantum fluid. The depolarized spinor components displayed ring-shaped density distributions that were confirmed as quantized vortices through matter-wave interferometry, revealing a coherent conversion between spin and orbital angular momentum. This observation opens a pathway to exploring ground-state phases with broken chiral symmetry, spin textures, and mass circulation, as well as the Barnett effect in dipolar quantum gases.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FAP 定向免疫疗法靶向调节动脉粥样硬化中的血管平滑肌细胞</w:t>
      </w:r>
    </w:p>
    <w:p>
      <w:r>
        <w:rPr>
          <w:rFonts w:ascii="Times New Roman" w:hAnsi="Times New Roman" w:eastAsia="宋体"/>
          <w:b/>
          <w:color w:val="003264"/>
          <w:sz w:val="24"/>
        </w:rPr>
        <w:t>Targeting modulated vascular smooth muscle cells in atherosclerosis via FAP-directed immunotherapy</w:t>
      </w:r>
    </w:p>
    <w:p>
      <w:r>
        <w:rPr>
          <w:rFonts w:ascii="Times New Roman" w:hAnsi="Times New Roman" w:eastAsia="宋体"/>
          <w:sz w:val="21"/>
        </w:rPr>
        <w:t>作者: Junedh M. Amrute, In-Hyuk Jung, Tracy Yamawaki, Wen-Ling Lin, Andrea Bredemeyer, Johanna Diekmann, Sikander Hayat, Xianglong Zhang, Devin L. Wakefield, Xin Luo, Sidrah Maryam, Gyu Seong Heo, Steven Yang, Chang Jie Mick Lee, Chen Wang, Caroline Chou, Christoph Kuppe, Kevin D. Cook, Atilla Kovacs, Vishnu Chintalgattu, Danielle Pruitt, Jose Barreda, Nathan O. Stitziel, Paul Cheng, Yongjian Liu, Rafael Kramann, Daniel Kreisel, Roger S-Y Foo, Ingrid C. Rulifson, Scott Martin, David Grunert, Melissa Thomas, Jixin Cui, Thomas Quertermous, Frank M. Bengel, Simon Jackson, Chi-Ming Li, Brandon Ason, Kory J. Lavine</w:t>
        <w:br/>
      </w:r>
      <w:r>
        <w:rPr>
          <w:rFonts w:ascii="Times New Roman" w:hAnsi="Times New Roman" w:eastAsia="宋体"/>
          <w:sz w:val="21"/>
        </w:rPr>
        <w:t xml:space="preserve">时间: 2026-01-29 | </w:t>
      </w:r>
      <w:r>
        <w:t xml:space="preserve">链接: </w:t>
      </w:r>
      <w:hyperlink r:id="rId323">
        <w:r>
          <w:rPr>
            <w:rFonts w:ascii="Times New Roman" w:hAnsi="Times New Roman" w:eastAsia="宋体"/>
            <w:color w:val="0000FF"/>
            <w:sz w:val="21"/>
            <w:u w:val="single"/>
          </w:rPr>
          <w:t>https://doi.org/10.1126/science.adx1736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血管平滑肌细胞 (VSMC) 多样化导致动脉粥样硬化性冠状动脉疾病 (CAD)。控制这些细胞状态转变的机制仍不清楚。我们在 27 条人类冠状动脉中应用了多组学单细胞分析、表位作图和空间转录组学，确定成纤维细胞激活蛋白 (FAP) 作为调节 VSMC 的标记物。小鼠谱系追踪表明 FAP + 细胞源自 Myh11 + VSMC，CAD 患者的 FAP PET 成像显示斑块摄取。 FAP + 细胞状态位于富含巨噬细胞的新内膜中。在治疗上，我们开发了一种抗 FAP 双特异性 T 细胞接合剂，它可以减少斑块负担并通过 T 细胞克隆扩张重塑基质免疫微环境。我们的研究提供了人类 CAD 的单细胞和空间图谱，将 FAP 确立为调节 VSMC 的标记，并强调了针对脂质独立靶标的免疫治疗。</w:t>
      </w:r>
    </w:p>
    <w:p>
      <w:pPr>
        <w:spacing w:before="120"/>
      </w:pPr>
      <w:r>
        <w:rPr>
          <w:rFonts w:ascii="Times New Roman" w:hAnsi="Times New Roman" w:eastAsia="宋体"/>
          <w:b/>
          <w:sz w:val="21"/>
        </w:rPr>
        <w:t>English Abstract:</w:t>
      </w:r>
    </w:p>
    <w:p>
      <w:r>
        <w:rPr>
          <w:rFonts w:ascii="Times New Roman" w:hAnsi="Times New Roman" w:eastAsia="宋体"/>
          <w:sz w:val="21"/>
        </w:rPr>
        <w:t>Vascular smooth muscle cell (VSMC) diversification drives atherosclerotic coronary artery disease (CAD). Mechanisms governing these cell state transitions remain unclear. We applied multiomic single-cell profiling, epitope mapping, and spatial transcriptomics across 27 human coronary arteries, identifying fibroblast activation protein (FAP) as a marker of modulated VSMCs. Lineage tracing in mice indicated that FAP + cells originate from Myh11 + VSMCs, and FAP PET imaging in CAD patients showed plaque uptake. FAP + cells states resided in the macrophage-rich neo-intima. Therapeutically, we developed an anti-FAP bispecific T-cell engager, which reduced plaque burden and remodeled the stromal–immune microenvironment through T-cell clonal expansion. Our study delivers a single-cell and spatial atlas of human CAD, establishes FAP as a marker of modulated VSMCs, and highlights immunotherapy for lipid-independent targets.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DNA-蛋白质交联促进 cGAS-STING 驱动的过早衰老和胚胎致死</w:t>
      </w:r>
    </w:p>
    <w:p>
      <w:r>
        <w:rPr>
          <w:rFonts w:ascii="Times New Roman" w:hAnsi="Times New Roman" w:eastAsia="宋体"/>
          <w:b/>
          <w:color w:val="003264"/>
          <w:sz w:val="24"/>
        </w:rPr>
        <w:t>DNA-protein cross-links promote cGAS-STING–driven premature aging and embryonic lethality</w:t>
      </w:r>
    </w:p>
    <w:p>
      <w:r>
        <w:rPr>
          <w:rFonts w:ascii="Times New Roman" w:hAnsi="Times New Roman" w:eastAsia="宋体"/>
          <w:sz w:val="21"/>
        </w:rPr>
        <w:t>作者: Ines Tomaskovic, Cristian Prieto-Garcia, Maria Boskovic, Mateo Glumac, Tsung-Lin Tsai, Thorsten Mosler, Rubina Kazi, Rajeshwari Rathore, Jorge Andrade, Marina Hoffmann, Giulio Giuliani, Anne-Claire Jacomin, Raquel S. Pereira, Elias Knop, Laurens Wachsmuth, Petra Beli, Koraljka Husnjak, Manolis Pasparakis, Andrea Ablasser, Daniela S. Krause, Michael Potente, Stamatis Papathanasiou, Janos Terzic, Ivan Dikic</w:t>
        <w:br/>
      </w:r>
      <w:r>
        <w:rPr>
          <w:rFonts w:ascii="Times New Roman" w:hAnsi="Times New Roman" w:eastAsia="宋体"/>
          <w:sz w:val="21"/>
        </w:rPr>
        <w:t xml:space="preserve">时间: 2026-01-29 | </w:t>
      </w:r>
      <w:r>
        <w:t xml:space="preserve">链接: </w:t>
      </w:r>
      <w:hyperlink r:id="rId324">
        <w:r>
          <w:rPr>
            <w:rFonts w:ascii="Times New Roman" w:hAnsi="Times New Roman" w:eastAsia="宋体"/>
            <w:color w:val="0000FF"/>
            <w:sz w:val="21"/>
            <w:u w:val="single"/>
          </w:rPr>
          <w:t>https://doi.org/10.1126/science.adx9445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DNA-蛋白质交联 (DPC) 是一种剧毒 DNA 损伤，可阻止复制和转录，但其对生物体生理学的影响尚不清楚。我们确定了金属蛋白酶 SPRTN 在预防 DPC 驱动的免疫及其病理后果中的作用。复制和有丝分裂期间 SPRTN 活性的丧失会导致未解决的 DNA 损伤、染色体分离错误、微核形成和胞质 DNA 释放，从而激活环 GMP-AMP 合酶 (cGAS)——干扰素基因刺激剂 (STING) 途径。在 Ruijs-Aalfs 早衰综合征的 Sprtn 敲入小鼠模型中，慢性 cGas-Sting 信号通过炎症和先天免疫反应导致胚胎死亡。幸存的小鼠从胚胎发生开始就表现出衰老表型，并一直持续到成年。 cGas-Sting 的遗传或药理学抑制可挽救胚胎致死性并减轻早衰表型。</w:t>
      </w:r>
    </w:p>
    <w:p>
      <w:pPr>
        <w:spacing w:before="120"/>
      </w:pPr>
      <w:r>
        <w:rPr>
          <w:rFonts w:ascii="Times New Roman" w:hAnsi="Times New Roman" w:eastAsia="宋体"/>
          <w:b/>
          <w:sz w:val="21"/>
        </w:rPr>
        <w:t>English Abstract:</w:t>
      </w:r>
    </w:p>
    <w:p>
      <w:r>
        <w:rPr>
          <w:rFonts w:ascii="Times New Roman" w:hAnsi="Times New Roman" w:eastAsia="宋体"/>
          <w:sz w:val="21"/>
        </w:rPr>
        <w:t>DNA-protein cross-links (DPCs) are highly toxic DNA lesions that block replication and transcription, but their impact on organismal physiology is unclear. We identified a role for the metalloprotease SPRTN in preventing DPC-driven immunity and its pathological consequences. Loss of SPRTN activity during replication and mitosis lead to unresolved DNA damage, chromosome segregation errors, micronuclei formation, and cytosolic DNA release that activates the cyclic GMP-AMP synthase (cGAS)–stimulator of interferon genes (STING) pathway. In a Sprtn knock-in mouse model of Ruijs-Aalfs progeria syndrome, chronic cGas-Sting signaling caused embryonic lethality through inflammation and innate immune responses. Surviving mice displayed aging phenotypes beginning in embryogenesis, which persisted into adulthood. Genetic or pharmacological inhibition of cGas-Sting rescued embryonic lethality and alleviated progeroid phenotypes.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用光控制塑料行为</w:t>
      </w:r>
    </w:p>
    <w:p>
      <w:r>
        <w:rPr>
          <w:rFonts w:ascii="Times New Roman" w:hAnsi="Times New Roman" w:eastAsia="宋体"/>
          <w:b/>
          <w:color w:val="003264"/>
          <w:sz w:val="24"/>
        </w:rPr>
        <w:t>Controlling plastic behavior with light</w:t>
      </w:r>
    </w:p>
    <w:p>
      <w:r>
        <w:rPr>
          <w:rFonts w:ascii="Times New Roman" w:hAnsi="Times New Roman" w:eastAsia="宋体"/>
          <w:sz w:val="21"/>
        </w:rPr>
        <w:t>作者: Jake L. Nicholson, Quentin Michaudel</w:t>
        <w:br/>
      </w:r>
      <w:r>
        <w:rPr>
          <w:rFonts w:ascii="Times New Roman" w:hAnsi="Times New Roman" w:eastAsia="宋体"/>
          <w:sz w:val="21"/>
        </w:rPr>
        <w:t xml:space="preserve">时间: 2026-01-29 | </w:t>
      </w:r>
      <w:r>
        <w:t xml:space="preserve">链接: </w:t>
      </w:r>
      <w:hyperlink r:id="rId325">
        <w:r>
          <w:rPr>
            <w:rFonts w:ascii="Times New Roman" w:hAnsi="Times New Roman" w:eastAsia="宋体"/>
            <w:color w:val="0000FF"/>
            <w:sz w:val="21"/>
            <w:u w:val="single"/>
          </w:rPr>
          <w:t>https://doi.org/10.1126/science.aee7263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在三维 (3D) 打印过程中，热塑性塑料的特性会随着光强度进行空间调节</w:t>
      </w:r>
    </w:p>
    <w:p>
      <w:pPr>
        <w:spacing w:before="120"/>
      </w:pPr>
      <w:r>
        <w:rPr>
          <w:rFonts w:ascii="Times New Roman" w:hAnsi="Times New Roman" w:eastAsia="宋体"/>
          <w:b/>
          <w:sz w:val="21"/>
        </w:rPr>
        <w:t>English Abstract:</w:t>
      </w:r>
    </w:p>
    <w:p>
      <w:r>
        <w:rPr>
          <w:rFonts w:ascii="Times New Roman" w:hAnsi="Times New Roman" w:eastAsia="宋体"/>
          <w:sz w:val="21"/>
        </w:rPr>
        <w:t>Thermoplastic properties are spatially tuned with light intensity during three-dimensional (3D) printing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从序列到功能：连接单分子动力学和分子多样性</w:t>
      </w:r>
    </w:p>
    <w:p>
      <w:r>
        <w:rPr>
          <w:rFonts w:ascii="Times New Roman" w:hAnsi="Times New Roman" w:eastAsia="宋体"/>
          <w:b/>
          <w:color w:val="003264"/>
          <w:sz w:val="24"/>
        </w:rPr>
        <w:t>From sequence to function: Bridging single-molecule kinetics and molecular diversity</w:t>
      </w:r>
    </w:p>
    <w:p>
      <w:r>
        <w:rPr>
          <w:rFonts w:ascii="Times New Roman" w:hAnsi="Times New Roman" w:eastAsia="宋体"/>
          <w:sz w:val="21"/>
        </w:rPr>
        <w:t>作者: A. N. Kapanidis, L. Muras, K. Sreenivasa, J. P. Hazra, J. van Noort, C. Joo, S. Deindl</w:t>
        <w:br/>
      </w:r>
      <w:r>
        <w:rPr>
          <w:rFonts w:ascii="Times New Roman" w:hAnsi="Times New Roman" w:eastAsia="宋体"/>
          <w:sz w:val="21"/>
        </w:rPr>
        <w:t xml:space="preserve">时间: 2026-01-29 | </w:t>
      </w:r>
      <w:r>
        <w:t xml:space="preserve">链接: </w:t>
      </w:r>
      <w:hyperlink r:id="rId326">
        <w:r>
          <w:rPr>
            <w:rFonts w:ascii="Times New Roman" w:hAnsi="Times New Roman" w:eastAsia="宋体"/>
            <w:color w:val="0000FF"/>
            <w:sz w:val="21"/>
            <w:u w:val="single"/>
          </w:rPr>
          <w:t>https://doi.org/10.1126/science.adv4503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学功能从根本上是由核酸和蛋白质序列决定的。除了编码遗传信息之外，核酸还显示出影响结构、动力学和相互作用的复杂物理化学参数。了解序列变异如何塑造这些特性背后的能量景观需要捕获分子多样性和动态行为的方法。单分子技术非常适合这项任务，但传统格式仍然需要大量时间和成本。最近的突破使得高度多元化的方法能够用于观察代表数千个序列或条形码实体的数百万个单个分子的分子动力学。尽管仍在开发中，这些方法已经开始大规模连接序列、结构、动力学和功能，为药物发现、分子诊断和功能基因组学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Biological function is fundamentally determined by nucleic acid and protein sequence. Beyond encoding genetic information, nucleic acids also display complex physicochemical parameters that shape structure, dynamics, and interactions. Understanding how sequence variation sculpts the energetic landscapes underlying these properties requires methods that capture both molecular diversity and dynamic behavior. Single-molecule techniques are ideally suited to this task, but conventional formats remain time and cost intensive. Recent breakthroughs have enabled highly multiplexed approaches for observing molecular dynamics across millions of individual molecules representing thousands of sequences or barcoded entities. Though still in development, these methods have begun to bridge sequence, structure, dynamics, and function at scale, opening new opportunities in drug discovery, molecular diagnostics, and functional genomics.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衰老驱动植物器官 DNA 甲基化衰变程序</w:t>
      </w:r>
    </w:p>
    <w:p>
      <w:r>
        <w:rPr>
          <w:rFonts w:ascii="Times New Roman" w:hAnsi="Times New Roman" w:eastAsia="宋体"/>
          <w:b/>
          <w:color w:val="003264"/>
          <w:sz w:val="24"/>
        </w:rPr>
        <w:t>Aging drives a program of DNA methylation decay in plant organs</w:t>
      </w:r>
    </w:p>
    <w:p>
      <w:r>
        <w:rPr>
          <w:rFonts w:ascii="Times New Roman" w:hAnsi="Times New Roman" w:eastAsia="宋体"/>
          <w:sz w:val="21"/>
        </w:rPr>
        <w:t>作者: Dawei Dai, Ken Chen, Jingwen Tao, Ben P. Williams</w:t>
        <w:br/>
      </w:r>
      <w:r>
        <w:rPr>
          <w:rFonts w:ascii="Times New Roman" w:hAnsi="Times New Roman" w:eastAsia="宋体"/>
          <w:sz w:val="21"/>
        </w:rPr>
        <w:t xml:space="preserve">时间: 2026-01-29 | </w:t>
      </w:r>
      <w:r>
        <w:t xml:space="preserve">链接: </w:t>
      </w:r>
      <w:hyperlink r:id="rId327">
        <w:r>
          <w:rPr>
            <w:rFonts w:ascii="Times New Roman" w:hAnsi="Times New Roman" w:eastAsia="宋体"/>
            <w:color w:val="0000FF"/>
            <w:sz w:val="21"/>
            <w:u w:val="single"/>
          </w:rPr>
          <w:t>https://doi.org/10.1126/science.adu2392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植物的寿命和衰老速度各不相同。尽管DNA甲基化的动态变化是哺乳动物衰老的标志，但尚不清楚类似的分子特征是否反映了植物的衰老速度和有机体寿命。在这项工作中，我们发现寿命较短的模式植物拟南芥在衰老过程中表现出表观遗传完整性的丧失，从而导致 DNA 甲基化衰退和转座元件的表达。我们表明，表观遗传衰老的速度可以通过延长或缩短寿命来控制，并且茎尖分生组织免受这些表观遗传变化的影响。我们证明了转录抑制程序在衰老过程中抑制了 DNA 甲基化维持途径，并且该程序的突变体表现出完全不存在表观遗传衰退，而物理衰老不受影响。</w:t>
      </w:r>
    </w:p>
    <w:p>
      <w:pPr>
        <w:spacing w:before="120"/>
      </w:pPr>
      <w:r>
        <w:rPr>
          <w:rFonts w:ascii="Times New Roman" w:hAnsi="Times New Roman" w:eastAsia="宋体"/>
          <w:b/>
          <w:sz w:val="21"/>
        </w:rPr>
        <w:t>English Abstract:</w:t>
      </w:r>
    </w:p>
    <w:p>
      <w:r>
        <w:rPr>
          <w:rFonts w:ascii="Times New Roman" w:hAnsi="Times New Roman" w:eastAsia="宋体"/>
          <w:sz w:val="21"/>
        </w:rPr>
        <w:t>Plants display a wide range of life spans and aging rates. Although dynamic changes to DNA methylation are a hallmark of aging in mammals, it is unclear whether similar molecular signatures reflect rates of aging and organism life span in plants. In this work, we show that the short-lived model plant Arabidopsis thaliana exhibits a loss of epigenetic integrity during aging, which causes DNA methylation decay and the expression of transposable elements. We show that the rate of epigenetic aging can be manipulated by extending or curtailing life span and that shoot apical meristems are protected from these epigenetic changes. We demonstrate that a program of transcriptional repression suppresses DNA methylation maintenance pathways during aging and that mutants of this program display a complete absence of epigenetic decay while physical aging remains unaffected.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Angela Hessler, Stella M. Hurtley, Madeleine Seale, Michael A. Funk, Yevgeniya Nusinovich, Jelena Stajic, Phil Szuromi, Seth Thomas Scanlon, Di Jiang, Bianca Lopez, Marc S. Lavine, L. Bryan Ray, Mattia Maroso, Daniela Neuhofer, Leslie Ferrarelli</w:t>
        <w:br/>
      </w:r>
      <w:r>
        <w:rPr>
          <w:rFonts w:ascii="Times New Roman" w:hAnsi="Times New Roman" w:eastAsia="宋体"/>
          <w:sz w:val="21"/>
        </w:rPr>
        <w:t xml:space="preserve">时间: 2026-01-29 | </w:t>
      </w:r>
      <w:r>
        <w:t xml:space="preserve">链接: </w:t>
      </w:r>
      <w:hyperlink r:id="rId328">
        <w:r>
          <w:rPr>
            <w:rFonts w:ascii="Times New Roman" w:hAnsi="Times New Roman" w:eastAsia="宋体"/>
            <w:color w:val="0000FF"/>
            <w:sz w:val="21"/>
            <w:u w:val="single"/>
          </w:rPr>
          <w:t>https://doi.org/10.1126/science.aef8478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FoldMason 进行大规模多蛋白质结构比对</w:t>
      </w:r>
    </w:p>
    <w:p>
      <w:r>
        <w:rPr>
          <w:rFonts w:ascii="Times New Roman" w:hAnsi="Times New Roman" w:eastAsia="宋体"/>
          <w:b/>
          <w:color w:val="003264"/>
          <w:sz w:val="24"/>
        </w:rPr>
        <w:t>Multiple protein structure alignment at scale with FoldMason</w:t>
      </w:r>
    </w:p>
    <w:p>
      <w:r>
        <w:rPr>
          <w:rFonts w:ascii="Times New Roman" w:hAnsi="Times New Roman" w:eastAsia="宋体"/>
          <w:sz w:val="21"/>
        </w:rPr>
        <w:t>作者: Cameron L. M. Gilchrist, Milot Mirdita, Martin Steinegger</w:t>
        <w:br/>
      </w:r>
      <w:r>
        <w:rPr>
          <w:rFonts w:ascii="Times New Roman" w:hAnsi="Times New Roman" w:eastAsia="宋体"/>
          <w:sz w:val="21"/>
        </w:rPr>
        <w:t xml:space="preserve">时间: 2026-01-29 | </w:t>
      </w:r>
      <w:r>
        <w:t xml:space="preserve">链接: </w:t>
      </w:r>
      <w:hyperlink r:id="rId329">
        <w:r>
          <w:rPr>
            <w:rFonts w:ascii="Times New Roman" w:hAnsi="Times New Roman" w:eastAsia="宋体"/>
            <w:color w:val="0000FF"/>
            <w:sz w:val="21"/>
            <w:u w:val="single"/>
          </w:rPr>
          <w:t>https://doi.org/10.1126/science.ads6733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蛋白质结构在序列之外是保守的，因此多重结构比对 (MSTA) 对于分析关系较远的蛋白质至关重要。计算预测方法极大地扩展了我们可用蛋白质结构的存储库，需要快速准确的 MSTA 方法。我们推出了 FoldMason，这是一种先进的 MSTA 方法，它利用成对结构对准器 Foldseek 和 TM-align 对数十万个蛋白质结构进行多重比对，匹配或超过最先进的 MSTA 方法的比对质量，同时速度提高两个数量级。使用黄病毒科糖蛋白，我们证明了 FoldMason 的 MSTA 支持“暮光区”之外的系统发育分析。 FoldMason 计算置信度分数，提供交互式可视化，并为精确结构预测时代的大规模蛋白质结构分析提供必要的速度和准确性。 FoldMason 是免费的开源软件。</w:t>
      </w:r>
    </w:p>
    <w:p>
      <w:pPr>
        <w:spacing w:before="120"/>
      </w:pPr>
      <w:r>
        <w:rPr>
          <w:rFonts w:ascii="Times New Roman" w:hAnsi="Times New Roman" w:eastAsia="宋体"/>
          <w:b/>
          <w:sz w:val="21"/>
        </w:rPr>
        <w:t>English Abstract:</w:t>
      </w:r>
    </w:p>
    <w:p>
      <w:r>
        <w:rPr>
          <w:rFonts w:ascii="Times New Roman" w:hAnsi="Times New Roman" w:eastAsia="宋体"/>
          <w:sz w:val="21"/>
        </w:rPr>
        <w:t>Protein structure is conserved beyond sequence, making multiple structural alignment (MSTA) essential for analyzing distantly related proteins. Computational prediction methods have vastly extended our repository of available protein structures, requiring fast and accurate MSTA methods. We introduce FoldMason, a progressive MSTA method that leverages the pairwise structural aligners Foldseek and TM-align for the multiple alignment of hundreds of thousands of protein structures, matching or exceeding the alignment quality of state-of-the-art MSTA methods while being two orders of magnitude faster. Using Flaviviridae glycoproteins, we demonstrate that FoldMason’s MSTAs support phylogenetic analysis beyond the “twilight zone.” FoldMason computes confidence scores, offers interactive visualizations, and provides essential speed and accuracy for large-scale protein structure analysis in the era of accurate structure prediction. FoldMason is free, open-source software.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热塑性塑料增材制造 (CRAFT) 中的光刻结晶度调节</w:t>
      </w:r>
    </w:p>
    <w:p>
      <w:r>
        <w:rPr>
          <w:rFonts w:ascii="Times New Roman" w:hAnsi="Times New Roman" w:eastAsia="宋体"/>
          <w:b/>
          <w:color w:val="003264"/>
          <w:sz w:val="24"/>
        </w:rPr>
        <w:t>Lithographic crystallinity regulation in additive fabrication of thermoplastics (CRAFT)</w:t>
      </w:r>
    </w:p>
    <w:p>
      <w:r>
        <w:rPr>
          <w:rFonts w:ascii="Times New Roman" w:hAnsi="Times New Roman" w:eastAsia="宋体"/>
          <w:sz w:val="21"/>
        </w:rPr>
        <w:t>作者: Alex J. Commisso, Eric M. Nagel, Meghan T. Kiker, Elizabeth A. Recker, Adam Bischoff, Michael J. Holzmann, Hayden E. Fowler, Minh Nhat Pham, Chi Phuong H. Nguyen, Esteban Baca, Hernán Villanueva, Nirvana T. Almada, Keldy S. Mason, Claire Jolowsky, Guddi Suman, Keith J. Fritzsching, Bryan Kaehr, Johanna J. Schwartz, Leah N. Appelhans, Brad H. Jones, Caitlin S. Sample, Devin J. Roach, Zachariah A. Page, Samuel C. Leguizamon</w:t>
        <w:br/>
      </w:r>
      <w:r>
        <w:rPr>
          <w:rFonts w:ascii="Times New Roman" w:hAnsi="Times New Roman" w:eastAsia="宋体"/>
          <w:sz w:val="21"/>
        </w:rPr>
        <w:t xml:space="preserve">时间: 2026-01-29 | </w:t>
      </w:r>
      <w:r>
        <w:t xml:space="preserve">链接: </w:t>
      </w:r>
      <w:hyperlink r:id="rId330">
        <w:r>
          <w:rPr>
            <w:rFonts w:ascii="Times New Roman" w:hAnsi="Times New Roman" w:eastAsia="宋体"/>
            <w:color w:val="0000FF"/>
            <w:sz w:val="21"/>
            <w:u w:val="single"/>
          </w:rPr>
          <w:t>https://doi.org/10.1126/science.aeb3637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对于半结晶聚烯烃热塑性塑料，互连有序结晶区域和无序无定形区域之间的平衡对其性能和加工性能至关重要。然而，从注塑成型到三维 (3D) 打印的当代制造策略会导致整体物体无法对结晶度进行空间编码。我们开发了一种基于光的方法，用于制造机械坚固的聚烯烃热塑性塑料，并在 3D 空间中对结晶度进行微观控制。轻剂量控制聚合物立体化学，从而获得一系列材料，从坚固的刚性塑料（例如高密度聚乙烯）到更具延展性的材料（例如低密度聚乙烯），所有这些都只需轻按一下开关即可。利用平版灰度 3D 打印中的这一发现，可以通过对光学和机械特性进行体素级控制来实现快速多材料制造，从而在信息存储、软机器人和能量阻尼方面开辟新途径。</w:t>
      </w:r>
    </w:p>
    <w:p>
      <w:pPr>
        <w:spacing w:before="120"/>
      </w:pPr>
      <w:r>
        <w:rPr>
          <w:rFonts w:ascii="Times New Roman" w:hAnsi="Times New Roman" w:eastAsia="宋体"/>
          <w:b/>
          <w:sz w:val="21"/>
        </w:rPr>
        <w:t>English Abstract:</w:t>
      </w:r>
    </w:p>
    <w:p>
      <w:r>
        <w:rPr>
          <w:rFonts w:ascii="Times New Roman" w:hAnsi="Times New Roman" w:eastAsia="宋体"/>
          <w:sz w:val="21"/>
        </w:rPr>
        <w:t>For semicrystalline polyolefin thermoplastics, the balance between interconnected ordered crystalline and disordered amorphous regions is paramount to their performance and processability. However, contemporary manufacturing strategies, from injection molding to three-dimensional (3D) printing, result in monolithic objects, unable to spatially encode crystallinity. We develop a light-based approach for fabricating mechanically robust polyolefin thermoplastics with microscopic control over crystallinity in 3D space. Light dosage governs polymer stereochemistry giving access to a continuum of materials, from strong rigid plastics, such as high-density polyethylene, to more extensible materials akin to low-density polyethylene, all at the flick of a switch. Leveraging this finding in lithographic grayscale 3D printing enables rapid multimaterial fabrication with voxel-level control over optical and mechanical properties, opening avenues in information storage, soft robotics, and energy damping.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用于酰胺键形成的工程醛脱氢酶</w:t>
      </w:r>
    </w:p>
    <w:p>
      <w:r>
        <w:rPr>
          <w:rFonts w:ascii="Times New Roman" w:hAnsi="Times New Roman" w:eastAsia="宋体"/>
          <w:b/>
          <w:color w:val="003264"/>
          <w:sz w:val="24"/>
        </w:rPr>
        <w:t>Engineered aldehyde dehydrogenases for amide bond formation</w:t>
      </w:r>
    </w:p>
    <w:p>
      <w:r>
        <w:rPr>
          <w:rFonts w:ascii="Times New Roman" w:hAnsi="Times New Roman" w:eastAsia="宋体"/>
          <w:sz w:val="21"/>
        </w:rPr>
        <w:t>作者: Lei Gao, Xiang Qiu, Jun Yang, Kangdelong Hu, Peilin Li, Wei Li, Feng Gao, Fabrice Gallou, Florian Kleinbeck, Xiaoguang Lei</w:t>
        <w:br/>
      </w:r>
      <w:r>
        <w:rPr>
          <w:rFonts w:ascii="Times New Roman" w:hAnsi="Times New Roman" w:eastAsia="宋体"/>
          <w:sz w:val="21"/>
        </w:rPr>
        <w:t xml:space="preserve">时间: 2026-01-29 | </w:t>
      </w:r>
      <w:r>
        <w:t xml:space="preserve">链接: </w:t>
      </w:r>
      <w:hyperlink r:id="rId331">
        <w:r>
          <w:rPr>
            <w:rFonts w:ascii="Times New Roman" w:hAnsi="Times New Roman" w:eastAsia="宋体"/>
            <w:color w:val="0000FF"/>
            <w:sz w:val="21"/>
            <w:u w:val="single"/>
          </w:rPr>
          <w:t>https://doi.org/10.1126/science.adw3365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酰胺键的形成广泛用于药物合成，通常涉及化学计量偶联试剂来激活羧酸底物以进行缩合反应。作为一种替代方法，我们通过为胺创建一个更疏水、更宽敞的催化口袋来捕获硫酯中间体，将醛脱氢酶重新转变为氧化酰胺酶。这种生物催化剂有效地促进了不同醛和胺之间酰胺键的形成。我们还开发了一种两步酶级联，从广泛可用的脂肪醇中合成酰胺。这种生物催化策略使得能够重新设计五种药物分子的合成路线。我们的研究结果强调了氧化酰胺酶通过有效的酰胺键形成促进结构多样的药物分子合成的潜力。</w:t>
      </w:r>
    </w:p>
    <w:p>
      <w:pPr>
        <w:spacing w:before="120"/>
      </w:pPr>
      <w:r>
        <w:rPr>
          <w:rFonts w:ascii="Times New Roman" w:hAnsi="Times New Roman" w:eastAsia="宋体"/>
          <w:b/>
          <w:sz w:val="21"/>
        </w:rPr>
        <w:t>English Abstract:</w:t>
      </w:r>
    </w:p>
    <w:p>
      <w:r>
        <w:rPr>
          <w:rFonts w:ascii="Times New Roman" w:hAnsi="Times New Roman" w:eastAsia="宋体"/>
          <w:sz w:val="21"/>
        </w:rPr>
        <w:t>Amide bond formation is widely used in pharmaceutical synthesis, typically involving stoichiometric coupling reagents to activate carboxylic acid substrates for a condensation reaction. As an alternative approach, we repurposed aldehyde dehydrogenases into oxidative amidases by creating a more hydrophobic and spacious catalytic pocket for amines to capture the thioester intermediate. This biocatalyst efficiently facilitates the formation of amide bonds between diverse aldehydes and amines. We also developed a two-step enzymatic cascade to synthesize amides from broadly available aliphatic alcohols. This biocatalytic strategy enabled the redesign of synthetic routes for five drug molecules. Our findings highlight the potential of oxidative amidases in advancing the synthesis of structurally diverse drug molecules through efficient amide bond 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通过自旋轨道耦合玻色-爱因斯坦凝聚体中的激发探测超固体</w:t>
      </w:r>
    </w:p>
    <w:p>
      <w:r>
        <w:rPr>
          <w:rFonts w:ascii="Times New Roman" w:hAnsi="Times New Roman" w:eastAsia="宋体"/>
          <w:b/>
          <w:color w:val="003264"/>
          <w:sz w:val="24"/>
        </w:rPr>
        <w:t>Probing supersolidity through excitations in a spin-orbit–coupled Bose-Einstein condensate</w:t>
      </w:r>
    </w:p>
    <w:p>
      <w:r>
        <w:rPr>
          <w:rFonts w:ascii="Times New Roman" w:hAnsi="Times New Roman" w:eastAsia="宋体"/>
          <w:sz w:val="21"/>
        </w:rPr>
        <w:t>作者: C. S. Chisholm, S. Hirthe, V. B. Makhalov, R. Ramos, R. Vatré, J. Cabedo, A. Celi, L. Tarruell</w:t>
        <w:br/>
      </w:r>
      <w:r>
        <w:rPr>
          <w:rFonts w:ascii="Times New Roman" w:hAnsi="Times New Roman" w:eastAsia="宋体"/>
          <w:sz w:val="21"/>
        </w:rPr>
        <w:t xml:space="preserve">时间: 2026-01-29 | </w:t>
      </w:r>
      <w:r>
        <w:t xml:space="preserve">链接: </w:t>
      </w:r>
      <w:hyperlink r:id="rId332">
        <w:r>
          <w:rPr>
            <w:rFonts w:ascii="Times New Roman" w:hAnsi="Times New Roman" w:eastAsia="宋体"/>
            <w:color w:val="0000FF"/>
            <w:sz w:val="21"/>
            <w:u w:val="single"/>
          </w:rPr>
          <w:t>https://doi.org/10.1126/science.adv1209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轨道耦合玻色-爱因斯坦凝聚体是设计合成量子多体系统的灵活实验平台。特别是，它们具有所谓的条纹相，这是物质超固态的一个例子。条纹相的特殊激发光谱是其超固体的明确足迹，很难通过实验测量。在这项工作中，我们对条纹进行了原位成像，并直接观察了超流体和晶体激发。我们研究了超流体流体动力学并揭示了条带压缩模式，从而证明该系统具有可压缩的晶体结构。通过该模式的频率软化，我们找到了超固体转变点。我们的结果将自旋轨道耦合超固体确立为研究超固体及其丰富动力学的理想系统。</w:t>
      </w:r>
    </w:p>
    <w:p>
      <w:pPr>
        <w:spacing w:before="120"/>
      </w:pPr>
      <w:r>
        <w:rPr>
          <w:rFonts w:ascii="Times New Roman" w:hAnsi="Times New Roman" w:eastAsia="宋体"/>
          <w:b/>
          <w:sz w:val="21"/>
        </w:rPr>
        <w:t>English Abstract:</w:t>
      </w:r>
    </w:p>
    <w:p>
      <w:r>
        <w:rPr>
          <w:rFonts w:ascii="Times New Roman" w:hAnsi="Times New Roman" w:eastAsia="宋体"/>
          <w:sz w:val="21"/>
        </w:rPr>
        <w:t>Spin-orbit–coupled Bose-Einstein condensates are a flexible experimental platform to engineer synthetic quantum many-body systems. In particular, they host the so-called stripe phase, an instance of a supersolid state of matter. The peculiar excitation spectrum of the stripe phase, a definite footprint of its supersolidity, has been difficult to measure experimentally. In this work, we performed in situ imaging of the stripes and directly observed both superfluid and crystal excitations. We investigated superfluid hydrodynamics and revealed a stripe compression mode, thus demonstrating that the system possesses a compressible crystalline structure. Through the frequency softening of this mode, we located the supersolid transition point. Our results establish spin-orbit–coupled supersolids as ideal systems to investigate supersolidity and its rich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15:28 ---</w:t>
      </w:r>
    </w:p>
    <w:p>
      <w:pPr>
        <w:pStyle w:val="Heading2"/>
      </w:pPr>
      <w:r/>
      <w:r>
        <w:rPr>
          <w:rFonts w:ascii="Times New Roman" w:hAnsi="Times New Roman" w:eastAsia="宋体"/>
          <w:b/>
          <w:color w:val="000000"/>
          <w:sz w:val="24"/>
        </w:rPr>
        <w:t>正交各向异性可编程超表面，用于同时控制反射波的偏振和偏转</w:t>
      </w:r>
    </w:p>
    <w:p>
      <w:r>
        <w:rPr>
          <w:rFonts w:ascii="Times New Roman" w:hAnsi="Times New Roman" w:eastAsia="宋体"/>
          <w:b/>
          <w:color w:val="003264"/>
          <w:sz w:val="24"/>
        </w:rPr>
        <w:t>Orthogonal anisotropy-programmable metasurface for simultaneous polarization and deflection control of reflected waves</w:t>
      </w:r>
    </w:p>
    <w:p>
      <w:r>
        <w:rPr>
          <w:rFonts w:ascii="Times New Roman" w:hAnsi="Times New Roman" w:eastAsia="宋体"/>
          <w:sz w:val="21"/>
        </w:rPr>
        <w:t>作者: Shulei Zhang, Ruichao Zhu, Chang Ding, Zuntian Chu, Shaojie Wang, Yuxi Li, Fangyuan Qi, Yuxiang Jia, Jiafu Wang</w:t>
        <w:br/>
      </w:r>
      <w:r>
        <w:rPr>
          <w:rFonts w:ascii="Times New Roman" w:hAnsi="Times New Roman" w:eastAsia="宋体"/>
          <w:sz w:val="21"/>
        </w:rPr>
        <w:t xml:space="preserve">时间: 2026-01-28 | </w:t>
      </w:r>
      <w:r>
        <w:t xml:space="preserve">链接: </w:t>
      </w:r>
      <w:hyperlink r:id="rId341">
        <w:r>
          <w:rPr>
            <w:rFonts w:ascii="Times New Roman" w:hAnsi="Times New Roman" w:eastAsia="宋体"/>
            <w:color w:val="0000FF"/>
            <w:sz w:val="21"/>
            <w:u w:val="single"/>
          </w:rPr>
          <w:t>https://doi.org/10.1364/prj.574770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编码超表面提供动态电磁波控制，但现有的多极化设计通常表现出窄带宽或有限的极化状态。这项工作提出了一种在 6.0-9.5 GHz 范围内工作的宽带正交各向异性可编程超表面，能够实现多偏振操纵和高效的圆偏振到线偏振转换。通过引入各向同性金属结构和可调谐PIN二极管，单元电池可以实现可切换的各向同性和各向异性状态。这使得能够对从正交 x 和 y 偏振基础导出的任意偏振的同偏振反射波进行 1 位相位编码。相反，由于晶胞的各向异性而产生的 1 位相位编码交叉偏振反射适用于圆偏振 (CP) 和 45° 偏振入射波。关键性能指标包括开/关状态之间的 180° 相位差以及整个带宽内低于 3 dB 的插入损耗。此外，在圆偏振波入射下调整编码序列会生成具有强大光束控制能力的 x 或 y 偏振反射波。测量结果验证了两种反射模式下的光束偏转性能，通过定期编码调整与模拟显示出良好的一致性。这种用于同时偏振和偏转操纵的可重构框架对于下一代无线通信和雷达至关重要。</w:t>
      </w:r>
    </w:p>
    <w:p>
      <w:pPr>
        <w:spacing w:before="120"/>
      </w:pPr>
      <w:r>
        <w:rPr>
          <w:rFonts w:ascii="Times New Roman" w:hAnsi="Times New Roman" w:eastAsia="宋体"/>
          <w:b/>
          <w:sz w:val="21"/>
        </w:rPr>
        <w:t>English Abstract:</w:t>
      </w:r>
    </w:p>
    <w:p>
      <w:r>
        <w:rPr>
          <w:rFonts w:ascii="Times New Roman" w:hAnsi="Times New Roman" w:eastAsia="宋体"/>
          <w:sz w:val="21"/>
        </w:rPr>
        <w:t>Coding metasurfaces offer dynamic electromagnetic wave control, but existing multi-polarization designs often exhibit narrow bandwidths or limited polarization states. This work proposes a broadband orthogonal anisotropy-programmable metasurface operating within 6.0–9.5 GHz, enabling multi-polarization manipulation and efficient circular-to-linear polarization conversion. By introducing isotropic metallic structures and tunable PIN diodes, the unit cell can achieve switchable isotropic and anisotropic states. This enables 1-bit phase encoding for co-polarized reflected waves of arbitrary polarization, derived from the orthogonal x - and y -polarization basis. Conversely, the 1-bit phase encoded cross-polarized reflection, resulting from the unit cell’s anisotropy, is suitable for circularly polarized (CP) and 45° polarized incident waves. Key performance metrics include a 180° phase difference between ON/OFF states and insertion losses under 3 dB across the bandwidth. Furthermore, adjusting the coding sequence under circularly polarized wave incidence generates x - or y -polarized reflected waves with robust beam-steering capabilities. Measurement results validate the beam deflection performance under both reflection modes, showing excellent agreement with simulations through periodic coding adjustments. This reconfigurable framework for simultaneous polarization and deflection manipulation is crucial for next-generation wireless communication and radar.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阳光供电的自给自足可重构超表面：光同步动态 RCS 调制的光伏能量收集</w:t>
      </w:r>
    </w:p>
    <w:p>
      <w:r>
        <w:rPr>
          <w:rFonts w:ascii="Times New Roman" w:hAnsi="Times New Roman" w:eastAsia="宋体"/>
          <w:b/>
          <w:color w:val="003264"/>
          <w:sz w:val="24"/>
        </w:rPr>
        <w:t>Sunlight-powered self-sufficient reconfigurable metasurface: photovoltaic energy-harvesting with light-synchronous dynamic RCS modulation</w:t>
      </w:r>
    </w:p>
    <w:p>
      <w:r>
        <w:rPr>
          <w:rFonts w:ascii="Times New Roman" w:hAnsi="Times New Roman" w:eastAsia="宋体"/>
          <w:sz w:val="21"/>
        </w:rPr>
        <w:t>作者: Shulei Zhang, Ruichao Zhu, Chang Ding, Jing Liu, Fan Wu, Yuxiang Jia, Zhihao Guo, Jiafu Wang</w:t>
        <w:br/>
      </w:r>
      <w:r>
        <w:rPr>
          <w:rFonts w:ascii="Times New Roman" w:hAnsi="Times New Roman" w:eastAsia="宋体"/>
          <w:sz w:val="21"/>
        </w:rPr>
        <w:t xml:space="preserve">时间: 2026-01-27 | </w:t>
      </w:r>
      <w:r>
        <w:t xml:space="preserve">链接: </w:t>
      </w:r>
      <w:hyperlink r:id="rId354">
        <w:r>
          <w:rPr>
            <w:rFonts w:ascii="Times New Roman" w:hAnsi="Times New Roman" w:eastAsia="宋体"/>
            <w:color w:val="0000FF"/>
            <w:sz w:val="21"/>
            <w:u w:val="single"/>
          </w:rPr>
          <w:t>https://doi.org/10.1364/prj.573813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超表面表现出卓越的电磁波操纵能力。然而，静态控制很难适应动态环境需求。与 PIN 二极管集成的可重构超表面可实现动态调谐，但面临电源和器件可靠性方面的挑战。这项工作提出了一种太阳能超表面，它利用太阳光作为能源和控制信号，实现白天雷达截面（RCS）的减小，并在夜间保持反射通信。将二极管放置在单元底部可最大限度地降低损坏风险，而分区偏置则可简化控制并降低功耗。变化电流和电压条件下的相位响应证明了其出色的电压稳定性和相位鲁棒性。太阳能电池提供足够的电压/电流，模拟/实验验证光束偏转性能。由于简化了偏置，超表面可在 0.8V 和 0.1A 的低电压下工作。这项工作提出了一种可重构超表面，具有简单、低功耗的设计和新颖的控制逻辑，有望在户外自适应隐形和环境传感中广泛应用。</w:t>
      </w:r>
    </w:p>
    <w:p>
      <w:pPr>
        <w:spacing w:before="120"/>
      </w:pPr>
      <w:r>
        <w:rPr>
          <w:rFonts w:ascii="Times New Roman" w:hAnsi="Times New Roman" w:eastAsia="宋体"/>
          <w:b/>
          <w:sz w:val="21"/>
        </w:rPr>
        <w:t>English Abstract:</w:t>
      </w:r>
    </w:p>
    <w:p>
      <w:r>
        <w:rPr>
          <w:rFonts w:ascii="Times New Roman" w:hAnsi="Times New Roman" w:eastAsia="宋体"/>
          <w:sz w:val="21"/>
        </w:rPr>
        <w:t>Metasurfaces exhibit exceptional electromagnetic wave manipulation capabilities. However, static control struggles to adapt to dynamic environmental demands. Reconfigurable metasurfaces integrated with PIN diodes enable dynamic tuning but face challenges in power supply and device reliability. This work proposes a solar-powered metasurface that utilizes sunlight as both an energy source and a control signal, achieving radar cross-section (RCS) reduction during daylight and maintaining reflective communication at night. Placing diodes at the unit bottom minimizes damage risk, while partitioned biasing simplifies control and reduces power consumption. The phase response under varying current and voltage conditions demonstrates its excellent voltage stability and phase robustness. Solar cells provide sufficient voltage/current, and simulations/experiments validate beam deflection performance. The metasurface operates at a low voltage of 0.8 V and 0.1 A due to simplified biasing. This work presents a reconfigurable metasurface with a simple, low-power design and novel control logic, promising broad applications in outdoor adaptive stealth and environmental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15:28 ---</w:t>
      </w:r>
    </w:p>
    <w:p>
      <w:pPr>
        <w:pStyle w:val="Heading2"/>
      </w:pPr>
      <w:r/>
      <w:r>
        <w:rPr>
          <w:rFonts w:ascii="Times New Roman" w:hAnsi="Times New Roman" w:eastAsia="宋体"/>
          <w:b/>
          <w:color w:val="000000"/>
          <w:sz w:val="24"/>
        </w:rPr>
        <w:t>SuperCL：用于医学图像分割预训练的超像素引导对比学习</w:t>
      </w:r>
    </w:p>
    <w:p>
      <w:r>
        <w:rPr>
          <w:rFonts w:ascii="Times New Roman" w:hAnsi="Times New Roman" w:eastAsia="宋体"/>
          <w:b/>
          <w:color w:val="003264"/>
          <w:sz w:val="24"/>
        </w:rPr>
        <w:t>SuperCL: Superpixel Guided Contrastive Learning for Medical Image Segmentation Pre-training</w:t>
      </w:r>
    </w:p>
    <w:p>
      <w:r>
        <w:rPr>
          <w:rFonts w:ascii="Times New Roman" w:hAnsi="Times New Roman" w:eastAsia="宋体"/>
          <w:sz w:val="21"/>
        </w:rPr>
        <w:t>作者: Shuang Zeng, Lei Zhu, Xinliang Zhang, Hangzhou He, Yanye Lu</w:t>
        <w:br/>
      </w:r>
      <w:r>
        <w:rPr>
          <w:rFonts w:ascii="Times New Roman" w:hAnsi="Times New Roman" w:eastAsia="宋体"/>
          <w:sz w:val="21"/>
        </w:rPr>
        <w:t xml:space="preserve">时间: 2026 | </w:t>
      </w:r>
      <w:r>
        <w:t xml:space="preserve">链接: </w:t>
      </w:r>
      <w:hyperlink r:id="rId343">
        <w:r>
          <w:rPr>
            <w:rFonts w:ascii="Times New Roman" w:hAnsi="Times New Roman" w:eastAsia="宋体"/>
            <w:color w:val="0000FF"/>
            <w:sz w:val="21"/>
            <w:u w:val="single"/>
          </w:rPr>
          <w:t>https://doi.org/10.1109/tip.2026.3657233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是一项关键但具有挑战性的任务，主要是因为很难获得大量高质量、专家注释图像的数据集。对比学习为这个问题提供了一个潜在但仍然存在问题的解决方案。因为大多数现有方法专注于提取实例级或像素到像素的表示，而忽略了图像内相似像素组之间的特征。此外，在考虑对比对生成时，大多数SOTA方法主要依赖于手动设置阈值，这需要大量的梯度实验，缺乏效率和泛化性。为了解决这些问题，我们提出了一种名为 SuperCL 的新型对比学习方法，用于医学图像分割预训练。具体来说，我们的 SuperCL 通过引入两种新颖的对比对生成策略来利用图像的结构先验和像素相关性：图像内局部对比对（ILCP）生成和图像间全局对比对（IGCP）生成。考虑到超像素簇与对比对生成的概念非常吻合，我们利用超像素图为 ILCP 和 IGCP 生成伪掩模来指导监督对比学习。此外，我们还提出了两个模块，名为平均超像素特征图生成（ASP）和连通分量标签生成（CCL），以更好地利用 IGCP 的先验结构信息。最后，对 8 个医学图像数据集的实验表明我们的 SuperCL 优于现有的 12 种方法。即我们的 SuperCL 实现了卓越的性能，通过可视化图形进行更精确的预测，并且比之前在 MMWHS、CHAOS、Spleen 上具有 10% 注释的最佳结果高出 3.15%、5.44%、7.89% DSC。我们的代码发布于 https://github.com/stevezs315/SuperCL。</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a critical yet challenging task, primarily due to the difficulty of obtaining extensive datasets of high-quality, expert-annotated images. Contrastive learning presents a potential but still problematic solution to this issue. Because most existing methods focus on extracting instance-level or pixel-to-pixel representation, which ignores the characteristics between intra-image similar pixel groups. Moreover, when considering contrastive pairs generation, most SOTA methods mainly rely on manually setting thresholds, which requires a large number of gradient experiments and lacks efficiency and generalization. To address these issues, we propose a novel contrastive learning approach named SuperCL for medical image segmentation pre-training. Specifically, our SuperCL exploits the structural prior and pixel correlation of images by introducing two novel contrastive pairs generation strategies: Intra-image Local Contrastive Pairs (ILCP) Generation and Inter-image Global Contrastive Pairs (IGCP) Generation. Considering superpixel cluster aligns well with the concept of contrastive pairs generation, we utilize the superpixel map to generate pseudo masks for both ILCP and IGCP to guide supervised contrastive learning. Moreover, we also propose two modules named Average SuperPixel Feature Map Generation (ASP) and Connected Components Label Generation (CCL) to better exploit the prior structural information for IGCP. Finally, experiments on 8 medical image datasets indicate our SuperCL outperforms existing 12 methods. i.e. Our SuperCL achieves a superior performance with more precise predictions from visualization figures and 3.15%, 5.44%, 7.89% DSC higher than the previous best results on MMWHS, CHAOS, Spleen with 10% annotations. Our code is released at https://github.com/stevezs315/SuperCL.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结合不确定性引导和 Top-k 码本匹配来实现现实世界盲图像超分辨率</w:t>
      </w:r>
    </w:p>
    <w:p>
      <w:r>
        <w:rPr>
          <w:rFonts w:ascii="Times New Roman" w:hAnsi="Times New Roman" w:eastAsia="宋体"/>
          <w:b/>
          <w:color w:val="003264"/>
          <w:sz w:val="24"/>
        </w:rPr>
        <w:t>Incorporating Uncertainty-Guided and Top-k Codebook Matching for Real-World Blind Image Super-Resolution</w:t>
      </w:r>
    </w:p>
    <w:p>
      <w:r>
        <w:rPr>
          <w:rFonts w:ascii="Times New Roman" w:hAnsi="Times New Roman" w:eastAsia="宋体"/>
          <w:sz w:val="21"/>
        </w:rPr>
        <w:t>作者: Weilei Wen, Tianyi Zhang, Qianqian Zhao, Zhaohui Zheng, Chunle Guo, Xiuli Shao, Chongyi Li</w:t>
        <w:br/>
      </w:r>
      <w:r>
        <w:rPr>
          <w:rFonts w:ascii="Times New Roman" w:hAnsi="Times New Roman" w:eastAsia="宋体"/>
          <w:sz w:val="21"/>
        </w:rPr>
        <w:t xml:space="preserve">时间: 2026 | </w:t>
      </w:r>
      <w:r>
        <w:t xml:space="preserve">链接: </w:t>
      </w:r>
      <w:hyperlink r:id="rId358">
        <w:r>
          <w:rPr>
            <w:rFonts w:ascii="Times New Roman" w:hAnsi="Times New Roman" w:eastAsia="宋体"/>
            <w:color w:val="0000FF"/>
            <w:sz w:val="21"/>
            <w:u w:val="single"/>
          </w:rPr>
          <w:t>https://doi.org/10.1109/tip.2026.3653547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码本的真实图像超分辨率（SR）的最新进展在实际应用中显示出了有希望的结果。核心思想涉及基于低分辨率（LR）图像特征来匹配来自码本的高质量图像特征。然而，现有方法面临两个主要挑战：与码本的特征匹配不准确以及纹理细节重建不佳。为了解决这些问题，我们提出了一种新颖的Uncertainty-Guided and Top-k Codebook Matching SR（UGTSR）框架，该框架包含三个关键组件：（1）引导模型关注纹理丰富区域的不确定性学习机制，（2）通过融合多个候选特征来提高特征匹配精度的Top-k特征匹配策略，以及（3）增强LR和HR特征之间信息对齐的Align-Attention模块。实验结果表明，与现有方法相比，纹理真实感和重建保真度有了显着提高。源代码可以在 https://github.com/wwlCape/UGTSR-main 找到。</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codebook-based real image super-resolution (SR) have shown promising results in real-world applications. The core idea involves matching high-quality image features from a codebook based on low-resolution (LR) image features. However, existing methods face two major challenges: inaccurate feature matching with the codebook and poor texture detail reconstruction. To address these issues, we propose a novel Uncertainty-Guided and Top-k Codebook Matching SR (UGTSR) framework, which incorporates three key components: (1) an uncertainty learning mechanism that guides the model to focus on texture-rich regions, (2) a Top-k feature matching strategy that enhances feature matching accuracy by fusing multiple candidate features, and (3) an Align-Attention module that enhances the alignment of information between LR and HR features. Experimental results demonstrate significant improvements in texture realism and reconstruction fidelity compared to existing methods. The source code can be found at https://github.com/wwlCape/UGTSR-main.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15:28 ---</w:t>
      </w:r>
    </w:p>
    <w:p>
      <w:pPr>
        <w:pStyle w:val="Heading2"/>
      </w:pPr>
      <w:r/>
      <w:r>
        <w:rPr>
          <w:rFonts w:ascii="Times New Roman" w:hAnsi="Times New Roman" w:eastAsia="宋体"/>
          <w:b/>
          <w:color w:val="000000"/>
          <w:sz w:val="24"/>
        </w:rPr>
        <w:t>大尺寸遥感影像地理要素的全范围矢量化</w:t>
      </w:r>
    </w:p>
    <w:p>
      <w:r>
        <w:rPr>
          <w:rFonts w:ascii="Times New Roman" w:hAnsi="Times New Roman" w:eastAsia="宋体"/>
          <w:b/>
          <w:color w:val="003264"/>
          <w:sz w:val="24"/>
        </w:rPr>
        <w:t>Full-Scope Vectorization of Geographical Elements from Large-Size Remote Sensing Imagery</w:t>
      </w:r>
    </w:p>
    <w:p>
      <w:r>
        <w:rPr>
          <w:rFonts w:ascii="Times New Roman" w:hAnsi="Times New Roman" w:eastAsia="宋体"/>
          <w:sz w:val="21"/>
        </w:rPr>
        <w:t>作者: Yansheng Li, Wanchun Li, Bo Dang, Yu Wang, Wei Chen, Lei Wang, Bingnan Yang, Yongjun Zhang</w:t>
        <w:br/>
      </w:r>
      <w:r>
        <w:rPr>
          <w:rFonts w:ascii="Times New Roman" w:hAnsi="Times New Roman" w:eastAsia="宋体"/>
          <w:sz w:val="21"/>
        </w:rPr>
        <w:t xml:space="preserve">时间: 2026 | </w:t>
      </w:r>
      <w:r>
        <w:t xml:space="preserve">链接: </w:t>
      </w:r>
      <w:hyperlink r:id="rId344">
        <w:r>
          <w:rPr>
            <w:rFonts w:ascii="Times New Roman" w:hAnsi="Times New Roman" w:eastAsia="宋体"/>
            <w:color w:val="0000FF"/>
            <w:sz w:val="21"/>
            <w:u w:val="single"/>
          </w:rPr>
          <w:t>https://doi.org/10.1109/tpami.2026.3660934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尺寸超高分辨率遥感影像已成为建筑物、水体、道路等多尺度地理要素高精度矢量测绘的关键数据源。在处理大尺寸影像时，由于GPU内存有限，基于深度学习的矢量测绘方法往往采用滑块策略。由于滑块矢量映射结果的拼接困难，这不可避免地导致性能下降。因此，有必要通过挖掘大尺寸遥感影像的一致线索来进行全范围矢量制图。为此，本文提出了一种新颖的全局上下文感知局部点优化方法。为了利用全局上下文，本文提出了一种新颖的金字塔融合网络（PFNet），以端到端的方式对大尺寸图像进行语义分割。在全局语义分割结果的约束下，提出了一种新的拐点感知网络（IPNet）来生成一组稳定点来描绘每个元素的边界。对建筑、水和道路数据集（每张图像都有超过 1 亿像素）的大量实验表明，我们的方法明显优于现有方法。项目页面位于 https://li-99.github.io/project/Vectorization.html 。</w:t>
      </w:r>
    </w:p>
    <w:p>
      <w:pPr>
        <w:spacing w:before="120"/>
      </w:pPr>
      <w:r>
        <w:rPr>
          <w:rFonts w:ascii="Times New Roman" w:hAnsi="Times New Roman" w:eastAsia="宋体"/>
          <w:b/>
          <w:sz w:val="21"/>
        </w:rPr>
        <w:t>English Abstract:</w:t>
      </w:r>
    </w:p>
    <w:p>
      <w:r>
        <w:rPr>
          <w:rFonts w:ascii="Times New Roman" w:hAnsi="Times New Roman" w:eastAsia="宋体"/>
          <w:sz w:val="21"/>
        </w:rPr>
        <w:t>Large-size very-high-resolution (VHR) remote sensing imagery has emerged as a critical data source for high-precision vector mapping of multi-scale geographical elements such as building, water, road and etc. When dealing with the large-size image, due to the limited memory of GPU, the deep learning-based vector mapping methods often employ the sliding block strategy. This inevitably leads to the degenerated performance because of the stitching difficulty of the sliding blocks' vector mapping results. Therefore, it is necessary to conduct full-scope vector mapping via mining the consistent cue in large-size remote sensing imagery. To this end, this paper presents a novel global context-aware local point optimization method. To leverage the global context, this paper proposes a novel pyramid fusion network (PFNet) to conduct semantic segmentation of the large-size image in an end-to-end manner. Under the constraint of the global semantic segmentation result, a new inflection-point perception network (IPNet) is proposed to generate a set of stable points to depict the boundary of each element. Extensive experiments on building, water and road datasets, where each image has over 100 million pixels, show that our method obviously outperforms the existing methods. The project page is at https://li-99.github.io/project/Vectorization.html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盟友比敌人教得更好：强大的知识蒸馏的反向对手</w:t>
      </w:r>
    </w:p>
    <w:p>
      <w:r>
        <w:rPr>
          <w:rFonts w:ascii="Times New Roman" w:hAnsi="Times New Roman" w:eastAsia="宋体"/>
          <w:b/>
          <w:color w:val="003264"/>
          <w:sz w:val="24"/>
        </w:rPr>
        <w:t>Allies Teach Better than Enemies: Inverse Adversaries for Robust Knowledge Distillation</w:t>
      </w:r>
    </w:p>
    <w:p>
      <w:r>
        <w:rPr>
          <w:rFonts w:ascii="Times New Roman" w:hAnsi="Times New Roman" w:eastAsia="宋体"/>
          <w:sz w:val="21"/>
        </w:rPr>
        <w:t>作者: Junhao Dong, Raoof Zare Moayedi, Yew-Soon Ong, Seyed-Mohsen Moosavi-Dezfooli</w:t>
        <w:br/>
      </w:r>
      <w:r>
        <w:rPr>
          <w:rFonts w:ascii="Times New Roman" w:hAnsi="Times New Roman" w:eastAsia="宋体"/>
          <w:sz w:val="21"/>
        </w:rPr>
        <w:t xml:space="preserve">时间: 2026 | </w:t>
      </w:r>
      <w:r>
        <w:t xml:space="preserve">链接: </w:t>
      </w:r>
      <w:hyperlink r:id="rId359">
        <w:r>
          <w:rPr>
            <w:rFonts w:ascii="Times New Roman" w:hAnsi="Times New Roman" w:eastAsia="宋体"/>
            <w:color w:val="0000FF"/>
            <w:sz w:val="21"/>
            <w:u w:val="single"/>
          </w:rPr>
          <w:t>https://doi.org/10.1109/tpami.2026.3660863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鲁棒知识蒸馏旨在将大规模鲁棒教师模型压缩为轻量级学生模型，同时保持对抗性鲁棒性和自然表现。以前的方法主要侧重于调整教师和学生模型之间的知识（例如预测）以传递稳健性。然而，教师潜在的错误预测可能会误导学生，从而对鲁棒性迁移产生负面影响。为了避免这种情况，我们提出了一种新颖的对抗性鲁棒知识蒸馏方案，通过简单地反转对抗性扰动的符号，将输入细化为所谓的“逆对抗性示例”，从而促进朝着更良性的预测而不是错误的预测对齐。通过对逆对手属性的全面研究，我们提供了新的理论见解，展示了模仿教师模型在逆对手上的行为如何促进建立在鲁棒性和输入梯度信息之间隐式联系的可靠鲁棒性转移。因此，我们利用逆向对手设计了教师和学生模型之间的梯度匹配机制，以促进稳健的知识对齐。此外，受我们对鲁棒性和对抗性可迁移性之间相关性分析的启发，我们提出了一种权重空间破坏策略，该策略与教师和学生模型共同交互，以找到更好的鲁棒性迁移的共同方向。对各种数据集的实证评估表明，我们的方法实现了最先进的鲁棒性和自然性能。值得注意的是，在 ImageNet 上，我们的方法在干净准确度和稳健准确度方面均优于之前的方法约 3.8%。此外，我们表明，将辅助生成的数据合并到蒸馏中可以进一步提高稳健性。我们的方法也可以推广到多模式架构。</w:t>
      </w:r>
    </w:p>
    <w:p>
      <w:pPr>
        <w:spacing w:before="120"/>
      </w:pPr>
      <w:r>
        <w:rPr>
          <w:rFonts w:ascii="Times New Roman" w:hAnsi="Times New Roman" w:eastAsia="宋体"/>
          <w:b/>
          <w:sz w:val="21"/>
        </w:rPr>
        <w:t>English Abstract:</w:t>
      </w:r>
    </w:p>
    <w:p>
      <w:r>
        <w:rPr>
          <w:rFonts w:ascii="Times New Roman" w:hAnsi="Times New Roman" w:eastAsia="宋体"/>
          <w:sz w:val="21"/>
        </w:rPr>
        <w:t>Adversarially robust knowledge distillation aims to compress a large-scale robust teacher model into a lightweight student counterpart while preserving adversarial robustness and natural performance. Previous methods primarily focused on aligning knowledge ( e.g. , predictions) between teacher and student models to transfer robustness. However, potentially incorrect predictions from the teacher can misguide the student, negatively impacting robustness transfer. To circumvent this, we propose a novel adversarially robust knowledge distillation scheme that promotes alignment towards more benign predictions rather than incorrect ones by refining inputs into so-called “inverse adversarial examples” via simply reversing the sign of adversarial perturbation. Through a comprehensive investigation of the properties of inverse adversaries, we provide new theoretical insights showing how mimicking the behavior of the teacher model on inverse adversaries facilitates reliable robustness transfer built upon the implicit connection between robustness and the input gradient information. We thus design a gradient matching mechanism between teacher and student models utilizing inverse adversaries to facilitate robust knowledge alignment. Furthermore, inspired by our analysis of the correlation between robustness and adversarial transferability, we propose a weight-space disruption strategy that jointly interacts with both teacher and student models to find a shared direction for better robustness transfer. Empirical evaluations across various datasets demonstrate that our method achieves state-of-the-art robustness and natural performance. Notably, on ImageNet, our approach outperforms prior methods by approximately 3.8% in both clean and robust accuracy. Moreover, we show that incorporating auxiliary generated data into distillation further boosts robustness. Our method can also be generalized to multimodal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用于多模态情感识别的解耦层次蒸馏</w:t>
      </w:r>
    </w:p>
    <w:p>
      <w:r>
        <w:rPr>
          <w:rFonts w:ascii="Times New Roman" w:hAnsi="Times New Roman" w:eastAsia="宋体"/>
          <w:b/>
          <w:color w:val="003264"/>
          <w:sz w:val="24"/>
        </w:rPr>
        <w:t>Decoupled Hierarchical Distillation for Multimodal Emotion Recognition</w:t>
      </w:r>
    </w:p>
    <w:p>
      <w:r>
        <w:rPr>
          <w:rFonts w:ascii="Times New Roman" w:hAnsi="Times New Roman" w:eastAsia="宋体"/>
          <w:sz w:val="21"/>
        </w:rPr>
        <w:t>作者: Yong Li, Yuanzhi Wang, Yi Ding, Shiqing Zhang, Ke Lu, Cuntai Guan</w:t>
        <w:br/>
      </w:r>
      <w:r>
        <w:rPr>
          <w:rFonts w:ascii="Times New Roman" w:hAnsi="Times New Roman" w:eastAsia="宋体"/>
          <w:sz w:val="21"/>
        </w:rPr>
        <w:t xml:space="preserve">时间: 2026 | </w:t>
      </w:r>
      <w:r>
        <w:t xml:space="preserve">链接: </w:t>
      </w:r>
      <w:hyperlink r:id="rId360">
        <w:r>
          <w:rPr>
            <w:rFonts w:ascii="Times New Roman" w:hAnsi="Times New Roman" w:eastAsia="宋体"/>
            <w:color w:val="0000FF"/>
            <w:sz w:val="21"/>
            <w:u w:val="single"/>
          </w:rPr>
          <w:t>https://doi.org/10.1109/tpami.2026.3660754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人类多模态情感识别（MER）试图通过整合来自语言、视觉和听觉模态的信息来推断人类情感。尽管现有的 MER 方法已经取得了有希望的结果，但它们仍然面临固有的多模式异质性和不同模式的不同贡献。为了应对这些挑战，我们提出了一个新颖的框架：解耦分层多模态蒸馏（DHMD）。 DHMD 使用自回归机制将每种模态的特征解耦为模态无关（同质）和模态排除（异质）组件。该框架采用两阶段知识蒸馏（KD）策略：（1）通过每个解耦特征空间中的图形蒸馏单元（GD-Unit）进行粗粒度 KD，其中动态图促进模态之间的自适应蒸馏；（2）通过跨模态字典匹配机制进行细粒度 KD，该机制跨模态对齐语义粒度以产生更具辨别力的 MER 表示。这种分层蒸馏方法可以实现灵活的知识转移，并有效改善跨模态特征对齐。实验结果表明，DHMD 始终优于最先进的 MER 方法，在 CMU-MOSI/CMU-MOSEI 数据集上分别实现了 1.3%/2.4% (ACC $_{7}$ )、1.3%/1.9% (ACC $_{2}$ ) 和 1.9%/1.8% (F1) 的相对改进。同时，可视化结果表明，DHMD 中的图边和字典激活在模态无关/排他特征空间中表现出有意义的分布模式。</w:t>
      </w:r>
    </w:p>
    <w:p>
      <w:pPr>
        <w:spacing w:before="120"/>
      </w:pPr>
      <w:r>
        <w:rPr>
          <w:rFonts w:ascii="Times New Roman" w:hAnsi="Times New Roman" w:eastAsia="宋体"/>
          <w:b/>
          <w:sz w:val="21"/>
        </w:rPr>
        <w:t>English Abstract:</w:t>
      </w:r>
    </w:p>
    <w:p>
      <w:r>
        <w:rPr>
          <w:rFonts w:ascii="Times New Roman" w:hAnsi="Times New Roman" w:eastAsia="宋体"/>
          <w:sz w:val="21"/>
        </w:rPr>
        <w:t>Human multimodal emotion recognition (MER) seeks to infer human emotions by integrating information from language, visual, and acoustic modalities. Although existing MER approaches have achieved promising results, they still struggle with inherent multimodal heterogeneities and varying contributions from different modalities. To address these challenges, we propose a novel framework, Decoupled Hierarchical Multimodal Distillation (DHMD). DHMD decouples each modality's features into modality-irrelevant (homogeneous) and modality-exclusive (heterogeneous) components using a self-regression mechanism. The framework employs a two-stage knowledge distillation (KD) strategy: (1) coarse-grained KD via a Graph Distillation Unit (GD-Unit) in each decoupled feature space, where a dynamic graph facilitates adaptive distillation among modalities, and (2) fine-grained KD through a cross-modal dictionary matching mechanism, which aligns semantic granularities across modalities to produce more discriminative MER representations. This hierarchical distillation approach enables flexible knowledge transfer and effectively improves cross-modal feature alignment. Experimental results demonstrate that DHMD consistently outperforms state-of-the-art MER methods, achieving 1.3%/2.4% (ACC $_{7}$ ), 1.3%/1.9% (ACC $_{2}$ ) and 1.9%/1.8% (F1) relative improvement on CMU-MOSI/CMU-MOSEI dataset, respectively. Meanwhile, visualization results reveal that both the graph edges and dictionary activations in DHMD exhibit meaningful distribution patterns across modality-irrelevant/-exclusive feature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通过加速坐标下降法进行稀疏学习中的 Top-$k$ 特征选择</w:t>
      </w:r>
    </w:p>
    <w:p>
      <w:r>
        <w:rPr>
          <w:rFonts w:ascii="Times New Roman" w:hAnsi="Times New Roman" w:eastAsia="宋体"/>
          <w:b/>
          <w:color w:val="003264"/>
          <w:sz w:val="24"/>
        </w:rPr>
        <w:t>Top-$k$ Feature Selection in Sparse Learning via Accelerated Coordinate Descent Method</w:t>
      </w:r>
    </w:p>
    <w:p>
      <w:r>
        <w:rPr>
          <w:rFonts w:ascii="Times New Roman" w:hAnsi="Times New Roman" w:eastAsia="宋体"/>
          <w:sz w:val="21"/>
        </w:rPr>
        <w:t>作者: Han Zhang, Yannian Gu, Feiping Nie, Xuelong Li</w:t>
        <w:br/>
      </w:r>
      <w:r>
        <w:rPr>
          <w:rFonts w:ascii="Times New Roman" w:hAnsi="Times New Roman" w:eastAsia="宋体"/>
          <w:sz w:val="21"/>
        </w:rPr>
        <w:t xml:space="preserve">时间: 2026 | </w:t>
      </w:r>
      <w:r>
        <w:t xml:space="preserve">链接: </w:t>
      </w:r>
      <w:hyperlink r:id="rId361">
        <w:r>
          <w:rPr>
            <w:rFonts w:ascii="Times New Roman" w:hAnsi="Times New Roman" w:eastAsia="宋体"/>
            <w:color w:val="0000FF"/>
            <w:sz w:val="21"/>
            <w:u w:val="single"/>
          </w:rPr>
          <w:t>https://doi.org/10.1109/tpami.2026.3660366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稀疏学习中的 Top-$k$ 特征选择是机器学习中的一个基本问题。由于严格的 $\ell _{2,0}$ -范数约束，很难克服。现有文献大多放松约束并寻求选择矩阵的近似，使原始模型退化并错过真正的解决方案。这项研究解决了稀疏学习中原始的 top-$k$ 特征选择模型。从普适性的角度来看，我们研究了稀疏学习中 top-$k$ 特征选择的监督和半监督模型。通过分解特征选择矩阵，发现两个不同的目标可以统一为一个通用的比率迹问题，这是一种非凸优化问题。提出了加速坐标下降法来有效地求解非凸目标，通过该方法以具有竞争力的时间成本获得top-$k$特征指标的局部最优解。为了验证所提出的算法，我们设计了可以可视化所选特征的优点的玩具实验。同时，在九个普通数据集和大规模 ImageNet 数据集上的实验结果全面表明了我们的方法相对于代表性和最先进的监督和半监督算法的优越性。</w:t>
      </w:r>
    </w:p>
    <w:p>
      <w:pPr>
        <w:spacing w:before="120"/>
      </w:pPr>
      <w:r>
        <w:rPr>
          <w:rFonts w:ascii="Times New Roman" w:hAnsi="Times New Roman" w:eastAsia="宋体"/>
          <w:b/>
          <w:sz w:val="21"/>
        </w:rPr>
        <w:t>English Abstract:</w:t>
      </w:r>
    </w:p>
    <w:p>
      <w:r>
        <w:rPr>
          <w:rFonts w:ascii="Times New Roman" w:hAnsi="Times New Roman" w:eastAsia="宋体"/>
          <w:sz w:val="21"/>
        </w:rPr>
        <w:t>Top- $k$ feature selection in sparse learning is a fundamental problem in machine learning. It is difficult to conquer due to the rigid $\ell _{2,0}$ -norm constraint. Existing literature mostly relaxes the constraint and seeks the approximation of the selection matrix, degenerating primitive models and missing the genuine solutions. This research tackles the primitive top- $k$ feature selection model in sparse learning. From the perspective of universality, we investigate both supervised and semi-supervised models of top- $k$ feature selection in sparse learning. By disassembling the feature selection matrix, it is revealed that two different objectives could be unified into one general ratio-trace problem, which is a non-convex optimization problem. The accelerated coordinate descent method is raised to efficiently solve the non-convex objective, through which the local optimal solution of top- $k$ feature indices is obtained with a competitive time cost. To verify the proposed algorithm, we design toy experiments that could visualize the advantages of the selected features. Meanwhile, experimental results on nine normal datasets and the large-scale ImageNet dataset comprehensively show the superiority of our methods compared to representative and state-of-the-art supervised and semi-supervised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搜索冷启动建议的调制</w:t>
      </w:r>
    </w:p>
    <w:p>
      <w:r>
        <w:rPr>
          <w:rFonts w:ascii="Times New Roman" w:hAnsi="Times New Roman" w:eastAsia="宋体"/>
          <w:b/>
          <w:color w:val="003264"/>
          <w:sz w:val="24"/>
        </w:rPr>
        <w:t>Searching to Modulate for Cold-Start Recommendation</w:t>
      </w:r>
    </w:p>
    <w:p>
      <w:r>
        <w:rPr>
          <w:rFonts w:ascii="Times New Roman" w:hAnsi="Times New Roman" w:eastAsia="宋体"/>
          <w:sz w:val="21"/>
        </w:rPr>
        <w:t>作者: Shiguang Wu, Yaqing Wang, Quanming Yao</w:t>
        <w:br/>
      </w:r>
      <w:r>
        <w:rPr>
          <w:rFonts w:ascii="Times New Roman" w:hAnsi="Times New Roman" w:eastAsia="宋体"/>
          <w:sz w:val="21"/>
        </w:rPr>
        <w:t xml:space="preserve">时间: 2026 | </w:t>
      </w:r>
      <w:r>
        <w:t xml:space="preserve">链接: </w:t>
      </w:r>
      <w:hyperlink r:id="rId362">
        <w:r>
          <w:rPr>
            <w:rFonts w:ascii="Times New Roman" w:hAnsi="Times New Roman" w:eastAsia="宋体"/>
            <w:color w:val="0000FF"/>
            <w:sz w:val="21"/>
            <w:u w:val="single"/>
          </w:rPr>
          <w:t>https://doi.org/10.1109/tpami.2026.3653806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只有很少交互历史的冷启动用户进行个性化推荐是推荐系统中的一个具有挑战性的问题。最近的工作利用超网络将交互历史直接映射到用户特定的参数，然后使用这些参数通过某些调制结构来调制预测器。这些作品获得了最先进的性能。然而，缺乏设计调制结构的通用方法。我们建议通过神经架构搜索来确定适当的调制结构，包括函数和位置，而不是使用固定的调制函数并通过专业知识来决定调制位置。我们提出两种方法。我们首先设计了一个涵盖广泛模型的符号搜索空间，并从理论上证明该搜索空间可以转换为更小的空间，从而实现一种高效且鲁棒的一次性搜索算法，称为 ColdNAS。由于推荐系统是二分匹配问题的特例，因此所提出的方法可以推广到广泛的冷启动任务，例如新出现疾病的疾病基因关联预测。然而，多样化的场景给搜索算法的灵活性和搜索空间带来了新的挑战。为了解决这些限制，我们进一步提出了 ColdNAS $_+$ ，其中我们使用神经网络对调制函数进行建模以扩展搜索空间并设计两阶段解耦随机搜索算法以实现连续空间中的不可微目标。基准数据集上的大量实验结果表明，ColdNAS 和 ColdNAS $_+$ 获得的调制结构在为新用户推荐项目和预测新疾病的相关基因方面始终优于手工设计的冷启动技术。我们观察到不同的调制函数会在不同的数据集或不同的指标下带来最佳的性能，这验证了以数据驱动的方式设计调制结构的必要性。</w:t>
      </w:r>
    </w:p>
    <w:p>
      <w:pPr>
        <w:spacing w:before="120"/>
      </w:pPr>
      <w:r>
        <w:rPr>
          <w:rFonts w:ascii="Times New Roman" w:hAnsi="Times New Roman" w:eastAsia="宋体"/>
          <w:b/>
          <w:sz w:val="21"/>
        </w:rPr>
        <w:t>English Abstract:</w:t>
      </w:r>
    </w:p>
    <w:p>
      <w:r>
        <w:rPr>
          <w:rFonts w:ascii="Times New Roman" w:hAnsi="Times New Roman" w:eastAsia="宋体"/>
          <w:sz w:val="21"/>
        </w:rPr>
        <w:t>Making personalized recommendation for cold-start users, who only have a few interaction histories, is a challenging problem in recommendation systems. Recent works leverage hypernetworks to directly map interaction histories to user-specific parameters, which are then used to modulate predictor by certain modulation structure. These works obtain the state-of-the-art performance. However, there lacks a general approach to design the modulation structure. Instead of using a fixed modulation function and deciding modulation position by expertise, we propose to determine proper modulation structure, including function and position, via neural architecture search. We propose two approaches. We first design a symbolic search space which covers broad models and theoretically prove that this search space can be transformed to a much smaller space, enabling an efficient and robust one-shot search algorithm, called ColdNAS. Since recommendation systems are a special case of bipartite matching problems, the proposed methods can be generalized to a wide range of cold-start tasks, such as disease-gene association prediction for emerging diseases. However, diverse scenarios introduce new challenges in both the flexibility of the search algorithm and the search space. To address these limitations, we further propose ColdNAS $_+$ , where we employ neural networks to model modulation functions to extend search space and design a two-stage decoupled stochastic search algorithm to enable non-differentiable targets in continuous spaces. Extensive experimental results on benchmark datasets show that modulation structures obtained by ColdNAS and ColdNAS $_+$ consistently outperform hand-designed cold-start techniques for recommending items for new users and predicting associated genes for new disease. We observe that different modulation functions lead to the best performance on different datasets or under different metrics, which validates the necessity of designing the modulation structure in a data-driven way.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评估和减轻大视觉语言模型中的关系幻觉</w:t>
      </w:r>
    </w:p>
    <w:p>
      <w:r>
        <w:rPr>
          <w:rFonts w:ascii="Times New Roman" w:hAnsi="Times New Roman" w:eastAsia="宋体"/>
          <w:b/>
          <w:color w:val="003264"/>
          <w:sz w:val="24"/>
        </w:rPr>
        <w:t>Evaluating and Mitigating Relationship Hallucinations in Large Vision-Language Models</w:t>
      </w:r>
    </w:p>
    <w:p>
      <w:r>
        <w:rPr>
          <w:rFonts w:ascii="Times New Roman" w:hAnsi="Times New Roman" w:eastAsia="宋体"/>
          <w:sz w:val="21"/>
        </w:rPr>
        <w:t>作者: Mingrui Wu, Jiale Li, Jiayi Ji, Fei Hao, Xiaoshuai Sun, Rongrong Ji</w:t>
        <w:br/>
      </w:r>
      <w:r>
        <w:rPr>
          <w:rFonts w:ascii="Times New Roman" w:hAnsi="Times New Roman" w:eastAsia="宋体"/>
          <w:sz w:val="21"/>
        </w:rPr>
        <w:t xml:space="preserve">时间: 2026 | </w:t>
      </w:r>
      <w:r>
        <w:t xml:space="preserve">链接: </w:t>
      </w:r>
      <w:hyperlink r:id="rId363">
        <w:r>
          <w:rPr>
            <w:rFonts w:ascii="Times New Roman" w:hAnsi="Times New Roman" w:eastAsia="宋体"/>
            <w:color w:val="0000FF"/>
            <w:sz w:val="21"/>
            <w:u w:val="single"/>
          </w:rPr>
          <w:t>https://doi.org/10.1109/tpami.2026.3656175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幻觉问题是现有大视觉语言模型（LVLM）中普遍关注的问题。之前的工作主要集中在研究物体幻觉，通过引入物体探测器可以轻松缓解这种幻觉。然而，这些努力忽视了对象间关系中的幻觉，而这对于视觉理解至关重要。在这项工作中，我们介绍了 R-Bench，这是一种专门为评估视觉关系中的幻觉而设计的新颖基准。 R-Bench 包括用于评估关系是否存在的图像级问题和更深入地探究局部视觉理解的实例级问题。我们的分析表明，关系幻觉源于三种类型的共现：关系-关系、主体-关系和关系-客体，视觉数据集中的长尾分布加剧了这种幻觉。此外，LVLM 经常忽​​略视觉内容，过度依赖语言模型的常识，尤其是在空间推理任务中。我们进一步证明，区域级图像文本对齐有助于减轻关系幻觉，并提出了一个新的基线——区域感知对齐缓解（RA 2 M），它增强了模型对相关区域的关注，改善了生成的文本和图像之间的对齐。</w:t>
      </w:r>
    </w:p>
    <w:p>
      <w:pPr>
        <w:spacing w:before="120"/>
      </w:pPr>
      <w:r>
        <w:rPr>
          <w:rFonts w:ascii="Times New Roman" w:hAnsi="Times New Roman" w:eastAsia="宋体"/>
          <w:b/>
          <w:sz w:val="21"/>
        </w:rPr>
        <w:t>English Abstract:</w:t>
      </w:r>
    </w:p>
    <w:p>
      <w:r>
        <w:rPr>
          <w:rFonts w:ascii="Times New Roman" w:hAnsi="Times New Roman" w:eastAsia="宋体"/>
          <w:sz w:val="21"/>
        </w:rPr>
        <w:t>The issue of hallucinations is a prevalent concern in existing Large Vision-Language Models (LVLMs). Previous efforts have primarily focused on investigating object hallucinations, which can be easily alleviated by introducing object detectors. However, these efforts neglect hallucinations in inter-object relationships, essential for visual comprehension. In this work, we introduce R-Bench, a novel benchmark specifically designed to evaluate hallucinations in visual relationships. R-Bench includes both image-level questions to assess the existence of relationships and instance-level questions that probe deeper into local visual comprehension. Our analysis reveals that relationship hallucinations arise from three types of co-occurrences: relationship-relationship, subject-relationship, and relationship-object, exacerbated by the long-tail distribution in visual datasets. Moreover, LVLMs often ignore visual content, over-relying on common sense from language models, particularly in spatial reasoning tasks. We further demonstrate that region-level image-text alignment helps mitigate relationship hallucinations and propose a new baseline, Region-Aware Alignment Mitigation (RA 2 M), that enhances model attention to relevant regions, improving alignment between generated text and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查看图可解性的代数几何方法</w:t>
      </w:r>
    </w:p>
    <w:p>
      <w:r>
        <w:rPr>
          <w:rFonts w:ascii="Times New Roman" w:hAnsi="Times New Roman" w:eastAsia="宋体"/>
          <w:b/>
          <w:color w:val="003264"/>
          <w:sz w:val="24"/>
        </w:rPr>
        <w:t>An Algebraic Geometry Approach to Viewing Graph Solvability</w:t>
      </w:r>
    </w:p>
    <w:p>
      <w:r>
        <w:rPr>
          <w:rFonts w:ascii="Times New Roman" w:hAnsi="Times New Roman" w:eastAsia="宋体"/>
          <w:sz w:val="21"/>
        </w:rPr>
        <w:t>作者: Federica Arrigoni, Kathlén Kohn, Andrea Fusiello, Tomas Pajdla</w:t>
        <w:br/>
      </w:r>
      <w:r>
        <w:rPr>
          <w:rFonts w:ascii="Times New Roman" w:hAnsi="Times New Roman" w:eastAsia="宋体"/>
          <w:sz w:val="21"/>
        </w:rPr>
        <w:t xml:space="preserve">时间: 2026 | </w:t>
      </w:r>
      <w:r>
        <w:t xml:space="preserve">链接: </w:t>
      </w:r>
      <w:hyperlink r:id="rId364">
        <w:r>
          <w:rPr>
            <w:rFonts w:ascii="Times New Roman" w:hAnsi="Times New Roman" w:eastAsia="宋体"/>
            <w:color w:val="0000FF"/>
            <w:sz w:val="21"/>
            <w:u w:val="single"/>
          </w:rPr>
          <w:t>https://doi.org/10.1109/tpami.2026.3660569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查看图可解性的概念在运动结构的背景下引起了极大的兴趣。观察图是一种数学结构，其中节点与摄像机相关联，边缘表示连接重叠视图的极线几何形状。可解性研究在哪些条件下摄像机由图形唯一确定。在本文中，我们提出了一种基于代数几何分析可解性问题的新颖框架，展示了其在理解运动图结构和证明先前提出的猜想方面的潜力。</w:t>
      </w:r>
    </w:p>
    <w:p>
      <w:pPr>
        <w:spacing w:before="120"/>
      </w:pPr>
      <w:r>
        <w:rPr>
          <w:rFonts w:ascii="Times New Roman" w:hAnsi="Times New Roman" w:eastAsia="宋体"/>
          <w:b/>
          <w:sz w:val="21"/>
        </w:rPr>
        <w:t>English Abstract:</w:t>
      </w:r>
    </w:p>
    <w:p>
      <w:r>
        <w:rPr>
          <w:rFonts w:ascii="Times New Roman" w:hAnsi="Times New Roman" w:eastAsia="宋体"/>
          <w:sz w:val="21"/>
        </w:rPr>
        <w:t>The concept of viewing graph solvability has gained significant interest in the context of structure-from-motion. A viewing graph is a mathematical structure where nodes are associated with cameras and edges represent the epipolar geometry connecting overlapping views. Solvability studies under which conditions the cameras are uniquely determined by the graph. In this paper we propose a novel framework for analyzing solvability problems based on algebraic geometry, demonstrating its potential in understanding structure-from-motion graphs and proving a conjecture that was previously proposed.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17:29 ---</w:t>
      </w:r>
    </w:p>
    <w:p>
      <w:pPr>
        <w:pStyle w:val="Heading2"/>
      </w:pPr>
      <w:r/>
      <w:r>
        <w:rPr>
          <w:rFonts w:ascii="Times New Roman" w:hAnsi="Times New Roman" w:eastAsia="宋体"/>
          <w:b/>
          <w:color w:val="000000"/>
          <w:sz w:val="24"/>
        </w:rPr>
        <w:t>DGM-RDW：环境之间具有动态几何映射的重定向行走</w:t>
      </w:r>
    </w:p>
    <w:p>
      <w:r>
        <w:rPr>
          <w:rFonts w:ascii="Times New Roman" w:hAnsi="Times New Roman" w:eastAsia="宋体"/>
          <w:b/>
          <w:color w:val="003264"/>
          <w:sz w:val="24"/>
        </w:rPr>
        <w:t>DGM-RDW: Redirected Walking with Dynamic Geometric Mapping Between Environments</w:t>
      </w:r>
    </w:p>
    <w:p>
      <w:r>
        <w:rPr>
          <w:rFonts w:ascii="Times New Roman" w:hAnsi="Times New Roman" w:eastAsia="宋体"/>
          <w:sz w:val="21"/>
        </w:rPr>
        <w:t>作者: Miao Wang, Qian Wang, Yi-Jun Li</w:t>
        <w:br/>
      </w:r>
      <w:r>
        <w:rPr>
          <w:rFonts w:ascii="Times New Roman" w:hAnsi="Times New Roman" w:eastAsia="宋体"/>
          <w:sz w:val="21"/>
        </w:rPr>
        <w:t xml:space="preserve">时间: 2026 | </w:t>
      </w:r>
      <w:r>
        <w:t xml:space="preserve">链接: </w:t>
      </w:r>
      <w:hyperlink r:id="rId355">
        <w:r>
          <w:rPr>
            <w:rFonts w:ascii="Times New Roman" w:hAnsi="Times New Roman" w:eastAsia="宋体"/>
            <w:color w:val="0000FF"/>
            <w:sz w:val="21"/>
            <w:u w:val="single"/>
          </w:rPr>
          <w:t>https://doi.org/10.1109/tvcg.2026.3660749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重定向行走（RDW）巧妙地调整用户在自然行走时在头戴式显示器上的视觉视角，以减少强制重置，从而扩大了可探索的虚拟环境的规模，超出了物理环境的范围。基于对齐的 RDW 控制器旨在通过优化用户物理和虚拟环境之间的对齐来最小化空间差异。我们引入了一种新颖的基于对齐的方法，该方法动态计算物理和虚拟几何形状之间的映射函数，以增强算法对 RDW 环境的感知。为了实现这一目标，我们首先构建一个抽象模型，定义物理几何和虚拟几何之间的映射函数，并以微分形式建立可行性约束。然后，我们具体化该映射，对其进行优化，并开发 RDW 中动态几何映射的实际实现。我们的方法的独特之处在于确定用户周围的密集空间映射，而不是根据有限的指标来调整环境。通过广泛的测试，我们的算法已被证明可以显着减少自然行走中的重置事件，超越现有的 RDW 控制器。动态几何映射的引入提供了一个全新的视角，贡献了重要的见解并推动了该领域的发展。</w:t>
      </w:r>
    </w:p>
    <w:p>
      <w:pPr>
        <w:spacing w:before="120"/>
      </w:pPr>
      <w:r>
        <w:rPr>
          <w:rFonts w:ascii="Times New Roman" w:hAnsi="Times New Roman" w:eastAsia="宋体"/>
          <w:b/>
          <w:sz w:val="21"/>
        </w:rPr>
        <w:t>English Abstract:</w:t>
      </w:r>
    </w:p>
    <w:p>
      <w:r>
        <w:rPr>
          <w:rFonts w:ascii="Times New Roman" w:hAnsi="Times New Roman" w:eastAsia="宋体"/>
          <w:sz w:val="21"/>
        </w:rPr>
        <w:t>Redirected walking (RDW) subtly adjusts the user's visual perspective on head-mounted displays during natural walking to reduce forced resets, thus enlarging the size of the virtual environment that can be explored beyond that of the physical environment. Alignment-based RDW controllers aim to minimize spatial discrepancies by optimizing the alignment between the user's physical and virtual environments. We introduce a novel alignment-based method that dynamically calculates mapping functions between physical and virtual geometries to enhance the algorithm's awareness of the RDW environments. To achieve this, we first construct an abstract model defining a mapping function between physical and virtual geometries and establish feasibility constraints in differential form. We then concretize this mapping, optimize it, and develop a practical implementation for dynamic geometric mapping in RDW. Our approach distinguishes itself by determining dense spatial mappings around the user, rather than aligning environments according to limited metrics. Through extensive testing, our algorithm has proven to markedly decrease reset incidents in natural walking, surpassing existing RDW controllers. The introduction of dynamic geometric mapping provides a fresh perspective, contributing significant insights and advancing the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CoDA：以石质冷水珊瑚为例的树状结构的交互式分割和形态分析</w:t>
      </w:r>
    </w:p>
    <w:p>
      <w:r>
        <w:rPr>
          <w:rFonts w:ascii="Times New Roman" w:hAnsi="Times New Roman" w:eastAsia="宋体"/>
          <w:b/>
          <w:color w:val="003264"/>
          <w:sz w:val="24"/>
        </w:rPr>
        <w:t>CoDA: Interactive Segmentation and Morphological Analysis of Dendroid Structures Exemplified on Stony Cold-Water Corals</w:t>
      </w:r>
    </w:p>
    <w:p>
      <w:r>
        <w:rPr>
          <w:rFonts w:ascii="Times New Roman" w:hAnsi="Times New Roman" w:eastAsia="宋体"/>
          <w:sz w:val="21"/>
        </w:rPr>
        <w:t>作者: Kira Schmitt, Jürgen Titschack, Daniel Baum</w:t>
        <w:br/>
      </w:r>
      <w:r>
        <w:rPr>
          <w:rFonts w:ascii="Times New Roman" w:hAnsi="Times New Roman" w:eastAsia="宋体"/>
          <w:sz w:val="21"/>
        </w:rPr>
        <w:t xml:space="preserve">时间: 2026 | </w:t>
      </w:r>
      <w:r>
        <w:t xml:space="preserve">链接: </w:t>
      </w:r>
      <w:hyperlink r:id="rId356">
        <w:r>
          <w:rPr>
            <w:rFonts w:ascii="Times New Roman" w:hAnsi="Times New Roman" w:eastAsia="宋体"/>
            <w:color w:val="0000FF"/>
            <w:sz w:val="21"/>
            <w:u w:val="single"/>
          </w:rPr>
          <w:t>https://doi.org/10.1109/tvcg.2026.3656066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树状石珊瑚建立了高度复杂的群体，通过无性繁殖从位于杯状外骨骼（称为珊瑚）中的单个珊瑚息肉发展而来，从而形成其外骨骼的树状分支模式。尽管它们作为热带浅水区和深海巨大冷水珊瑚丘的珊瑚礁建造者具有美丽和生态重要性，但对此类珊瑚群落个体发育形态发育的系统研究却基本上缺失。缺乏研究的主要原因是珊瑚石数量众多，并且在理想的树状结构中存在许多次生节理/共骨桥，这使得骨架树的重建极其繁琐。在此，我们推出了 CoDA，即 Coral D endroid 结构分析仪，这是一个可视化分析工具包，它首次允许系统地创建代表甚至非常复杂的树状石珊瑚的正确生物关系的骨架树，并基于它进行个体发育形态分析。从杯/珊瑚的初始实例分割开始，CoDA 估计骨架树，并提供方便的工具和可视化来校对和纠正分割和骨架树。 CoDA.Graph 是 CoDA 的一部分，它是一个功能丰富的链接和画笔用户界面，用于显示提取的形态特征和骨架树的图形布局，从而能够实时探索复杂的珊瑚群落及其构建块、单个珊瑚和分支。 CoDA 的使用在三种最重要的造礁冷水珊瑚物种的多个样本上得到了例证，这些珊瑚物种的形态类型差异很大。</w:t>
      </w:r>
    </w:p>
    <w:p>
      <w:pPr>
        <w:spacing w:before="120"/>
      </w:pPr>
      <w:r>
        <w:rPr>
          <w:rFonts w:ascii="Times New Roman" w:hAnsi="Times New Roman" w:eastAsia="宋体"/>
          <w:b/>
          <w:sz w:val="21"/>
        </w:rPr>
        <w:t>English Abstract:</w:t>
      </w:r>
    </w:p>
    <w:p>
      <w:r>
        <w:rPr>
          <w:rFonts w:ascii="Times New Roman" w:hAnsi="Times New Roman" w:eastAsia="宋体"/>
          <w:sz w:val="21"/>
        </w:rPr>
        <w:t>Dendroid stony corals build highly complex colonies that develop by asexual reproduction from a single coral polyp sitting in a cup-like exoskeleton, called corallite, resulting in a tree-like branching pattern of its exoskeleton. Despite their beauty and ecological importance as reef builders in tropical shallow-water and in huge cold-water coral mounds in the deep ocean, systematic studies investigating the ontogenetic morphological development of such coral colonies are largely missing. The main reasons for this lack of study are the large number of corallites, and the existence of many secondary joints/coenosteal bridges in the ideally tree-like structure that make a reconstruction of the skeleton tree extremely tedious. Herein, we present CoDA , the Co ral D endroid structure A nalyzer, a visual analytics toolkit that allows for the first time to systematically create skeleton trees representing the correct biological relationship of even very complex dendroid stony corals and to perform ontogenetic morphological analyses based on it. Starting with an initial instance segmentation of the calices/corallites, CoDA estimates the skeleton tree and provides convenient tools and visualizations for proofreading and correcting segmentation and skeleton tree. Part of CoDA is CoDA.Graph , a feature-rich link-and-brush user interface for showing the extracted morphological features and graph layouts of the skeleton tree, enabling real-time exploration of complex coral colonies and their building blocks, the individual corallites and branches. The use of CoDA is exemplified on multiple specimens of the three most important reef-building cold-water coral species with largely varying morphotypes.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Stable-Hair v2：通过多视图扩散模型实现真实世界的毛发转移</w:t>
      </w:r>
    </w:p>
    <w:p>
      <w:r>
        <w:rPr>
          <w:rFonts w:ascii="Times New Roman" w:hAnsi="Times New Roman" w:eastAsia="宋体"/>
          <w:b/>
          <w:color w:val="003264"/>
          <w:sz w:val="24"/>
        </w:rPr>
        <w:t>Stable-Hair v2: Real-World Hair Transfer via Multiple-View Diffusion Model</w:t>
      </w:r>
    </w:p>
    <w:p>
      <w:r>
        <w:rPr>
          <w:rFonts w:ascii="Times New Roman" w:hAnsi="Times New Roman" w:eastAsia="宋体"/>
          <w:sz w:val="21"/>
        </w:rPr>
        <w:t>作者: Kuiyuan Sun, Yuxuan Zhang, Jichao Zhang, Jiaming Liu, Wei Wang, Nicu Sebe, Yao Zhao</w:t>
        <w:br/>
      </w:r>
      <w:r>
        <w:rPr>
          <w:rFonts w:ascii="Times New Roman" w:hAnsi="Times New Roman" w:eastAsia="宋体"/>
          <w:sz w:val="21"/>
        </w:rPr>
        <w:t xml:space="preserve">时间: 2026 | </w:t>
      </w:r>
      <w:r>
        <w:t xml:space="preserve">链接: </w:t>
      </w:r>
      <w:hyperlink r:id="rId357">
        <w:r>
          <w:rPr>
            <w:rFonts w:ascii="Times New Roman" w:hAnsi="Times New Roman" w:eastAsia="宋体"/>
            <w:color w:val="0000FF"/>
            <w:sz w:val="21"/>
            <w:u w:val="single"/>
          </w:rPr>
          <w:t>https://doi.org/10.1109/tvcg.2026.3659861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扩散的方法在捕捉多样化和复杂的发型方面表现出了令人印象深刻的能力，但它们生成一致且高质量的多视图输出的能力（对于数字人类和虚拟化身等现实世界应用至关重要）仍然没有得到充分探索。在本文中，我们提出了 Stable-Hair v2，一种新颖的基于扩散的多视图头发转移框架。据我们所知，这是第一个利用多视图扩散模型实现跨多个视角的稳健、高保真和视图一致的毛发转移的工作。我们引入了一个全面的多视图训练数据生成管道来生成高质量的三元组数据，包括秃头图像、参考发型和视图对齐的源秃头对。我们的多视图头发转移模型集成了用于姿势调节的极方位角嵌入和时间注意层，以确保视图之间的平滑过渡。为了优化该模型，我们设计了一种新颖的多阶段训练策略，包括姿势可控的潜在 IdentityNet 训练、毛发提取器训练和时间注意力训练。大量实验表明，我们的方法可以准确地将详细且真实的发型转移到源对象，同时在各个视图中实现无缝且一致的结果，显着优于现有方法，并建立了多视图头发转移的新基准。代码可在 https://github.com/sunkymepro/StableHairV2 上公开获取。</w:t>
      </w:r>
    </w:p>
    <w:p>
      <w:pPr>
        <w:spacing w:before="120"/>
      </w:pPr>
      <w:r>
        <w:rPr>
          <w:rFonts w:ascii="Times New Roman" w:hAnsi="Times New Roman" w:eastAsia="宋体"/>
          <w:b/>
          <w:sz w:val="21"/>
        </w:rPr>
        <w:t>English Abstract:</w:t>
      </w:r>
    </w:p>
    <w:p>
      <w:r>
        <w:rPr>
          <w:rFonts w:ascii="Times New Roman" w:hAnsi="Times New Roman" w:eastAsia="宋体"/>
          <w:sz w:val="21"/>
        </w:rPr>
        <w:t>While diffusion-based methods have shown impressive capabilities in capturing diverse and complex hairstyles, their ability to generate consistent and high-quality multi-view out puts—crucial for real-world applications such as digital humans and virtual avatars—remains underexplored. In this paper, we propose Stable-Hair v2, a novel diffusion-based multi-view hair transfer framework. To the best of our knowledge, this is the first work to leverage multiple-view diffusion models for robust, high-fidelity, and view-consistent hair transfer across multiple perspectives. We introduce a comprehensive multi-view training data generation pipeline to generate high-quality triplet data, including bald images, reference hairstyles, and view-aligned source-bald pairs. Our multi-view hair transfer model integrates polar-azimuth embeddings for pose conditioning and temporal attention layers to ensure smooth transitions between views. To optimize this model, we design a novel multi-stage training strategy consisting of Pose-Controllable Latent IdentityNet training, Hair Extractor training, and Temporal Attention training. Extensive experiments demonstrate that our method accurately transfers detailed and realistic hairstyles to source subjects while achieving seamless and consistent results across views, significantly outperforming existing methods and establishing a new benchmark in multi-view hair transfer. Code is publicly available at https://github.com/sunkymepro/StableHairV2.</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 Id="rId142" Type="http://schemas.openxmlformats.org/officeDocument/2006/relationships/hyperlink" Target="https://doi.org/10.1038/s41467-026-68701-z" TargetMode="External"/><Relationship Id="rId143" Type="http://schemas.openxmlformats.org/officeDocument/2006/relationships/hyperlink" Target="https://doi.org/10.1038/s41467-026-68940-0" TargetMode="External"/><Relationship Id="rId144" Type="http://schemas.openxmlformats.org/officeDocument/2006/relationships/hyperlink" Target="https://doi.org/10.1038/s41467-025-68032-5" TargetMode="External"/><Relationship Id="rId145" Type="http://schemas.openxmlformats.org/officeDocument/2006/relationships/hyperlink" Target="https://doi.org/10.1038/s41467-026-68931-1" TargetMode="External"/><Relationship Id="rId146" Type="http://schemas.openxmlformats.org/officeDocument/2006/relationships/hyperlink" Target="https://doi.org/10.1038/s41467-026-69101-z" TargetMode="External"/><Relationship Id="rId147" Type="http://schemas.openxmlformats.org/officeDocument/2006/relationships/hyperlink" Target="https://doi.org/10.1038/s41467-025-68260-9" TargetMode="External"/><Relationship Id="rId148" Type="http://schemas.openxmlformats.org/officeDocument/2006/relationships/hyperlink" Target="https://doi.org/10.1038/s41467-026-68653-4" TargetMode="External"/><Relationship Id="rId149" Type="http://schemas.openxmlformats.org/officeDocument/2006/relationships/hyperlink" Target="https://doi.org/10.1038/s41467-026-69065-0" TargetMode="External"/><Relationship Id="rId150" Type="http://schemas.openxmlformats.org/officeDocument/2006/relationships/hyperlink" Target="https://doi.org/10.1038/s41467-026-69112-w" TargetMode="External"/><Relationship Id="rId151" Type="http://schemas.openxmlformats.org/officeDocument/2006/relationships/hyperlink" Target="https://doi.org/10.1038/s41467-026-69087-8" TargetMode="External"/><Relationship Id="rId152" Type="http://schemas.openxmlformats.org/officeDocument/2006/relationships/hyperlink" Target="https://doi.org/10.1038/s41467-026-68918-y" TargetMode="External"/><Relationship Id="rId153" Type="http://schemas.openxmlformats.org/officeDocument/2006/relationships/hyperlink" Target="https://doi.org/10.1038/s41467-026-69042-7" TargetMode="External"/><Relationship Id="rId154" Type="http://schemas.openxmlformats.org/officeDocument/2006/relationships/hyperlink" Target="https://doi.org/10.1038/s41467-025-68264-5" TargetMode="External"/><Relationship Id="rId155" Type="http://schemas.openxmlformats.org/officeDocument/2006/relationships/hyperlink" Target="https://doi.org/10.1038/s41467-026-68936-w" TargetMode="External"/><Relationship Id="rId156" Type="http://schemas.openxmlformats.org/officeDocument/2006/relationships/hyperlink" Target="https://doi.org/10.1126/sciadv.aeb3022" TargetMode="External"/><Relationship Id="rId157" Type="http://schemas.openxmlformats.org/officeDocument/2006/relationships/hyperlink" Target="https://doi.org/10.1126/sciadv.adx7204" TargetMode="External"/><Relationship Id="rId158" Type="http://schemas.openxmlformats.org/officeDocument/2006/relationships/hyperlink" Target="https://doi.org/10.1126/sciadv.aea3960" TargetMode="External"/><Relationship Id="rId159" Type="http://schemas.openxmlformats.org/officeDocument/2006/relationships/hyperlink" Target="https://doi.org/10.1126/sciadv.adz4585" TargetMode="External"/><Relationship Id="rId160" Type="http://schemas.openxmlformats.org/officeDocument/2006/relationships/hyperlink" Target="https://doi.org/10.1126/sciadv.adz1565" TargetMode="External"/><Relationship Id="rId161" Type="http://schemas.openxmlformats.org/officeDocument/2006/relationships/hyperlink" Target="https://doi.org/10.1126/sciadv.aea2831" TargetMode="External"/><Relationship Id="rId162" Type="http://schemas.openxmlformats.org/officeDocument/2006/relationships/hyperlink" Target="https://doi.org/10.1126/sciadv.aea4466" TargetMode="External"/><Relationship Id="rId163" Type="http://schemas.openxmlformats.org/officeDocument/2006/relationships/hyperlink" Target="https://doi.org/10.1126/sciadv.aea8571" TargetMode="External"/><Relationship Id="rId164" Type="http://schemas.openxmlformats.org/officeDocument/2006/relationships/hyperlink" Target="https://doi.org/10.1126/sciadv.adx6539" TargetMode="External"/><Relationship Id="rId165" Type="http://schemas.openxmlformats.org/officeDocument/2006/relationships/hyperlink" Target="https://doi.org/10.1126/sciadv.aeb4073" TargetMode="External"/><Relationship Id="rId166" Type="http://schemas.openxmlformats.org/officeDocument/2006/relationships/hyperlink" Target="https://doi.org/10.1126/sciadv.adx2075" TargetMode="External"/><Relationship Id="rId167" Type="http://schemas.openxmlformats.org/officeDocument/2006/relationships/hyperlink" Target="https://doi.org/10.1126/sciadv.ady6978" TargetMode="External"/><Relationship Id="rId168" Type="http://schemas.openxmlformats.org/officeDocument/2006/relationships/hyperlink" Target="https://doi.org/10.1126/sciadv.aed1952" TargetMode="External"/><Relationship Id="rId169" Type="http://schemas.openxmlformats.org/officeDocument/2006/relationships/hyperlink" Target="https://doi.org/10.1126/sciadv.aed2184" TargetMode="External"/><Relationship Id="rId170" Type="http://schemas.openxmlformats.org/officeDocument/2006/relationships/hyperlink" Target="https://doi.org/10.1126/sciadv.aea7983" TargetMode="External"/><Relationship Id="rId171" Type="http://schemas.openxmlformats.org/officeDocument/2006/relationships/hyperlink" Target="https://doi.org/10.1126/sciadv.aeb7242" TargetMode="External"/><Relationship Id="rId172" Type="http://schemas.openxmlformats.org/officeDocument/2006/relationships/hyperlink" Target="https://doi.org/10.1126/sciadv.ady0545" TargetMode="External"/><Relationship Id="rId173" Type="http://schemas.openxmlformats.org/officeDocument/2006/relationships/hyperlink" Target="https://doi.org/10.1126/sciadv.aeb1158" TargetMode="External"/><Relationship Id="rId174" Type="http://schemas.openxmlformats.org/officeDocument/2006/relationships/hyperlink" Target="https://doi.org/10.1126/sciadv.aeb1378" TargetMode="External"/><Relationship Id="rId175" Type="http://schemas.openxmlformats.org/officeDocument/2006/relationships/hyperlink" Target="https://doi.org/10.1126/sciadv.adz8962" TargetMode="External"/><Relationship Id="rId176" Type="http://schemas.openxmlformats.org/officeDocument/2006/relationships/hyperlink" Target="https://doi.org/10.1126/sciadv.aea5236" TargetMode="External"/><Relationship Id="rId177" Type="http://schemas.openxmlformats.org/officeDocument/2006/relationships/hyperlink" Target="https://doi.org/10.1126/sciadv.adx5130" TargetMode="External"/><Relationship Id="rId178" Type="http://schemas.openxmlformats.org/officeDocument/2006/relationships/hyperlink" Target="https://doi.org/10.1126/sciadv.aea5313" TargetMode="External"/><Relationship Id="rId179" Type="http://schemas.openxmlformats.org/officeDocument/2006/relationships/hyperlink" Target="https://doi.org/10.1126/sciadv.adv0423" TargetMode="External"/><Relationship Id="rId180" Type="http://schemas.openxmlformats.org/officeDocument/2006/relationships/hyperlink" Target="https://doi.org/10.1126/sciadv.aeb6329" TargetMode="External"/><Relationship Id="rId181" Type="http://schemas.openxmlformats.org/officeDocument/2006/relationships/hyperlink" Target="https://doi.org/10.1126/sciadv.aeb5769" TargetMode="External"/><Relationship Id="rId182" Type="http://schemas.openxmlformats.org/officeDocument/2006/relationships/hyperlink" Target="https://doi.org/10.1126/sciadv.aec5309" TargetMode="External"/><Relationship Id="rId183" Type="http://schemas.openxmlformats.org/officeDocument/2006/relationships/hyperlink" Target="https://doi.org/10.1126/sciadv.ady8981" TargetMode="External"/><Relationship Id="rId184" Type="http://schemas.openxmlformats.org/officeDocument/2006/relationships/hyperlink" Target="https://doi.org/10.1126/sciadv.adu5874" TargetMode="External"/><Relationship Id="rId185" Type="http://schemas.openxmlformats.org/officeDocument/2006/relationships/hyperlink" Target="https://doi.org/10.1038/s41598-026-37958-1" TargetMode="External"/><Relationship Id="rId186" Type="http://schemas.openxmlformats.org/officeDocument/2006/relationships/hyperlink" Target="https://doi.org/10.1038/s41598-025-31319-0" TargetMode="External"/><Relationship Id="rId187" Type="http://schemas.openxmlformats.org/officeDocument/2006/relationships/hyperlink" Target="https://doi.org/10.1038/s41598-026-37788-1" TargetMode="External"/><Relationship Id="rId188" Type="http://schemas.openxmlformats.org/officeDocument/2006/relationships/hyperlink" Target="https://doi.org/10.1038/s41598-025-27311-3" TargetMode="External"/><Relationship Id="rId189" Type="http://schemas.openxmlformats.org/officeDocument/2006/relationships/hyperlink" Target="https://doi.org/10.1038/s41598-026-38617-1" TargetMode="External"/><Relationship Id="rId190" Type="http://schemas.openxmlformats.org/officeDocument/2006/relationships/hyperlink" Target="https://doi.org/10.1038/s41598-026-38383-0" TargetMode="External"/><Relationship Id="rId191" Type="http://schemas.openxmlformats.org/officeDocument/2006/relationships/hyperlink" Target="https://doi.org/10.1038/s41598-026-36163-4" TargetMode="External"/><Relationship Id="rId192" Type="http://schemas.openxmlformats.org/officeDocument/2006/relationships/hyperlink" Target="https://doi.org/10.1038/s41598-026-36056-6" TargetMode="External"/><Relationship Id="rId193" Type="http://schemas.openxmlformats.org/officeDocument/2006/relationships/hyperlink" Target="https://doi.org/10.1038/s41598-026-38348-3" TargetMode="External"/><Relationship Id="rId194" Type="http://schemas.openxmlformats.org/officeDocument/2006/relationships/hyperlink" Target="https://doi.org/10.1038/s41598-026-35701-4" TargetMode="External"/><Relationship Id="rId195" Type="http://schemas.openxmlformats.org/officeDocument/2006/relationships/hyperlink" Target="https://doi.org/10.1038/s41598-026-37642-4" TargetMode="External"/><Relationship Id="rId196" Type="http://schemas.openxmlformats.org/officeDocument/2006/relationships/hyperlink" Target="https://doi.org/10.1038/s41598-026-37562-3" TargetMode="External"/><Relationship Id="rId197" Type="http://schemas.openxmlformats.org/officeDocument/2006/relationships/hyperlink" Target="https://doi.org/10.1038/s41598-026-37069-x" TargetMode="External"/><Relationship Id="rId198" Type="http://schemas.openxmlformats.org/officeDocument/2006/relationships/hyperlink" Target="https://doi.org/10.1038/s41598-026-36966-5" TargetMode="External"/><Relationship Id="rId199" Type="http://schemas.openxmlformats.org/officeDocument/2006/relationships/hyperlink" Target="https://doi.org/10.1038/s41598-026-35527-0" TargetMode="External"/><Relationship Id="rId200" Type="http://schemas.openxmlformats.org/officeDocument/2006/relationships/hyperlink" Target="https://doi.org/10.1038/s41598-026-35601-7" TargetMode="External"/><Relationship Id="rId201" Type="http://schemas.openxmlformats.org/officeDocument/2006/relationships/hyperlink" Target="https://doi.org/10.1038/s41598-026-37836-w" TargetMode="External"/><Relationship Id="rId202" Type="http://schemas.openxmlformats.org/officeDocument/2006/relationships/hyperlink" Target="https://doi.org/10.1038/s41598-026-38219-x" TargetMode="External"/><Relationship Id="rId203" Type="http://schemas.openxmlformats.org/officeDocument/2006/relationships/hyperlink" Target="https://doi.org/10.1038/s41598-026-38476-w" TargetMode="External"/><Relationship Id="rId204" Type="http://schemas.openxmlformats.org/officeDocument/2006/relationships/hyperlink" Target="https://doi.org/10.1038/s41598-026-38249-5" TargetMode="External"/><Relationship Id="rId205" Type="http://schemas.openxmlformats.org/officeDocument/2006/relationships/hyperlink" Target="https://doi.org/10.1038/s41598-026-38419-5" TargetMode="External"/><Relationship Id="rId206" Type="http://schemas.openxmlformats.org/officeDocument/2006/relationships/hyperlink" Target="https://doi.org/10.1038/s41598-026-37659-9" TargetMode="External"/><Relationship Id="rId207" Type="http://schemas.openxmlformats.org/officeDocument/2006/relationships/hyperlink" Target="https://doi.org/10.1038/s41598-026-37219-1" TargetMode="External"/><Relationship Id="rId208" Type="http://schemas.openxmlformats.org/officeDocument/2006/relationships/hyperlink" Target="https://doi.org/10.1038/s41598-026-37692-8" TargetMode="External"/><Relationship Id="rId209" Type="http://schemas.openxmlformats.org/officeDocument/2006/relationships/hyperlink" Target="https://doi.org/10.1038/s41598-026-38321-0" TargetMode="External"/><Relationship Id="rId210" Type="http://schemas.openxmlformats.org/officeDocument/2006/relationships/hyperlink" Target="https://doi.org/10.1038/s41598-026-38402-0" TargetMode="External"/><Relationship Id="rId211" Type="http://schemas.openxmlformats.org/officeDocument/2006/relationships/hyperlink" Target="https://doi.org/10.1038/s41598-026-38107-4" TargetMode="External"/><Relationship Id="rId212" Type="http://schemas.openxmlformats.org/officeDocument/2006/relationships/hyperlink" Target="https://doi.org/10.1038/s41598-026-38050-4" TargetMode="External"/><Relationship Id="rId213" Type="http://schemas.openxmlformats.org/officeDocument/2006/relationships/hyperlink" Target="https://doi.org/10.1016/j.optcom.2026.132992" TargetMode="External"/><Relationship Id="rId214" Type="http://schemas.openxmlformats.org/officeDocument/2006/relationships/hyperlink" Target="https://doi.org/10.1364/ol.584145" TargetMode="External"/><Relationship Id="rId215" Type="http://schemas.openxmlformats.org/officeDocument/2006/relationships/hyperlink" Target="https://doi.org/10.1364/optica.571318" TargetMode="External"/><Relationship Id="rId216" Type="http://schemas.openxmlformats.org/officeDocument/2006/relationships/hyperlink" Target="https://doi.org/10.1038/s41592-025-02945-3" TargetMode="External"/><Relationship Id="rId217" Type="http://schemas.openxmlformats.org/officeDocument/2006/relationships/hyperlink" Target="https://doi.org/10.1038/s41592-025-02943-5" TargetMode="External"/><Relationship Id="rId218" Type="http://schemas.openxmlformats.org/officeDocument/2006/relationships/hyperlink" Target="https://doi.org/10.1038/s41592-025-02906-w" TargetMode="External"/><Relationship Id="rId219" Type="http://schemas.openxmlformats.org/officeDocument/2006/relationships/hyperlink" Target="https://doi.org/10.1038/s41592-025-02971-1" TargetMode="External"/><Relationship Id="rId220" Type="http://schemas.openxmlformats.org/officeDocument/2006/relationships/hyperlink" Target="https://doi.org/10.1038/s41592-025-02985-9" TargetMode="External"/><Relationship Id="rId221" Type="http://schemas.openxmlformats.org/officeDocument/2006/relationships/hyperlink" Target="https://doi.org/10.1038/s41592-025-02988-6" TargetMode="External"/><Relationship Id="rId222" Type="http://schemas.openxmlformats.org/officeDocument/2006/relationships/hyperlink" Target="https://doi.org/10.1038/s41592-025-02925-7" TargetMode="External"/><Relationship Id="rId223" Type="http://schemas.openxmlformats.org/officeDocument/2006/relationships/hyperlink" Target="https://doi.org/10.1038/s41592-025-02966-y" TargetMode="External"/><Relationship Id="rId224" Type="http://schemas.openxmlformats.org/officeDocument/2006/relationships/hyperlink" Target="https://doi.org/10.1038/s41592-025-02869-y" TargetMode="External"/><Relationship Id="rId225" Type="http://schemas.openxmlformats.org/officeDocument/2006/relationships/hyperlink" Target="https://doi.org/10.1038/s41592-025-02905-x" TargetMode="External"/><Relationship Id="rId226" Type="http://schemas.openxmlformats.org/officeDocument/2006/relationships/hyperlink" Target="https://doi.org/10.1038/s41592-025-02935-5" TargetMode="External"/><Relationship Id="rId227" Type="http://schemas.openxmlformats.org/officeDocument/2006/relationships/hyperlink" Target="https://doi.org/10.1038/s41592-025-02968-w" TargetMode="External"/><Relationship Id="rId228" Type="http://schemas.openxmlformats.org/officeDocument/2006/relationships/hyperlink" Target="https://doi.org/10.1038/s41592-025-02960-4" TargetMode="External"/><Relationship Id="rId229" Type="http://schemas.openxmlformats.org/officeDocument/2006/relationships/hyperlink" Target="https://doi.org/10.1038/s41592-025-02964-0" TargetMode="External"/><Relationship Id="rId230" Type="http://schemas.openxmlformats.org/officeDocument/2006/relationships/hyperlink" Target="https://doi.org/10.1038/s41592-025-02973-z" TargetMode="External"/><Relationship Id="rId231" Type="http://schemas.openxmlformats.org/officeDocument/2006/relationships/hyperlink" Target="https://doi.org/10.1038/s41592-025-02992-w" TargetMode="External"/><Relationship Id="rId232" Type="http://schemas.openxmlformats.org/officeDocument/2006/relationships/hyperlink" Target="https://doi.org/10.1038/s41592-025-02965-z" TargetMode="External"/><Relationship Id="rId233" Type="http://schemas.openxmlformats.org/officeDocument/2006/relationships/hyperlink" Target="https://doi.org/10.1038/s41592-025-02897-8" TargetMode="External"/><Relationship Id="rId234" Type="http://schemas.openxmlformats.org/officeDocument/2006/relationships/hyperlink" Target="https://doi.org/10.1038/s41592-025-02929-3" TargetMode="External"/><Relationship Id="rId235" Type="http://schemas.openxmlformats.org/officeDocument/2006/relationships/hyperlink" Target="https://doi.org/10.1038/s41592-025-02934-6" TargetMode="External"/><Relationship Id="rId236" Type="http://schemas.openxmlformats.org/officeDocument/2006/relationships/hyperlink" Target="https://doi.org/10.1038/s41592-025-02930-w" TargetMode="External"/><Relationship Id="rId237" Type="http://schemas.openxmlformats.org/officeDocument/2006/relationships/hyperlink" Target="https://doi.org/10.1038/s41592-025-02871-4" TargetMode="External"/><Relationship Id="rId238" Type="http://schemas.openxmlformats.org/officeDocument/2006/relationships/hyperlink" Target="https://doi.org/10.1038/s41592-025-02997-5" TargetMode="External"/><Relationship Id="rId239" Type="http://schemas.openxmlformats.org/officeDocument/2006/relationships/hyperlink" Target="https://doi.org/10.1038/s41592-025-02948-0" TargetMode="External"/><Relationship Id="rId240" Type="http://schemas.openxmlformats.org/officeDocument/2006/relationships/hyperlink" Target="https://doi.org/10.1038/s41567-025-03086-2" TargetMode="External"/><Relationship Id="rId241" Type="http://schemas.openxmlformats.org/officeDocument/2006/relationships/hyperlink" Target="https://doi.org/10.1038/s41567-025-03095-1" TargetMode="External"/><Relationship Id="rId242" Type="http://schemas.openxmlformats.org/officeDocument/2006/relationships/hyperlink" Target="https://doi.org/10.1038/s41567-025-03101-6" TargetMode="External"/><Relationship Id="rId243" Type="http://schemas.openxmlformats.org/officeDocument/2006/relationships/hyperlink" Target="https://doi.org/10.1038/s41567-025-03116-z" TargetMode="External"/><Relationship Id="rId244" Type="http://schemas.openxmlformats.org/officeDocument/2006/relationships/hyperlink" Target="https://doi.org/10.1038/s41567-025-03115-0" TargetMode="External"/><Relationship Id="rId245" Type="http://schemas.openxmlformats.org/officeDocument/2006/relationships/hyperlink" Target="https://doi.org/10.1038/s41567-025-03094-2" TargetMode="External"/><Relationship Id="rId246" Type="http://schemas.openxmlformats.org/officeDocument/2006/relationships/hyperlink" Target="https://doi.org/10.1038/s41567-025-03107-0" TargetMode="External"/><Relationship Id="rId247" Type="http://schemas.openxmlformats.org/officeDocument/2006/relationships/hyperlink" Target="https://doi.org/10.1038/s41567-025-03113-2" TargetMode="External"/><Relationship Id="rId248" Type="http://schemas.openxmlformats.org/officeDocument/2006/relationships/hyperlink" Target="https://doi.org/10.1038/s41567-025-03133-y" TargetMode="External"/><Relationship Id="rId249" Type="http://schemas.openxmlformats.org/officeDocument/2006/relationships/hyperlink" Target="https://doi.org/10.1038/s41567-025-03123-0" TargetMode="External"/><Relationship Id="rId250" Type="http://schemas.openxmlformats.org/officeDocument/2006/relationships/hyperlink" Target="https://doi.org/10.1038/s41567-025-03122-1" TargetMode="External"/><Relationship Id="rId251" Type="http://schemas.openxmlformats.org/officeDocument/2006/relationships/hyperlink" Target="https://doi.org/10.1038/s41567-025-03136-9" TargetMode="External"/><Relationship Id="rId252" Type="http://schemas.openxmlformats.org/officeDocument/2006/relationships/hyperlink" Target="https://doi.org/10.1038/s41567-025-03117-y" TargetMode="External"/><Relationship Id="rId253" Type="http://schemas.openxmlformats.org/officeDocument/2006/relationships/hyperlink" Target="https://doi.org/10.1038/s41567-025-03124-z" TargetMode="External"/><Relationship Id="rId254" Type="http://schemas.openxmlformats.org/officeDocument/2006/relationships/hyperlink" Target="https://doi.org/10.1038/s41567-025-03132-z" TargetMode="External"/><Relationship Id="rId255" Type="http://schemas.openxmlformats.org/officeDocument/2006/relationships/hyperlink" Target="https://doi.org/10.1038/s41567-025-03131-0" TargetMode="External"/><Relationship Id="rId256" Type="http://schemas.openxmlformats.org/officeDocument/2006/relationships/hyperlink" Target="https://doi.org/10.1038/s41567-025-03161-8" TargetMode="External"/><Relationship Id="rId257" Type="http://schemas.openxmlformats.org/officeDocument/2006/relationships/hyperlink" Target="https://doi.org/10.1038/s41567-026-03172-z" TargetMode="External"/><Relationship Id="rId258" Type="http://schemas.openxmlformats.org/officeDocument/2006/relationships/hyperlink" Target="https://doi.org/10.1038/s42256-025-01105-8" TargetMode="External"/><Relationship Id="rId259" Type="http://schemas.openxmlformats.org/officeDocument/2006/relationships/hyperlink" Target="https://doi.org/10.1038/s42256-025-01116-5" TargetMode="External"/><Relationship Id="rId260" Type="http://schemas.openxmlformats.org/officeDocument/2006/relationships/hyperlink" Target="https://doi.org/10.1038/s42256-025-01131-6" TargetMode="External"/><Relationship Id="rId261" Type="http://schemas.openxmlformats.org/officeDocument/2006/relationships/hyperlink" Target="https://doi.org/10.1038/s42256-025-01139-y" TargetMode="External"/><Relationship Id="rId262" Type="http://schemas.openxmlformats.org/officeDocument/2006/relationships/hyperlink" Target="https://doi.org/10.1038/s42256-025-01130-7" TargetMode="External"/><Relationship Id="rId263" Type="http://schemas.openxmlformats.org/officeDocument/2006/relationships/hyperlink" Target="https://doi.org/10.1038/s42256-025-01142-3" TargetMode="External"/><Relationship Id="rId264" Type="http://schemas.openxmlformats.org/officeDocument/2006/relationships/hyperlink" Target="https://doi.org/10.1038/s42256-025-01144-1" TargetMode="External"/><Relationship Id="rId265" Type="http://schemas.openxmlformats.org/officeDocument/2006/relationships/hyperlink" Target="https://doi.org/10.1038/s42256-025-01122-7" TargetMode="External"/><Relationship Id="rId266" Type="http://schemas.openxmlformats.org/officeDocument/2006/relationships/hyperlink" Target="https://doi.org/10.1038/s42256-025-01166-9" TargetMode="External"/><Relationship Id="rId267" Type="http://schemas.openxmlformats.org/officeDocument/2006/relationships/hyperlink" Target="https://doi.org/10.1038/s42256-025-01161-0" TargetMode="External"/><Relationship Id="rId268" Type="http://schemas.openxmlformats.org/officeDocument/2006/relationships/hyperlink" Target="https://doi.org/10.1038/s42256-025-01162-z" TargetMode="External"/><Relationship Id="rId269" Type="http://schemas.openxmlformats.org/officeDocument/2006/relationships/hyperlink" Target="https://doi.org/10.1038/s42256-025-01167-8" TargetMode="External"/><Relationship Id="rId270" Type="http://schemas.openxmlformats.org/officeDocument/2006/relationships/hyperlink" Target="https://doi.org/10.1038/s41551-025-01542-1" TargetMode="External"/><Relationship Id="rId271" Type="http://schemas.openxmlformats.org/officeDocument/2006/relationships/hyperlink" Target="https://doi.org/10.1038/s41551-025-01544-z" TargetMode="External"/><Relationship Id="rId272" Type="http://schemas.openxmlformats.org/officeDocument/2006/relationships/hyperlink" Target="https://doi.org/10.1038/s41551-025-01561-y" TargetMode="External"/><Relationship Id="rId273" Type="http://schemas.openxmlformats.org/officeDocument/2006/relationships/hyperlink" Target="https://doi.org/10.1038/s41551-025-01554-x" TargetMode="External"/><Relationship Id="rId274" Type="http://schemas.openxmlformats.org/officeDocument/2006/relationships/hyperlink" Target="https://doi.org/10.1038/s41551-025-01581-8" TargetMode="External"/><Relationship Id="rId275" Type="http://schemas.openxmlformats.org/officeDocument/2006/relationships/hyperlink" Target="https://doi.org/10.1038/s41551-025-01574-7" TargetMode="External"/><Relationship Id="rId276" Type="http://schemas.openxmlformats.org/officeDocument/2006/relationships/hyperlink" Target="https://doi.org/10.1038/s41551-025-01603-5" TargetMode="External"/><Relationship Id="rId277" Type="http://schemas.openxmlformats.org/officeDocument/2006/relationships/hyperlink" Target="https://doi.org/10.1038/s41551-025-01593-4" TargetMode="External"/><Relationship Id="rId278" Type="http://schemas.openxmlformats.org/officeDocument/2006/relationships/hyperlink" Target="https://doi.org/10.1038/s41551-026-01611-z" TargetMode="External"/><Relationship Id="rId279" Type="http://schemas.openxmlformats.org/officeDocument/2006/relationships/hyperlink" Target="https://doi.org/10.1038/s41551-025-01585-4" TargetMode="External"/><Relationship Id="rId280" Type="http://schemas.openxmlformats.org/officeDocument/2006/relationships/hyperlink" Target="https://doi.org/10.1038/s41551-025-01586-3" TargetMode="External"/><Relationship Id="rId281" Type="http://schemas.openxmlformats.org/officeDocument/2006/relationships/hyperlink" Target="https://doi.org/10.1364/josaa.582961" TargetMode="External"/><Relationship Id="rId282" Type="http://schemas.openxmlformats.org/officeDocument/2006/relationships/hyperlink" Target="https://doi.org/10.1103/bpjc-8kz7" TargetMode="External"/><Relationship Id="rId283" Type="http://schemas.openxmlformats.org/officeDocument/2006/relationships/hyperlink" Target="https://doi.org/10.1103/44rc-34n1" TargetMode="External"/><Relationship Id="rId284" Type="http://schemas.openxmlformats.org/officeDocument/2006/relationships/hyperlink" Target="https://doi.org/10.1103/2qrz-5b94" TargetMode="External"/><Relationship Id="rId285" Type="http://schemas.openxmlformats.org/officeDocument/2006/relationships/hyperlink" Target="https://doi.org/10.1103/yk7n-lrpj" TargetMode="External"/><Relationship Id="rId286" Type="http://schemas.openxmlformats.org/officeDocument/2006/relationships/hyperlink" Target="https://doi.org/10.1103/k8sv-lp1j" TargetMode="External"/><Relationship Id="rId287" Type="http://schemas.openxmlformats.org/officeDocument/2006/relationships/hyperlink" Target="https://doi.org/10.1103/3ml4-gr6h" TargetMode="External"/><Relationship Id="rId288" Type="http://schemas.openxmlformats.org/officeDocument/2006/relationships/hyperlink" Target="https://doi.org/10.1103/nw4m-s6xy" TargetMode="External"/><Relationship Id="rId289" Type="http://schemas.openxmlformats.org/officeDocument/2006/relationships/hyperlink" Target="https://doi.org/10.1103/55pk-rxzg" TargetMode="External"/><Relationship Id="rId290" Type="http://schemas.openxmlformats.org/officeDocument/2006/relationships/hyperlink" Target="https://doi.org/10.1103/h2l1-fcz9" TargetMode="External"/><Relationship Id="rId291" Type="http://schemas.openxmlformats.org/officeDocument/2006/relationships/hyperlink" Target="https://doi.org/10.1103/gttv-6lqc" TargetMode="External"/><Relationship Id="rId292" Type="http://schemas.openxmlformats.org/officeDocument/2006/relationships/hyperlink" Target="https://doi.org/10.1103/nmbq-w5dm" TargetMode="External"/><Relationship Id="rId293" Type="http://schemas.openxmlformats.org/officeDocument/2006/relationships/hyperlink" Target="https://doi.org/10.1103/wh12-sm3t" TargetMode="External"/><Relationship Id="rId294" Type="http://schemas.openxmlformats.org/officeDocument/2006/relationships/hyperlink" Target="https://doi.org/10.1103/fv5l-rjyv" TargetMode="External"/><Relationship Id="rId295" Type="http://schemas.openxmlformats.org/officeDocument/2006/relationships/hyperlink" Target="https://doi.org/10.1103/kh5d-jrxw" TargetMode="External"/><Relationship Id="rId296" Type="http://schemas.openxmlformats.org/officeDocument/2006/relationships/hyperlink" Target="https://doi.org/10.1103/mtjf-ylf7" TargetMode="External"/><Relationship Id="rId297" Type="http://schemas.openxmlformats.org/officeDocument/2006/relationships/hyperlink" Target="https://doi.org/10.1103/s5j9-cbg7" TargetMode="External"/><Relationship Id="rId298" Type="http://schemas.openxmlformats.org/officeDocument/2006/relationships/hyperlink" Target="https://doi.org/10.1103/bjpc-8xcf" TargetMode="External"/><Relationship Id="rId299" Type="http://schemas.openxmlformats.org/officeDocument/2006/relationships/hyperlink" Target="https://doi.org/10.1103/kmn8-y59j" TargetMode="External"/><Relationship Id="rId300" Type="http://schemas.openxmlformats.org/officeDocument/2006/relationships/hyperlink" Target="https://doi.org/10.1103/y6dt-1sfw" TargetMode="External"/><Relationship Id="rId301" Type="http://schemas.openxmlformats.org/officeDocument/2006/relationships/hyperlink" Target="https://doi.org/10.1103/c93j-k53f" TargetMode="External"/><Relationship Id="rId302" Type="http://schemas.openxmlformats.org/officeDocument/2006/relationships/hyperlink" Target="https://doi.org/10.1103/grzx-v6sj" TargetMode="External"/><Relationship Id="rId303" Type="http://schemas.openxmlformats.org/officeDocument/2006/relationships/hyperlink" Target="https://doi.org/10.1103/zdpg-mhpc" TargetMode="External"/><Relationship Id="rId304" Type="http://schemas.openxmlformats.org/officeDocument/2006/relationships/hyperlink" Target="https://doi.org/10.1103/x76f-2vj8" TargetMode="External"/><Relationship Id="rId305" Type="http://schemas.openxmlformats.org/officeDocument/2006/relationships/hyperlink" Target="https://doi.org/10.1103/7m1b-hxy8" TargetMode="External"/><Relationship Id="rId306" Type="http://schemas.openxmlformats.org/officeDocument/2006/relationships/hyperlink" Target="https://doi.org/10.1103/2dyh-yhrb" TargetMode="External"/><Relationship Id="rId307" Type="http://schemas.openxmlformats.org/officeDocument/2006/relationships/hyperlink" Target="https://doi.org/10.1103/37vk-qz71" TargetMode="External"/><Relationship Id="rId308" Type="http://schemas.openxmlformats.org/officeDocument/2006/relationships/hyperlink" Target="https://doi.org/10.1103/hhgy-9rd4" TargetMode="External"/><Relationship Id="rId309" Type="http://schemas.openxmlformats.org/officeDocument/2006/relationships/hyperlink" Target="https://doi.org/10.1103/t7tm-nxyl" TargetMode="External"/><Relationship Id="rId310" Type="http://schemas.openxmlformats.org/officeDocument/2006/relationships/hyperlink" Target="https://doi.org/10.1038/s41586-025-10029-7" TargetMode="External"/><Relationship Id="rId311" Type="http://schemas.openxmlformats.org/officeDocument/2006/relationships/hyperlink" Target="https://doi.org/10.1038/s41586-025-09973-1" TargetMode="External"/><Relationship Id="rId312" Type="http://schemas.openxmlformats.org/officeDocument/2006/relationships/hyperlink" Target="https://doi.org/10.1038/s41586-025-10049-3" TargetMode="External"/><Relationship Id="rId313" Type="http://schemas.openxmlformats.org/officeDocument/2006/relationships/hyperlink" Target="https://doi.org/10.1038/d41586-026-00275-8" TargetMode="External"/><Relationship Id="rId314" Type="http://schemas.openxmlformats.org/officeDocument/2006/relationships/hyperlink" Target="https://doi.org/10.1038/d41586-026-00274-9" TargetMode="External"/><Relationship Id="rId315" Type="http://schemas.openxmlformats.org/officeDocument/2006/relationships/hyperlink" Target="https://doi.org/10.1038/d41586-026-00276-7" TargetMode="External"/><Relationship Id="rId316" Type="http://schemas.openxmlformats.org/officeDocument/2006/relationships/hyperlink" Target="https://doi.org/10.1038/d41586-026-00307-3" TargetMode="External"/><Relationship Id="rId317" Type="http://schemas.openxmlformats.org/officeDocument/2006/relationships/hyperlink" Target="https://doi.org/10.1038/s41586-026-10177-4" TargetMode="External"/><Relationship Id="rId318" Type="http://schemas.openxmlformats.org/officeDocument/2006/relationships/hyperlink" Target="https://doi.org/10.1038/d41586-026-00311-7" TargetMode="External"/><Relationship Id="rId319" Type="http://schemas.openxmlformats.org/officeDocument/2006/relationships/hyperlink" Target="https://doi.org/10.1038/d41586-026-00353-x" TargetMode="External"/><Relationship Id="rId320" Type="http://schemas.openxmlformats.org/officeDocument/2006/relationships/hyperlink" Target="https://doi.org/10.1126/science.adw8301" TargetMode="External"/><Relationship Id="rId321" Type="http://schemas.openxmlformats.org/officeDocument/2006/relationships/hyperlink" Target="https://doi.org/10.1126/science.aef5688" TargetMode="External"/><Relationship Id="rId322" Type="http://schemas.openxmlformats.org/officeDocument/2006/relationships/hyperlink" Target="https://doi.org/10.1126/science.adx2872" TargetMode="External"/><Relationship Id="rId323" Type="http://schemas.openxmlformats.org/officeDocument/2006/relationships/hyperlink" Target="https://doi.org/10.1126/science.adx1736" TargetMode="External"/><Relationship Id="rId324" Type="http://schemas.openxmlformats.org/officeDocument/2006/relationships/hyperlink" Target="https://doi.org/10.1126/science.adx9445" TargetMode="External"/><Relationship Id="rId325" Type="http://schemas.openxmlformats.org/officeDocument/2006/relationships/hyperlink" Target="https://doi.org/10.1126/science.aee7263" TargetMode="External"/><Relationship Id="rId326" Type="http://schemas.openxmlformats.org/officeDocument/2006/relationships/hyperlink" Target="https://doi.org/10.1126/science.adv4503" TargetMode="External"/><Relationship Id="rId327" Type="http://schemas.openxmlformats.org/officeDocument/2006/relationships/hyperlink" Target="https://doi.org/10.1126/science.adu2392" TargetMode="External"/><Relationship Id="rId328" Type="http://schemas.openxmlformats.org/officeDocument/2006/relationships/hyperlink" Target="https://doi.org/10.1126/science.aef8478" TargetMode="External"/><Relationship Id="rId329" Type="http://schemas.openxmlformats.org/officeDocument/2006/relationships/hyperlink" Target="https://doi.org/10.1126/science.ads6733" TargetMode="External"/><Relationship Id="rId330" Type="http://schemas.openxmlformats.org/officeDocument/2006/relationships/hyperlink" Target="https://doi.org/10.1126/science.aeb3637" TargetMode="External"/><Relationship Id="rId331" Type="http://schemas.openxmlformats.org/officeDocument/2006/relationships/hyperlink" Target="https://doi.org/10.1126/science.adw3365" TargetMode="External"/><Relationship Id="rId332" Type="http://schemas.openxmlformats.org/officeDocument/2006/relationships/hyperlink" Target="https://doi.org/10.1126/science.adv1209" TargetMode="External"/><Relationship Id="rId333" Type="http://schemas.openxmlformats.org/officeDocument/2006/relationships/hyperlink" Target="https://doi.org/10.1016/j.optlastec.2026.114848" TargetMode="External"/><Relationship Id="rId334" Type="http://schemas.openxmlformats.org/officeDocument/2006/relationships/hyperlink" Target="https://doi.org/10.1364/josaa.585628" TargetMode="External"/><Relationship Id="rId335" Type="http://schemas.openxmlformats.org/officeDocument/2006/relationships/hyperlink" Target="https://doi.org/10.1038/s41467-025-67398-w" TargetMode="External"/><Relationship Id="rId336" Type="http://schemas.openxmlformats.org/officeDocument/2006/relationships/hyperlink" Target="https://doi.org/10.1038/s41598-026-38589-2" TargetMode="External"/><Relationship Id="rId337" Type="http://schemas.openxmlformats.org/officeDocument/2006/relationships/hyperlink" Target="https://doi.org/10.1038/s41598-026-35213-1" TargetMode="External"/><Relationship Id="rId338" Type="http://schemas.openxmlformats.org/officeDocument/2006/relationships/hyperlink" Target="https://doi.org/10.1038/s41598-026-38333-w" TargetMode="External"/><Relationship Id="rId339" Type="http://schemas.openxmlformats.org/officeDocument/2006/relationships/hyperlink" Target="https://doi.org/10.1103/31w7-69c8" TargetMode="External"/><Relationship Id="rId340" Type="http://schemas.openxmlformats.org/officeDocument/2006/relationships/hyperlink" Target="https://doi.org/10.1016/j.optcom.2026.132984" TargetMode="External"/><Relationship Id="rId341" Type="http://schemas.openxmlformats.org/officeDocument/2006/relationships/hyperlink" Target="https://doi.org/10.1364/prj.574770" TargetMode="External"/><Relationship Id="rId342" Type="http://schemas.openxmlformats.org/officeDocument/2006/relationships/hyperlink" Target="https://doi.org/10.1021/acsphotonics.5c02577" TargetMode="External"/><Relationship Id="rId343" Type="http://schemas.openxmlformats.org/officeDocument/2006/relationships/hyperlink" Target="https://doi.org/10.1109/tip.2026.3657233" TargetMode="External"/><Relationship Id="rId344" Type="http://schemas.openxmlformats.org/officeDocument/2006/relationships/hyperlink" Target="https://doi.org/10.1109/tpami.2026.3660934" TargetMode="External"/><Relationship Id="rId345" Type="http://schemas.openxmlformats.org/officeDocument/2006/relationships/hyperlink" Target="https://doi.org/10.1038/s41467-026-69093-w" TargetMode="External"/><Relationship Id="rId346" Type="http://schemas.openxmlformats.org/officeDocument/2006/relationships/hyperlink" Target="https://doi.org/10.1038/s41598-026-37845-9" TargetMode="External"/><Relationship Id="rId347" Type="http://schemas.openxmlformats.org/officeDocument/2006/relationships/hyperlink" Target="https://doi.org/10.1038/s41598-026-38101-w" TargetMode="External"/><Relationship Id="rId348" Type="http://schemas.openxmlformats.org/officeDocument/2006/relationships/hyperlink" Target="https://doi.org/10.1016/j.optlastec.2026.114780" TargetMode="External"/><Relationship Id="rId349" Type="http://schemas.openxmlformats.org/officeDocument/2006/relationships/hyperlink" Target="https://doi.org/10.1364/ol.581346" TargetMode="External"/><Relationship Id="rId350" Type="http://schemas.openxmlformats.org/officeDocument/2006/relationships/hyperlink" Target="https://doi.org/10.1364/ol.587946" TargetMode="External"/><Relationship Id="rId351" Type="http://schemas.openxmlformats.org/officeDocument/2006/relationships/hyperlink" Target="https://doi.org/10.1364/ol.583657" TargetMode="External"/><Relationship Id="rId352" Type="http://schemas.openxmlformats.org/officeDocument/2006/relationships/hyperlink" Target="https://doi.org/10.1364/ol.580618" TargetMode="External"/><Relationship Id="rId353" Type="http://schemas.openxmlformats.org/officeDocument/2006/relationships/hyperlink" Target="https://doi.org/10.1364/ol.579861" TargetMode="External"/><Relationship Id="rId354" Type="http://schemas.openxmlformats.org/officeDocument/2006/relationships/hyperlink" Target="https://doi.org/10.1364/prj.573813" TargetMode="External"/><Relationship Id="rId355" Type="http://schemas.openxmlformats.org/officeDocument/2006/relationships/hyperlink" Target="https://doi.org/10.1109/tvcg.2026.3660749" TargetMode="External"/><Relationship Id="rId356" Type="http://schemas.openxmlformats.org/officeDocument/2006/relationships/hyperlink" Target="https://doi.org/10.1109/tvcg.2026.3656066" TargetMode="External"/><Relationship Id="rId357" Type="http://schemas.openxmlformats.org/officeDocument/2006/relationships/hyperlink" Target="https://doi.org/10.1109/tvcg.2026.3659861" TargetMode="External"/><Relationship Id="rId358" Type="http://schemas.openxmlformats.org/officeDocument/2006/relationships/hyperlink" Target="https://doi.org/10.1109/tip.2026.3653547" TargetMode="External"/><Relationship Id="rId359" Type="http://schemas.openxmlformats.org/officeDocument/2006/relationships/hyperlink" Target="https://doi.org/10.1109/tpami.2026.3660863" TargetMode="External"/><Relationship Id="rId360" Type="http://schemas.openxmlformats.org/officeDocument/2006/relationships/hyperlink" Target="https://doi.org/10.1109/tpami.2026.3660754" TargetMode="External"/><Relationship Id="rId361" Type="http://schemas.openxmlformats.org/officeDocument/2006/relationships/hyperlink" Target="https://doi.org/10.1109/tpami.2026.3660366" TargetMode="External"/><Relationship Id="rId362" Type="http://schemas.openxmlformats.org/officeDocument/2006/relationships/hyperlink" Target="https://doi.org/10.1109/tpami.2026.3653806" TargetMode="External"/><Relationship Id="rId363" Type="http://schemas.openxmlformats.org/officeDocument/2006/relationships/hyperlink" Target="https://doi.org/10.1109/tpami.2026.3656175" TargetMode="External"/><Relationship Id="rId364" Type="http://schemas.openxmlformats.org/officeDocument/2006/relationships/hyperlink" Target="https://doi.org/10.1109/tpami.2026.36605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