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基于阶梯光栅的高分辨率共焦拉曼显微光谱仪设计</w:t>
      </w:r>
    </w:p>
    <w:p>
      <w:r>
        <w:rPr>
          <w:rFonts w:ascii="Times New Roman" w:hAnsi="Times New Roman" w:eastAsia="宋体"/>
          <w:b/>
          <w:color w:val="003264"/>
          <w:sz w:val="24"/>
        </w:rPr>
        <w:t>High-Resolution Confocal Raman Microscopy Spectrometer Design Based on Echelle Gratings</w:t>
      </w:r>
    </w:p>
    <w:p>
      <w:r>
        <w:rPr>
          <w:rFonts w:ascii="Times New Roman" w:hAnsi="Times New Roman" w:eastAsia="宋体"/>
          <w:sz w:val="21"/>
        </w:rPr>
        <w:t>作者: jian zhang, xiaotian li, Jiri Jirigalantu, xiaotao mi, yuqi sun, Jian Zhang, geng wang, Guangdong Yu, Fuguan Li, heshig bayan</w:t>
        <w:br/>
      </w:r>
      <w:r>
        <w:rPr>
          <w:rFonts w:ascii="Times New Roman" w:hAnsi="Times New Roman" w:eastAsia="宋体"/>
          <w:sz w:val="21"/>
        </w:rPr>
        <w:t xml:space="preserve">时间: 2026-01-25 | </w:t>
      </w:r>
      <w:r>
        <w:t xml:space="preserve">链接: </w:t>
      </w:r>
      <w:hyperlink r:id="rId10">
        <w:r>
          <w:rPr>
            <w:rFonts w:ascii="Times New Roman" w:hAnsi="Times New Roman" w:eastAsia="宋体"/>
            <w:color w:val="0000FF"/>
            <w:sz w:val="21"/>
            <w:u w:val="single"/>
          </w:rPr>
          <w:t>https://doi.org/10.1364/oe.585108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粒子类型和能量对空间光学成像电荷耦合器件辐射响应的影响</w:t>
      </w:r>
    </w:p>
    <w:p>
      <w:r>
        <w:rPr>
          <w:rFonts w:ascii="Times New Roman" w:hAnsi="Times New Roman" w:eastAsia="宋体"/>
          <w:b/>
          <w:color w:val="003264"/>
          <w:sz w:val="24"/>
        </w:rPr>
        <w:t>Particle types and energy influence on radiation response of charge coupled devices used for space optical imaging</w:t>
      </w:r>
    </w:p>
    <w:p>
      <w:r>
        <w:rPr>
          <w:rFonts w:ascii="Times New Roman" w:hAnsi="Times New Roman" w:eastAsia="宋体"/>
          <w:sz w:val="21"/>
        </w:rPr>
        <w:t>作者: Bingkai Liu, Lin Wen, Zitao Zhao, Yihao Cui, Qi Guo, Yudong Li</w:t>
        <w:br/>
      </w:r>
      <w:r>
        <w:rPr>
          <w:rFonts w:ascii="Times New Roman" w:hAnsi="Times New Roman" w:eastAsia="宋体"/>
          <w:sz w:val="21"/>
        </w:rPr>
        <w:t xml:space="preserve">时间: 2026-01-25 | </w:t>
      </w:r>
      <w:r>
        <w:t xml:space="preserve">链接: </w:t>
      </w:r>
      <w:hyperlink r:id="rId11">
        <w:r>
          <w:rPr>
            <w:rFonts w:ascii="Times New Roman" w:hAnsi="Times New Roman" w:eastAsia="宋体"/>
            <w:color w:val="0000FF"/>
            <w:sz w:val="21"/>
            <w:u w:val="single"/>
          </w:rPr>
          <w:t>https://doi.org/10.1364/oe.581308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用于太空探索的功率发射：月球环境中单结薄光子功率转换器 (PPC) 的电气和机械研究</w:t>
      </w:r>
    </w:p>
    <w:p>
      <w:r>
        <w:rPr>
          <w:rFonts w:ascii="Times New Roman" w:hAnsi="Times New Roman" w:eastAsia="宋体"/>
          <w:b/>
          <w:color w:val="003264"/>
          <w:sz w:val="24"/>
        </w:rPr>
        <w:t>Power Beaming for Space Exploration: Electrical and Mechanical Study of a Single Junction Thin Photonic Power Converter (PPC) in a Lunar Environment</w:t>
      </w:r>
    </w:p>
    <w:p>
      <w:r>
        <w:rPr>
          <w:rFonts w:ascii="Times New Roman" w:hAnsi="Times New Roman" w:eastAsia="宋体"/>
          <w:sz w:val="21"/>
        </w:rPr>
        <w:t>作者: Milad Nouri, Valentin Daniel, John Cook, Mandy Lewis, Guillaume Blanchette, Paolo Pino, Karin Hinzer</w:t>
        <w:br/>
      </w:r>
      <w:r>
        <w:rPr>
          <w:rFonts w:ascii="Times New Roman" w:hAnsi="Times New Roman" w:eastAsia="宋体"/>
          <w:sz w:val="21"/>
        </w:rPr>
        <w:t xml:space="preserve">时间: 2026-01-25 | </w:t>
      </w:r>
      <w:r>
        <w:t xml:space="preserve">链接: </w:t>
      </w:r>
      <w:hyperlink r:id="rId12">
        <w:r>
          <w:rPr>
            <w:rFonts w:ascii="Times New Roman" w:hAnsi="Times New Roman" w:eastAsia="宋体"/>
            <w:color w:val="0000FF"/>
            <w:sz w:val="21"/>
            <w:u w:val="single"/>
          </w:rPr>
          <w:t>https://doi.org/10.1364/oe.583342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变容二极管控制的可调谐超表面，用于带匹配高吸收的动态传输调谐</w:t>
      </w:r>
    </w:p>
    <w:p>
      <w:r>
        <w:rPr>
          <w:rFonts w:ascii="Times New Roman" w:hAnsi="Times New Roman" w:eastAsia="宋体"/>
          <w:b/>
          <w:color w:val="003264"/>
          <w:sz w:val="24"/>
        </w:rPr>
        <w:t>Varactor-Diode-Controlled Tunable Metasurface for Dynamic Transmission Tuning with Band-Matched High Absorption</w:t>
      </w:r>
    </w:p>
    <w:p>
      <w:r>
        <w:rPr>
          <w:rFonts w:ascii="Times New Roman" w:hAnsi="Times New Roman" w:eastAsia="宋体"/>
          <w:sz w:val="21"/>
        </w:rPr>
        <w:t>作者: Hao Yang, Yongfeng li, Lixin Jiang, Zhe Qin, Lei Wang, Jiechu Liu, Zhihao Guo, Lin Zheng, Hongya Chen, Wenjie Wang, Jiafu Wang</w:t>
        <w:br/>
      </w:r>
      <w:r>
        <w:rPr>
          <w:rFonts w:ascii="Times New Roman" w:hAnsi="Times New Roman" w:eastAsia="宋体"/>
          <w:sz w:val="21"/>
        </w:rPr>
        <w:t xml:space="preserve">时间: 2026-01-25 | </w:t>
      </w:r>
      <w:r>
        <w:t xml:space="preserve">链接: </w:t>
      </w:r>
      <w:hyperlink r:id="rId13">
        <w:r>
          <w:rPr>
            <w:rFonts w:ascii="Times New Roman" w:hAnsi="Times New Roman" w:eastAsia="宋体"/>
            <w:color w:val="0000FF"/>
            <w:sz w:val="21"/>
            <w:u w:val="single"/>
          </w:rPr>
          <w:t>https://doi.org/10.1364/oe.580311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基于偏心管的高双折射低损耗宽带保偏空芯反谐振光纤</w:t>
      </w:r>
    </w:p>
    <w:p>
      <w:r>
        <w:rPr>
          <w:rFonts w:ascii="Times New Roman" w:hAnsi="Times New Roman" w:eastAsia="宋体"/>
          <w:b/>
          <w:color w:val="003264"/>
          <w:sz w:val="24"/>
        </w:rPr>
        <w:t>Highly birefringent low-loss broadband polarization-maintaining hollow-core antiresonant fiber based on eccentric tubes</w:t>
      </w:r>
    </w:p>
    <w:p>
      <w:r>
        <w:rPr>
          <w:rFonts w:ascii="Times New Roman" w:hAnsi="Times New Roman" w:eastAsia="宋体"/>
          <w:sz w:val="21"/>
        </w:rPr>
        <w:t>作者: Yunhao Zhu, Shu Liu, Limin Tian, Ying Ma, Xuan Zhang, Chuanfei Yao, pingxue Li</w:t>
        <w:br/>
      </w:r>
      <w:r>
        <w:rPr>
          <w:rFonts w:ascii="Times New Roman" w:hAnsi="Times New Roman" w:eastAsia="宋体"/>
          <w:sz w:val="21"/>
        </w:rPr>
        <w:t xml:space="preserve">时间: 2026-01-26 | </w:t>
      </w:r>
      <w:r>
        <w:t xml:space="preserve">链接: </w:t>
      </w:r>
      <w:hyperlink r:id="rId14">
        <w:r>
          <w:rPr>
            <w:rFonts w:ascii="Times New Roman" w:hAnsi="Times New Roman" w:eastAsia="宋体"/>
            <w:color w:val="0000FF"/>
            <w:sz w:val="21"/>
            <w:u w:val="single"/>
          </w:rPr>
          <w:t>https://doi.org/10.1364/oe.587323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00:28 ---</w:t>
      </w:r>
    </w:p>
    <w:p>
      <w:pPr>
        <w:pStyle w:val="Heading2"/>
      </w:pPr>
      <w:r/>
      <w:r>
        <w:rPr>
          <w:rFonts w:ascii="Times New Roman" w:hAnsi="Times New Roman" w:eastAsia="宋体"/>
          <w:b/>
          <w:color w:val="000000"/>
          <w:sz w:val="24"/>
        </w:rPr>
        <w:t>运动目标的逆合成孔径宏观傅里叶叠层成像</w:t>
      </w:r>
    </w:p>
    <w:p>
      <w:r>
        <w:rPr>
          <w:rFonts w:ascii="Times New Roman" w:hAnsi="Times New Roman" w:eastAsia="宋体"/>
          <w:b/>
          <w:color w:val="003264"/>
          <w:sz w:val="24"/>
        </w:rPr>
        <w:t>Inverse Synthetic Aperture Macroscopic Fourier Ptychographic Imaging of Moving Targets</w:t>
      </w:r>
    </w:p>
    <w:p>
      <w:r>
        <w:rPr>
          <w:rFonts w:ascii="Times New Roman" w:hAnsi="Times New Roman" w:eastAsia="宋体"/>
          <w:sz w:val="21"/>
        </w:rPr>
        <w:t>作者: Sheng Li, Bowen Wang, Haitao Guan, Jiasong Sun, Kunyao Liang, Zihao Pei, Min Zeng, Shang Bao, Chunting Xu, Yuzhen Zhang, Qian Chen, Chao Zuo</w:t>
        <w:br/>
      </w:r>
      <w:r>
        <w:rPr>
          <w:rFonts w:ascii="Times New Roman" w:hAnsi="Times New Roman" w:eastAsia="宋体"/>
          <w:sz w:val="21"/>
        </w:rPr>
        <w:t xml:space="preserve">时间: 2026-01-25 | </w:t>
      </w:r>
      <w:r>
        <w:t xml:space="preserve">链接: </w:t>
      </w:r>
      <w:hyperlink r:id="rId15">
        <w:r>
          <w:rPr>
            <w:rFonts w:ascii="Times New Roman" w:hAnsi="Times New Roman" w:eastAsia="宋体"/>
            <w:color w:val="0000FF"/>
            <w:sz w:val="21"/>
            <w:u w:val="single"/>
          </w:rPr>
          <w:t>https://doi.org/10.1002/lpor.202502758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远距离动态目标的高分辨率成像从根本上受到有限孔径衍射的限制。与雷达不同，光学探测器仅记录强度，缺乏直接相位测量的时间分辨率，阻碍了合成孔径技术直接扩展到光学领域。虽然宏观傅里叶叠层成像 (FP) 提供了一种有前途的计算替代方案，但它对机械扫描或工程照明的依赖限制了其在协作、静态场景中的使用。在本文中，我们提出了逆合成孔径宏观傅里叶叠层成像（ISAMFP），据我们所知，这是傅里叶叠层成像框架内漫反射目标的逆合成孔径成像的第一个实际实现。通过将自然目标运动从有害因素转变为角度多样性的有效来源，ISAMFP 消除了机械扫描或照明调制的需要，并使用仅强度测量实现了远远超出孔径限制的分辨率增强。对美国空军分辨率目标、无人机和复杂多目标场景的实验验证凸显了 ISAMFP 的稳健性和多功能性，使其成为对移动、非合作目标进行非干涉合成孔径成像的强大工具，对监视、防御和遥感具有广泛的影响。&lt;/jats:p&gt;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&lt;jats:p&gt;High‐resolution imaging of distant, dynamic targets is fundamentally limited by finite‐aperture diffraction. Unlike radar, optical detectors record only intensity and lack the temporal resolution for direct phase measurement, hindering straightforward extension of synthetic aperture techniques to the optical domain. While Macroscopic Fourier ptychography (FP) offers a promising computational alternative, its reliance on mechanical scanning or engineered illumination restricts its use to cooperative, static scenes. In this paper, we present Inverse Synthetic Aperture Macroscopic Fourier ptychography (ISAMFP), which, to the best of our knowledge, is the first practical realization of inverse synthetic aperture imaging for diffusely reflecting targets within the Fourier ptychography framework. By transforming the natural target motion from a detrimental factor into an effective source of angular diversity, ISAMFP eliminates the need for mechanical scanning or illumination modulation and achieves resolution enhancement far beyond the aperture limit using intensity‐only measurements. Experimental validations on USAF resolution targets, unmanned aerial vehicles, and complex multi‐target scenes highlight both the robustness and versatility of ISAMFP, establishing it as a powerful tool for non‐interferometric synthetic aperture imaging of moving, non‐cooperative targets, with broad implications for surveillance, defense, and remote sensing.&lt;/jats:p&gt;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通过玻璃晶体工程实现同步上转换和倍频激光的单片微腔激光器</w:t>
      </w:r>
    </w:p>
    <w:p>
      <w:r>
        <w:rPr>
          <w:rFonts w:ascii="Times New Roman" w:hAnsi="Times New Roman" w:eastAsia="宋体"/>
          <w:b/>
          <w:color w:val="003264"/>
          <w:sz w:val="24"/>
        </w:rPr>
        <w:t>A monolithic microcavity laser with simultaneous upconversion and frequency-doubled lasing via crystal-in-glass engineering</w:t>
      </w:r>
    </w:p>
    <w:p>
      <w:r>
        <w:rPr>
          <w:rFonts w:ascii="Times New Roman" w:hAnsi="Times New Roman" w:eastAsia="宋体"/>
          <w:sz w:val="21"/>
        </w:rPr>
        <w:t>作者: Shengda Ye, Jianhao Chen, Jiayue He, Weiwei Chen, Xiongjian Huang, Xiaofeng Liu, Jianrong Qiu, Zhongmin Yang, Guoping Dong</w:t>
        <w:br/>
      </w:r>
      <w:r>
        <w:rPr>
          <w:rFonts w:ascii="Times New Roman" w:hAnsi="Times New Roman" w:eastAsia="宋体"/>
          <w:sz w:val="21"/>
        </w:rPr>
        <w:t xml:space="preserve">时间: 2026-01-26 | </w:t>
      </w:r>
      <w:r>
        <w:t xml:space="preserve">链接: </w:t>
      </w:r>
      <w:hyperlink r:id="rId16">
        <w:r>
          <w:rPr>
            <w:rFonts w:ascii="Times New Roman" w:hAnsi="Times New Roman" w:eastAsia="宋体"/>
            <w:color w:val="0000FF"/>
            <w:sz w:val="21"/>
            <w:u w:val="single"/>
          </w:rPr>
          <w:t>https://doi.org/10.1038/s41377-025-02162-9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这项工作展示了一种用于集成光子学中多功能微纳光源的新型玻璃晶体复合结构。基于Er</w:t>
        <w:br/>
        <w:t xml:space="preserve">                    &lt;贾茨：sup&gt;3+&lt;/贾茨：sup&gt;</w:t>
        <w:br/>
        <w:t xml:space="preserve">                    /镱</w:t>
        <w:br/>
        <w:t xml:space="preserve">                    &lt;贾茨：sup&gt;3+&lt;/贾茨：sup&gt;</w:t>
        <w:br/>
        <w:t xml:space="preserve">                    - 掺有 Ba 的共掺杂玻璃陶瓷 (GC) 回音壁模式 (WGM) 微腔</w:t>
        <w:br/>
        <w:t xml:space="preserve">                    &lt;贾茨：子&gt;2&lt;/贾茨：子&gt;</w:t>
        <w:br/>
        <w:t xml:space="preserve">                    钛锗</w:t>
        <w:br/>
        <w:t xml:space="preserve">                    &lt;贾茨：子&gt;2&lt;/贾茨：子&gt;</w:t>
        <w:br/>
        <w:t xml:space="preserve">                    氧</w:t>
        <w:br/>
        <w:t xml:space="preserve">                    &lt;贾茨：子&gt;8&lt;/贾茨：子&gt;</w:t>
        <w:br/>
        <w:t xml:space="preserve">                    (BTG) 晶体，这种微腔可实现结合上转换 (UC) 和倍频激光的双模响应。由掺铒的低声子能锗酸盐玻璃基体制成</w:t>
        <w:br/>
        <w:t xml:space="preserve">                    &lt;贾茨：sup&gt;3+&lt;/贾茨：sup&gt;</w:t>
        <w:br/>
        <w:t xml:space="preserve">                    /镱</w:t>
        <w:br/>
        <w:t xml:space="preserve">                    &lt;贾茨：sup&gt;3+&lt;/贾茨：sup&gt;</w:t>
        <w:br/>
        <w:t xml:space="preserve">                    为了获得 UC 增益，微腔被结晶以形成用于二次谐波产生 (SHG) 的 BTG 微晶体。通过利用高品质因数 (Q ≈ 5.7 × 10</w:t>
        <w:br/>
        <w:t xml:space="preserve">                    &lt;贾茨：sup&gt;4&lt;/贾茨：sup&gt;</w:t>
        <w:br/>
        <w:t xml:space="preserve">                    ）和小模式体积，我们在直径 30 μm 的微腔中实现了绿色（550 nm）和红色（660 nm）UC 激光，阈值分别为 13.31 μW 和 12.97 μW。受益于 BTG GC 中的随机准相位匹配 (RQPM) 机制，微腔还表现出 900 至 1200 nm 的超宽带倍频响应。通过将锥形光纤近场耦合和飞秒自由空间泵浦相结合，我们在单个微腔内实现了绿/红UC激光和倍频激光的同时输出。我们相信这项工作为可调谐激光器和片上非线性光子系统的混合材料设计和协同光场操纵提供了见解。</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This work demonstrates a novel crystal-in-glass composite structure for multifunctional micro-nano light sources in integrated photonics. Based on a Er</w:t>
        <w:br/>
        <w:t xml:space="preserve">                    &lt;jats:sup&gt;3+&lt;/jats:sup&gt;</w:t>
        <w:br/>
        <w:t xml:space="preserve">                    /Yb</w:t>
        <w:br/>
        <w:t xml:space="preserve">                    &lt;jats:sup&gt;3+&lt;/jats:sup&gt;</w:t>
        <w:br/>
        <w:t xml:space="preserve">                    -codoped glass-ceramic (GC) whispering gallery mode (WGM) microcavity incorporating Ba</w:t>
        <w:br/>
        <w:t xml:space="preserve">                    &lt;jats:sub&gt;2&lt;/jats:sub&gt;</w:t>
        <w:br/>
        <w:t xml:space="preserve">                    TiGe</w:t>
        <w:br/>
        <w:t xml:space="preserve">                    &lt;jats:sub&gt;2&lt;/jats:sub&gt;</w:t>
        <w:br/>
        <w:t xml:space="preserve">                    O</w:t>
        <w:br/>
        <w:t xml:space="preserve">                    &lt;jats:sub&gt;8&lt;/jats:sub&gt;</w:t>
        <w:br/>
        <w:t xml:space="preserve">                    (BTG) crystals, this microcavity enables dual-mode responses combining upconversion (UC) and frequency-doubled lasing. Made from a low-phonon-energy germanate glass matrix codoped with Er</w:t>
        <w:br/>
        <w:t xml:space="preserve">                    &lt;jats:sup&gt;3+&lt;/jats:sup&gt;</w:t>
        <w:br/>
        <w:t xml:space="preserve">                    /Yb</w:t>
        <w:br/>
        <w:t xml:space="preserve">                    &lt;jats:sup&gt;3+&lt;/jats:sup&gt;</w:t>
        <w:br/>
        <w:t xml:space="preserve">                    for UC gain, the microcavity is crystallized to form BTG microcrystals for second harmonic generation (SHG). By leveraging the high-quality factor (Q ≈ 5.7 × 10</w:t>
        <w:br/>
        <w:t xml:space="preserve">                    &lt;jats:sup&gt;4&lt;/jats:sup&gt;</w:t>
        <w:br/>
        <w:t xml:space="preserve">                    ) and small mode volume, we achieve green (550 nm) and red (660 nm) UC lasing in a 30-μm-diameter microcavity with low thresholds of 13.31 μW and 12.97 μW, respectively. Benefitted from the random quasi-phase-matching (RQPM) mechanism in BTG GC, the microcavity also demonstrates an ultrabroadband frequency-doubling response from 900 to 1200 nm. By combining tapered fiber near-field coupling and femtosecond free-space pumping, we achieve simultaneous output of green/red UC lasing and frequency-doubled lasing within a single microcavity. We believe this work offers insights into hybrid material design and cooperative optical field manipulation for tunable lasers and on-chip nonlinear photonic systems.</w:t>
        <w:br/>
        <w:t xml:space="preserve">                  &lt;/jats:p&gt;</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5108" TargetMode="External"/><Relationship Id="rId11" Type="http://schemas.openxmlformats.org/officeDocument/2006/relationships/hyperlink" Target="https://doi.org/10.1364/oe.581308" TargetMode="External"/><Relationship Id="rId12" Type="http://schemas.openxmlformats.org/officeDocument/2006/relationships/hyperlink" Target="https://doi.org/10.1364/oe.583342" TargetMode="External"/><Relationship Id="rId13" Type="http://schemas.openxmlformats.org/officeDocument/2006/relationships/hyperlink" Target="https://doi.org/10.1364/oe.580311" TargetMode="External"/><Relationship Id="rId14" Type="http://schemas.openxmlformats.org/officeDocument/2006/relationships/hyperlink" Target="https://doi.org/10.1364/oe.587323" TargetMode="External"/><Relationship Id="rId15" Type="http://schemas.openxmlformats.org/officeDocument/2006/relationships/hyperlink" Target="https://doi.org/10.1002/lpor.202502758" TargetMode="External"/><Relationship Id="rId16" Type="http://schemas.openxmlformats.org/officeDocument/2006/relationships/hyperlink" Target="https://doi.org/10.1038/s41377-025-021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