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Optics and Laser Technology</w:t>
      </w:r>
    </w:p>
    <w:p>
      <w:pPr>
        <w:jc w:val="center"/>
      </w:pPr>
      <w:r>
        <w:t>--- 更新: 00:27 ---</w:t>
      </w:r>
    </w:p>
    <w:p>
      <w:pPr>
        <w:pStyle w:val="Heading2"/>
      </w:pPr>
      <w:r/>
      <w:r>
        <w:rPr>
          <w:rFonts w:ascii="Times New Roman" w:hAnsi="Times New Roman" w:eastAsia="宋体"/>
          <w:b/>
          <w:color w:val="000000"/>
          <w:sz w:val="24"/>
        </w:rPr>
        <w:t>通过频分复用同时双波长单像素显微成像</w:t>
      </w:r>
    </w:p>
    <w:p>
      <w:r>
        <w:rPr>
          <w:rFonts w:ascii="Times New Roman" w:hAnsi="Times New Roman" w:eastAsia="宋体"/>
          <w:b/>
          <w:color w:val="003264"/>
          <w:sz w:val="24"/>
        </w:rPr>
        <w:t>Simultaneous dual-wavelength single-pixel microscopic imaging via frequency-division multiplexing</w:t>
      </w:r>
    </w:p>
    <w:p>
      <w:r>
        <w:rPr>
          <w:rFonts w:ascii="Times New Roman" w:hAnsi="Times New Roman" w:eastAsia="宋体"/>
          <w:sz w:val="21"/>
        </w:rPr>
        <w:t>作者: Yipeng Cao, Mingzhong Pan, Ran Zhou, Shengxiang Cao, Jin Yang, Yikun Wang, Hongxing Qi</w:t>
        <w:br/>
      </w:r>
      <w:r>
        <w:rPr>
          <w:rFonts w:ascii="Times New Roman" w:hAnsi="Times New Roman" w:eastAsia="宋体"/>
          <w:sz w:val="21"/>
        </w:rPr>
        <w:t xml:space="preserve">时间: 2026-05-01 | </w:t>
      </w:r>
      <w:r>
        <w:t xml:space="preserve">链接: </w:t>
      </w:r>
      <w:hyperlink r:id="rId10">
        <w:r>
          <w:rPr>
            <w:rFonts w:ascii="Times New Roman" w:hAnsi="Times New Roman" w:eastAsia="宋体"/>
            <w:color w:val="0000FF"/>
            <w:sz w:val="21"/>
            <w:u w:val="single"/>
          </w:rPr>
          <w:t>https://doi.org/10.1016/j.optlastec.2026.114845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紫外激光脉冲原子双光子电离的光电子角分布</w:t>
      </w:r>
    </w:p>
    <w:p>
      <w:r>
        <w:rPr>
          <w:rFonts w:ascii="Times New Roman" w:hAnsi="Times New Roman" w:eastAsia="宋体"/>
          <w:b/>
          <w:color w:val="003264"/>
          <w:sz w:val="24"/>
        </w:rPr>
        <w:t>Photoelectron angular distributions for the two-photon ionization of atoms by ultraviolet laser pulses</w:t>
      </w:r>
    </w:p>
    <w:p>
      <w:r>
        <w:rPr>
          <w:rFonts w:ascii="Times New Roman" w:hAnsi="Times New Roman" w:eastAsia="宋体"/>
          <w:sz w:val="21"/>
        </w:rPr>
        <w:t>作者: Zichao Liu, Wanhong Wen, Yingbin Li, Benhai Yu, Cheng Huang</w:t>
        <w:br/>
      </w:r>
      <w:r>
        <w:rPr>
          <w:rFonts w:ascii="Times New Roman" w:hAnsi="Times New Roman" w:eastAsia="宋体"/>
          <w:sz w:val="21"/>
        </w:rPr>
        <w:t xml:space="preserve">时间: 2026-05-01 | </w:t>
      </w:r>
      <w:r>
        <w:t xml:space="preserve">链接: </w:t>
      </w:r>
      <w:hyperlink r:id="rId11">
        <w:r>
          <w:rPr>
            <w:rFonts w:ascii="Times New Roman" w:hAnsi="Times New Roman" w:eastAsia="宋体"/>
            <w:color w:val="0000FF"/>
            <w:sz w:val="21"/>
            <w:u w:val="single"/>
          </w:rPr>
          <w:t>https://doi.org/10.1016/j.optlastec.2026.114839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FBG 带宽对高保真应变传感双梳询问的影响</w:t>
      </w:r>
    </w:p>
    <w:p>
      <w:r>
        <w:rPr>
          <w:rFonts w:ascii="Times New Roman" w:hAnsi="Times New Roman" w:eastAsia="宋体"/>
          <w:b/>
          <w:color w:val="003264"/>
          <w:sz w:val="24"/>
        </w:rPr>
        <w:t>FBG bandwidth impact on dual-comb interrogation for high fidelity strain sensing</w:t>
      </w:r>
    </w:p>
    <w:p>
      <w:r>
        <w:rPr>
          <w:rFonts w:ascii="Times New Roman" w:hAnsi="Times New Roman" w:eastAsia="宋体"/>
          <w:sz w:val="21"/>
        </w:rPr>
        <w:t>作者: Malhar A. Nagar, Minghao Wei, Alejandro Rosado, Conor McArdle, Aleksandra Kaszubowska-Anandarajah, Prince M. Anandarajah, Davide Janner</w:t>
        <w:br/>
      </w:r>
      <w:r>
        <w:rPr>
          <w:rFonts w:ascii="Times New Roman" w:hAnsi="Times New Roman" w:eastAsia="宋体"/>
          <w:sz w:val="21"/>
        </w:rPr>
        <w:t xml:space="preserve">时间: 2026-05-01 | </w:t>
      </w:r>
      <w:r>
        <w:t xml:space="preserve">链接: </w:t>
      </w:r>
      <w:hyperlink r:id="rId12">
        <w:r>
          <w:rPr>
            <w:rFonts w:ascii="Times New Roman" w:hAnsi="Times New Roman" w:eastAsia="宋体"/>
            <w:color w:val="0000FF"/>
            <w:sz w:val="21"/>
            <w:u w:val="single"/>
          </w:rPr>
          <w:t>https://doi.org/10.1016/j.optlastec.2026.114840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QEPAS 和 BF-QEPAS 方法在近红外光谱范围内连续检测甲烷和乙烷的比较</w:t>
      </w:r>
    </w:p>
    <w:p>
      <w:r>
        <w:rPr>
          <w:rFonts w:ascii="Times New Roman" w:hAnsi="Times New Roman" w:eastAsia="宋体"/>
          <w:b/>
          <w:color w:val="003264"/>
          <w:sz w:val="24"/>
        </w:rPr>
        <w:t>Comparison of QEPAS and BF-QEPAS approaches for methane and ethane sequential detection in the near-IR spectral range</w:t>
      </w:r>
    </w:p>
    <w:p>
      <w:r>
        <w:rPr>
          <w:rFonts w:ascii="Times New Roman" w:hAnsi="Times New Roman" w:eastAsia="宋体"/>
          <w:sz w:val="21"/>
        </w:rPr>
        <w:t>作者: Luigi Melchiorre, Giansergio Menduni, Giovanni Magno, Liam O’Faolain, Pietro Patimisco, Vincenzo Spagnolo, Angelo Sampaolo</w:t>
        <w:br/>
      </w:r>
      <w:r>
        <w:rPr>
          <w:rFonts w:ascii="Times New Roman" w:hAnsi="Times New Roman" w:eastAsia="宋体"/>
          <w:sz w:val="21"/>
        </w:rPr>
        <w:t xml:space="preserve">时间: 2026-05-01 | </w:t>
      </w:r>
      <w:r>
        <w:t xml:space="preserve">链接: </w:t>
      </w:r>
      <w:hyperlink r:id="rId39">
        <w:r>
          <w:rPr>
            <w:rFonts w:ascii="Times New Roman" w:hAnsi="Times New Roman" w:eastAsia="宋体"/>
            <w:color w:val="0000FF"/>
            <w:sz w:val="21"/>
            <w:u w:val="single"/>
          </w:rPr>
          <w:t>https://doi.org/10.1016/j.optlastec.2026.114847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不同密度冰雪中CO2激光打孔实验研究</w:t>
      </w:r>
    </w:p>
    <w:p>
      <w:r>
        <w:rPr>
          <w:rFonts w:ascii="Times New Roman" w:hAnsi="Times New Roman" w:eastAsia="宋体"/>
          <w:b/>
          <w:color w:val="003264"/>
          <w:sz w:val="24"/>
        </w:rPr>
        <w:t>Experimental study on CO2 laser drilling in ice and snow with different densities</w:t>
      </w:r>
    </w:p>
    <w:p>
      <w:r>
        <w:rPr>
          <w:rFonts w:ascii="Times New Roman" w:hAnsi="Times New Roman" w:eastAsia="宋体"/>
          <w:sz w:val="21"/>
        </w:rPr>
        <w:t>作者: Nan Zhang, Bentao Yang, Yingyu Wang, Da Gong, Liang Wang, Shirui Ding, Pavel G. Talalay, Bo Han, Yunchen Liu, Yanji Chen, Xiaopeng Fan, Jialin Hong, Bing Li</w:t>
        <w:br/>
      </w:r>
      <w:r>
        <w:rPr>
          <w:rFonts w:ascii="Times New Roman" w:hAnsi="Times New Roman" w:eastAsia="宋体"/>
          <w:sz w:val="21"/>
        </w:rPr>
        <w:t xml:space="preserve">时间: 2026-05-01 | </w:t>
      </w:r>
      <w:r>
        <w:t xml:space="preserve">链接: </w:t>
      </w:r>
      <w:hyperlink r:id="rId43">
        <w:r>
          <w:rPr>
            <w:rFonts w:ascii="Times New Roman" w:hAnsi="Times New Roman" w:eastAsia="宋体"/>
            <w:color w:val="0000FF"/>
            <w:sz w:val="21"/>
            <w:u w:val="single"/>
          </w:rPr>
          <w:t>https://doi.org/10.1016/j.optlastec.2026.114836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无水片状 DAST 纳米薄膜具有优异的二次谐波产生特性并触发荧光响应</w:t>
      </w:r>
    </w:p>
    <w:p>
      <w:r>
        <w:rPr>
          <w:rFonts w:ascii="Times New Roman" w:hAnsi="Times New Roman" w:eastAsia="宋体"/>
          <w:b/>
          <w:color w:val="003264"/>
          <w:sz w:val="24"/>
        </w:rPr>
        <w:t>Superior second harmonic generation properties and triggered fluorescence responses in anhydrous sheet-like DAST nanofilms</w:t>
      </w:r>
    </w:p>
    <w:p>
      <w:r>
        <w:rPr>
          <w:rFonts w:ascii="Times New Roman" w:hAnsi="Times New Roman" w:eastAsia="宋体"/>
          <w:sz w:val="21"/>
        </w:rPr>
        <w:t>作者: Mingang Zhang, Lin Zhang, Minghui Xu, Rui Wang, Wencong Li, You Li, Xiaoxuan Luo, Wenfeng Wang, Bo Zhang, Zhimei Li, Hao Yang</w:t>
        <w:br/>
      </w:r>
      <w:r>
        <w:rPr>
          <w:rFonts w:ascii="Times New Roman" w:hAnsi="Times New Roman" w:eastAsia="宋体"/>
          <w:sz w:val="21"/>
        </w:rPr>
        <w:t xml:space="preserve">时间: 2026-05-01 | </w:t>
      </w:r>
      <w:r>
        <w:t xml:space="preserve">链接: </w:t>
      </w:r>
      <w:hyperlink r:id="rId44">
        <w:r>
          <w:rPr>
            <w:rFonts w:ascii="Times New Roman" w:hAnsi="Times New Roman" w:eastAsia="宋体"/>
            <w:color w:val="0000FF"/>
            <w:sz w:val="21"/>
            <w:u w:val="single"/>
          </w:rPr>
          <w:t>https://doi.org/10.1016/j.optlastec.2026.114844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Lasers in Engineering</w:t>
      </w:r>
    </w:p>
    <w:p>
      <w:pPr>
        <w:jc w:val="center"/>
      </w:pPr>
      <w:r>
        <w:t>--- 更新: 00:27 ---</w:t>
      </w:r>
    </w:p>
    <w:p>
      <w:pPr>
        <w:pStyle w:val="Heading2"/>
      </w:pPr>
      <w:r/>
      <w:r>
        <w:rPr>
          <w:rFonts w:ascii="Times New Roman" w:hAnsi="Times New Roman" w:eastAsia="宋体"/>
          <w:b/>
          <w:color w:val="000000"/>
          <w:sz w:val="24"/>
        </w:rPr>
        <w:t>基于LCVR的可见光谱范围宽带时分偏振成像技术</w:t>
      </w:r>
    </w:p>
    <w:p>
      <w:r>
        <w:rPr>
          <w:rFonts w:ascii="Times New Roman" w:hAnsi="Times New Roman" w:eastAsia="宋体"/>
          <w:b/>
          <w:color w:val="003264"/>
          <w:sz w:val="24"/>
        </w:rPr>
        <w:t>LCVR-based broadband time-division polarimetric imaging technology in visible spectral range</w:t>
      </w:r>
    </w:p>
    <w:p>
      <w:r>
        <w:rPr>
          <w:rFonts w:ascii="Times New Roman" w:hAnsi="Times New Roman" w:eastAsia="宋体"/>
          <w:sz w:val="21"/>
        </w:rPr>
        <w:t>作者: Wenxu Jiang, Liyong Ren, Jian Liang</w:t>
        <w:br/>
      </w:r>
      <w:r>
        <w:rPr>
          <w:rFonts w:ascii="Times New Roman" w:hAnsi="Times New Roman" w:eastAsia="宋体"/>
          <w:sz w:val="21"/>
        </w:rPr>
        <w:t xml:space="preserve">时间: 2026-06-01 | </w:t>
      </w:r>
      <w:r>
        <w:t xml:space="preserve">链接: </w:t>
      </w:r>
      <w:hyperlink r:id="rId13">
        <w:r>
          <w:rPr>
            <w:rFonts w:ascii="Times New Roman" w:hAnsi="Times New Roman" w:eastAsia="宋体"/>
            <w:color w:val="0000FF"/>
            <w:sz w:val="21"/>
            <w:u w:val="single"/>
          </w:rPr>
          <w:t>https://doi.org/10.1016/j.optlaseng.2025.109581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使用加权整数剪切平均值进行分数横向剪切测量的波前重建</w:t>
      </w:r>
    </w:p>
    <w:p>
      <w:r>
        <w:rPr>
          <w:rFonts w:ascii="Times New Roman" w:hAnsi="Times New Roman" w:eastAsia="宋体"/>
          <w:b/>
          <w:color w:val="003264"/>
          <w:sz w:val="24"/>
        </w:rPr>
        <w:t>Wavefront reconstruction for fractional lateral shear measurements using weighted integer shear averages</w:t>
      </w:r>
    </w:p>
    <w:p>
      <w:r>
        <w:rPr>
          <w:rFonts w:ascii="Times New Roman" w:hAnsi="Times New Roman" w:eastAsia="宋体"/>
          <w:sz w:val="21"/>
        </w:rPr>
        <w:t>作者: Samia Heshmat, Satoshi Tomioka, Naoki Miyamoto, Yuji Yamauchi, Yutaka Matsumoto, Naoki Higashi</w:t>
        <w:br/>
      </w:r>
      <w:r>
        <w:rPr>
          <w:rFonts w:ascii="Times New Roman" w:hAnsi="Times New Roman" w:eastAsia="宋体"/>
          <w:sz w:val="21"/>
        </w:rPr>
        <w:t xml:space="preserve">时间: 2026-06-01 | </w:t>
      </w:r>
      <w:r>
        <w:t xml:space="preserve">链接: </w:t>
      </w:r>
      <w:hyperlink r:id="rId14">
        <w:r>
          <w:rPr>
            <w:rFonts w:ascii="Times New Roman" w:hAnsi="Times New Roman" w:eastAsia="宋体"/>
            <w:color w:val="0000FF"/>
            <w:sz w:val="21"/>
            <w:u w:val="single"/>
          </w:rPr>
          <w:t>https://doi.org/10.1016/j.optlaseng.2026.109664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一种优化的 GPU 加速数字图像相关算法</w:t>
      </w:r>
    </w:p>
    <w:p>
      <w:r>
        <w:rPr>
          <w:rFonts w:ascii="Times New Roman" w:hAnsi="Times New Roman" w:eastAsia="宋体"/>
          <w:b/>
          <w:color w:val="003264"/>
          <w:sz w:val="24"/>
        </w:rPr>
        <w:t>An optimized GPU-accelerated digital image correlation algorithm</w:t>
      </w:r>
    </w:p>
    <w:p>
      <w:r>
        <w:rPr>
          <w:rFonts w:ascii="Times New Roman" w:hAnsi="Times New Roman" w:eastAsia="宋体"/>
          <w:sz w:val="21"/>
        </w:rPr>
        <w:t>作者: Yuanhang Dou, Xuexi Cui, Xiangdong Wu, Min Wan</w:t>
        <w:br/>
      </w:r>
      <w:r>
        <w:rPr>
          <w:rFonts w:ascii="Times New Roman" w:hAnsi="Times New Roman" w:eastAsia="宋体"/>
          <w:sz w:val="21"/>
        </w:rPr>
        <w:t xml:space="preserve">时间: 2026-06-01 | </w:t>
      </w:r>
      <w:r>
        <w:t xml:space="preserve">链接: </w:t>
      </w:r>
      <w:hyperlink r:id="rId15">
        <w:r>
          <w:rPr>
            <w:rFonts w:ascii="Times New Roman" w:hAnsi="Times New Roman" w:eastAsia="宋体"/>
            <w:color w:val="0000FF"/>
            <w:sz w:val="21"/>
            <w:u w:val="single"/>
          </w:rPr>
          <w:t>https://doi.org/10.1016/j.optlaseng.2026.109635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CEDF-VSNLO：一种新颖的计算高效的去噪框架，通过方差稳定和条纹图案的噪声自适应低阶优化</w:t>
      </w:r>
    </w:p>
    <w:p>
      <w:r>
        <w:rPr>
          <w:rFonts w:ascii="Times New Roman" w:hAnsi="Times New Roman" w:eastAsia="宋体"/>
          <w:b/>
          <w:color w:val="003264"/>
          <w:sz w:val="24"/>
        </w:rPr>
        <w:t>CEDF-VSNLO: A novel computational-efficient denoising framework via variance stabilization and noise-adaptive low-rank optimization for fringe patterns</w:t>
      </w:r>
    </w:p>
    <w:p>
      <w:r>
        <w:rPr>
          <w:rFonts w:ascii="Times New Roman" w:hAnsi="Times New Roman" w:eastAsia="宋体"/>
          <w:sz w:val="21"/>
        </w:rPr>
        <w:t>作者: Yuheng Li, Cixing Lv, Junwei Liang, Yi Qin, Jiale Li, Yunyao Zeng</w:t>
        <w:br/>
      </w:r>
      <w:r>
        <w:rPr>
          <w:rFonts w:ascii="Times New Roman" w:hAnsi="Times New Roman" w:eastAsia="宋体"/>
          <w:sz w:val="21"/>
        </w:rPr>
        <w:t xml:space="preserve">时间: 2026-06-01 | </w:t>
      </w:r>
      <w:r>
        <w:t xml:space="preserve">链接: </w:t>
      </w:r>
      <w:hyperlink r:id="rId45">
        <w:r>
          <w:rPr>
            <w:rFonts w:ascii="Times New Roman" w:hAnsi="Times New Roman" w:eastAsia="宋体"/>
            <w:color w:val="0000FF"/>
            <w:sz w:val="21"/>
            <w:u w:val="single"/>
          </w:rPr>
          <w:t>https://doi.org/10.1016/j.optlaseng.2026.109667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 90–140 GHz 光子噪声源的噪声成像</w:t>
      </w:r>
    </w:p>
    <w:p>
      <w:r>
        <w:rPr>
          <w:rFonts w:ascii="Times New Roman" w:hAnsi="Times New Roman" w:eastAsia="宋体"/>
          <w:b/>
          <w:color w:val="003264"/>
          <w:sz w:val="24"/>
        </w:rPr>
        <w:t>Noise imaging based on 90–140 GHz photonic noise source</w:t>
      </w:r>
    </w:p>
    <w:p>
      <w:r>
        <w:rPr>
          <w:rFonts w:ascii="Times New Roman" w:hAnsi="Times New Roman" w:eastAsia="宋体"/>
          <w:sz w:val="21"/>
        </w:rPr>
        <w:t>作者: Jiayu Chen, Yuehui Sun, Shede Chen, Pu Li, Liyun Zhong, Jianglei Di, Yuncai Wang</w:t>
        <w:br/>
      </w:r>
      <w:r>
        <w:rPr>
          <w:rFonts w:ascii="Times New Roman" w:hAnsi="Times New Roman" w:eastAsia="宋体"/>
          <w:sz w:val="21"/>
        </w:rPr>
        <w:t xml:space="preserve">时间: 2026-06-01 | </w:t>
      </w:r>
      <w:r>
        <w:t xml:space="preserve">链接: </w:t>
      </w:r>
      <w:hyperlink r:id="rId46">
        <w:r>
          <w:rPr>
            <w:rFonts w:ascii="Times New Roman" w:hAnsi="Times New Roman" w:eastAsia="宋体"/>
            <w:color w:val="0000FF"/>
            <w:sz w:val="21"/>
            <w:u w:val="single"/>
          </w:rPr>
          <w:t>https://doi.org/10.1016/j.optlaseng.2026.109668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Communications</w:t>
      </w:r>
    </w:p>
    <w:p>
      <w:pPr>
        <w:jc w:val="center"/>
      </w:pPr>
      <w:r>
        <w:t>--- 更新: 00:27 ---</w:t>
      </w:r>
    </w:p>
    <w:p>
      <w:pPr>
        <w:pStyle w:val="Heading2"/>
      </w:pPr>
      <w:r/>
      <w:r>
        <w:rPr>
          <w:rFonts w:ascii="Times New Roman" w:hAnsi="Times New Roman" w:eastAsia="宋体"/>
          <w:b/>
          <w:color w:val="000000"/>
          <w:sz w:val="24"/>
        </w:rPr>
        <w:t>基于一维反射光栅的分束四分之一波片</w:t>
      </w:r>
    </w:p>
    <w:p>
      <w:r>
        <w:rPr>
          <w:rFonts w:ascii="Times New Roman" w:hAnsi="Times New Roman" w:eastAsia="宋体"/>
          <w:b/>
          <w:color w:val="003264"/>
          <w:sz w:val="24"/>
        </w:rPr>
        <w:t>Beam splitting quarter wave plate based on one-dimensional reflective grating</w:t>
      </w:r>
    </w:p>
    <w:p>
      <w:r>
        <w:rPr>
          <w:rFonts w:ascii="Times New Roman" w:hAnsi="Times New Roman" w:eastAsia="宋体"/>
          <w:sz w:val="21"/>
        </w:rPr>
        <w:t>作者: Rongwei Peng, Minhui Du, Huabin LI, Jin Wang, Shanwen Zhang, Wei Jia, Changhe Zhou</w:t>
        <w:br/>
      </w:r>
      <w:r>
        <w:rPr>
          <w:rFonts w:ascii="Times New Roman" w:hAnsi="Times New Roman" w:eastAsia="宋体"/>
          <w:sz w:val="21"/>
        </w:rPr>
        <w:t xml:space="preserve">时间: 2026-01-01 | </w:t>
      </w:r>
      <w:r>
        <w:t xml:space="preserve">链接: </w:t>
      </w:r>
      <w:hyperlink r:id="rId16">
        <w:r>
          <w:rPr>
            <w:rFonts w:ascii="Times New Roman" w:hAnsi="Times New Roman" w:eastAsia="宋体"/>
            <w:color w:val="0000FF"/>
            <w:sz w:val="21"/>
            <w:u w:val="single"/>
          </w:rPr>
          <w:t>https://doi.org/10.1016/j.optcom.2026.132976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混合阶庞加莱球光束二次谐波产生的不对称拓扑演化和角动量重新分布</w:t>
      </w:r>
    </w:p>
    <w:p>
      <w:r>
        <w:rPr>
          <w:rFonts w:ascii="Times New Roman" w:hAnsi="Times New Roman" w:eastAsia="宋体"/>
          <w:b/>
          <w:color w:val="003264"/>
          <w:sz w:val="24"/>
        </w:rPr>
        <w:t>Asymmetric topological evolution and angular momentum redistribution in second-harmonic generation of hybrid-order Poincaré sphere beams</w:t>
      </w:r>
    </w:p>
    <w:p>
      <w:r>
        <w:rPr>
          <w:rFonts w:ascii="Times New Roman" w:hAnsi="Times New Roman" w:eastAsia="宋体"/>
          <w:sz w:val="21"/>
        </w:rPr>
        <w:t>作者: Xinrui Zhang, Yating Chen, Shun Wang, Shuolin Wang, Li Fan, Bo Li, Youyou Hu</w:t>
        <w:br/>
      </w:r>
      <w:r>
        <w:rPr>
          <w:rFonts w:ascii="Times New Roman" w:hAnsi="Times New Roman" w:eastAsia="宋体"/>
          <w:sz w:val="21"/>
        </w:rPr>
        <w:t xml:space="preserve">时间: 2026-01-01 | </w:t>
      </w:r>
      <w:r>
        <w:t xml:space="preserve">链接: </w:t>
      </w:r>
      <w:hyperlink r:id="rId17">
        <w:r>
          <w:rPr>
            <w:rFonts w:ascii="Times New Roman" w:hAnsi="Times New Roman" w:eastAsia="宋体"/>
            <w:color w:val="0000FF"/>
            <w:sz w:val="21"/>
            <w:u w:val="single"/>
          </w:rPr>
          <w:t>https://doi.org/10.1016/j.optcom.2026.132961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使用胶体生物合成型WO3-δ的短脉冲调Q光纤激光器</w:t>
      </w:r>
    </w:p>
    <w:p>
      <w:r>
        <w:rPr>
          <w:rFonts w:ascii="Times New Roman" w:hAnsi="Times New Roman" w:eastAsia="宋体"/>
          <w:b/>
          <w:color w:val="003264"/>
          <w:sz w:val="24"/>
        </w:rPr>
        <w:t>Short-pulsed Q-switched fiber laser using colloidal biosynthesized type WO3-δ</w:t>
      </w:r>
    </w:p>
    <w:p>
      <w:r>
        <w:rPr>
          <w:rFonts w:ascii="Times New Roman" w:hAnsi="Times New Roman" w:eastAsia="宋体"/>
          <w:sz w:val="21"/>
        </w:rPr>
        <w:t>作者: Celia L. Gomez, F. Díaz Monge, O. Zaca-Moran, Ariel Fong-González, Carlos Alberto Megchum-Ruedas, Elsa Ventura Zapata, J. Padilla-Martínez, P. Zaca-Morán</w:t>
        <w:br/>
      </w:r>
      <w:r>
        <w:rPr>
          <w:rFonts w:ascii="Times New Roman" w:hAnsi="Times New Roman" w:eastAsia="宋体"/>
          <w:sz w:val="21"/>
        </w:rPr>
        <w:t xml:space="preserve">时间: 2026-01-01 | </w:t>
      </w:r>
      <w:r>
        <w:t xml:space="preserve">链接: </w:t>
      </w:r>
      <w:hyperlink r:id="rId18">
        <w:r>
          <w:rPr>
            <w:rFonts w:ascii="Times New Roman" w:hAnsi="Times New Roman" w:eastAsia="宋体"/>
            <w:color w:val="0000FF"/>
            <w:sz w:val="21"/>
            <w:u w:val="single"/>
          </w:rPr>
          <w:t>https://doi.org/10.1016/j.optcom.2026.132972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用于低冗余成像的高保真度和抗噪声傅立叶叠层显微镜</w:t>
      </w:r>
    </w:p>
    <w:p>
      <w:r>
        <w:rPr>
          <w:rFonts w:ascii="Times New Roman" w:hAnsi="Times New Roman" w:eastAsia="宋体"/>
          <w:b/>
          <w:color w:val="003264"/>
          <w:sz w:val="24"/>
        </w:rPr>
        <w:t>High-Fidelity and Noise-Robust Fourier Ptychographic Microscopy for Low-Redundancy Imaging</w:t>
      </w:r>
    </w:p>
    <w:p>
      <w:r>
        <w:rPr>
          <w:rFonts w:ascii="Times New Roman" w:hAnsi="Times New Roman" w:eastAsia="宋体"/>
          <w:sz w:val="21"/>
        </w:rPr>
        <w:t>作者: Na Liu, Wanjie Tang, Zhoubin Chen, Kai Zhu, Tianjun Wang, Jiaju Wu, Huanhuan Yu, Jianze Cai, Huazheng Wu, Shaowei Jiang</w:t>
        <w:br/>
      </w:r>
      <w:r>
        <w:rPr>
          <w:rFonts w:ascii="Times New Roman" w:hAnsi="Times New Roman" w:eastAsia="宋体"/>
          <w:sz w:val="21"/>
        </w:rPr>
        <w:t xml:space="preserve">时间: 2026-01-01 | </w:t>
      </w:r>
      <w:r>
        <w:t xml:space="preserve">链接: </w:t>
      </w:r>
      <w:hyperlink r:id="rId40">
        <w:r>
          <w:rPr>
            <w:rFonts w:ascii="Times New Roman" w:hAnsi="Times New Roman" w:eastAsia="宋体"/>
            <w:color w:val="0000FF"/>
            <w:sz w:val="21"/>
            <w:u w:val="single"/>
          </w:rPr>
          <w:t>https://doi.org/10.1016/j.optcom.2026.132978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星载海洋激光雷达大气透射率建模：486.1 nm弗劳恩霍夫线的全球评估和分布特征</w:t>
      </w:r>
    </w:p>
    <w:p>
      <w:r>
        <w:rPr>
          <w:rFonts w:ascii="Times New Roman" w:hAnsi="Times New Roman" w:eastAsia="宋体"/>
          <w:b/>
          <w:color w:val="003264"/>
          <w:sz w:val="24"/>
        </w:rPr>
        <w:t>Atmospheric transmittance modeling for spaceborne oceanic lidar: Global assessment and distribution characteristics at the Fraunhofer line of 486.1 nm</w:t>
      </w:r>
    </w:p>
    <w:p>
      <w:r>
        <w:rPr>
          <w:rFonts w:ascii="Times New Roman" w:hAnsi="Times New Roman" w:eastAsia="宋体"/>
          <w:sz w:val="21"/>
        </w:rPr>
        <w:t>作者: Fuyou Wang, Shuning Zheng, Xiaoquan Song, Peizhi Zhu, Junwu Tang</w:t>
        <w:br/>
      </w:r>
      <w:r>
        <w:rPr>
          <w:rFonts w:ascii="Times New Roman" w:hAnsi="Times New Roman" w:eastAsia="宋体"/>
          <w:sz w:val="21"/>
        </w:rPr>
        <w:t xml:space="preserve">时间: 2026-01-01 | </w:t>
      </w:r>
      <w:r>
        <w:t xml:space="preserve">链接: </w:t>
      </w:r>
      <w:hyperlink r:id="rId41">
        <w:r>
          <w:rPr>
            <w:rFonts w:ascii="Times New Roman" w:hAnsi="Times New Roman" w:eastAsia="宋体"/>
            <w:color w:val="0000FF"/>
            <w:sz w:val="21"/>
            <w:u w:val="single"/>
          </w:rPr>
          <w:t>https://doi.org/10.1016/j.optcom.2026.132973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幅度型光学寻址空间光调制器中的传输抖动分析</w:t>
      </w:r>
    </w:p>
    <w:p>
      <w:r>
        <w:rPr>
          <w:rFonts w:ascii="Times New Roman" w:hAnsi="Times New Roman" w:eastAsia="宋体"/>
          <w:b/>
          <w:color w:val="003264"/>
          <w:sz w:val="24"/>
        </w:rPr>
        <w:t>Analysis of Transmission Jitter in Amplitude-Type Optically Addressed Spatial Light Modulators</w:t>
      </w:r>
    </w:p>
    <w:p>
      <w:r>
        <w:rPr>
          <w:rFonts w:ascii="Times New Roman" w:hAnsi="Times New Roman" w:eastAsia="宋体"/>
          <w:sz w:val="21"/>
        </w:rPr>
        <w:t>作者: YanTao Song, Wei Fan, DaJie Huang, ZiMu Li, He Cheng, Meng Teng</w:t>
        <w:br/>
      </w:r>
      <w:r>
        <w:rPr>
          <w:rFonts w:ascii="Times New Roman" w:hAnsi="Times New Roman" w:eastAsia="宋体"/>
          <w:sz w:val="21"/>
        </w:rPr>
        <w:t xml:space="preserve">时间: 2026-01-01 | </w:t>
      </w:r>
      <w:r>
        <w:t xml:space="preserve">链接: </w:t>
      </w:r>
      <w:hyperlink r:id="rId42">
        <w:r>
          <w:rPr>
            <w:rFonts w:ascii="Times New Roman" w:hAnsi="Times New Roman" w:eastAsia="宋体"/>
            <w:color w:val="0000FF"/>
            <w:sz w:val="21"/>
            <w:u w:val="single"/>
          </w:rPr>
          <w:t>https://doi.org/10.1016/j.optcom.2026.132980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Letters</w:t>
      </w:r>
    </w:p>
    <w:p>
      <w:pPr>
        <w:jc w:val="center"/>
      </w:pPr>
      <w:r>
        <w:t>--- 更新: 00:27 ---</w:t>
      </w:r>
    </w:p>
    <w:p>
      <w:pPr>
        <w:pStyle w:val="Heading2"/>
      </w:pPr>
      <w:r/>
      <w:r>
        <w:rPr>
          <w:rFonts w:ascii="Times New Roman" w:hAnsi="Times New Roman" w:eastAsia="宋体"/>
          <w:b/>
          <w:color w:val="000000"/>
          <w:sz w:val="24"/>
        </w:rPr>
        <w:t>基于Ψ结和多模干涉仪的可重构低损耗三模光开关</w:t>
      </w:r>
    </w:p>
    <w:p>
      <w:r>
        <w:rPr>
          <w:rFonts w:ascii="Times New Roman" w:hAnsi="Times New Roman" w:eastAsia="宋体"/>
          <w:b/>
          <w:color w:val="003264"/>
          <w:sz w:val="24"/>
        </w:rPr>
        <w:t>Reconfigurable and low-loss three-mode optical switch based on Ψ-junctions and multimode interferometers</w:t>
      </w:r>
    </w:p>
    <w:p>
      <w:r>
        <w:rPr>
          <w:rFonts w:ascii="Times New Roman" w:hAnsi="Times New Roman" w:eastAsia="宋体"/>
          <w:sz w:val="21"/>
        </w:rPr>
        <w:t>作者: Manzhuo Wang, Yu Xin, Tingyu Liu, Xiaoqiang Sun, Yuanda Wu, Daming Zhang</w:t>
        <w:br/>
      </w:r>
      <w:r>
        <w:rPr>
          <w:rFonts w:ascii="Times New Roman" w:hAnsi="Times New Roman" w:eastAsia="宋体"/>
          <w:sz w:val="21"/>
        </w:rPr>
        <w:t xml:space="preserve">时间: 2026-01-20 | </w:t>
      </w:r>
      <w:r>
        <w:t xml:space="preserve">链接: </w:t>
      </w:r>
      <w:hyperlink r:id="rId19">
        <w:r>
          <w:rPr>
            <w:rFonts w:ascii="Times New Roman" w:hAnsi="Times New Roman" w:eastAsia="宋体"/>
            <w:color w:val="0000FF"/>
            <w:sz w:val="21"/>
            <w:u w:val="single"/>
          </w:rPr>
          <w:t>https://doi.org/10.1364/ol.583825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提出了一种在二氧化硅平面光波电路上进行 N 通道模分复用 (MDM) 信号切换的方案。具体来说，我们展示了一种三模光开关，采用级联对称 Ψ 结、马赫-曾德干涉仪 (MZI) 波导和电极移相器进行热光调制。对称 Ψ 结将 E 11 、E 21 和 E 31 模式分成 E 11 模式并将它们耦合回其原始模式。 MZI 充当该三模光开关的调制臂。该器件通过 CMOS 兼容的硅基硅处理工艺制造，可实现三种模式的低损耗切换。在 1550 nm 处，当单独输入 E 11 、E 21 和 E 31 模式时，所制造的开关表现出 3.7 ± 0.1 dB 的插入损耗 (IL)、10.3 ± 0.5 dB 的消光比 (ER) 和 &lt;1.36 ms 的响应时间。对于 E 11 和 E 21 模式，工作带宽扩展超过 100 nm (1500–1600 nm)，IL &lt;5 dB 且 ER ≥8 dB。该交换机可重新配置为同时或单独路由所有传播模式，满足不同的应用需求。此外，该器件在MDM系统模块的光互连中具有广阔的应用前景。</w:t>
      </w:r>
    </w:p>
    <w:p>
      <w:pPr>
        <w:spacing w:before="120"/>
      </w:pPr>
      <w:r>
        <w:rPr>
          <w:rFonts w:ascii="Times New Roman" w:hAnsi="Times New Roman" w:eastAsia="宋体"/>
          <w:b/>
          <w:sz w:val="21"/>
        </w:rPr>
        <w:t>English Abstract:</w:t>
      </w:r>
    </w:p>
    <w:p>
      <w:r>
        <w:rPr>
          <w:rFonts w:ascii="Times New Roman" w:hAnsi="Times New Roman" w:eastAsia="宋体"/>
          <w:sz w:val="21"/>
        </w:rPr>
        <w:t>A scheme for N- channel mode-division multiplexing (MDM) signal switching is proposed on a silica planar lightwave circuit. Specifically, we demonstrate a three-mode optical switch that adopts cascaded symmetric Ψ-junctions, Mach–Zehnder interferometer (MZI) waveguides, and electrode phase shifters for thermo-optic modulation. The symmetric Ψ-junctions split the E 11 , E 21 , and E 31 modes into the E 11 mode and couple them back to their original modes. The MZIs act as the modulation arms of this three-mode optical switch. Fabricated via CMOS-compatible silica-on-silicon processing, the device enables low-loss switching of the three modes. At 1550 nm, when E 11 , E 21 , and E 31 modes are input individually, the fabricated switch exhibits an insertion loss (IL) of 3.7 ± 0.1 dB, an extinction ratio (ER) of 10.3 ± 0.5 dB, and a response time of &lt;1.36 ms. For E 11 and E 21 modes, the operational bandwidth extends over 100 nm (1500–1600 nm), with IL &lt;5 dB and ER ≥8 dB. Reconfigurable to route all propagating modes simultaneously or individually, this switch meets diverse application requirements. Moreover, the device holds broad application prospects in optical interconnects of MDM system modules.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1.2 kW峰值功率准连续波掺铥光纤激光器</w:t>
      </w:r>
    </w:p>
    <w:p>
      <w:r>
        <w:rPr>
          <w:rFonts w:ascii="Times New Roman" w:hAnsi="Times New Roman" w:eastAsia="宋体"/>
          <w:b/>
          <w:color w:val="003264"/>
          <w:sz w:val="24"/>
        </w:rPr>
        <w:t>1.2 kW peak power quasi-continuous-wave thulium-doped fiber laser</w:t>
      </w:r>
    </w:p>
    <w:p>
      <w:r>
        <w:rPr>
          <w:rFonts w:ascii="Times New Roman" w:hAnsi="Times New Roman" w:eastAsia="宋体"/>
          <w:sz w:val="21"/>
        </w:rPr>
        <w:t>作者: Dieter Panitzek, Michael Písařík, Helena Picmausová, Julian Schaal, Jan Lautenschläger, Dominik Lorenz, Julian Schneider, Marc Eichhorn, Christelle Kieleck</w:t>
        <w:br/>
      </w:r>
      <w:r>
        <w:rPr>
          <w:rFonts w:ascii="Times New Roman" w:hAnsi="Times New Roman" w:eastAsia="宋体"/>
          <w:sz w:val="21"/>
        </w:rPr>
        <w:t xml:space="preserve">时间: 2026-01-12 | </w:t>
      </w:r>
      <w:r>
        <w:t xml:space="preserve">链接: </w:t>
      </w:r>
      <w:hyperlink r:id="rId20">
        <w:r>
          <w:rPr>
            <w:rFonts w:ascii="Times New Roman" w:hAnsi="Times New Roman" w:eastAsia="宋体"/>
            <w:color w:val="0000FF"/>
            <w:sz w:val="21"/>
            <w:u w:val="single"/>
          </w:rPr>
          <w:t>https://doi.org/10.1364/ol.581863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这封信研究了准连续波操作的高功率掺铥光纤激光器。通过调制六个泵浦二极管，在 2031 nm、10 µs 脉冲宽度下获得了 1287 W 的泵浦功率限制峰值功率。此外，还测量了衍射极限光束质量因数并且没有测量到横向调制不稳定性的迹象。在观察到四波混频的同时，研究了一种新颖的缓解策略。通过应用十个 10 µs 脉冲而不是单个 100 µs 脉冲，四波混频的特征边带的最大频谱功率降低了 7.4 dB。</w:t>
      </w:r>
    </w:p>
    <w:p>
      <w:pPr>
        <w:spacing w:before="120"/>
      </w:pPr>
      <w:r>
        <w:rPr>
          <w:rFonts w:ascii="Times New Roman" w:hAnsi="Times New Roman" w:eastAsia="宋体"/>
          <w:b/>
          <w:sz w:val="21"/>
        </w:rPr>
        <w:t>English Abstract:</w:t>
      </w:r>
    </w:p>
    <w:p>
      <w:r>
        <w:rPr>
          <w:rFonts w:ascii="Times New Roman" w:hAnsi="Times New Roman" w:eastAsia="宋体"/>
          <w:sz w:val="21"/>
        </w:rPr>
        <w:t>This Letter investigates a high-power thulium-doped fiber laser in quasi-continuous-wave operation. By modulating six pump diodes, a pump power limited peak power of 1287 W at 2031 nm with 10 µs pulse width was obtained. Moreover, a diffraction limited beam quality factor and no indication of transversal modulation instability were measured. While four-wave mixing was observed, a novel mitigation strategy was investigated. By applying a burst of ten 10 µs pulses instead of a single 100 µs pulse, the maximum of the spectral power for the characteristic sidebands of four-wave mixing was reduced by 7.4 dB.</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少量光子的质心检测</w:t>
      </w:r>
    </w:p>
    <w:p>
      <w:r>
        <w:rPr>
          <w:rFonts w:ascii="Times New Roman" w:hAnsi="Times New Roman" w:eastAsia="宋体"/>
          <w:b/>
          <w:color w:val="003264"/>
          <w:sz w:val="24"/>
        </w:rPr>
        <w:t>Centroid detection with a small number of photons</w:t>
      </w:r>
    </w:p>
    <w:p>
      <w:r>
        <w:rPr>
          <w:rFonts w:ascii="Times New Roman" w:hAnsi="Times New Roman" w:eastAsia="宋体"/>
          <w:sz w:val="21"/>
        </w:rPr>
        <w:t>作者: Zhaocong Li, Xiaosong Wu, Linhai Huang, Hao Chen, Naiting Gu, Yang Li</w:t>
        <w:br/>
      </w:r>
      <w:r>
        <w:rPr>
          <w:rFonts w:ascii="Times New Roman" w:hAnsi="Times New Roman" w:eastAsia="宋体"/>
          <w:sz w:val="21"/>
        </w:rPr>
        <w:t xml:space="preserve">时间: 2026-01-29 | </w:t>
      </w:r>
      <w:r>
        <w:t xml:space="preserve">链接: </w:t>
      </w:r>
      <w:hyperlink r:id="rId21">
        <w:r>
          <w:rPr>
            <w:rFonts w:ascii="Times New Roman" w:hAnsi="Times New Roman" w:eastAsia="宋体"/>
            <w:color w:val="0000FF"/>
            <w:sz w:val="21"/>
            <w:u w:val="single"/>
          </w:rPr>
          <w:t>https://doi.org/10.1364/ol.585707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在这封信中，我们提出了一种基于多像素光子计数器（MPPC）阵列和强度空间分布调制器阵列的质心检测方法。即使仅检测到少量光子，该方法也能够有效地确定二维质心位置。我们将每个单点 MPPC 与强度空间分布调制器集成，这增强了其辨别位置的能力。只需两个单元即可检测光斑的二维质心位置。此外，第三个单元可用于监测光斑的整体强度闪烁，这显着增强了检测的稳定性和鲁棒性。在检测到 500 个均方根 (RMS) 光子时，传感器始终以令人印象深刻的 30 kHz 帧速率和 7.11 μm 的均方根误差 (RMSE) 提取二维质心。这些结果证明了一种有前景的方法，可以显着提高对微弱目标的高灵敏度检测，同时仍保持较快的帧速率。因此，该方法有可能增强倾斜像差的检测能力，从而为未来超大望远镜的自适应光学系统提供基础。</w:t>
      </w:r>
    </w:p>
    <w:p>
      <w:pPr>
        <w:spacing w:before="120"/>
      </w:pPr>
      <w:r>
        <w:rPr>
          <w:rFonts w:ascii="Times New Roman" w:hAnsi="Times New Roman" w:eastAsia="宋体"/>
          <w:b/>
          <w:sz w:val="21"/>
        </w:rPr>
        <w:t>English Abstract:</w:t>
      </w:r>
    </w:p>
    <w:p>
      <w:r>
        <w:rPr>
          <w:rFonts w:ascii="Times New Roman" w:hAnsi="Times New Roman" w:eastAsia="宋体"/>
          <w:sz w:val="21"/>
        </w:rPr>
        <w:t>In this Letter, we present a centroid detection method based on a Multi-pixel Photon Counter (MPPC) array and an intensity spatial distribution modulator array. This method is adept at efficiently determining the two-dimensional centroid position, even when only a small number of photons are detected. We have integrated every single-point MPPC with an intensity spatial distribution modulator, which enhances its ability to discern positions. Only two units are required to detect the two-dimensional centroid position of the spot. Additionally, a third unit can be used to monitor the overall intensity flicker of the spot, which significantly enhances the stability and robustness of the detection. Under 500 root mean square (RMS) photons detected, the sensor consistently extracts the two-dimensional centroid with an impressive frame rate of 30 kHz and a root mean square error (RMSE) of 7.11 μm. These results demonstrate a promising approach that could significantly improve the detection of faint targets with high sensitivity while still maintaining a fast frame rate. Therefore, this method has the potential to enhance the detection capability of tilt aberrations, thereby providing the foundation of the adaptive optics system for the coming extremely large telescopes.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纯钛产品的突发模式飞秒激光着色</w:t>
      </w:r>
    </w:p>
    <w:p>
      <w:r>
        <w:rPr>
          <w:rFonts w:ascii="Times New Roman" w:hAnsi="Times New Roman" w:eastAsia="宋体"/>
          <w:b/>
          <w:color w:val="003264"/>
          <w:sz w:val="24"/>
        </w:rPr>
        <w:t>Burst-mode femtosecond laser coloring on pure titanium products</w:t>
      </w:r>
    </w:p>
    <w:p>
      <w:r>
        <w:rPr>
          <w:rFonts w:ascii="Times New Roman" w:hAnsi="Times New Roman" w:eastAsia="宋体"/>
          <w:sz w:val="21"/>
        </w:rPr>
        <w:t>作者: Jiao Geng, Xiangwei Liu, Shuyao Zhang, Minghui Fan, Jilin Chen, Jingjie Tang, Chenxiao Zhang, Kezhao Ma, Panpan Niu, Liping Shi</w:t>
        <w:br/>
      </w:r>
      <w:r>
        <w:rPr>
          <w:rFonts w:ascii="Times New Roman" w:hAnsi="Times New Roman" w:eastAsia="宋体"/>
          <w:sz w:val="21"/>
        </w:rPr>
        <w:t xml:space="preserve">时间: 2026-01-26 | </w:t>
      </w:r>
      <w:r>
        <w:t xml:space="preserve">链接: </w:t>
      </w:r>
      <w:hyperlink r:id="rId22">
        <w:r>
          <w:rPr>
            <w:rFonts w:ascii="Times New Roman" w:hAnsi="Times New Roman" w:eastAsia="宋体"/>
            <w:color w:val="0000FF"/>
            <w:sz w:val="21"/>
            <w:u w:val="single"/>
          </w:rPr>
          <w:t>https://doi.org/10.1364/ol.581474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在没有有毒化学物质或热变形的情况下对纯钛进行着色仍然是消费品的一个关键挑战。在这里，我们引入突发模式飞秒激光加工，通过改变每个 400 kHz 突发内的子脉冲数量来调整钛表面上的氧化物生长。随着子脉冲数从 1 逐渐增加到 10，我们观察到从柔和、低饱和度的色调到鲜艳、均匀的颜色的连续转变。这种演变源于超快非热氧化和温和的热量积累之间的协同作用，逐渐平滑氧化物表面并抑制虹彩微结构。所得颜色不含电解质残留物，并且底层钛保留其原始平整度。因此，该技术为纯钛产品的高分辨率装饰提供了一种无酸、无掩模的途径。</w:t>
      </w:r>
    </w:p>
    <w:p>
      <w:pPr>
        <w:spacing w:before="120"/>
      </w:pPr>
      <w:r>
        <w:rPr>
          <w:rFonts w:ascii="Times New Roman" w:hAnsi="Times New Roman" w:eastAsia="宋体"/>
          <w:b/>
          <w:sz w:val="21"/>
        </w:rPr>
        <w:t>English Abstract:</w:t>
      </w:r>
    </w:p>
    <w:p>
      <w:r>
        <w:rPr>
          <w:rFonts w:ascii="Times New Roman" w:hAnsi="Times New Roman" w:eastAsia="宋体"/>
          <w:sz w:val="21"/>
        </w:rPr>
        <w:t>Coloring on pure titanium without toxic chemicals or thermal distortion remains a key challenge for consumer products. Here, we introduce burst-mode femtosecond laser processing that tailors oxide growth on the titanium surface by varying the number of sub-pulses within each 400 kHz burst. We observe a continuous transition from muted, low-saturation hues to vivid, uniform colors as the sub-pulse count gradually increases from 1 to 10. This evolution arises from the synergy between ultrafast non-thermal oxidation and gentle heat accumulation, which progressively smooths the oxide surface and suppresses iridescent microstructures. The resulting colors are free of electrolyte residues and the underlying titanium retains its original flatness. The technique thus offers an acid-free and maskless route for high-resolution decoration of pure titanium products.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瓦级全固态单频248 nm DUV光源</w:t>
      </w:r>
    </w:p>
    <w:p>
      <w:r>
        <w:rPr>
          <w:rFonts w:ascii="Times New Roman" w:hAnsi="Times New Roman" w:eastAsia="宋体"/>
          <w:b/>
          <w:color w:val="003264"/>
          <w:sz w:val="24"/>
        </w:rPr>
        <w:t>Watt-level all-solid-state single-frequency 248 nm DUV source</w:t>
      </w:r>
    </w:p>
    <w:p>
      <w:r>
        <w:rPr>
          <w:rFonts w:ascii="Times New Roman" w:hAnsi="Times New Roman" w:eastAsia="宋体"/>
          <w:sz w:val="21"/>
        </w:rPr>
        <w:t>作者: Tianxiang Cheng, Zhenhua Cong, Zhaojun Liu, Zhigang Zhao</w:t>
        <w:br/>
      </w:r>
      <w:r>
        <w:rPr>
          <w:rFonts w:ascii="Times New Roman" w:hAnsi="Times New Roman" w:eastAsia="宋体"/>
          <w:sz w:val="21"/>
        </w:rPr>
        <w:t xml:space="preserve">时间: 2026-01-14 | </w:t>
      </w:r>
      <w:r>
        <w:t xml:space="preserve">链接: </w:t>
      </w:r>
      <w:hyperlink r:id="rId23">
        <w:r>
          <w:rPr>
            <w:rFonts w:ascii="Times New Roman" w:hAnsi="Times New Roman" w:eastAsia="宋体"/>
            <w:color w:val="0000FF"/>
            <w:sz w:val="21"/>
            <w:u w:val="single"/>
          </w:rPr>
          <w:t>https://doi.org/10.1364/ol.585441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通过355 nm和827 nm激光器之间的和频产生（SFG）实现了平均功率为瓦特级（~1.2 W）的全固态单频248 nm深紫外（DUV）源，这比我们之前的结果高了近一个数量级[选项1]。莱特。 50、1881（2025）10.1364/OL.553247]。为了实现这一进步，采用脉冲泵浦来增加 1064 nm 基本驱动器的脉冲能量。同时，对 LBO 晶体的长度进行了仿真引导优化，以最大限度地提高 827 nm 光参量振荡器 (OPO) 的转换效率。受益于两者，4 kHz 时从 1064 nm 到 248 nm 光源的转换效率从 1.41% 提高到 3.93%。 x 和 y 方向上的光束质量因子 M 2 测得分别为 1.61 和 1.10，线宽估计为约 270 MHz。据我们所知，这是第一个报道的全固态单频 248 nm 光源的瓦特级输出。</w:t>
      </w:r>
    </w:p>
    <w:p>
      <w:pPr>
        <w:spacing w:before="120"/>
      </w:pPr>
      <w:r>
        <w:rPr>
          <w:rFonts w:ascii="Times New Roman" w:hAnsi="Times New Roman" w:eastAsia="宋体"/>
          <w:b/>
          <w:sz w:val="21"/>
        </w:rPr>
        <w:t>English Abstract:</w:t>
      </w:r>
    </w:p>
    <w:p>
      <w:r>
        <w:rPr>
          <w:rFonts w:ascii="Times New Roman" w:hAnsi="Times New Roman" w:eastAsia="宋体"/>
          <w:sz w:val="21"/>
        </w:rPr>
        <w:t>An all-solid-state single-frequency 248 nm deep-ultraviolet (DUV) source with watt-level (~1.2 W) average power was realized by sum-frequency generation (SFG) between 355 nm and 827 nm lasers, which is nearly one order-of-magnitude higher than our previous result [ Opt. Lett. 50 , 1881 ( 2025 ) 10.1364/OL.553247 ]. For this advancement, pulsed pumping was employed to increase the pulse energy of the 1064-nm fundamental driver. Meanwhile, simulation-guided optimization on the length of the LBO crystal was performed to maximize the conversion efficiency of the 827-nm optical parametric oscillator (OPO). Benefiting from both, the conversion efficiency from 1064 nm to 248 nm source was improved from 1.41% to 3.93% at 4 kHz. The beam quality factors M 2 in the x and y directions were measured to be 1.61 and 1.10, respectively, and the linewidth was estimated to be ~270 MHz. To the best of our knowledge, this is the first watt-level output reported for all-solid-state single-frequency 248 nm source.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飞秒旋转相干拉曼散射中时空相干性的几何控制</w:t>
      </w:r>
    </w:p>
    <w:p>
      <w:r>
        <w:rPr>
          <w:rFonts w:ascii="Times New Roman" w:hAnsi="Times New Roman" w:eastAsia="宋体"/>
          <w:b/>
          <w:color w:val="003264"/>
          <w:sz w:val="24"/>
        </w:rPr>
        <w:t>Geometrical control of spatio–temporal coherence in femtosecond rotational coherent Raman scattering</w:t>
      </w:r>
    </w:p>
    <w:p>
      <w:r>
        <w:rPr>
          <w:rFonts w:ascii="Times New Roman" w:hAnsi="Times New Roman" w:eastAsia="宋体"/>
          <w:sz w:val="21"/>
        </w:rPr>
        <w:t>作者: Francesco Vergari, Francesco Mazza, Michele Marrocco, Ali Hosseinnia</w:t>
        <w:br/>
      </w:r>
      <w:r>
        <w:rPr>
          <w:rFonts w:ascii="Times New Roman" w:hAnsi="Times New Roman" w:eastAsia="宋体"/>
          <w:sz w:val="21"/>
        </w:rPr>
        <w:t xml:space="preserve">时间: 2026-01-23 | </w:t>
      </w:r>
      <w:r>
        <w:t xml:space="preserve">链接: </w:t>
      </w:r>
      <w:hyperlink r:id="rId24">
        <w:r>
          <w:rPr>
            <w:rFonts w:ascii="Times New Roman" w:hAnsi="Times New Roman" w:eastAsia="宋体"/>
            <w:color w:val="0000FF"/>
            <w:sz w:val="21"/>
            <w:u w:val="single"/>
          </w:rPr>
          <w:t>https://doi.org/10.1364/ol.583339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飞秒旋转相干拉曼散射（fs-RCRS）中空间相位相干性的理论框架，展示了相位匹配几何结构如何将时间动力学与检测到的信号的横向结构耦合起来。在此基础上，我们确定了两种具有重大实际意义的配置。在一种情况下，该几何结构允许对碰撞相移和旋转能量转移进行单次测量，以及多物种检测。另一方面，几何形状为一维测温提供了一种简单的方案。总之，这些结果将几何驱动的时空相干性确立为飞秒旋转光谱学和诊断的多功能工具。</w:t>
      </w:r>
    </w:p>
    <w:p>
      <w:pPr>
        <w:spacing w:before="120"/>
      </w:pPr>
      <w:r>
        <w:rPr>
          <w:rFonts w:ascii="Times New Roman" w:hAnsi="Times New Roman" w:eastAsia="宋体"/>
          <w:b/>
          <w:sz w:val="21"/>
        </w:rPr>
        <w:t>English Abstract:</w:t>
      </w:r>
    </w:p>
    <w:p>
      <w:r>
        <w:rPr>
          <w:rFonts w:ascii="Times New Roman" w:hAnsi="Times New Roman" w:eastAsia="宋体"/>
          <w:sz w:val="21"/>
        </w:rPr>
        <w:t>We present a theoretical framework for spatial phase coherence in femtosecond rotational coherent Raman scattering (fs-RCRS), demonstrating how phase-matching geometry couples temporal dynamics to the transverse structure of the detected signal. On this basis, we identify two configurations with significant practical implications. In one case, the geometry allows single-shot measurements of collisional dephasing and rotational energy transfer, as well as multi-species detection. In the other, the geometry provides a straightforward scheme for one-dimensional thermometry. Together, these results establish geometry-driven space–time coherence as a versatile tool for femtosecond rotational spectroscopy and diagnostics.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离任和新任编辑的告别和问候：社论</w:t>
      </w:r>
    </w:p>
    <w:p>
      <w:r>
        <w:rPr>
          <w:rFonts w:ascii="Times New Roman" w:hAnsi="Times New Roman" w:eastAsia="宋体"/>
          <w:b/>
          <w:color w:val="003264"/>
          <w:sz w:val="24"/>
        </w:rPr>
        <w:t>Farewell and greetings from the outgoing and incoming editors: editorial</w:t>
      </w:r>
    </w:p>
    <w:p>
      <w:r>
        <w:rPr>
          <w:rFonts w:ascii="Times New Roman" w:hAnsi="Times New Roman" w:eastAsia="宋体"/>
          <w:sz w:val="21"/>
        </w:rPr>
        <w:t>作者: Miguel A. Alonso, Carsten Rockstuhl</w:t>
        <w:br/>
      </w:r>
      <w:r>
        <w:rPr>
          <w:rFonts w:ascii="Times New Roman" w:hAnsi="Times New Roman" w:eastAsia="宋体"/>
          <w:sz w:val="21"/>
        </w:rPr>
        <w:t xml:space="preserve">时间: 2026-01-14 | </w:t>
      </w:r>
      <w:r>
        <w:t xml:space="preserve">链接: </w:t>
      </w:r>
      <w:hyperlink r:id="rId25">
        <w:r>
          <w:rPr>
            <w:rFonts w:ascii="Times New Roman" w:hAnsi="Times New Roman" w:eastAsia="宋体"/>
            <w:color w:val="0000FF"/>
            <w:sz w:val="21"/>
            <w:u w:val="single"/>
          </w:rPr>
          <w:t>https://doi.org/10.1364/ol.589579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在担任主编六年后，Miguel A. Alonso 将结束其任期，Carsten Rockstuhl 将于 2026 年 1 月 1 日接任该职位。正如《光学快报》的领导地位正在发生变化一样，出版格局、光学和光子学领域以及科学家开展研究活动的方式也在发生变化。这些变化促使我们在不断变化的环境中反思《华尔街日报》的过去和未来。</w:t>
      </w:r>
    </w:p>
    <w:p>
      <w:pPr>
        <w:spacing w:before="120"/>
      </w:pPr>
      <w:r>
        <w:rPr>
          <w:rFonts w:ascii="Times New Roman" w:hAnsi="Times New Roman" w:eastAsia="宋体"/>
          <w:b/>
          <w:sz w:val="21"/>
        </w:rPr>
        <w:t>English Abstract:</w:t>
      </w:r>
    </w:p>
    <w:p>
      <w:r>
        <w:rPr>
          <w:rFonts w:ascii="Times New Roman" w:hAnsi="Times New Roman" w:eastAsia="宋体"/>
          <w:sz w:val="21"/>
        </w:rPr>
        <w:t>After six years as Editor-in-Chief, Miguel A. Alonso will conclude his term, and Carsten Rockstuhl will take over the role on January 1, 2026. Just as the leadership of Optics Letters is changing, so are the publishing landscape, the field of optics and photonics, and the way in which scientists pursue their research activity. These changes prompted us to reflect on the past and future of the Journal in a permanently evolving environment.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使用一个基于 OFDM 的收发器进行高性能多协议连续可变量子密钥分发</w:t>
      </w:r>
    </w:p>
    <w:p>
      <w:r>
        <w:rPr>
          <w:rFonts w:ascii="Times New Roman" w:hAnsi="Times New Roman" w:eastAsia="宋体"/>
          <w:b/>
          <w:color w:val="003264"/>
          <w:sz w:val="24"/>
        </w:rPr>
        <w:t>High-performance multi-protocol continuous-variable quantum key distribution using one OFDM-based transceiver</w:t>
      </w:r>
    </w:p>
    <w:p>
      <w:r>
        <w:rPr>
          <w:rFonts w:ascii="Times New Roman" w:hAnsi="Times New Roman" w:eastAsia="宋体"/>
          <w:sz w:val="21"/>
        </w:rPr>
        <w:t>作者: Heng Wang, Yan Pan, Ting Ye, Yun Shao, Yaodi Pi, Lifeng Fu, Yazhuo Jiang, Ao Sun, Yang Li, Yichen Zhang, Wei Huang, Bingjie Xu</w:t>
        <w:br/>
      </w:r>
      <w:r>
        <w:rPr>
          <w:rFonts w:ascii="Times New Roman" w:hAnsi="Times New Roman" w:eastAsia="宋体"/>
          <w:sz w:val="21"/>
        </w:rPr>
        <w:t xml:space="preserve">时间: 2026-01-26 | </w:t>
      </w:r>
      <w:r>
        <w:t xml:space="preserve">链接: </w:t>
      </w:r>
      <w:hyperlink r:id="rId26">
        <w:r>
          <w:rPr>
            <w:rFonts w:ascii="Times New Roman" w:hAnsi="Times New Roman" w:eastAsia="宋体"/>
            <w:color w:val="0000FF"/>
            <w:sz w:val="21"/>
            <w:u w:val="single"/>
          </w:rPr>
          <w:t>https://doi.org/10.1364/ol.579333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我们使用一个收发器通过实验演示了一种高性能多协议连续可变量子密钥分发 (CV-QKD)。所演示的多协议CV-QKD系统可以基于正交频分复用（OFDM）技术，使用高斯、4QAM、16QAM、64QAM和1024QAM调制协议同时分配5个子载波。此外，5个子载波的调制方差和概率分布因子经过仔细优化，以最大化它们各自的SKR。此外，我们创新性地设计了有效的基于 OFDM 的 DSP 方案和精确的双级相位噪声补偿方案，以实现在 2 GHz 符号率下运行的每个子载波的低过量噪声。因此，多协议CV-QKD在单次传输中在50公里的典型传输距离上实现了48.79、7.58、23.67、32.93和36.78 Mbps的多个SKR。因此，我们的工作为实现高速量子安全通信的高效、可互操作、灵活和安全的 QKD 提供了实用的解决方案。</w:t>
      </w:r>
    </w:p>
    <w:p>
      <w:pPr>
        <w:spacing w:before="120"/>
      </w:pPr>
      <w:r>
        <w:rPr>
          <w:rFonts w:ascii="Times New Roman" w:hAnsi="Times New Roman" w:eastAsia="宋体"/>
          <w:b/>
          <w:sz w:val="21"/>
        </w:rPr>
        <w:t>English Abstract:</w:t>
      </w:r>
    </w:p>
    <w:p>
      <w:r>
        <w:rPr>
          <w:rFonts w:ascii="Times New Roman" w:hAnsi="Times New Roman" w:eastAsia="宋体"/>
          <w:sz w:val="21"/>
        </w:rPr>
        <w:t>We experimentally demonstrated a high-performance multi-protocol continuous-variable quantum key distribution (CV-QKD) using one transceiver. The demonstrated multi-protocol CV-QKD system can simultaneously distribute 5 subcarriers with Gaussian, 4QAM, 16QAM, 64QAM, and 1024QAM modulation protocols based on orthogonal-frequency-division-multiplexing (OFDM) technology. Moreover, the modulation variance and probability distribution factor of 5 subcarriers are carefully optimized to maximize their respective SKRs. Besides, we innovatively design an effective OFDM-based DSP scheme and a precise dual-stage phase noise compensation scheme to realize a low excess noise for each subcarrier operating at a 2 GHz symbol rate. Thus, the multi-protocol CV-QKD achieves multiple SKRs of 48.79, 7.58, 23.67, 32.93, and 36.78 Mbps over a typical transmission distance of 50 km within a single transmission. Therefore, our work provides a practical solution to achieve highly efficient, interoperable, flexible, and secure QKDs for high-speed quantum secure communication.</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Continuum</w:t>
      </w:r>
    </w:p>
    <w:p>
      <w:pPr>
        <w:jc w:val="center"/>
      </w:pPr>
      <w:r>
        <w:t>--- 更新: 00:28 ---</w:t>
      </w:r>
    </w:p>
    <w:p>
      <w:pPr>
        <w:pStyle w:val="Heading1"/>
      </w:pPr>
      <w:r>
        <w:rPr>
          <w:rFonts w:ascii="Times New Roman" w:hAnsi="Times New Roman" w:eastAsia="宋体"/>
          <w:b/>
          <w:color w:val="000000"/>
          <w:sz w:val="32"/>
        </w:rPr>
        <w:t>Photonics Research</w:t>
      </w:r>
    </w:p>
    <w:p>
      <w:pPr>
        <w:jc w:val="center"/>
      </w:pPr>
      <w:r>
        <w:t>--- 更新: 00:28 ---</w:t>
      </w:r>
    </w:p>
    <w:p>
      <w:pPr>
        <w:pStyle w:val="Heading2"/>
      </w:pPr>
      <w:r/>
      <w:r>
        <w:rPr>
          <w:rFonts w:ascii="Times New Roman" w:hAnsi="Times New Roman" w:eastAsia="宋体"/>
          <w:b/>
          <w:color w:val="000000"/>
          <w:sz w:val="24"/>
        </w:rPr>
        <w:t>直接观察 InGaN/GaN 量子阱局域态中的载流子动力学</w:t>
      </w:r>
    </w:p>
    <w:p>
      <w:r>
        <w:rPr>
          <w:rFonts w:ascii="Times New Roman" w:hAnsi="Times New Roman" w:eastAsia="宋体"/>
          <w:b/>
          <w:color w:val="003264"/>
          <w:sz w:val="24"/>
        </w:rPr>
        <w:t>Direct observation of carrier dynamics in the localization states of InGaN/GaN quantum wells</w:t>
      </w:r>
    </w:p>
    <w:p>
      <w:r>
        <w:rPr>
          <w:rFonts w:ascii="Times New Roman" w:hAnsi="Times New Roman" w:eastAsia="宋体"/>
          <w:sz w:val="21"/>
        </w:rPr>
        <w:t>作者: Xiangxin Xia, Gaoqiang Deng, Yusen Wang, Jingkai Zhao, Yuliang Liu, Qingyi Li, Helong Li, Yuantao Zhang, Huailiang Xu</w:t>
        <w:br/>
      </w:r>
      <w:r>
        <w:rPr>
          <w:rFonts w:ascii="Times New Roman" w:hAnsi="Times New Roman" w:eastAsia="宋体"/>
          <w:sz w:val="21"/>
        </w:rPr>
        <w:t xml:space="preserve">时间: 2025-12-24 | </w:t>
      </w:r>
      <w:r>
        <w:t xml:space="preserve">链接: </w:t>
      </w:r>
      <w:hyperlink r:id="rId27">
        <w:r>
          <w:rPr>
            <w:rFonts w:ascii="Times New Roman" w:hAnsi="Times New Roman" w:eastAsia="宋体"/>
            <w:color w:val="0000FF"/>
            <w:sz w:val="21"/>
            <w:u w:val="single"/>
          </w:rPr>
          <w:t>https://doi.org/10.1364/prj.574410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基于InGaN/GaN量子阱(QW)的发光器件给普通照明带来了一场持续的革命。该领域备受关注的讨论之一是，随着InGaN/GaN QW中铟含量的增加，效率急剧下降，这对InGaN基长波长光电器件提出了严峻的挑战。不幸的是，造成这种限制的因素仍不清楚。在这里，通过使用飞秒瞬态吸收光谱，我们研究了InGaN/GaN QW的载流子动力学，发现InGaN/GaN QW的发光效率与InGaN层中的局域态（LS），即点状富InGaN团簇密切相关。我们证明，铟含量的增加不仅可以降低LSs的势深度，削弱局域结合效应，增加电子被缺陷捕获的可能性，而且可以提高LSs的密度，增加复合通道，扩大发光光谱的半高宽。根据这些发现，我们提出了一个载流子动力学模型，以深入了解 InGaN/GaN QW 的发射机制，为实现高性能 InGaN 光电器件铺平了道路。</w:t>
      </w:r>
    </w:p>
    <w:p>
      <w:pPr>
        <w:spacing w:before="120"/>
      </w:pPr>
      <w:r>
        <w:rPr>
          <w:rFonts w:ascii="Times New Roman" w:hAnsi="Times New Roman" w:eastAsia="宋体"/>
          <w:b/>
          <w:sz w:val="21"/>
        </w:rPr>
        <w:t>English Abstract:</w:t>
      </w:r>
    </w:p>
    <w:p>
      <w:r>
        <w:rPr>
          <w:rFonts w:ascii="Times New Roman" w:hAnsi="Times New Roman" w:eastAsia="宋体"/>
          <w:sz w:val="21"/>
        </w:rPr>
        <w:t>Light-emission devices based on InGaN/GaN quantum well (QW) bring about an ongoing revolution in general lighting. One of the highly deliberated discussions in this field is the steep efficiency drop with the increasing indium content of InGaN/GaN QW, posing a critical challenge to InGaN-based long-wavelength optoelectronic devices. Unfortunately, the factors that underlie the limitation remain unclear. Here, by using femtosecond transient absorption spectroscopy, we investigate the carrier dynamics of InGaN/GaN QW and find that the luminescence efficiency of InGaN/GaN QW is closely related to the localization states (LSs), i.e., dot-like In-rich InGaN clusters, in the InGaN layer. We demonstrate that the increase in the indium content can not only decrease the potential depth of LSs to weaken the localization binding effect and enhance the possibility of electrons being trapped by defects, but also enhance the density of LSs to increase the recombination channels and enlarge the full width at half maximum of the luminescence spectra. With these findings, we propose a model of carrier dynamics to deeply understand the emission mechanisms of InGaN/GaN QW, paving a way towards realizing high-performance InGaN-based optoelectronic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栅极可调石墨烯太赫兹超表面中的无串扰双通道幅度相位控制</w:t>
      </w:r>
    </w:p>
    <w:p>
      <w:r>
        <w:rPr>
          <w:rFonts w:ascii="Times New Roman" w:hAnsi="Times New Roman" w:eastAsia="宋体"/>
          <w:b/>
          <w:color w:val="003264"/>
          <w:sz w:val="24"/>
        </w:rPr>
        <w:t>Crosstalk-free dual-channel amplitude-phase control in a gate tunable graphene THz metasurface</w:t>
      </w:r>
    </w:p>
    <w:p>
      <w:r>
        <w:rPr>
          <w:rFonts w:ascii="Times New Roman" w:hAnsi="Times New Roman" w:eastAsia="宋体"/>
          <w:sz w:val="21"/>
        </w:rPr>
        <w:t>作者: Min Zhang, Huiyun Zhang, Shuo Wang, Yuping Zhang</w:t>
        <w:br/>
      </w:r>
      <w:r>
        <w:rPr>
          <w:rFonts w:ascii="Times New Roman" w:hAnsi="Times New Roman" w:eastAsia="宋体"/>
          <w:sz w:val="21"/>
        </w:rPr>
        <w:t xml:space="preserve">时间: 2026-01-22 | </w:t>
      </w:r>
      <w:r>
        <w:t xml:space="preserve">链接: </w:t>
      </w:r>
      <w:hyperlink r:id="rId28">
        <w:r>
          <w:rPr>
            <w:rFonts w:ascii="Times New Roman" w:hAnsi="Times New Roman" w:eastAsia="宋体"/>
            <w:color w:val="0000FF"/>
            <w:sz w:val="21"/>
            <w:u w:val="single"/>
          </w:rPr>
          <w:t>https://doi.org/10.1364/prj.577829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基于石墨烯的太赫兹 (THz) 超表面为通信和安全光子学提供紧凑的电可调波前控制。然而，单个设备内幅度和相位的无串扰调谐仍然是一个主要挑战。在这里，我们报告了一种基于石墨烯的太赫兹超表面，该超表面由具有五重旋转对称性的晶胞（C 5 ）组成，可通过调节栅极电压来实现无串扰且独立的传输幅度和相位控制。 C 5 晶胞产生近乎各向同性的角谐波分布，赋予偏振不敏感性和广角稳定性。实验和模拟表明，在低栅极偏压下，超表面在共偏振通道中实现了25%的传输幅度调制，同时保持相位谱不变。同偏振和交叉偏振传输之间超过 40 dB 的消光比证实了其高偏振纯度。在交叉极化通道中，在多个频带上实现了超过 180 度的连续相移，同时保持超低传输幅度，这表明相位控制是门控可编程的，并且可以有效地与同极化通道幅度输出解耦。据我们所知，我们的研究结果为具有无串扰控制的电可编程超表面建立了一种新的设计范例，为光电调制和密钥分配通道的应用开辟了途径。</w:t>
      </w:r>
    </w:p>
    <w:p>
      <w:pPr>
        <w:spacing w:before="120"/>
      </w:pPr>
      <w:r>
        <w:rPr>
          <w:rFonts w:ascii="Times New Roman" w:hAnsi="Times New Roman" w:eastAsia="宋体"/>
          <w:b/>
          <w:sz w:val="21"/>
        </w:rPr>
        <w:t>English Abstract:</w:t>
      </w:r>
    </w:p>
    <w:p>
      <w:r>
        <w:rPr>
          <w:rFonts w:ascii="Times New Roman" w:hAnsi="Times New Roman" w:eastAsia="宋体"/>
          <w:sz w:val="21"/>
        </w:rPr>
        <w:t>Graphene-based terahertz (THz) metasurfaces offer compact, electrically tunable wavefront control for communications and secure photonics. Yet, crosstalk-free tuning of amplitude and phase within a single device has remained a central challenge. Here, we report a graphene-based THz metasurface composed of a unit cell with five-fold rotational symmetry ( C 5 ), enabling crosstalk-free and independent control of transmission amplitude and phase by tuning the gate voltage. The C 5 unit cell produces a nearly isotropic angular harmonic distribution, imparting polarization insensitivity and wide-angle stability. Experiments and simulations indicate that, under low gate bias, the metasurface achieves 25% modulation of transmission amplitude in the co-polarized channel while maintaining an unchanged phase spectrum. An extinction ratio exceeding 40 dB between co- and cross-polarized transmissions confirms its high polarization purity. In the cross-polarized channel, continuous phase shifts exceeding 180 deg are realized across multiple frequency bands while maintaining ultralow transmission amplitude, indicating that phase control is gate-programmable and effectively decoupled from the co-polarized channel amplitude output. To our knowledge, our results establish a new design paradigm for electrically programmable metasurfaces with crosstalk-free control, opening avenues for applications in optoelectronic modulation and key-distribution channels.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自支撑结构MEMS可调谐超表面热发射体的设计与制作方法</w:t>
      </w:r>
    </w:p>
    <w:p>
      <w:r>
        <w:rPr>
          <w:rFonts w:ascii="Times New Roman" w:hAnsi="Times New Roman" w:eastAsia="宋体"/>
          <w:b/>
          <w:color w:val="003264"/>
          <w:sz w:val="24"/>
        </w:rPr>
        <w:t>Design and fabrication method of the MEMS tunable metasurface thermal emitter with free-standing structures</w:t>
      </w:r>
    </w:p>
    <w:p>
      <w:r>
        <w:rPr>
          <w:rFonts w:ascii="Times New Roman" w:hAnsi="Times New Roman" w:eastAsia="宋体"/>
          <w:sz w:val="21"/>
        </w:rPr>
        <w:t>作者: Xiayu Wang, Fengjie Zhu, Qingsong Feng, Ziqi Mei, Rongbo Xie, Zhongjie Jiang, Chao Liang, Xiangyang Wei, Gaofei Zhang, Xiaoguang Zhao, Kebin Fan, Zheng You</w:t>
        <w:br/>
      </w:r>
      <w:r>
        <w:rPr>
          <w:rFonts w:ascii="Times New Roman" w:hAnsi="Times New Roman" w:eastAsia="宋体"/>
          <w:sz w:val="21"/>
        </w:rPr>
        <w:t xml:space="preserve">时间: 2025-12-24 | </w:t>
      </w:r>
      <w:r>
        <w:t xml:space="preserve">链接: </w:t>
      </w:r>
      <w:hyperlink r:id="rId29">
        <w:r>
          <w:rPr>
            <w:rFonts w:ascii="Times New Roman" w:hAnsi="Times New Roman" w:eastAsia="宋体"/>
            <w:color w:val="0000FF"/>
            <w:sz w:val="21"/>
            <w:u w:val="single"/>
          </w:rPr>
          <w:t>https://doi.org/10.1364/prj.574681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可调谐超表面的出现为动态红外操纵铺平了道路，并在推进生化传感和红外成像等应用中发挥了至关重要的作用。在本文中，我们通过将微机电系统（MEMS）可重构超表面与片上微加热器集成，提出了一种微机械可调谐窄带热发射器，具有宽调谐范围和高品质因数。由于超表面和法布里-珀罗腔的共振模式耦合，通过连续改变气隙的厚度，可以在2-14μm范围内调制发射峰。通过将独立式全金属超表面和硅基MEMS执行器相结合，提出了一种构建MEMS可重构超表面的通用方案，该方案可以消除衬底中的固有损耗和多重谐振，从而大幅提高光谱分辨率。该器件开发并实施了晶圆级 MEMS 微加工工艺，显示出大规模生产的潜力。我们进一步制造了小型化可调谐超表面热发射器，实现了覆盖长波长红外范围的调谐范围，并通过实验证明了热发射能力。我们的设计为实现高性能的实时热发射控制提供了实用有效的解决方案，在实现高度集成、低成本的动态红外元器件方面具有广阔的前景。</w:t>
      </w:r>
    </w:p>
    <w:p>
      <w:pPr>
        <w:spacing w:before="120"/>
      </w:pPr>
      <w:r>
        <w:rPr>
          <w:rFonts w:ascii="Times New Roman" w:hAnsi="Times New Roman" w:eastAsia="宋体"/>
          <w:b/>
          <w:sz w:val="21"/>
        </w:rPr>
        <w:t>English Abstract:</w:t>
      </w:r>
    </w:p>
    <w:p>
      <w:r>
        <w:rPr>
          <w:rFonts w:ascii="Times New Roman" w:hAnsi="Times New Roman" w:eastAsia="宋体"/>
          <w:sz w:val="21"/>
        </w:rPr>
        <w:t>The emergence of tunable metasurfaces has paved the way for dynamic infrared manipulation and played a crucial role in advancing applications such as biochemical sensing and infrared imaging. In this paper, we present a micromachined tunable narrowband thermal emitter with a wide tuning range and a high quality factor by integrating microelectromechanical system (MEMS) reconfigurable metasurfaces with on-chip micro-heaters. Due to the resonance mode coupling of the metasurface and Fabry–Perot cavity, the emission peak can be modulated from 2–14 μm by continuously altering the thickness of the air gap. A versatile scheme for constructing a MEMS reconfigurable metasurface is proposed by combining free-standing all-metallic metasurfaces and silicon-based MEMS actuators, which can eliminate the intrinsic losses and multiple resonances in substrates, substantially increasing the spectral resolutions. A wafer-scaled MEMS microfabrication process is developed and implemented for the devices, indicating a potential for mass production. We further fabricate miniaturized tunable metasurface thermal emitters, realizing a tuning range covering the long wavelength infrared range and experimentally demonstrating the thermal emission capability as well. Our design provides a practical and effective solution for realizing a real-time thermal emission control with high performance and has a promising prospect in achieving highly integrated, low-cost dynamic infrared meta-devices.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用于近眼显示的仿生能量分布可调多焦平面超透镜，具有增强的景深和分辨率</w:t>
      </w:r>
    </w:p>
    <w:p>
      <w:r>
        <w:rPr>
          <w:rFonts w:ascii="Times New Roman" w:hAnsi="Times New Roman" w:eastAsia="宋体"/>
          <w:b/>
          <w:color w:val="003264"/>
          <w:sz w:val="24"/>
        </w:rPr>
        <w:t>Bioinspired energy-distribution-adjustable multi-focal-plane metalens for near-eye display with enhanced depth-of-field and resolution</w:t>
      </w:r>
    </w:p>
    <w:p>
      <w:r>
        <w:rPr>
          <w:rFonts w:ascii="Times New Roman" w:hAnsi="Times New Roman" w:eastAsia="宋体"/>
          <w:sz w:val="21"/>
        </w:rPr>
        <w:t>作者: Yuyan Peng, Weiquan Yang, Zhenyou Zou, Jiawei Zhang, Chan Hee Suk, Xiongtu Zhou, Tailiang Guo, Yongai Zhang, Qun Yan, Chaoxing Wu, Tae Whan Kim</w:t>
        <w:br/>
      </w:r>
      <w:r>
        <w:rPr>
          <w:rFonts w:ascii="Times New Roman" w:hAnsi="Times New Roman" w:eastAsia="宋体"/>
          <w:sz w:val="21"/>
        </w:rPr>
        <w:t xml:space="preserve">时间: 2026-01-28 | </w:t>
      </w:r>
      <w:r>
        <w:t xml:space="preserve">链接: </w:t>
      </w:r>
      <w:hyperlink r:id="rId30">
        <w:r>
          <w:rPr>
            <w:rFonts w:ascii="Times New Roman" w:hAnsi="Times New Roman" w:eastAsia="宋体"/>
            <w:color w:val="0000FF"/>
            <w:sz w:val="21"/>
            <w:u w:val="single"/>
          </w:rPr>
          <w:t>https://doi.org/10.1364/prj.571242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由亚波长元原子组成的平面多焦平面超透镜（MFPM）通过提供立体视觉和紧凑的光学解决方案，在推进近眼显示方面具有巨大的潜力。然而，全景深度成像无疑浪费了资源。有针对性地增强给定 MFPM 焦点的能量可以增强景深 (DoF)，同时细化感兴趣深度的信息，从而实现最佳资源分配。受到跳蛛的多层视网膜和人眼的多点聚焦能力的启发，我们提出了一种可以通过人工智能设计的能量分布可调的MFPM（EDA-MFPM）。为了进行演示，通过电子束光刻技术制造了三个能量分布比为 0.5、1、2、最小尺寸为 52 nm 的 EDA-MFPM。所有EDA-MFPM的斯特列尔比均大于0.9，分辨率为181 lp/mm或更高，在目前的实验条件和图像融合方法下，DoF近似为传统超透镜的10倍。作为概念验证，通过调整能量分配比，开发了一种利用 EDA-MFPM 的可变焦距增强现实视觉系统，该系统具有两个通道，对感兴趣的物体表现出宽自由度和高细节分辨率。这些 EDA-MFPM 预计将通过优化能量分布来提高光利用率，从而促进近眼显示器的发展。</w:t>
      </w:r>
    </w:p>
    <w:p>
      <w:pPr>
        <w:spacing w:before="120"/>
      </w:pPr>
      <w:r>
        <w:rPr>
          <w:rFonts w:ascii="Times New Roman" w:hAnsi="Times New Roman" w:eastAsia="宋体"/>
          <w:b/>
          <w:sz w:val="21"/>
        </w:rPr>
        <w:t>English Abstract:</w:t>
      </w:r>
    </w:p>
    <w:p>
      <w:r>
        <w:rPr>
          <w:rFonts w:ascii="Times New Roman" w:hAnsi="Times New Roman" w:eastAsia="宋体"/>
          <w:sz w:val="21"/>
        </w:rPr>
        <w:t>The planar multi-focal-plane metalens (MFPM) consisting of subwavelength meta-atoms has immense potential for advancing near-eye displays by providing stereoscopic vision and compact optical solutions. However, panoramic deep imaging undoubtedly wastes resources. Strengthening the energy of a given MFPM’s focus in a targeted manner can enhance the depth-of-field (DoF) while refining information in the depth of interest, resulting in optimal resource allocation. Drawing inspiration from the multitiered retina of a jumping spider and the multi-point focusing capability of the human eye, we propose an energy-distribution-adjustable MFPM (EDA-MFPM) that can be designed by artificial intelligence. For demonstration, three EDA-MFPMs with energy distribution ratios of 0.5, 1, 2, and minimum size of 52 nm are fabricated by electron beam lithography. All EDA-MFPMs have a Strehl ratio greater than 0.9 and a resolution of 181 lp/mm or higher, and DoF is approximated to be 10 times that of a traditional metalens under the present experimental conditions and image-fusion method. As a proof of concept, a variable-focus augmented reality vision system utilizing the EDA-MFPMs, with two channels exhibiting a wide DoF and high-detail resolution for objects of interest is developed by adjusting the energy distribution ratios. These EDA-MFPMs are anticipated to promote the evolution of near-eye displays by enhancing light utilization through optimized energy distribution.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用于协同散射减少增强调制的智能超表面</w:t>
      </w:r>
    </w:p>
    <w:p>
      <w:r>
        <w:rPr>
          <w:rFonts w:ascii="Times New Roman" w:hAnsi="Times New Roman" w:eastAsia="宋体"/>
          <w:b/>
          <w:color w:val="003264"/>
          <w:sz w:val="24"/>
        </w:rPr>
        <w:t>Intelligent metasurface for synergistic scattering reduction-enhancement modulation</w:t>
      </w:r>
    </w:p>
    <w:p>
      <w:r>
        <w:rPr>
          <w:rFonts w:ascii="Times New Roman" w:hAnsi="Times New Roman" w:eastAsia="宋体"/>
          <w:sz w:val="21"/>
        </w:rPr>
        <w:t>作者: Weikang Xie, Zhaowang Cao, Yunfei Xia, Zishan Chen, Zhuo Cheng, Dayi Wan, Yulu Zhang, Ling Miao, Jianjun Jiang</w:t>
        <w:br/>
      </w:r>
      <w:r>
        <w:rPr>
          <w:rFonts w:ascii="Times New Roman" w:hAnsi="Times New Roman" w:eastAsia="宋体"/>
          <w:sz w:val="21"/>
        </w:rPr>
        <w:t xml:space="preserve">时间: 2026-01-28 | </w:t>
      </w:r>
      <w:r>
        <w:t xml:space="preserve">链接: </w:t>
      </w:r>
      <w:hyperlink r:id="rId31">
        <w:r>
          <w:rPr>
            <w:rFonts w:ascii="Times New Roman" w:hAnsi="Times New Roman" w:eastAsia="宋体"/>
            <w:color w:val="0000FF"/>
            <w:sz w:val="21"/>
            <w:u w:val="single"/>
          </w:rPr>
          <w:t>https://doi.org/10.1364/prj.571833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现代雷达探测威胁需要采取电磁欺骗和隐身等多种对策，同时保持高可追溯性有利于联盟协调。尽管许多研究都集中在电磁散射的增强或减少上，但结构的相互冲突的能量调制要求使得对这两种功能的集成控制的研究很少。这项研究引入了一种智能散射调制超表面（ISMM）来实现电磁散射的大动态范围调制，以增强和减少电磁散射。 ISMM 将散射增强单元 (EC) 和散射增强单元 (RC) 集成在单层中，以提高紧凑性并最大限度地减少串扰。通过平衡整体结构散射增强和减少要求来优化这些电池的性能和拓扑。 ISMM通过协调调节EC中的放大器增益和RC中的反射率，实现了S频段内+20dB至-20dB的准连续雷达截面（RCS）调制，实现了超隐身、融合伪装、动态欺骗和高可追溯性等功能。实验验证证实所制造的原型具有大动态范围电磁散射调制能力。利用ISMM独特的调制性能，提出了一种具有复杂伪装效果的协同干扰操作模式。据我们所知，这项工作为电磁伪装装置的发展铺平了一条前所未有的道路。</w:t>
      </w:r>
    </w:p>
    <w:p>
      <w:pPr>
        <w:spacing w:before="120"/>
      </w:pPr>
      <w:r>
        <w:rPr>
          <w:rFonts w:ascii="Times New Roman" w:hAnsi="Times New Roman" w:eastAsia="宋体"/>
          <w:b/>
          <w:sz w:val="21"/>
        </w:rPr>
        <w:t>English Abstract:</w:t>
      </w:r>
    </w:p>
    <w:p>
      <w:r>
        <w:rPr>
          <w:rFonts w:ascii="Times New Roman" w:hAnsi="Times New Roman" w:eastAsia="宋体"/>
          <w:sz w:val="21"/>
        </w:rPr>
        <w:t>Modern radar detection threats necessitate diverse countermeasures such as electromagnetic deception and stealth, while maintaining high traceability facilitates alliance coordination. Although numerous studies have focused on electromagnetic scattering enhancement or reduction, the conflicting energy modulation requirements of structures have rendered research on the integrated control of both functionalities scarce. This investigation introduces an intelligent scattering modulation metasurface (ISMM) to realize large dynamic range modulation of electromagnetic scattering for both enhancement and reduction. The ISMM integrates scattering enhancing cells (ECs) and reducing cells (RCs) in a single layer to improve compactness and minimize crosstalk. The performance and topology of these cells are optimized by balancing overall structural scattering enhancement and reduction requirements. By coordinately regulating the amplifier gain in ECs and the reflectivity in RCs, ISMM enables a quasi-continuous radar cross-section (RCS) modulation from +20 dB to -20 dB within the S-band, realizing functionalities including ultra-stealth, fusion camouflage, dynamic deception, and high traceability. Experimental validation confirms that the fabricated prototype exhibits large dynamic range electromagnetic scattering modulation capability. Leveraging ISMM’s unique modulation performance, a collaborative jamming operation mode with complex camouflage effects is proposed. This work paves, to our knowledge, an unprecedented pathway for the development of electromagnetic camouflage devices.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Vis. Comput. Graph</w:t>
      </w:r>
    </w:p>
    <w:p>
      <w:pPr>
        <w:jc w:val="center"/>
      </w:pPr>
      <w:r>
        <w:t>--- 更新: 00:28 ---</w:t>
      </w:r>
    </w:p>
    <w:p>
      <w:pPr>
        <w:pStyle w:val="Heading2"/>
      </w:pPr>
      <w:r/>
      <w:r>
        <w:rPr>
          <w:rFonts w:ascii="Times New Roman" w:hAnsi="Times New Roman" w:eastAsia="宋体"/>
          <w:b/>
          <w:color w:val="000000"/>
          <w:sz w:val="24"/>
        </w:rPr>
        <w:t>使用张量统一线性比较分析进行可视化分析</w:t>
      </w:r>
    </w:p>
    <w:p>
      <w:r>
        <w:rPr>
          <w:rFonts w:ascii="Times New Roman" w:hAnsi="Times New Roman" w:eastAsia="宋体"/>
          <w:b/>
          <w:color w:val="003264"/>
          <w:sz w:val="24"/>
        </w:rPr>
        <w:t>Visual Analytics Using Tensor Unified Linear Comparative Analysis</w:t>
      </w:r>
    </w:p>
    <w:p>
      <w:r>
        <w:rPr>
          <w:rFonts w:ascii="Times New Roman" w:hAnsi="Times New Roman" w:eastAsia="宋体"/>
          <w:sz w:val="21"/>
        </w:rPr>
        <w:t>作者: Naoki Okami, Kazuki Miyake, Naohisa Sakamoto, Jorji Nonaka, Takanori Fujiwara</w:t>
        <w:br/>
      </w:r>
      <w:r>
        <w:rPr>
          <w:rFonts w:ascii="Times New Roman" w:hAnsi="Times New Roman" w:eastAsia="宋体"/>
          <w:sz w:val="21"/>
        </w:rPr>
        <w:t xml:space="preserve">时间: 2026 | </w:t>
      </w:r>
      <w:r>
        <w:t xml:space="preserve">链接: </w:t>
      </w:r>
      <w:hyperlink r:id="rId32">
        <w:r>
          <w:rPr>
            <w:rFonts w:ascii="Times New Roman" w:hAnsi="Times New Roman" w:eastAsia="宋体"/>
            <w:color w:val="0000FF"/>
            <w:sz w:val="21"/>
            <w:u w:val="single"/>
          </w:rPr>
          <w:t>https://doi.org/10.1109/tvcg.2025.3633912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比较张量并识别它们（不）相似的结构对于理解复杂数据的潜在现象至关重要。张量分解方法可以帮助分析人员提取张量的基本特征，并有助于张量的可视化分析。与仅用于分析矩阵（即二阶张量）的降维（DR）方法相比，现有的张量分解方法不支持灵活的比较分析。为了解决这一分析限制，我们引入了一种新的张量分解方法，称为张量统一线性比较分析（TULCA），通过扩展其 DR 对应物 ULCA 来进行张量分析。 TULCA 集成了判别分析和对比学习方案来进行张量分解，从而实现张量的灵活比较。我们还介绍了一种有效的方法，将从 TULCA 中提取的核心张量可视化为一组 2D 可视化。我们将 TULCA 的功能集成到可视化分析界面中，以支持分析师解释和完善 TULCA 结果。我们通过计算评估和两个案例研究（包括对从超级计算机收集的日志数据的分析）展示了 TULCA 和可视化分析界面的功效。</w:t>
      </w:r>
    </w:p>
    <w:p>
      <w:pPr>
        <w:spacing w:before="120"/>
      </w:pPr>
      <w:r>
        <w:rPr>
          <w:rFonts w:ascii="Times New Roman" w:hAnsi="Times New Roman" w:eastAsia="宋体"/>
          <w:b/>
          <w:sz w:val="21"/>
        </w:rPr>
        <w:t>English Abstract:</w:t>
      </w:r>
    </w:p>
    <w:p>
      <w:r>
        <w:rPr>
          <w:rFonts w:ascii="Times New Roman" w:hAnsi="Times New Roman" w:eastAsia="宋体"/>
          <w:sz w:val="21"/>
        </w:rPr>
        <w:t>Comparing tensors and identifying their (dis)similar structures is fundamental in understanding the underlying phenomena for complex data. Tensor decomposition methods help analysts extract tensors' essential characteristics and aid in visual analytics for tensors. In contrast to dimensionality reduction (DR) methods designed only for analyzing a matrix (i.e., second-order tensor), existing tensor decomposition methods do not support flexible comparative analysis. To address this analysis limitation, we introduce a new tensor decomposition method, named tensor unified linear comparative analysis (TULCA), by extending its DR counterpart, ULCA, for tensor analysis. TULCA integrates discriminant analysis and contrastive learning schemes for tensor decomposition, enabling f lexible comparison of tensors. We also introduce an effective method to visualize a core tensor extracted from TULCA into a set of 2D visualizations. We integrate TULCA's functionalities into a visual analytics interface to support analysts in interpreting and refining the TULCA results. We demonstrate the efficacy of TULCA and the visual analytics interface with computational evaluations and two case studies, including an analysis of log data collected from a supercomputer.</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Image Processing</w:t>
      </w:r>
    </w:p>
    <w:p>
      <w:pPr>
        <w:jc w:val="center"/>
      </w:pPr>
      <w:r>
        <w:t>--- 更新: 00:28 ---</w:t>
      </w:r>
    </w:p>
    <w:p>
      <w:pPr>
        <w:pStyle w:val="Heading2"/>
      </w:pPr>
      <w:r/>
      <w:r>
        <w:rPr>
          <w:rFonts w:ascii="Times New Roman" w:hAnsi="Times New Roman" w:eastAsia="宋体"/>
          <w:b/>
          <w:color w:val="000000"/>
          <w:sz w:val="24"/>
        </w:rPr>
        <w:t>从解开到融合：实现多模态图像融合的内容保存和跨模态一致性</w:t>
      </w:r>
    </w:p>
    <w:p>
      <w:r>
        <w:rPr>
          <w:rFonts w:ascii="Times New Roman" w:hAnsi="Times New Roman" w:eastAsia="宋体"/>
          <w:b/>
          <w:color w:val="003264"/>
          <w:sz w:val="24"/>
        </w:rPr>
        <w:t>Disentangle to Fuse: Towards Content Preservation and Cross-Modality Consistency for Multi-Modality Image Fusion</w:t>
      </w:r>
    </w:p>
    <w:p>
      <w:r>
        <w:rPr>
          <w:rFonts w:ascii="Times New Roman" w:hAnsi="Times New Roman" w:eastAsia="宋体"/>
          <w:sz w:val="21"/>
        </w:rPr>
        <w:t>作者: Xinran Qin, Yuning Cui, Shangquan Sun, Ruoyu Chen, Wenqi Ren, Alois Knoll, Xiaochun Cao</w:t>
        <w:br/>
      </w:r>
      <w:r>
        <w:rPr>
          <w:rFonts w:ascii="Times New Roman" w:hAnsi="Times New Roman" w:eastAsia="宋体"/>
          <w:sz w:val="21"/>
        </w:rPr>
        <w:t xml:space="preserve">时间: 2026 | </w:t>
      </w:r>
      <w:r>
        <w:t xml:space="preserve">链接: </w:t>
      </w:r>
      <w:hyperlink r:id="rId33">
        <w:r>
          <w:rPr>
            <w:rFonts w:ascii="Times New Roman" w:hAnsi="Times New Roman" w:eastAsia="宋体"/>
            <w:color w:val="0000FF"/>
            <w:sz w:val="21"/>
            <w:u w:val="single"/>
          </w:rPr>
          <w:t>https://doi.org/10.1109/tip.2026.3657183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多模态图像融合（MMIF）旨在集成来自异构传感器模态的互补信息。然而，大量的跨模态差异阻碍了联合场景表示并导致融合输出的语义退化。为了解决这一限制，我们提出了 C 2 MFuse，这是一种新颖的框架，旨在保留内容，同时确保跨模态一致性。据我们所知，这是第一个明确地解开图像融合模式的风格和内容表示的 MMIF 方法。 C 2 MFuse 引入了内容保留样式规范化机制，可抑制特定于模态的变化，同时保持底层场景结构。然后逐步聚合标准化特征，以增强细粒度细节并提高内容完整性。鉴于缺乏基本事实和融合分布固有的模糊性，我们进一步将融合表示与明确定义的源模态对齐，从而增强语义一致性并减少分布不确定性。此外，我们引入了具有可学习转换的自适应一致性损失，它通过在异构输入之间强制执行全局一致性来提供动态的、模态感知的监督。对三个代表性 MMIF 任务的五个数据集进行的广泛实验表明，C 2 MFuse 实现了高效、高质量的融合，超越了现有方法，并有效地推广到下游视觉应用。</w:t>
      </w:r>
    </w:p>
    <w:p>
      <w:pPr>
        <w:spacing w:before="120"/>
      </w:pPr>
      <w:r>
        <w:rPr>
          <w:rFonts w:ascii="Times New Roman" w:hAnsi="Times New Roman" w:eastAsia="宋体"/>
          <w:b/>
          <w:sz w:val="21"/>
        </w:rPr>
        <w:t>English Abstract:</w:t>
      </w:r>
    </w:p>
    <w:p>
      <w:r>
        <w:rPr>
          <w:rFonts w:ascii="Times New Roman" w:hAnsi="Times New Roman" w:eastAsia="宋体"/>
          <w:sz w:val="21"/>
        </w:rPr>
        <w:t>Multi-modal image fusion (MMIF) aims to integrate complementary information from heterogeneous sensor modalities. However, substantial cross-modality discrepancies hinder joint scene representation and lead to semantic degradation in the fused output. To address this limitation, we propose C 2 MFuse, a novel framework designed to preserve content while ensuring cross-modality consistency. To the best of our knowledge, this is the first MMIF approach to explicitly disentangle style and content representations across modalities for image fusion. C 2 MFuse introduces a content-preserving style normalization mechanism that suppresses modality-specific variations while maintaining the underlying scene structure. The normalized features are then progressively aggregated to enhance fine-grained details and improve content completeness. In light of the lack of ground truth and the inherent ambiguity of the fused distribution, we further align the fused representation with a well-defined source modality, thereby enhancing semantic consistency and reducing distributional uncertainty. Additionally, we introduce an adaptive consistency loss with learnable transformation, which provides dynamic, modality-aware supervision by enforcing global consistency across heterogeneous inputs. Extensive experiments on five datasets across three representative MMIF tasks demonstrate that C 2 MFuse achieves efficient and high-quality fusion, surpasses existing methods, and generalizes effectively to downstream visual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用于高效神经模型的 Padé 神经元</w:t>
      </w:r>
    </w:p>
    <w:p>
      <w:r>
        <w:rPr>
          <w:rFonts w:ascii="Times New Roman" w:hAnsi="Times New Roman" w:eastAsia="宋体"/>
          <w:b/>
          <w:color w:val="003264"/>
          <w:sz w:val="24"/>
        </w:rPr>
        <w:t>Padé Neurons for Efficient Neural Models</w:t>
      </w:r>
    </w:p>
    <w:p>
      <w:r>
        <w:rPr>
          <w:rFonts w:ascii="Times New Roman" w:hAnsi="Times New Roman" w:eastAsia="宋体"/>
          <w:sz w:val="21"/>
        </w:rPr>
        <w:t>作者: Onur Keleş, A. Murat Tekalp</w:t>
        <w:br/>
      </w:r>
      <w:r>
        <w:rPr>
          <w:rFonts w:ascii="Times New Roman" w:hAnsi="Times New Roman" w:eastAsia="宋体"/>
          <w:sz w:val="21"/>
        </w:rPr>
        <w:t xml:space="preserve">时间: 2026 | </w:t>
      </w:r>
      <w:r>
        <w:t xml:space="preserve">链接: </w:t>
      </w:r>
      <w:hyperlink r:id="rId34">
        <w:r>
          <w:rPr>
            <w:rFonts w:ascii="Times New Roman" w:hAnsi="Times New Roman" w:eastAsia="宋体"/>
            <w:color w:val="0000FF"/>
            <w:sz w:val="21"/>
            <w:u w:val="single"/>
          </w:rPr>
          <w:t>https://doi.org/10.1109/tip.2026.3653202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神经网络通常采用 McCulloch-Pitts 神经元模型，这是一个线性模型，后跟逐点非线性激活。许多研究人员已经提出了固有的非线性神经元模型，例如二次神经元、广义运算神经元、生成神经元和超级神经元，与逐点激活函数相比，它们提供了更强的非线性。在本文中，我们介绍了一种新颖且更好的非线性神经元模型，称为 Padé 神经元（Paons），其灵感来自 Padé 近似。 Paons 具有多种优势，例如非线性多样性（因为每个 Paon 都会学习其输入的不同非线性函数）和层效率（因为与分段线性逼近相比，Paons 在更少的层中提供更强的非线性）。此外，Paons 包括所有先前提出的神经元模型作为特例，因此任何网络中的任何神经元模型都可以被 Paons 替换。我们注意到有人建议采用 Padé 近似作为广义的逐点激活函数，这与我们的模型有根本的不同。为了验证 Paons 的功效，在我们的实验中，我们将一些著名的基于 ResNet 架构的神经图像超分辨率、压缩和分类模型中的经典神经元替换为 Paons 。我们全面的实验结果和分析表明，Paons 构建的神经模型比层数较少的经典模型提供更好或相同的性能。 Paon 的 PyTorch 实现代码在 https://github.com/onur-keles/Paon 上开源。</w:t>
      </w:r>
    </w:p>
    <w:p>
      <w:pPr>
        <w:spacing w:before="120"/>
      </w:pPr>
      <w:r>
        <w:rPr>
          <w:rFonts w:ascii="Times New Roman" w:hAnsi="Times New Roman" w:eastAsia="宋体"/>
          <w:b/>
          <w:sz w:val="21"/>
        </w:rPr>
        <w:t>English Abstract:</w:t>
      </w:r>
    </w:p>
    <w:p>
      <w:r>
        <w:rPr>
          <w:rFonts w:ascii="Times New Roman" w:hAnsi="Times New Roman" w:eastAsia="宋体"/>
          <w:sz w:val="21"/>
        </w:rPr>
        <w:t>Neural networks commonly employ the McCulloch-Pitts neuron model, which is a linear model followed by a point-wise non-linear activation. Various researchers have already advanced inherently non-linear neuron models, such as quadratic neurons, generalized operational neurons, generative neurons, and super neurons, which offer stronger non-linearity compared to point-wise activation functions. In this paper, we introduce a novel and better non-linear neuron model called Padé neurons (Paons) , inspired by Padé approximants. Paons offer several advantages, such as diversity of non-linearity, since each Paon learns a different non-linear function of its inputs, and layer efficiency, since Paons provide stronger non-linearity in much fewer layers compared to piecewise linear approximation. Furthermore, Paons include all previously proposed neuron models as special cases, thus any neuron model in any network can be replaced by Paons . We note that there has been a proposal to employ the Padé approximation as a generalized point-wise activation function, which is fundamentally different from our model. To validate the efficacy of Paons , in our experiments, we replace classic neurons in some well-known neural image super-resolution, compression, and classification models based on the ResNet architecture with Paons . Our comprehensive experimental results and analyses demonstrate that neural models built by Paons provide better or equal performance than their classic counterparts with a smaller number of layers. The PyTorch implementation code for Paon is open-sourced at https://github.com/onur-keles/Paon.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CycleDiff：用于不成对图像到图像转换的循环扩散模型</w:t>
      </w:r>
    </w:p>
    <w:p>
      <w:r>
        <w:rPr>
          <w:rFonts w:ascii="Times New Roman" w:hAnsi="Times New Roman" w:eastAsia="宋体"/>
          <w:b/>
          <w:color w:val="003264"/>
          <w:sz w:val="24"/>
        </w:rPr>
        <w:t>CycleDiff: Cycle Diffusion Models for Unpaired Image-to-image Translation</w:t>
      </w:r>
    </w:p>
    <w:p>
      <w:r>
        <w:rPr>
          <w:rFonts w:ascii="Times New Roman" w:hAnsi="Times New Roman" w:eastAsia="宋体"/>
          <w:sz w:val="21"/>
        </w:rPr>
        <w:t>作者: Shilong Zou, Yuhang Huang, Renjiao Yi, Chenyang Zhu, Kai Xu</w:t>
        <w:br/>
      </w:r>
      <w:r>
        <w:rPr>
          <w:rFonts w:ascii="Times New Roman" w:hAnsi="Times New Roman" w:eastAsia="宋体"/>
          <w:sz w:val="21"/>
        </w:rPr>
        <w:t xml:space="preserve">时间: 2026 | </w:t>
      </w:r>
      <w:r>
        <w:t xml:space="preserve">链接: </w:t>
      </w:r>
      <w:hyperlink r:id="rId35">
        <w:r>
          <w:rPr>
            <w:rFonts w:ascii="Times New Roman" w:hAnsi="Times New Roman" w:eastAsia="宋体"/>
            <w:color w:val="0000FF"/>
            <w:sz w:val="21"/>
            <w:u w:val="single"/>
          </w:rPr>
          <w:t>https://doi.org/10.1109/tip.2026.3657240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我们在缺乏配对训练数据的情况下引入了基于扩散的跨域图像转换器。与基于 GAN 的方法不同，我们的方法集成了扩散模型来学习图像翻译过程，从而可以对数据分布进行更可覆盖的建模，并提高跨域翻译的性能。然而，将平移过程合并到扩散过程中仍然具有挑战性，因为这两个过程并不完全一致，即扩散过程应用于噪声信号，而平移过程则对干净信号进行。因此，最近基于扩散的研究采用单独训练或浅层集成来学习这两个过程，但这可能会导致平移优化的局部最小化，从而限制了扩散模型的有效性。为了解决这个问题，我们提出了一种新颖的联合学习框架，该框架可以协调扩散和翻译过程，从而提高全局最优性。具体来说，我们建议用扩散模型提取图像分量来表示干净的信号，并对图像分量采用翻译过程，从而实现端到端的联合学习方式。另一方面，我们引入了时间相关的翻译网络来学习复杂的翻译映射，从而实现有效的翻译学习和显着的性能提升。受益于联合学习的设计，我们的方法能够对两个过程进行全局优化，增强最优性并实现更高的保真度和结构一致性。我们对 RGB↔RGB 和各种跨模态翻译任务（包括 RGB↔Edge、RGB↔Semantics 和 RGB↔Depth）进行了广泛的实验，展示了比现有技术更好的生成性能。特别是，我们的方法在广泛采用的任务中取得了最好的 FID 分数，并且在 Dog→Cat 和 Dog→Wild 上的 FID 分别提高了 19.61 和 19.67，优于第二好的方法。</w:t>
      </w:r>
    </w:p>
    <w:p>
      <w:pPr>
        <w:spacing w:before="120"/>
      </w:pPr>
      <w:r>
        <w:rPr>
          <w:rFonts w:ascii="Times New Roman" w:hAnsi="Times New Roman" w:eastAsia="宋体"/>
          <w:b/>
          <w:sz w:val="21"/>
        </w:rPr>
        <w:t>English Abstract:</w:t>
      </w:r>
    </w:p>
    <w:p>
      <w:r>
        <w:rPr>
          <w:rFonts w:ascii="Times New Roman" w:hAnsi="Times New Roman" w:eastAsia="宋体"/>
          <w:sz w:val="21"/>
        </w:rPr>
        <w:t>We introduce a diffusion-based cross-domain image translator in the absence of paired training data. Unlike GAN-based methods, our approach integrates diffusion models to learn the image translation process, allowing for more coverable modeling of the data distribution and performance improvement of the cross-domain translation. However, incorporating the translation process within the diffusion process is still challenging since the two processes are not aligned exactly, i.e., the diffusion process is applied to the noisy signal while the translation process is conducted on the clean signal. As a result, recent diffusion-based studies employ separate training or shallow integration to learn the two processes, yet this may cause the local minimal of the translation optimization, constraining the effectiveness of diffusion models. To address the problem, we propose a novel joint learning framework that aligns the diffusion and the translation process, thereby improving the global optimality. Specifically, we propose to extract the image components with diffusion models to represent the clean signal and employ the translation process with the image components, enabling an end-to- end joint learning manner. On the other hand, we introduce a time-dependent translation network to learn the complex translation mapping, resulting in effective translation learning and significant performance improvement. Benefiting from the design of joint learning, our method enables global optimization of both processes, enhancing the optimality and achieving improved fidelity and structural consistency. We have conducted extensive experiments on RGB↔RGB and diverse cross-modality translation tasks including RGB↔Edge, RGB↔Semantics and RGB↔Depth, showcasing better generative performances than the state of the arts. Especially, our method achieves the best FID score in widely-adopted tasks and outperforms the second-best method with an improved FID of 19.61 and 19.67 on Dog→Cat and Dog→Wild respectively.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Pattern Anal. Mach. Intell.</w:t>
      </w:r>
    </w:p>
    <w:p>
      <w:pPr>
        <w:jc w:val="center"/>
      </w:pPr>
      <w:r>
        <w:t>--- 更新: 00:28 ---</w:t>
      </w:r>
    </w:p>
    <w:p>
      <w:pPr>
        <w:pStyle w:val="Heading2"/>
      </w:pPr>
      <w:r/>
      <w:r>
        <w:rPr>
          <w:rFonts w:ascii="Times New Roman" w:hAnsi="Times New Roman" w:eastAsia="宋体"/>
          <w:b/>
          <w:color w:val="000000"/>
          <w:sz w:val="24"/>
        </w:rPr>
        <w:t>RealLiFe：通过分层稀疏梯度下降进行实时光场重建</w:t>
      </w:r>
    </w:p>
    <w:p>
      <w:r>
        <w:rPr>
          <w:rFonts w:ascii="Times New Roman" w:hAnsi="Times New Roman" w:eastAsia="宋体"/>
          <w:b/>
          <w:color w:val="003264"/>
          <w:sz w:val="24"/>
        </w:rPr>
        <w:t>RealLiFe: Real-Time Light Field Reconstruction via Hierarchical Sparse Gradient Descent</w:t>
      </w:r>
    </w:p>
    <w:p>
      <w:r>
        <w:rPr>
          <w:rFonts w:ascii="Times New Roman" w:hAnsi="Times New Roman" w:eastAsia="宋体"/>
          <w:sz w:val="21"/>
        </w:rPr>
        <w:t>作者: Yijie Deng, Lei Han, Tianpeng Lin, Lin Li, Jinzhi Zhang, Lu Fang</w:t>
        <w:br/>
      </w:r>
      <w:r>
        <w:rPr>
          <w:rFonts w:ascii="Times New Roman" w:hAnsi="Times New Roman" w:eastAsia="宋体"/>
          <w:sz w:val="21"/>
        </w:rPr>
        <w:t xml:space="preserve">时间: 2026 | </w:t>
      </w:r>
      <w:r>
        <w:t xml:space="preserve">链接: </w:t>
      </w:r>
      <w:hyperlink r:id="rId36">
        <w:r>
          <w:rPr>
            <w:rFonts w:ascii="Times New Roman" w:hAnsi="Times New Roman" w:eastAsia="宋体"/>
            <w:color w:val="0000FF"/>
            <w:sz w:val="21"/>
            <w:u w:val="single"/>
          </w:rPr>
          <w:t>https://doi.org/10.1109/tpami.2026.3651958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随着扩展现实 (XR) 技术的兴起，对稀疏视图输入的实时光场重建的需求日益增长。现有的方法可以分为离线技术和在线方法，离线技术可以生成高质量的新颖视图，但代价是较长的推理/训练时间，而在线方法则缺乏通用性或产生不令人满意的结果。然而，我们观察到，多平面图像（MPI）固有的稀疏流形能够显着加速光场重建，同时保持渲染质量。基于这一见解，我们引入了 RealLiFe，一种新颖的光场优化方法，该方法利用所提出的分层稀疏梯度下降（HSGD）从稀疏输入图像实时产生高质量的光场。从技术上讲，场景的粗略 MPI 首先使用 3D CNN 生成，然后在几次迭代中仅利用与稀疏 MPI 梯度对齐的场景内容进行进一步优化。大量实验表明，与其他在线方法相比，我们的方法实现了可比的视觉质量，同时平均速度比最先进的离线方法快 100 倍，并且提供更好的性能（PSNR 高出约 2 dB）。</w:t>
      </w:r>
    </w:p>
    <w:p>
      <w:pPr>
        <w:spacing w:before="120"/>
      </w:pPr>
      <w:r>
        <w:rPr>
          <w:rFonts w:ascii="Times New Roman" w:hAnsi="Times New Roman" w:eastAsia="宋体"/>
          <w:b/>
          <w:sz w:val="21"/>
        </w:rPr>
        <w:t>English Abstract:</w:t>
      </w:r>
    </w:p>
    <w:p>
      <w:r>
        <w:rPr>
          <w:rFonts w:ascii="Times New Roman" w:hAnsi="Times New Roman" w:eastAsia="宋体"/>
          <w:sz w:val="21"/>
        </w:rPr>
        <w:t>With the rise of Extended Reality (XR) technology, there is a growing need for real-time light field reconstruction from sparse view inputs. Existing methods can be classified into offline techniques, which can generate high-quality novel views but at the cost of long inference/training time, and online methods, which either lack generalizability or produce unsatisfactory results. However, we have observed that the intrinsic sparse manifold of Multi-plane Images (MPI) enables a significant acceleration of light field reconstruction while maintaining rendering quality. Based on this insight, we introduce RealLiFe , a novel light field optimization method, which leverages the proposed Hierarchical Sparse Gradient Descent (HSGD) to produce high-quality light fields from sparse input images in real time. Technically, the coarse MPI of a scene is first generated using a 3D CNN, and it is further optimized leveraging only the scene content aligned sparse MPI gradients in a few iterations. Extensive experiments demonstrate that our method achieves comparable visual quality while being 100x faster on average than state-of-the-art offline methods and delivers better performance (about 2 dB higher in PSNR) compared to other online approaches.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表格数据的表示学习：综合调查</w:t>
      </w:r>
    </w:p>
    <w:p>
      <w:r>
        <w:rPr>
          <w:rFonts w:ascii="Times New Roman" w:hAnsi="Times New Roman" w:eastAsia="宋体"/>
          <w:b/>
          <w:color w:val="003264"/>
          <w:sz w:val="24"/>
        </w:rPr>
        <w:t>Representation Learning for Tabular Data: A Comprehensive Survey</w:t>
      </w:r>
    </w:p>
    <w:p>
      <w:r>
        <w:rPr>
          <w:rFonts w:ascii="Times New Roman" w:hAnsi="Times New Roman" w:eastAsia="宋体"/>
          <w:sz w:val="21"/>
        </w:rPr>
        <w:t>作者: Jun-Peng Jiang, Si-Yang Liu, Hao-Run Cai, Qi-Le Zhou, Han-Jia Ye</w:t>
        <w:br/>
      </w:r>
      <w:r>
        <w:rPr>
          <w:rFonts w:ascii="Times New Roman" w:hAnsi="Times New Roman" w:eastAsia="宋体"/>
          <w:sz w:val="21"/>
        </w:rPr>
        <w:t xml:space="preserve">时间: 2026 | </w:t>
      </w:r>
      <w:r>
        <w:t xml:space="preserve">链接: </w:t>
      </w:r>
      <w:hyperlink r:id="rId37">
        <w:r>
          <w:rPr>
            <w:rFonts w:ascii="Times New Roman" w:hAnsi="Times New Roman" w:eastAsia="宋体"/>
            <w:color w:val="0000FF"/>
            <w:sz w:val="21"/>
            <w:u w:val="single"/>
          </w:rPr>
          <w:t>https://doi.org/10.1109/tpami.2026.3657217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表格数据由行和列构成，是机器学习分类和回归应用中最流行的数据类型之一。从表格数据中学习的模型不断发展，深度神经网络 (DNN) 最近通过其表示学习能力展示了有希望的结果。在本次调查中，我们系统地介绍了表格表示学习领域，涵盖背景、挑战和基准，以及使用 DNN 的优点和缺点。我们根据现有方法的泛化能力将其分为三大类：专用模型、可转移模型和通用模型。专业模型专注于在同一数据分布中进行训练和评估的任务。我们根据表格数据的关键方面（特征、样本和目标）引入了专门模型的分层分类法，并深入研究了获得高质量特征和样本级别表示的详细策略。可迁移模型在一个或多个数据集上进行预训练，随后对下游任务进行微调，利用从同质或异构来源甚至跨模态（例如视觉和语言）获取的知识。通用模型，也称为表格基础模型，进一步扩展了这一概念，允许直接应用于下游任务，而无需额外的微调。我们根据用于适应异构数据集的策略对这些通用模型进行分组。此外，我们还探索了集成方法，它集成了多个表格模型的优点。最后，我们讨论表格学习的代表性扩展，包括开放环境表格机器学习、表格数据的多模态学习和表格理解任务。更多信息可以在以下存储库中找到：https://github.com/LAMDA-Tabular/Tabular-Survey。</w:t>
      </w:r>
    </w:p>
    <w:p>
      <w:pPr>
        <w:spacing w:before="120"/>
      </w:pPr>
      <w:r>
        <w:rPr>
          <w:rFonts w:ascii="Times New Roman" w:hAnsi="Times New Roman" w:eastAsia="宋体"/>
          <w:b/>
          <w:sz w:val="21"/>
        </w:rPr>
        <w:t>English Abstract:</w:t>
      </w:r>
    </w:p>
    <w:p>
      <w:r>
        <w:rPr>
          <w:rFonts w:ascii="Times New Roman" w:hAnsi="Times New Roman" w:eastAsia="宋体"/>
          <w:sz w:val="21"/>
        </w:rPr>
        <w:t>Tabular data, structured as rows and columns, is among the most prevalent data types in machine learning classification and regression applications. Models for learning from tabular data have continuously evolved, with Deep Neural Networks (DNNs) recently demonstrating promising results through their capability of representation learning. In this survey, we systematically introduce the field of tabular representation learning, covering the background, challenges, and benchmarks, along with the pros and cons of using DNNs. We organize existing methods into three main categories according to their generalization capabilities: specialized, transferable, and general models. Specialized models focus on tasks where training and evaluation occur within the same data distribution. We introduce a hierarchical taxonomy for specialized models based on the key aspects of tabular data—features, samples, and objectives—and delve into detailed strategies for obtaining high-quality feature- and sample-level representations. Transferable models are pre-trained on one or more datasets and subsequently fine-tuned on downstream tasks, leveraging knowledge acquired from homogeneous or heterogeneous sources, or even cross-modalities such as vision and language. General models, also known as tabular foundation models, extend this concept further, allowing direct application to downstream tasks without additional fine-tuning. We group these general models based on the strategies used to adapt across heterogeneous datasets. Additionally, we explore ensemble methods, which integrate the strengths of multiple tabular models. Finally, we discuss representative extensions of tabular learning, including open-environment tabular machine learning, multimodal learning with tabular data, and tabular understanding tasks. More information can be found in the following repository: https://github.com/LAMDA-Tabular/Tabular-Survey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NAP-Tuning：对抗性鲁棒视觉语言模型的神经增强提示调整</w:t>
      </w:r>
    </w:p>
    <w:p>
      <w:r>
        <w:rPr>
          <w:rFonts w:ascii="Times New Roman" w:hAnsi="Times New Roman" w:eastAsia="宋体"/>
          <w:b/>
          <w:color w:val="003264"/>
          <w:sz w:val="24"/>
        </w:rPr>
        <w:t>NAP-Tuning: Neural Augmented Prompt Tuning for Adversarially Robust Vision-Language Models</w:t>
      </w:r>
    </w:p>
    <w:p>
      <w:r>
        <w:rPr>
          <w:rFonts w:ascii="Times New Roman" w:hAnsi="Times New Roman" w:eastAsia="宋体"/>
          <w:sz w:val="21"/>
        </w:rPr>
        <w:t>作者: Jiaming Zhang, Xin Wang, Xingjun Ma, Lingyu Qiu, Yu-Gang Jiang, Jitao Sang</w:t>
        <w:br/>
      </w:r>
      <w:r>
        <w:rPr>
          <w:rFonts w:ascii="Times New Roman" w:hAnsi="Times New Roman" w:eastAsia="宋体"/>
          <w:sz w:val="21"/>
        </w:rPr>
        <w:t xml:space="preserve">时间: 2026 | </w:t>
      </w:r>
      <w:r>
        <w:t xml:space="preserve">链接: </w:t>
      </w:r>
      <w:hyperlink r:id="rId38">
        <w:r>
          <w:rPr>
            <w:rFonts w:ascii="Times New Roman" w:hAnsi="Times New Roman" w:eastAsia="宋体"/>
            <w:color w:val="0000FF"/>
            <w:sz w:val="21"/>
            <w:u w:val="single"/>
          </w:rPr>
          <w:t>https://doi.org/10.1109/tpami.2026.3659598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CLIP 等视觉语言模型 (VLM) 在通过联合嵌入空间理解视觉和文本数据之间的关系方面表现出了卓越的能力。尽管它们很有效，但这些模型仍然容易受到对抗性攻击，特别是在图像模式中，从而带来重大的安全问题。基于我们之前关于对抗性提示调整 (AdvPT) 的工作，该工作引入了可学习的文本提示来增强 VLM 中的对抗性鲁棒性，而无需进行大量的参数训练，我们通过引入用于多模式对抗性提示调整 (NAP-Tuning) 的神经增强器框架来提供重要的扩展。作为一个重要的延伸，NAP-Tuning首先建立了一个全面的多模态（文本和视觉）、多层提示框架。该框架的核心是通过我们的神经增强器方法实现用于特征级纯化的有针对性的结构增强。该框架通过结合 TokenRefiners（轻量级神经模块，学习通过残差连接重建纯化的特征）来实现特征纯化，以直接解决特征空间中的扭曲问题。这种结构干预使得多模态和多层系统能够有效地执行特定于模态和特定于层的特征校正。综合实验表明，NAP-Tuning 在各种数据集和攻击类型上明显优于现有方法。值得注意的是，我们的方法在具有挑战性的 AutoAttack 基准测试下比最强基线有了显着改进，在 ViT-B16 上比它们高出 32.3%，在 ViT-B32 架构上比它们高出 31.3%，同时保持有竞争力的干净精度。这项工作强调了内部特征级干预在快速调整对抗性鲁棒性方面的有效性，超越输入侧对齐方法，创建一种自适应防御机制，可以识别和纠正嵌入空间中的对抗性扰动。</w:t>
      </w:r>
    </w:p>
    <w:p>
      <w:pPr>
        <w:spacing w:before="120"/>
      </w:pPr>
      <w:r>
        <w:rPr>
          <w:rFonts w:ascii="Times New Roman" w:hAnsi="Times New Roman" w:eastAsia="宋体"/>
          <w:b/>
          <w:sz w:val="21"/>
        </w:rPr>
        <w:t>English Abstract:</w:t>
      </w:r>
    </w:p>
    <w:p>
      <w:r>
        <w:rPr>
          <w:rFonts w:ascii="Times New Roman" w:hAnsi="Times New Roman" w:eastAsia="宋体"/>
          <w:sz w:val="21"/>
        </w:rPr>
        <w:t>Vision-Language Models (VLMs) such as CLIP have demonstrated remarkable capabilities in understanding relationships between visual and textual data through joint embedding spaces. Despite their effectiveness, these models remain vulnerable to adversarial attacks, particularly in the image modality, posing significant security concerns. Building upon our previous work on Adversarial Prompt Tuning (AdvPT), which introduced learnable text prompts to enhance adversarial robustness in VLMs without extensive parameter training, we present a significant extension by introducing the Neural Augmentor framework for Multi-modal Adversarial Prompt Tuning ( NAP-Tuning ). As a significant extension, NAP-Tuning first establishes a comprehensive multi-modal (text and visual) and multi-layer prompting framework. The core of this framework is a targeted structural augmentation for feature-level purification, implemented through our Neural Augmentor approach. This framework implements feature purification by incorporating TokenRefiners-lightweight neural modules that learn to reconstruct purified features via residual connections-to directly address distortions in the feature space. This structural intervention is what enables the multi-modal and multi-layer system to effectively perform modality-specific and layer-specific feature rectification. Comprehensive experiments demonstrate that NAP-Tuning significantly outperforms existing methods across various datasets and attack types. Notably, our approach shows significant improvements over the strongest baselines under the challenging AutoAttack benchmark, outperforming them by 32.3% on ViT-B16 and 31.3% on ViT-B32 architectures while maintaining competitive clean accuracy. This work highlights the efficacy of internal feature-level intervention in prompt tuning for adversarial robustness, moving beyond input-side alignment approaches to create an adaptive defense mechanism that can identify and rectify adversarial perturbations across embedding spaces.</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16/j.optlastec.2026.114845" TargetMode="External"/><Relationship Id="rId11" Type="http://schemas.openxmlformats.org/officeDocument/2006/relationships/hyperlink" Target="https://doi.org/10.1016/j.optlastec.2026.114839" TargetMode="External"/><Relationship Id="rId12" Type="http://schemas.openxmlformats.org/officeDocument/2006/relationships/hyperlink" Target="https://doi.org/10.1016/j.optlastec.2026.114840" TargetMode="External"/><Relationship Id="rId13" Type="http://schemas.openxmlformats.org/officeDocument/2006/relationships/hyperlink" Target="https://doi.org/10.1016/j.optlaseng.2025.109581" TargetMode="External"/><Relationship Id="rId14" Type="http://schemas.openxmlformats.org/officeDocument/2006/relationships/hyperlink" Target="https://doi.org/10.1016/j.optlaseng.2026.109664" TargetMode="External"/><Relationship Id="rId15" Type="http://schemas.openxmlformats.org/officeDocument/2006/relationships/hyperlink" Target="https://doi.org/10.1016/j.optlaseng.2026.109635" TargetMode="External"/><Relationship Id="rId16" Type="http://schemas.openxmlformats.org/officeDocument/2006/relationships/hyperlink" Target="https://doi.org/10.1016/j.optcom.2026.132976" TargetMode="External"/><Relationship Id="rId17" Type="http://schemas.openxmlformats.org/officeDocument/2006/relationships/hyperlink" Target="https://doi.org/10.1016/j.optcom.2026.132961" TargetMode="External"/><Relationship Id="rId18" Type="http://schemas.openxmlformats.org/officeDocument/2006/relationships/hyperlink" Target="https://doi.org/10.1016/j.optcom.2026.132972" TargetMode="External"/><Relationship Id="rId19" Type="http://schemas.openxmlformats.org/officeDocument/2006/relationships/hyperlink" Target="https://doi.org/10.1364/ol.583825" TargetMode="External"/><Relationship Id="rId20" Type="http://schemas.openxmlformats.org/officeDocument/2006/relationships/hyperlink" Target="https://doi.org/10.1364/ol.581863" TargetMode="External"/><Relationship Id="rId21" Type="http://schemas.openxmlformats.org/officeDocument/2006/relationships/hyperlink" Target="https://doi.org/10.1364/ol.585707" TargetMode="External"/><Relationship Id="rId22" Type="http://schemas.openxmlformats.org/officeDocument/2006/relationships/hyperlink" Target="https://doi.org/10.1364/ol.581474" TargetMode="External"/><Relationship Id="rId23" Type="http://schemas.openxmlformats.org/officeDocument/2006/relationships/hyperlink" Target="https://doi.org/10.1364/ol.585441" TargetMode="External"/><Relationship Id="rId24" Type="http://schemas.openxmlformats.org/officeDocument/2006/relationships/hyperlink" Target="https://doi.org/10.1364/ol.583339" TargetMode="External"/><Relationship Id="rId25" Type="http://schemas.openxmlformats.org/officeDocument/2006/relationships/hyperlink" Target="https://doi.org/10.1364/ol.589579" TargetMode="External"/><Relationship Id="rId26" Type="http://schemas.openxmlformats.org/officeDocument/2006/relationships/hyperlink" Target="https://doi.org/10.1364/ol.579333" TargetMode="External"/><Relationship Id="rId27" Type="http://schemas.openxmlformats.org/officeDocument/2006/relationships/hyperlink" Target="https://doi.org/10.1364/prj.574410" TargetMode="External"/><Relationship Id="rId28" Type="http://schemas.openxmlformats.org/officeDocument/2006/relationships/hyperlink" Target="https://doi.org/10.1364/prj.577829" TargetMode="External"/><Relationship Id="rId29" Type="http://schemas.openxmlformats.org/officeDocument/2006/relationships/hyperlink" Target="https://doi.org/10.1364/prj.574681" TargetMode="External"/><Relationship Id="rId30" Type="http://schemas.openxmlformats.org/officeDocument/2006/relationships/hyperlink" Target="https://doi.org/10.1364/prj.571242" TargetMode="External"/><Relationship Id="rId31" Type="http://schemas.openxmlformats.org/officeDocument/2006/relationships/hyperlink" Target="https://doi.org/10.1364/prj.571833" TargetMode="External"/><Relationship Id="rId32" Type="http://schemas.openxmlformats.org/officeDocument/2006/relationships/hyperlink" Target="https://doi.org/10.1109/tvcg.2025.3633912" TargetMode="External"/><Relationship Id="rId33" Type="http://schemas.openxmlformats.org/officeDocument/2006/relationships/hyperlink" Target="https://doi.org/10.1109/tip.2026.3657183" TargetMode="External"/><Relationship Id="rId34" Type="http://schemas.openxmlformats.org/officeDocument/2006/relationships/hyperlink" Target="https://doi.org/10.1109/tip.2026.3653202" TargetMode="External"/><Relationship Id="rId35" Type="http://schemas.openxmlformats.org/officeDocument/2006/relationships/hyperlink" Target="https://doi.org/10.1109/tip.2026.3657240" TargetMode="External"/><Relationship Id="rId36" Type="http://schemas.openxmlformats.org/officeDocument/2006/relationships/hyperlink" Target="https://doi.org/10.1109/tpami.2026.3651958" TargetMode="External"/><Relationship Id="rId37" Type="http://schemas.openxmlformats.org/officeDocument/2006/relationships/hyperlink" Target="https://doi.org/10.1109/tpami.2026.3657217" TargetMode="External"/><Relationship Id="rId38" Type="http://schemas.openxmlformats.org/officeDocument/2006/relationships/hyperlink" Target="https://doi.org/10.1109/tpami.2026.3659598" TargetMode="External"/><Relationship Id="rId39" Type="http://schemas.openxmlformats.org/officeDocument/2006/relationships/hyperlink" Target="https://doi.org/10.1016/j.optlastec.2026.114847" TargetMode="External"/><Relationship Id="rId40" Type="http://schemas.openxmlformats.org/officeDocument/2006/relationships/hyperlink" Target="https://doi.org/10.1016/j.optcom.2026.132978" TargetMode="External"/><Relationship Id="rId41" Type="http://schemas.openxmlformats.org/officeDocument/2006/relationships/hyperlink" Target="https://doi.org/10.1016/j.optcom.2026.132973" TargetMode="External"/><Relationship Id="rId42" Type="http://schemas.openxmlformats.org/officeDocument/2006/relationships/hyperlink" Target="https://doi.org/10.1016/j.optcom.2026.132980" TargetMode="External"/><Relationship Id="rId43" Type="http://schemas.openxmlformats.org/officeDocument/2006/relationships/hyperlink" Target="https://doi.org/10.1016/j.optlastec.2026.114836" TargetMode="External"/><Relationship Id="rId44" Type="http://schemas.openxmlformats.org/officeDocument/2006/relationships/hyperlink" Target="https://doi.org/10.1016/j.optlastec.2026.114844" TargetMode="External"/><Relationship Id="rId45" Type="http://schemas.openxmlformats.org/officeDocument/2006/relationships/hyperlink" Target="https://doi.org/10.1016/j.optlaseng.2026.109667" TargetMode="External"/><Relationship Id="rId46" Type="http://schemas.openxmlformats.org/officeDocument/2006/relationships/hyperlink" Target="https://doi.org/10.1016/j.optlaseng.2026.109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