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Scholar 推送</w:t>
      </w:r>
    </w:p>
    <w:p>
      <w:pPr>
        <w:jc w:val="center"/>
      </w:pPr>
      <w:r>
        <w:t>日期: 20260131 | 总数: 46 | 更新: 2026-01-31 08:16:11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1. 通过隐式字段的潜在流匹配来学习缝纫图案</w:t>
      </w:r>
    </w:p>
    <w:p>
      <w:r>
        <w:rPr>
          <w:rFonts w:ascii="Times New Roman" w:hAnsi="Times New Roman" w:eastAsia="宋体"/>
          <w:i/>
          <w:color w:val="505050"/>
          <w:sz w:val="21"/>
        </w:rPr>
        <w:t>Learning Sewing Patterns via Latent Flow Matching of Implicit Fields</w:t>
      </w:r>
    </w:p>
    <w:p>
      <w:r>
        <w:t xml:space="preserve">链接: </w:t>
      </w:r>
      <w:hyperlink r:id="rId9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https://arxiv.org/pdf/2601.17740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2. 线性正则变形汉克尔变换领域的广义平移和卷积算子及其应用</w:t>
      </w:r>
    </w:p>
    <w:p>
      <w:r>
        <w:rPr>
          <w:rFonts w:ascii="Times New Roman" w:hAnsi="Times New Roman" w:eastAsia="宋体"/>
          <w:i/>
          <w:color w:val="505050"/>
          <w:sz w:val="21"/>
        </w:rPr>
        <w:t>Generalized translation and convolution operators in the realm of linear canonical deformed Hankel transform with applications</w:t>
      </w:r>
    </w:p>
    <w:p>
      <w:r>
        <w:t xml:space="preserve">链接: </w:t>
      </w:r>
      <w:hyperlink r:id="rId10">
        <w:r>
          <w:rPr>
            <w:rFonts w:ascii="Times New Roman" w:hAnsi="Times New Roman" w:eastAsia="宋体"/>
            <w:color w:val="0000FF"/>
            <w:sz w:val="20"/>
            <w:u w:val="single"/>
          </w:rPr>
          <w:t>https://cubo.ufro.cl/index.php/cubo/article/view/4230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3. 四模部分相干光相干矩阵的片上控制：秩、熵和模态斯托克斯参数</w:t>
      </w:r>
    </w:p>
    <w:p>
      <w:r>
        <w:rPr>
          <w:rFonts w:ascii="Times New Roman" w:hAnsi="Times New Roman" w:eastAsia="宋体"/>
          <w:i/>
          <w:color w:val="505050"/>
          <w:sz w:val="21"/>
        </w:rPr>
        <w:t>On-chip control of the coherence matrix of four-mode partially coherent light: rank, entropy, and modal Stokes parameters</w:t>
      </w:r>
    </w:p>
    <w:p>
      <w:r>
        <w:t xml:space="preserve">链接: </w:t>
      </w:r>
      <w:hyperlink r:id="rId11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https://arxiv.org/pdf/2601.18797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4. 通过光学压缩编码和全光衍射解码进行单像素图像分类</w:t>
      </w:r>
    </w:p>
    <w:p>
      <w:r>
        <w:rPr>
          <w:rFonts w:ascii="Times New Roman" w:hAnsi="Times New Roman" w:eastAsia="宋体"/>
          <w:i/>
          <w:color w:val="505050"/>
          <w:sz w:val="21"/>
        </w:rPr>
        <w:t>Single-pixel image classification via optical compression encoding and all-optical diffraction decoding</w:t>
      </w:r>
    </w:p>
    <w:p>
      <w:r>
        <w:t xml:space="preserve">链接: </w:t>
      </w:r>
      <w:hyperlink r:id="rId12">
        <w:r>
          <w:rPr>
            <w:rFonts w:ascii="Times New Roman" w:hAnsi="Times New Roman" w:eastAsia="宋体"/>
            <w:color w:val="0000FF"/>
            <w:sz w:val="20"/>
            <w:u w:val="single"/>
          </w:rPr>
          <w:t>https://opg.optica.org/oe/fulltext.cfm?uri=oe-34-2-2008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5. 基于隐式神经表示的连续单图像超分辨率：实证研究</w:t>
      </w:r>
    </w:p>
    <w:p>
      <w:r>
        <w:rPr>
          <w:rFonts w:ascii="Times New Roman" w:hAnsi="Times New Roman" w:eastAsia="宋体"/>
          <w:i/>
          <w:color w:val="505050"/>
          <w:sz w:val="21"/>
        </w:rPr>
        <w:t>Implicit Neural Representation-Based Continuous Single Image Super Resolution: An Empirical Study</w:t>
      </w:r>
    </w:p>
    <w:p>
      <w:r>
        <w:t xml:space="preserve">链接: </w:t>
      </w:r>
      <w:hyperlink r:id="rId13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https://arxiv.org/pdf/2601.17723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6. 逆问题的集成卡尔曼滤波器的新视角：对偶性、非渐近分析和收敛加速</w:t>
      </w:r>
    </w:p>
    <w:p>
      <w:r>
        <w:rPr>
          <w:rFonts w:ascii="Times New Roman" w:hAnsi="Times New Roman" w:eastAsia="宋体"/>
          <w:i/>
          <w:color w:val="505050"/>
          <w:sz w:val="21"/>
        </w:rPr>
        <w:t>A New Look at the Ensemble Kalman Filter for Inverse Problems: Duality, Non-Asymptotic Analysis and Convergence Acceleration</w:t>
      </w:r>
    </w:p>
    <w:p>
      <w:r>
        <w:t xml:space="preserve">链接: </w:t>
      </w:r>
      <w:hyperlink r:id="rId14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https://arxiv.org/pdf/2601.17305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7. 具有生成先验的贝叶斯反问题的误差分析</w:t>
      </w:r>
    </w:p>
    <w:p>
      <w:r>
        <w:rPr>
          <w:rFonts w:ascii="Times New Roman" w:hAnsi="Times New Roman" w:eastAsia="宋体"/>
          <w:i/>
          <w:color w:val="505050"/>
          <w:sz w:val="21"/>
        </w:rPr>
        <w:t>Error Analysis of Bayesian Inverse Problems with Generative Priors</w:t>
      </w:r>
    </w:p>
    <w:p>
      <w:r>
        <w:t xml:space="preserve">链接: </w:t>
      </w:r>
      <w:hyperlink r:id="rId15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https://arxiv.org/pdf/2601.17374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8. 矢量光束的腔增强型偏振无关频率转换</w:t>
      </w:r>
    </w:p>
    <w:p>
      <w:r>
        <w:rPr>
          <w:rFonts w:ascii="Times New Roman" w:hAnsi="Times New Roman" w:eastAsia="宋体"/>
          <w:i/>
          <w:color w:val="505050"/>
          <w:sz w:val="21"/>
        </w:rPr>
        <w:t>Cavity-enhanced polarization-independent frequency conversion for vector beams</w:t>
      </w:r>
    </w:p>
    <w:p>
      <w:r>
        <w:t xml:space="preserve">链接: </w:t>
      </w:r>
      <w:hyperlink r:id="rId16">
        <w:r>
          <w:rPr>
            <w:rFonts w:ascii="Times New Roman" w:hAnsi="Times New Roman" w:eastAsia="宋体"/>
            <w:color w:val="0000FF"/>
            <w:sz w:val="20"/>
            <w:u w:val="single"/>
          </w:rPr>
          <w:t>https://opg.optica.org/abstract.cfm?uri=ol-51-3-668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9. 用于 3D 人体运动预测的语义信念状态世界模型</w:t>
      </w:r>
    </w:p>
    <w:p>
      <w:r>
        <w:rPr>
          <w:rFonts w:ascii="Times New Roman" w:hAnsi="Times New Roman" w:eastAsia="宋体"/>
          <w:i/>
          <w:color w:val="505050"/>
          <w:sz w:val="21"/>
        </w:rPr>
        <w:t>Semantic Belief-State World Model for 3D Human Motion Prediction</w:t>
      </w:r>
    </w:p>
    <w:p>
      <w:r>
        <w:t xml:space="preserve">链接: </w:t>
      </w:r>
      <w:hyperlink r:id="rId17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https://arxiv.org/pdf/2601.03517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10. 用于腿式机器人状态估计的基于注意力的神经增强卡尔曼滤波器</w:t>
      </w:r>
    </w:p>
    <w:p>
      <w:r>
        <w:rPr>
          <w:rFonts w:ascii="Times New Roman" w:hAnsi="Times New Roman" w:eastAsia="宋体"/>
          <w:i/>
          <w:color w:val="505050"/>
          <w:sz w:val="21"/>
        </w:rPr>
        <w:t>Attention-Based Neural-Augmented Kalman Filter for Legged Robot State Estimation</w:t>
      </w:r>
    </w:p>
    <w:p>
      <w:r>
        <w:t xml:space="preserve">链接: </w:t>
      </w:r>
      <w:hyperlink r:id="rId18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https://arxiv.org/pdf/2601.18569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11. 对交通动态、人为因素和自动驾驶通用化的敏感性进行建模</w:t>
      </w:r>
    </w:p>
    <w:p>
      <w:r>
        <w:rPr>
          <w:rFonts w:ascii="Times New Roman" w:hAnsi="Times New Roman" w:eastAsia="宋体"/>
          <w:i/>
          <w:color w:val="505050"/>
          <w:sz w:val="21"/>
        </w:rPr>
        <w:t>MODELING TRAFFIC DYNAMICS, HUMAN FACTORS, AND SENSITIVITY FOR GENERALIZATION IN AUTONOMOUS DRIVING</w:t>
      </w:r>
    </w:p>
    <w:p>
      <w:r>
        <w:t xml:space="preserve">链接: </w:t>
      </w:r>
      <w:hyperlink r:id="rId19">
        <w:r>
          <w:rPr>
            <w:rFonts w:ascii="Times New Roman" w:hAnsi="Times New Roman" w:eastAsia="宋体"/>
            <w:color w:val="0000FF"/>
            <w:sz w:val="20"/>
            <w:u w:val="single"/>
          </w:rPr>
          <w:t>https://drum.lib.umd.edu/bitstreams/76cbe291-1a18-4c9b-895b-390d76184d6a/download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12. PPISP：辐射场重建中光度变化的物理合理补偿和控制</w:t>
      </w:r>
    </w:p>
    <w:p>
      <w:r>
        <w:rPr>
          <w:rFonts w:ascii="Times New Roman" w:hAnsi="Times New Roman" w:eastAsia="宋体"/>
          <w:i/>
          <w:color w:val="505050"/>
          <w:sz w:val="21"/>
        </w:rPr>
        <w:t>PPISP: Physically-Plausible Compensation and Control of Photometric Variations in Radiance Field Reconstruction</w:t>
      </w:r>
    </w:p>
    <w:p>
      <w:r>
        <w:t xml:space="preserve">链接: </w:t>
      </w:r>
      <w:hyperlink r:id="rId20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https://arxiv.org/pdf/2601.18336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13. 神经网络逼近：多面体分解的观点</w:t>
      </w:r>
    </w:p>
    <w:p>
      <w:r>
        <w:rPr>
          <w:rFonts w:ascii="Times New Roman" w:hAnsi="Times New Roman" w:eastAsia="宋体"/>
          <w:i/>
          <w:color w:val="505050"/>
          <w:sz w:val="21"/>
        </w:rPr>
        <w:t>Neural Network Approximation: A View from Polytope Decomposition</w:t>
      </w:r>
    </w:p>
    <w:p>
      <w:r>
        <w:t xml:space="preserve">链接: </w:t>
      </w:r>
      <w:hyperlink r:id="rId21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https://arxiv.org/pdf/2601.18264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14. 它会零样本吗？：它会零样本吗？：预测任意查询的零样本分类性能</w:t>
      </w:r>
    </w:p>
    <w:p>
      <w:r>
        <w:rPr>
          <w:rFonts w:ascii="Times New Roman" w:hAnsi="Times New Roman" w:eastAsia="宋体"/>
          <w:i/>
          <w:color w:val="505050"/>
          <w:sz w:val="21"/>
        </w:rPr>
        <w:t>Will It Zero-Shot?: Will It Zero-Shot?: Predicting Zero-Shot Classification Performance For Arbitrary Queries</w:t>
      </w:r>
    </w:p>
    <w:p>
      <w:r>
        <w:t xml:space="preserve">链接: </w:t>
      </w:r>
      <w:hyperlink r:id="rId22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https://arxiv.org/pdf/2601.17535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15. ViTCoP：通过视觉和文本语义协作修剪加速大型视觉语言模型</w:t>
      </w:r>
    </w:p>
    <w:p>
      <w:r>
        <w:rPr>
          <w:rFonts w:ascii="Times New Roman" w:hAnsi="Times New Roman" w:eastAsia="宋体"/>
          <w:i/>
          <w:color w:val="505050"/>
          <w:sz w:val="21"/>
        </w:rPr>
        <w:t>ViTCoP: Accelerating Large Vision-Language Models via Visual and Textual Semantic Collaborative Pruning</w:t>
      </w:r>
    </w:p>
    <w:p>
      <w:r>
        <w:t xml:space="preserve">链接: </w:t>
      </w:r>
      <w:hyperlink r:id="rId23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https://arxiv.org/pdf/2601.17818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16. 微调语言模型中敏感信息的无意记忆</w:t>
      </w:r>
    </w:p>
    <w:p>
      <w:r>
        <w:rPr>
          <w:rFonts w:ascii="Times New Roman" w:hAnsi="Times New Roman" w:eastAsia="宋体"/>
          <w:i/>
          <w:color w:val="505050"/>
          <w:sz w:val="21"/>
        </w:rPr>
        <w:t>Unintended Memorization of Sensitive Information in Fine-Tuned Language Models</w:t>
      </w:r>
    </w:p>
    <w:p>
      <w:r>
        <w:t xml:space="preserve">链接: </w:t>
      </w:r>
      <w:hyperlink r:id="rId24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https://arxiv.org/pdf/2601.17480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17. LAMB：基于 LLM 的音频字幕，通过 Cauchy-Schwarz 散度实现模态间隙桥接</w:t>
      </w:r>
    </w:p>
    <w:p>
      <w:r>
        <w:rPr>
          <w:rFonts w:ascii="Times New Roman" w:hAnsi="Times New Roman" w:eastAsia="宋体"/>
          <w:i/>
          <w:color w:val="505050"/>
          <w:sz w:val="21"/>
        </w:rPr>
        <w:t>LAMB: LLM-based Audio Captioning with Modality Gap Bridging via Cauchy-Schwarz Divergence</w:t>
      </w:r>
    </w:p>
    <w:p>
      <w:r>
        <w:t xml:space="preserve">链接: </w:t>
      </w:r>
      <w:hyperlink r:id="rId25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https://arxiv.org/pdf/2601.04658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18. REV-INR：用于不确定性感知体积可视化的正则化证据隐式神经表示</w:t>
      </w:r>
    </w:p>
    <w:p>
      <w:r>
        <w:rPr>
          <w:rFonts w:ascii="Times New Roman" w:hAnsi="Times New Roman" w:eastAsia="宋体"/>
          <w:i/>
          <w:color w:val="505050"/>
          <w:sz w:val="21"/>
        </w:rPr>
        <w:t>REV-INR: Regularized Evidential Implicit Neural Representation for Uncertainty-Aware Volume Visualization</w:t>
      </w:r>
    </w:p>
    <w:p>
      <w:r>
        <w:t xml:space="preserve">链接: </w:t>
      </w:r>
      <w:hyperlink r:id="rId26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https://arxiv.org/pdf/2601.17689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19. PocketGS：用于高感知建模的 3D 高斯泼溅的设备上训练</w:t>
      </w:r>
    </w:p>
    <w:p>
      <w:r>
        <w:rPr>
          <w:rFonts w:ascii="Times New Roman" w:hAnsi="Times New Roman" w:eastAsia="宋体"/>
          <w:i/>
          <w:color w:val="505050"/>
          <w:sz w:val="21"/>
        </w:rPr>
        <w:t>PocketGS: On-Device Training of 3D Gaussian Splatting for High Perceptual Modeling</w:t>
      </w:r>
    </w:p>
    <w:p>
      <w:r>
        <w:t xml:space="preserve">链接: </w:t>
      </w:r>
      <w:hyperlink r:id="rId27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https://arxiv.org/pdf/2601.17354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20. Splat-Portrait：用高斯泼溅概括说话的头像</w:t>
      </w:r>
    </w:p>
    <w:p>
      <w:r>
        <w:rPr>
          <w:rFonts w:ascii="Times New Roman" w:hAnsi="Times New Roman" w:eastAsia="宋体"/>
          <w:i/>
          <w:color w:val="505050"/>
          <w:sz w:val="21"/>
        </w:rPr>
        <w:t>Splat-Portrait: Generalizing Talking Heads with Gaussian Splatting</w:t>
      </w:r>
    </w:p>
    <w:p>
      <w:r>
        <w:t xml:space="preserve">链接: </w:t>
      </w:r>
      <w:hyperlink r:id="rId28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https://arxiv.org/pdf/2601.18633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21. 自精炼视频采样</w:t>
      </w:r>
    </w:p>
    <w:p>
      <w:r>
        <w:rPr>
          <w:rFonts w:ascii="Times New Roman" w:hAnsi="Times New Roman" w:eastAsia="宋体"/>
          <w:i/>
          <w:color w:val="505050"/>
          <w:sz w:val="21"/>
        </w:rPr>
        <w:t>Self-Refining Video Sampling</w:t>
      </w:r>
    </w:p>
    <w:p>
      <w:r>
        <w:t xml:space="preserve">链接: </w:t>
      </w:r>
      <w:hyperlink r:id="rId29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https://arxiv.org/pdf/2601.18577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22. 使用平方 2-Wasserstein 距离进行基于超像素的图像分割</w:t>
      </w:r>
    </w:p>
    <w:p>
      <w:r>
        <w:rPr>
          <w:rFonts w:ascii="Times New Roman" w:hAnsi="Times New Roman" w:eastAsia="宋体"/>
          <w:i/>
          <w:color w:val="505050"/>
          <w:sz w:val="21"/>
        </w:rPr>
        <w:t>Superpixel-Based Image Segmentation Using Squared 2-Wasserstein Distances</w:t>
      </w:r>
    </w:p>
    <w:p>
      <w:r>
        <w:t xml:space="preserve">链接: </w:t>
      </w:r>
      <w:hyperlink r:id="rId30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https://arxiv.org/pdf/2601.17071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23. 具有圆形编码环目标的非重叠视场相机阵列的灵活校准</w:t>
      </w:r>
    </w:p>
    <w:p>
      <w:r>
        <w:rPr>
          <w:rFonts w:ascii="Times New Roman" w:hAnsi="Times New Roman" w:eastAsia="宋体"/>
          <w:i/>
          <w:color w:val="505050"/>
          <w:sz w:val="21"/>
        </w:rPr>
        <w:t>Flexible calibration for nonoverlapping field-of-view camera array with circular coded ring target</w:t>
      </w:r>
    </w:p>
    <w:p>
      <w:r>
        <w:t xml:space="preserve">链接: </w:t>
      </w:r>
      <w:hyperlink r:id="rId31">
        <w:r>
          <w:rPr>
            <w:rFonts w:ascii="Times New Roman" w:hAnsi="Times New Roman" w:eastAsia="宋体"/>
            <w:color w:val="0000FF"/>
            <w:sz w:val="20"/>
            <w:u w:val="single"/>
          </w:rPr>
          <w:t>https://link.springer.com/article/10.1007/s40436-025-00584-7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24. 使用克尔激活的二维硅光子晶体的前馈神经网络</w:t>
      </w:r>
    </w:p>
    <w:p>
      <w:r>
        <w:rPr>
          <w:rFonts w:ascii="Times New Roman" w:hAnsi="Times New Roman" w:eastAsia="宋体"/>
          <w:i/>
          <w:color w:val="505050"/>
          <w:sz w:val="21"/>
        </w:rPr>
        <w:t>Forward Feed Neural Network Using the Kerr Activated 2-D Si Photonic Crystal</w:t>
      </w:r>
    </w:p>
    <w:p>
      <w:r>
        <w:t xml:space="preserve">链接: </w:t>
      </w:r>
      <w:hyperlink r:id="rId32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https://www.sciencedirect.com/science/article/pii/S0030401826001045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25. TC-IDM：可执行零样本机器人运动的基础视频生成</w:t>
      </w:r>
    </w:p>
    <w:p>
      <w:r>
        <w:rPr>
          <w:rFonts w:ascii="Times New Roman" w:hAnsi="Times New Roman" w:eastAsia="宋体"/>
          <w:i/>
          <w:color w:val="505050"/>
          <w:sz w:val="21"/>
        </w:rPr>
        <w:t>TC-IDM: Grounding Video Generation for Executable Zero-shot Robot Motion</w:t>
      </w:r>
    </w:p>
    <w:p>
      <w:r>
        <w:t xml:space="preserve">链接: </w:t>
      </w:r>
      <w:hyperlink r:id="rId33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https://arxiv.org/abs/2601.18323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26. VAE-REPA：用于高效扩散训练的变分自动编码器表示对齐</w:t>
      </w:r>
    </w:p>
    <w:p>
      <w:r>
        <w:rPr>
          <w:rFonts w:ascii="Times New Roman" w:hAnsi="Times New Roman" w:eastAsia="宋体"/>
          <w:i/>
          <w:color w:val="505050"/>
          <w:sz w:val="21"/>
        </w:rPr>
        <w:t>VAE-REPA: Variational Autoencoder Representation Alignment for Efficient Diffusion Training</w:t>
      </w:r>
    </w:p>
    <w:p>
      <w:r>
        <w:t xml:space="preserve">链接: </w:t>
      </w:r>
      <w:hyperlink r:id="rId34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https://arxiv.org/pdf/2601.17830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27. 作为世界模型的视频生成的机械观点：状态和动态</w:t>
      </w:r>
    </w:p>
    <w:p>
      <w:r>
        <w:rPr>
          <w:rFonts w:ascii="Times New Roman" w:hAnsi="Times New Roman" w:eastAsia="宋体"/>
          <w:i/>
          <w:color w:val="505050"/>
          <w:sz w:val="21"/>
        </w:rPr>
        <w:t>A Mechanistic View on Video Generation as World Models: State and Dynamics</w:t>
      </w:r>
    </w:p>
    <w:p>
      <w:r>
        <w:t xml:space="preserve">链接: </w:t>
      </w:r>
      <w:hyperlink r:id="rId35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https://arxiv.org/pdf/2601.17067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28. 基于初始物体重建线性模型的叠印轴向距离误差快速标定方法</w:t>
      </w:r>
    </w:p>
    <w:p>
      <w:r>
        <w:rPr>
          <w:rFonts w:ascii="Times New Roman" w:hAnsi="Times New Roman" w:eastAsia="宋体"/>
          <w:i/>
          <w:color w:val="505050"/>
          <w:sz w:val="21"/>
        </w:rPr>
        <w:t>Fast calibration method of axial distance error in ptychography based on linear model for initial object reconstruction</w:t>
      </w:r>
    </w:p>
    <w:p>
      <w:r>
        <w:t xml:space="preserve">链接: </w:t>
      </w:r>
      <w:hyperlink r:id="rId36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https://www.sciencedirect.com/science/article/pii/S003040182600101X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29. 通过生成深度学习和漫射编码图像传感器进行四维视频成像</w:t>
      </w:r>
    </w:p>
    <w:p>
      <w:r>
        <w:rPr>
          <w:rFonts w:ascii="Times New Roman" w:hAnsi="Times New Roman" w:eastAsia="宋体"/>
          <w:i/>
          <w:color w:val="505050"/>
          <w:sz w:val="21"/>
        </w:rPr>
        <w:t>Four-dimensional video imaging via generative deep learning and a diffuser-encoded image sensor</w:t>
      </w:r>
    </w:p>
    <w:p>
      <w:r>
        <w:t xml:space="preserve">链接: </w:t>
      </w:r>
      <w:hyperlink r:id="rId37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https://arxiv.org/pdf/2601.12162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30. AlignDrive：端到端自动驾驶的横向纵向对齐规划</w:t>
      </w:r>
    </w:p>
    <w:p>
      <w:r>
        <w:rPr>
          <w:rFonts w:ascii="Times New Roman" w:hAnsi="Times New Roman" w:eastAsia="宋体"/>
          <w:i/>
          <w:color w:val="505050"/>
          <w:sz w:val="21"/>
        </w:rPr>
        <w:t>AlignDrive: Aligned Lateral-Longitudinal Planning for End-to-End Autonomous Driving</w:t>
      </w:r>
    </w:p>
    <w:p>
      <w:r>
        <w:t xml:space="preserve">链接: </w:t>
      </w:r>
      <w:hyperlink r:id="rId38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https://arxiv.org/pdf/2601.01762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31. 使用光场显微镜和神经网络驱动的编码照明增强 3D 傅立叶叠层成像</w:t>
      </w:r>
    </w:p>
    <w:p>
      <w:r>
        <w:rPr>
          <w:rFonts w:ascii="Times New Roman" w:hAnsi="Times New Roman" w:eastAsia="宋体"/>
          <w:i/>
          <w:color w:val="505050"/>
          <w:sz w:val="21"/>
        </w:rPr>
        <w:t>Enhanced 3D Fourier ptychography with light field microscopy and neural network-driven coded illumination</w:t>
      </w:r>
    </w:p>
    <w:p>
      <w:r>
        <w:t xml:space="preserve">链接: </w:t>
      </w:r>
      <w:hyperlink r:id="rId39">
        <w:r>
          <w:rPr>
            <w:rFonts w:ascii="Times New Roman" w:hAnsi="Times New Roman" w:eastAsia="宋体"/>
            <w:color w:val="0000FF"/>
            <w:sz w:val="20"/>
            <w:u w:val="single"/>
          </w:rPr>
          <w:t>https://link.springer.com/article/10.1007/s40436-025-00586-5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32. ReflexSplit：通过层融合分离的单图像反射分离</w:t>
      </w:r>
    </w:p>
    <w:p>
      <w:r>
        <w:rPr>
          <w:rFonts w:ascii="Times New Roman" w:hAnsi="Times New Roman" w:eastAsia="宋体"/>
          <w:i/>
          <w:color w:val="505050"/>
          <w:sz w:val="21"/>
        </w:rPr>
        <w:t>ReflexSplit: Single Image Reflection Separation via Layer Fusion-Separation</w:t>
      </w:r>
    </w:p>
    <w:p>
      <w:r>
        <w:t xml:space="preserve">链接: </w:t>
      </w:r>
      <w:hyperlink r:id="rId40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https://arxiv.org/pdf/2601.17468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33. TEXTS-Diff：用于现实世界文本图像超分辨率的文本感知扩散模型</w:t>
      </w:r>
    </w:p>
    <w:p>
      <w:r>
        <w:rPr>
          <w:rFonts w:ascii="Times New Roman" w:hAnsi="Times New Roman" w:eastAsia="宋体"/>
          <w:i/>
          <w:color w:val="505050"/>
          <w:sz w:val="21"/>
        </w:rPr>
        <w:t>TEXTS-Diff: TEXTS-Aware Diffusion Model for Real-World Text Image Super-Resolution</w:t>
      </w:r>
    </w:p>
    <w:p>
      <w:r>
        <w:t xml:space="preserve">链接: </w:t>
      </w:r>
      <w:hyperlink r:id="rId41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https://arxiv.org/pdf/2601.17340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34. UIQA-MSST：用于水下图像质量评估的多尺度阶梯变压器融合</w:t>
      </w:r>
    </w:p>
    <w:p>
      <w:r>
        <w:rPr>
          <w:rFonts w:ascii="Times New Roman" w:hAnsi="Times New Roman" w:eastAsia="宋体"/>
          <w:i/>
          <w:color w:val="505050"/>
          <w:sz w:val="21"/>
        </w:rPr>
        <w:t>UIQA-MSST: Multi-Scale Staircase-Transformer Fusion for Underwater Image Quality Assessment</w:t>
      </w:r>
    </w:p>
    <w:p>
      <w:r>
        <w:t xml:space="preserve">链接: </w:t>
      </w:r>
      <w:hyperlink r:id="rId42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https://www.sciencedirect.com/science/article/pii/S0923596526000020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35. MV-S2V：多视图主题一致的视频生成</w:t>
      </w:r>
    </w:p>
    <w:p>
      <w:r>
        <w:rPr>
          <w:rFonts w:ascii="Times New Roman" w:hAnsi="Times New Roman" w:eastAsia="宋体"/>
          <w:i/>
          <w:color w:val="505050"/>
          <w:sz w:val="21"/>
        </w:rPr>
        <w:t>MV-S2V: Multi-View Subject-Consistent Video Generation</w:t>
      </w:r>
    </w:p>
    <w:p>
      <w:r>
        <w:t xml:space="preserve">链接: </w:t>
      </w:r>
      <w:hyperlink r:id="rId43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https://arxiv.org/pdf/2601.17756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36. 急性特发性黄斑病的多模态成像：逆模式扫描激光检眼镜的见解</w:t>
      </w:r>
    </w:p>
    <w:p>
      <w:r>
        <w:rPr>
          <w:rFonts w:ascii="Times New Roman" w:hAnsi="Times New Roman" w:eastAsia="宋体"/>
          <w:i/>
          <w:color w:val="505050"/>
          <w:sz w:val="21"/>
        </w:rPr>
        <w:t>Multimodal Imaging in Acute Idiopathic Maculopathy: Insights from Retro-Mode Scanning Laser Ophthalmoscopy</w:t>
      </w:r>
    </w:p>
    <w:p>
      <w:r>
        <w:t xml:space="preserve">链接: </w:t>
      </w:r>
      <w:hyperlink r:id="rId44">
        <w:r>
          <w:rPr>
            <w:rFonts w:ascii="Times New Roman" w:hAnsi="Times New Roman" w:eastAsia="宋体"/>
            <w:color w:val="0000FF"/>
            <w:sz w:val="20"/>
            <w:u w:val="single"/>
          </w:rPr>
          <w:t>https://journals.sagepub.com/doi/abs/10.1177/24741264251414106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37. 使用无透镜全息术和深度学习进行不确定性量化的自动 HER2 评分</w:t>
      </w:r>
    </w:p>
    <w:p>
      <w:r>
        <w:rPr>
          <w:rFonts w:ascii="Times New Roman" w:hAnsi="Times New Roman" w:eastAsia="宋体"/>
          <w:i/>
          <w:color w:val="505050"/>
          <w:sz w:val="21"/>
        </w:rPr>
        <w:t>Automated HER2 scoring with uncertainty quantification using lensfree holography and deep learning</w:t>
      </w:r>
    </w:p>
    <w:p>
      <w:r>
        <w:t xml:space="preserve">链接: </w:t>
      </w:r>
      <w:hyperlink r:id="rId45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https://arxiv.org/pdf/2601.18219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38. 基于定制自由曲面光学器件的侧光定向背光</w:t>
      </w:r>
    </w:p>
    <w:p>
      <w:r>
        <w:rPr>
          <w:rFonts w:ascii="Times New Roman" w:hAnsi="Times New Roman" w:eastAsia="宋体"/>
          <w:i/>
          <w:color w:val="505050"/>
          <w:sz w:val="21"/>
        </w:rPr>
        <w:t>Edge-lit directional backlight based on tailored freeform optics</w:t>
      </w:r>
    </w:p>
    <w:p>
      <w:r>
        <w:t xml:space="preserve">链接: </w:t>
      </w:r>
      <w:hyperlink r:id="rId46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https://www.sciencedirect.com/science/article/pii/S0030401826000416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39. OMAF 流媒体工作流程中 360 {\deg} 视频的快速多速率编码</w:t>
      </w:r>
    </w:p>
    <w:p>
      <w:r>
        <w:rPr>
          <w:rFonts w:ascii="Times New Roman" w:hAnsi="Times New Roman" w:eastAsia="宋体"/>
          <w:i/>
          <w:color w:val="505050"/>
          <w:sz w:val="21"/>
        </w:rPr>
        <w:t>Fast Multirate Encoding for 360 {\deg} Video in OMAF Streaming Workflows</w:t>
      </w:r>
    </w:p>
    <w:p>
      <w:r>
        <w:t xml:space="preserve">链接: </w:t>
      </w:r>
      <w:hyperlink r:id="rId47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https://arxiv.org/pdf/2601.17568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40. 用于剂量有效的电子、X 射线和光学纳米镜的残余神经场叠层描记术</w:t>
      </w:r>
    </w:p>
    <w:p>
      <w:r>
        <w:rPr>
          <w:rFonts w:ascii="Times New Roman" w:hAnsi="Times New Roman" w:eastAsia="宋体"/>
          <w:i/>
          <w:color w:val="505050"/>
          <w:sz w:val="21"/>
        </w:rPr>
        <w:t>Residual neural-field ptychography for dose-efficient electron, X-ray, and optical nanoscopy</w:t>
      </w:r>
    </w:p>
    <w:p>
      <w:r>
        <w:t xml:space="preserve">链接: </w:t>
      </w:r>
      <w:hyperlink r:id="rId48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https://arxiv.org/pdf/2601.17694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41. 有损网络对立体 3D 视频流的影响</w:t>
      </w:r>
    </w:p>
    <w:p>
      <w:r>
        <w:rPr>
          <w:rFonts w:ascii="Times New Roman" w:hAnsi="Times New Roman" w:eastAsia="宋体"/>
          <w:i/>
          <w:color w:val="505050"/>
          <w:sz w:val="21"/>
        </w:rPr>
        <w:t>Effect of lossy networks on stereoscopic 3D-video streams</w:t>
      </w:r>
    </w:p>
    <w:p>
      <w:r>
        <w:t xml:space="preserve">链接: </w:t>
      </w:r>
      <w:hyperlink r:id="rId49">
        <w:r>
          <w:rPr>
            <w:rFonts w:ascii="Times New Roman" w:hAnsi="Times New Roman" w:eastAsia="宋体"/>
            <w:color w:val="0000FF"/>
            <w:sz w:val="20"/>
            <w:u w:val="single"/>
          </w:rPr>
          <w:t>https://derby-repository.worktribe.com/output/742213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42. 重新审视 3D 重建内核作为低通滤波器</w:t>
      </w:r>
    </w:p>
    <w:p>
      <w:r>
        <w:rPr>
          <w:rFonts w:ascii="Times New Roman" w:hAnsi="Times New Roman" w:eastAsia="宋体"/>
          <w:i/>
          <w:color w:val="505050"/>
          <w:sz w:val="21"/>
        </w:rPr>
        <w:t>Revisiting 3D Reconstruction Kernels as Low-Pass Filters</w:t>
      </w:r>
    </w:p>
    <w:p>
      <w:r>
        <w:t xml:space="preserve">链接: </w:t>
      </w:r>
      <w:hyperlink r:id="rId50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https://arxiv.org/pdf/2601.17900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43. 视频的频率感知神经表示</w:t>
      </w:r>
    </w:p>
    <w:p>
      <w:r>
        <w:rPr>
          <w:rFonts w:ascii="Times New Roman" w:hAnsi="Times New Roman" w:eastAsia="宋体"/>
          <w:i/>
          <w:color w:val="505050"/>
          <w:sz w:val="21"/>
        </w:rPr>
        <w:t>Frequency-aware Neural Representation for Videos</w:t>
      </w:r>
    </w:p>
    <w:p>
      <w:r>
        <w:t xml:space="preserve">链接: </w:t>
      </w:r>
      <w:hyperlink r:id="rId51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https://arxiv.org/pdf/2601.17741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44. 具有分层时间神经表示的视频压缩</w:t>
      </w:r>
    </w:p>
    <w:p>
      <w:r>
        <w:rPr>
          <w:rFonts w:ascii="Times New Roman" w:hAnsi="Times New Roman" w:eastAsia="宋体"/>
          <w:i/>
          <w:color w:val="505050"/>
          <w:sz w:val="21"/>
        </w:rPr>
        <w:t>Video Compression with Hierarchical Temporal Neural Representation</w:t>
      </w:r>
    </w:p>
    <w:p>
      <w:r>
        <w:t xml:space="preserve">链接: </w:t>
      </w:r>
      <w:hyperlink r:id="rId52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https://arxiv.org/pdf/2601.17743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45. 通过动态空间-光谱-时间窗口编码压缩光谱视频</w:t>
      </w:r>
    </w:p>
    <w:p>
      <w:r>
        <w:rPr>
          <w:rFonts w:ascii="Times New Roman" w:hAnsi="Times New Roman" w:eastAsia="宋体"/>
          <w:i/>
          <w:color w:val="505050"/>
          <w:sz w:val="21"/>
        </w:rPr>
        <w:t>Compressive spectral video by dynamic spatial-spectral-temporal windowed codification</w:t>
      </w:r>
    </w:p>
    <w:p>
      <w:r>
        <w:t xml:space="preserve">链接: </w:t>
      </w:r>
      <w:hyperlink r:id="rId53">
        <w:r>
          <w:rPr>
            <w:rFonts w:ascii="Times New Roman" w:hAnsi="Times New Roman" w:eastAsia="宋体"/>
            <w:color w:val="0000FF"/>
            <w:sz w:val="20"/>
            <w:u w:val="single"/>
          </w:rPr>
          <w:t>https://opg.optica.org/viewmedia.cfm?uri=oe-34-3-3639&amp;seq=0&amp;html=true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46. 双波长离轴数字全息基于二维经验模态分解的改进相位检索</w:t>
      </w:r>
    </w:p>
    <w:p>
      <w:r>
        <w:rPr>
          <w:rFonts w:ascii="Times New Roman" w:hAnsi="Times New Roman" w:eastAsia="宋体"/>
          <w:i/>
          <w:color w:val="505050"/>
          <w:sz w:val="21"/>
        </w:rPr>
        <w:t>Improved phase retrieval based on bidimensional empirical mode decomposition for dual-wavelength off-axis digital holography</w:t>
      </w:r>
    </w:p>
    <w:p>
      <w:r>
        <w:t xml:space="preserve">链接: </w:t>
      </w:r>
      <w:hyperlink r:id="rId54">
        <w:r>
          <w:rPr>
            <w:rFonts w:ascii="Times New Roman" w:hAnsi="Times New Roman" w:eastAsia="宋体"/>
            <w:color w:val="0000FF"/>
            <w:sz w:val="20"/>
            <w:u w:val="single"/>
          </w:rPr>
          <w:t>https://opg.optica.org/ao/fulltext.cfm?uri=ao-65-4-1289</w:t>
        </w:r>
      </w:hyperlink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pdf/2601.17740" TargetMode="External"/><Relationship Id="rId10" Type="http://schemas.openxmlformats.org/officeDocument/2006/relationships/hyperlink" Target="https://cubo.ufro.cl/index.php/cubo/article/view/4230" TargetMode="External"/><Relationship Id="rId11" Type="http://schemas.openxmlformats.org/officeDocument/2006/relationships/hyperlink" Target="https://arxiv.org/pdf/2601.18797" TargetMode="External"/><Relationship Id="rId12" Type="http://schemas.openxmlformats.org/officeDocument/2006/relationships/hyperlink" Target="https://opg.optica.org/oe/fulltext.cfm?uri=oe-34-2-2008" TargetMode="External"/><Relationship Id="rId13" Type="http://schemas.openxmlformats.org/officeDocument/2006/relationships/hyperlink" Target="https://arxiv.org/pdf/2601.17723" TargetMode="External"/><Relationship Id="rId14" Type="http://schemas.openxmlformats.org/officeDocument/2006/relationships/hyperlink" Target="https://arxiv.org/pdf/2601.17305" TargetMode="External"/><Relationship Id="rId15" Type="http://schemas.openxmlformats.org/officeDocument/2006/relationships/hyperlink" Target="https://arxiv.org/pdf/2601.17374" TargetMode="External"/><Relationship Id="rId16" Type="http://schemas.openxmlformats.org/officeDocument/2006/relationships/hyperlink" Target="https://opg.optica.org/abstract.cfm?uri=ol-51-3-668" TargetMode="External"/><Relationship Id="rId17" Type="http://schemas.openxmlformats.org/officeDocument/2006/relationships/hyperlink" Target="https://arxiv.org/pdf/2601.03517" TargetMode="External"/><Relationship Id="rId18" Type="http://schemas.openxmlformats.org/officeDocument/2006/relationships/hyperlink" Target="https://arxiv.org/pdf/2601.18569" TargetMode="External"/><Relationship Id="rId19" Type="http://schemas.openxmlformats.org/officeDocument/2006/relationships/hyperlink" Target="https://drum.lib.umd.edu/bitstreams/76cbe291-1a18-4c9b-895b-390d76184d6a/download" TargetMode="External"/><Relationship Id="rId20" Type="http://schemas.openxmlformats.org/officeDocument/2006/relationships/hyperlink" Target="https://arxiv.org/pdf/2601.18336" TargetMode="External"/><Relationship Id="rId21" Type="http://schemas.openxmlformats.org/officeDocument/2006/relationships/hyperlink" Target="https://arxiv.org/pdf/2601.18264" TargetMode="External"/><Relationship Id="rId22" Type="http://schemas.openxmlformats.org/officeDocument/2006/relationships/hyperlink" Target="https://arxiv.org/pdf/2601.17535" TargetMode="External"/><Relationship Id="rId23" Type="http://schemas.openxmlformats.org/officeDocument/2006/relationships/hyperlink" Target="https://arxiv.org/pdf/2601.17818" TargetMode="External"/><Relationship Id="rId24" Type="http://schemas.openxmlformats.org/officeDocument/2006/relationships/hyperlink" Target="https://arxiv.org/pdf/2601.17480" TargetMode="External"/><Relationship Id="rId25" Type="http://schemas.openxmlformats.org/officeDocument/2006/relationships/hyperlink" Target="https://arxiv.org/pdf/2601.04658" TargetMode="External"/><Relationship Id="rId26" Type="http://schemas.openxmlformats.org/officeDocument/2006/relationships/hyperlink" Target="https://arxiv.org/pdf/2601.17689" TargetMode="External"/><Relationship Id="rId27" Type="http://schemas.openxmlformats.org/officeDocument/2006/relationships/hyperlink" Target="https://arxiv.org/pdf/2601.17354" TargetMode="External"/><Relationship Id="rId28" Type="http://schemas.openxmlformats.org/officeDocument/2006/relationships/hyperlink" Target="https://arxiv.org/pdf/2601.18633" TargetMode="External"/><Relationship Id="rId29" Type="http://schemas.openxmlformats.org/officeDocument/2006/relationships/hyperlink" Target="https://arxiv.org/pdf/2601.18577" TargetMode="External"/><Relationship Id="rId30" Type="http://schemas.openxmlformats.org/officeDocument/2006/relationships/hyperlink" Target="https://arxiv.org/pdf/2601.17071" TargetMode="External"/><Relationship Id="rId31" Type="http://schemas.openxmlformats.org/officeDocument/2006/relationships/hyperlink" Target="https://link.springer.com/article/10.1007/s40436-025-00584-7" TargetMode="External"/><Relationship Id="rId32" Type="http://schemas.openxmlformats.org/officeDocument/2006/relationships/hyperlink" Target="https://www.sciencedirect.com/science/article/pii/S0030401826001045" TargetMode="External"/><Relationship Id="rId33" Type="http://schemas.openxmlformats.org/officeDocument/2006/relationships/hyperlink" Target="https://arxiv.org/abs/2601.18323" TargetMode="External"/><Relationship Id="rId34" Type="http://schemas.openxmlformats.org/officeDocument/2006/relationships/hyperlink" Target="https://arxiv.org/pdf/2601.17830" TargetMode="External"/><Relationship Id="rId35" Type="http://schemas.openxmlformats.org/officeDocument/2006/relationships/hyperlink" Target="https://arxiv.org/pdf/2601.17067" TargetMode="External"/><Relationship Id="rId36" Type="http://schemas.openxmlformats.org/officeDocument/2006/relationships/hyperlink" Target="https://www.sciencedirect.com/science/article/pii/S003040182600101X" TargetMode="External"/><Relationship Id="rId37" Type="http://schemas.openxmlformats.org/officeDocument/2006/relationships/hyperlink" Target="https://arxiv.org/pdf/2601.12162" TargetMode="External"/><Relationship Id="rId38" Type="http://schemas.openxmlformats.org/officeDocument/2006/relationships/hyperlink" Target="https://arxiv.org/pdf/2601.01762" TargetMode="External"/><Relationship Id="rId39" Type="http://schemas.openxmlformats.org/officeDocument/2006/relationships/hyperlink" Target="https://link.springer.com/article/10.1007/s40436-025-00586-5" TargetMode="External"/><Relationship Id="rId40" Type="http://schemas.openxmlformats.org/officeDocument/2006/relationships/hyperlink" Target="https://arxiv.org/pdf/2601.17468" TargetMode="External"/><Relationship Id="rId41" Type="http://schemas.openxmlformats.org/officeDocument/2006/relationships/hyperlink" Target="https://arxiv.org/pdf/2601.17340" TargetMode="External"/><Relationship Id="rId42" Type="http://schemas.openxmlformats.org/officeDocument/2006/relationships/hyperlink" Target="https://www.sciencedirect.com/science/article/pii/S0923596526000020" TargetMode="External"/><Relationship Id="rId43" Type="http://schemas.openxmlformats.org/officeDocument/2006/relationships/hyperlink" Target="https://arxiv.org/pdf/2601.17756" TargetMode="External"/><Relationship Id="rId44" Type="http://schemas.openxmlformats.org/officeDocument/2006/relationships/hyperlink" Target="https://journals.sagepub.com/doi/abs/10.1177/24741264251414106" TargetMode="External"/><Relationship Id="rId45" Type="http://schemas.openxmlformats.org/officeDocument/2006/relationships/hyperlink" Target="https://arxiv.org/pdf/2601.18219" TargetMode="External"/><Relationship Id="rId46" Type="http://schemas.openxmlformats.org/officeDocument/2006/relationships/hyperlink" Target="https://www.sciencedirect.com/science/article/pii/S0030401826000416" TargetMode="External"/><Relationship Id="rId47" Type="http://schemas.openxmlformats.org/officeDocument/2006/relationships/hyperlink" Target="https://arxiv.org/pdf/2601.17568" TargetMode="External"/><Relationship Id="rId48" Type="http://schemas.openxmlformats.org/officeDocument/2006/relationships/hyperlink" Target="https://arxiv.org/pdf/2601.17694" TargetMode="External"/><Relationship Id="rId49" Type="http://schemas.openxmlformats.org/officeDocument/2006/relationships/hyperlink" Target="https://derby-repository.worktribe.com/output/742213" TargetMode="External"/><Relationship Id="rId50" Type="http://schemas.openxmlformats.org/officeDocument/2006/relationships/hyperlink" Target="https://arxiv.org/pdf/2601.17900" TargetMode="External"/><Relationship Id="rId51" Type="http://schemas.openxmlformats.org/officeDocument/2006/relationships/hyperlink" Target="https://arxiv.org/pdf/2601.17741" TargetMode="External"/><Relationship Id="rId52" Type="http://schemas.openxmlformats.org/officeDocument/2006/relationships/hyperlink" Target="https://arxiv.org/pdf/2601.17743" TargetMode="External"/><Relationship Id="rId53" Type="http://schemas.openxmlformats.org/officeDocument/2006/relationships/hyperlink" Target="https://opg.optica.org/viewmedia.cfm?uri=oe-34-3-3639&amp;seq=0&amp;html=true" TargetMode="External"/><Relationship Id="rId54" Type="http://schemas.openxmlformats.org/officeDocument/2006/relationships/hyperlink" Target="https://opg.optica.org/ao/fulltext.cfm?uri=ao-65-4-12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