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人类 KV7.4 通道的两步电压传感器激活以及耳聋相关突变的影响</w:t>
      </w:r>
    </w:p>
    <w:p>
      <w:r>
        <w:rPr>
          <w:rFonts w:ascii="Times New Roman" w:hAnsi="Times New Roman" w:eastAsia="宋体"/>
          <w:b/>
          <w:color w:val="003264"/>
          <w:sz w:val="24"/>
        </w:rPr>
        <w:t>Two-step voltage-sensor activation of the human KV7.4 channel and effect of a deafness-associated mutation</w:t>
      </w:r>
    </w:p>
    <w:p>
      <w:r>
        <w:rPr>
          <w:rFonts w:ascii="Times New Roman" w:hAnsi="Times New Roman" w:eastAsia="宋体"/>
          <w:sz w:val="21"/>
        </w:rPr>
        <w:t>作者: Mario Nappi, Damon J. A. Frampton, Ali S. Kusay, Kaiqian Wang, S. Suheda Yasarbas, Serena Pozzi, Francesco Miceli, Sara I. Liin, Maurizio Taglialatela, Antonios Pantazis</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https://doi.org/10.1038/s41467-026-69249-8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KCNQ4 编码的 K V 7.4 电压门控钾通道在内耳毛细胞中表达。 KCNQ4 的功能丧失变异会导致非综合征性进行性听力损失 (DFNA2)。 K V 7.4 孔打开需要电压传感器域 (VSD) 的电压依赖性构象变化（激活）；然而，VSD 激活期间的快速电荷位移与缓慢的通道打开之间的耦合目前尚不清楚。在这里，我们利用电压钳荧光测定法，利用两种荧光团和脉冲激发，光学跟踪 K V 7.4 VSD 激活，发现 VSD 激活包含几个电压依赖性转变，其中一些具有与通道打开和关闭相匹配的动力学和电压依赖性。引起 DFNA2 的 R216H 突变通过破坏活性 VSD 配置的稳定性来损害 VSD 运动和通道开放，这一结果已通过分子动力学模拟得到证实。我们建议 K V 7.4 VSD 分两步激活：快速移动代表第一次过渡到中间激活状态，然后是完全激活 VSD 并驱动通道打开的较慢组件。</w:t>
      </w:r>
    </w:p>
    <w:p>
      <w:pPr>
        <w:spacing w:before="120"/>
      </w:pPr>
      <w:r>
        <w:rPr>
          <w:rFonts w:ascii="Times New Roman" w:hAnsi="Times New Roman" w:eastAsia="宋体"/>
          <w:b/>
          <w:sz w:val="21"/>
        </w:rPr>
        <w:t>English Abstract:</w:t>
      </w:r>
    </w:p>
    <w:p>
      <w:r>
        <w:rPr>
          <w:rFonts w:ascii="Times New Roman" w:hAnsi="Times New Roman" w:eastAsia="宋体"/>
          <w:sz w:val="21"/>
        </w:rPr>
        <w:t>Abstract KCNQ4 -encoded K V 7.4 voltage-gated potassium channels are expressed in hair-cells of the inner ear. Loss-of-function variants in KCNQ4 cause non-syndromic progressive hearing loss (DFNA2). K V 7.4 pore opening requires voltage-dependent conformational changes (activation) of the voltage-sensor domains (VSDs); however, how fast charge displacement during VSD activation is coupled to slow channel opening is currently unclear. Here, we optically tracked K V 7.4 VSD activation with voltage-clamp fluorometry, leveraging two fluorophores and pulsed excitation, and found that VSD activation comprises several voltage-dependent transitions, some with kinetics and voltage-dependence matching those of channel opening and closing. The DFNA2-causing R216H mutation impairs VSD movement and channel opening by destabilizing the active VSD configuration, a result confirmed by molecular dynamics simulations. We propose that the K V 7.4 VSD activates in two steps: a fast movement representing a first transition to an intermediate activation state, followed by slower component(s) that fully activate the VSD and drive channel opening.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明显的眼部残余散光降低了角膜塑形镜控制近视的效果</w:t>
      </w:r>
    </w:p>
    <w:p>
      <w:r>
        <w:rPr>
          <w:rFonts w:ascii="Times New Roman" w:hAnsi="Times New Roman" w:eastAsia="宋体"/>
          <w:b/>
          <w:color w:val="003264"/>
          <w:sz w:val="24"/>
        </w:rPr>
        <w:t>Significant ocular residual astigmatism reduces the effect of orthokeratology lenses in controlling myopia</w:t>
      </w:r>
    </w:p>
    <w:p>
      <w:r>
        <w:rPr>
          <w:rFonts w:ascii="Times New Roman" w:hAnsi="Times New Roman" w:eastAsia="宋体"/>
          <w:sz w:val="21"/>
        </w:rPr>
        <w:t>作者: Jian Lin, Dexiang An, Yun Lu, Dongmei Yan</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https://doi.org/10.1038/s41598-026-38248-6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探讨眼部残余散光（ORA）对儿童近视治疗中角膜塑形镜治疗效果的影响。在这项回顾性队列研究中，60 名 7-12 岁近视儿童根据基线 ORA（定义为屈光散光与前角膜散光之间的矢量差）分为高 ORA（≥ 1.00 D；n = 30）和低 ORA（&lt; 1.00 D；n = 30）组。在镜片验配后 1 天、7 天、1、3、6 和 12 个月进行纵向随访评估。轴向伸长率 (ΔAL) 计算为连续测量值与基线值之间的差异。使用协方差重复测量分析（RM-ANCOVA）对随访期间轴向伸长率（ΔAL）的差异进行统计分析。进行多变量线性回归以确定 12 个月 ΔAL 的决定因素。平均年龄为8.8±1.3岁，年平均轴向生长为0.22±0.17毫米。重复测量 ANCOVA 显示，时间、组别以及时间 × 组别交互作用显着影响轴向伸长（ΔAL，均 P &lt; 0.01），而基线 ACA 则不会（P = 0.671）。除 1 个月外，高 ORA 组的平均轴向伸长率在所有基线后间隔均显着高于低 ORA 组（3 个月：P = 0.036；6 个月：P = 0.015；12 个月：P = 0.001）。回归分析显示，基线 ORA 大小（β = 0.219，P &lt; 0.001）和等效球镜屈光度（β = 0.043，P = 0.038）是年度 ΔAL 的正预测因子，而患者的基线年龄是负预测因子（β = -0.056，P &lt; 0.001）。高ORA（≥ 1.00 D）构成角膜塑形镜减少眼轴伸长效果降低的独立危险因素。这一结果强调了将 ORA 评估纳入角膜塑形镜验配的治疗前评估的重要性。 ORA 高的儿童可能会受益于其他干预措施，例如周边散焦软隐形眼镜，以优化近视管理结果。</w:t>
      </w:r>
    </w:p>
    <w:p>
      <w:pPr>
        <w:spacing w:before="120"/>
      </w:pPr>
      <w:r>
        <w:rPr>
          <w:rFonts w:ascii="Times New Roman" w:hAnsi="Times New Roman" w:eastAsia="宋体"/>
          <w:b/>
          <w:sz w:val="21"/>
        </w:rPr>
        <w:t>English Abstract:</w:t>
      </w:r>
    </w:p>
    <w:p>
      <w:r>
        <w:rPr>
          <w:rFonts w:ascii="Times New Roman" w:hAnsi="Times New Roman" w:eastAsia="宋体"/>
          <w:sz w:val="21"/>
        </w:rPr>
        <w:t>To investigate the influence of ocular residual astigmatism (ORA) on the therapeutic outcomes of orthokeratology lenses in pediatric myopia management. In this retrospective cohort study, 60 myopic children aged 7–12 years were classified into high-ORA (≥ 1.00 D; n = 30) and low-ORA (&lt; 1.00 D; n = 30) groups on the basis of their baseline ORA, defined as the vector difference between refractive astigmatism and anterior corneal astigmatism. Longitudinal follow-up assessments were conducted at 1 day, 7 days, 1, 3, 6, and 12 months post-lens fitting. Axial elongation (ΔAL) was calculated as the difference between sequential measurements and baseline values. Differences in axial elongation (ΔAL) during the follow-up period were statistically analyzed using repeated measures analysis of covariance (RM-ANCOVA). Multivariable linear regression was performed to identify determinants of 12-month ΔAL. The mean age was 8.8 ± 1.3 years, and the average annual axial growth was 0.22 ± 0.17 mm. Repeated-measures ANCOVA showed that time, group, and the time × group interaction significantly affected axial elongation (ΔAL, all P &lt; 0.01), whereas baseline ACA did not (P = 0.671). The high-ORA cohort presented significantly greater mean axial elongation than the low-ORA group at all post baseline intervals except 1 month (3 months: P = 0.036; 6 months: P = 0.015; 12 months: P = 0.001). Regression analysis showed that the baseline ORA magnitude (β = 0.219, P &lt; 0.001) and spherical equivalent refraction (β = 0.043, P = 0.038) were positive predictors of the annual ΔAL, whereas the patient’s baseline age was a negative predictor (β = -0.056, P &lt; 0.001). High ORA (≥ 1.00 D) constitutes an independent risk factor for reduced orthokeratology efficacy in reducing axial elongation. This result emphasizes the importance of incorporating ORA assessment into the pretreatment assessment of orthokeratology lenses fitting. Children with high ORA may benefit from alternative interventions such as peripheral defocus soft contact lenses to optimize myopia management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加权基因共表达网络分析表征了桉树对不同生物挑战的常见防御反应</w:t>
      </w:r>
    </w:p>
    <w:p>
      <w:r>
        <w:rPr>
          <w:rFonts w:ascii="Times New Roman" w:hAnsi="Times New Roman" w:eastAsia="宋体"/>
          <w:b/>
          <w:color w:val="003264"/>
          <w:sz w:val="24"/>
        </w:rPr>
        <w:t>A weighted gene co-expression network analysis characterises the common defence responses of Eucalyptus to diverse biotic challenges</w:t>
      </w:r>
    </w:p>
    <w:p>
      <w:r>
        <w:rPr>
          <w:rFonts w:ascii="Times New Roman" w:hAnsi="Times New Roman" w:eastAsia="宋体"/>
          <w:sz w:val="21"/>
        </w:rPr>
        <w:t>作者: Shae Swanepoel, Sanushka Naidoo</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https://doi.org/10.1038/s41598-025-32699-z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桉树是全球重要的林业属植物，为造纸、纸浆和生物燃料生产而种植。这些树木日益受到一系列新出现的害虫和病原体的威胁。虽然之前的研究主要集中在单一桉树与病原体相互作用的转录组上，但对多种生物挑战的防御基础的核心转录网络仍然知之甚少。在这里，我们整合了 180 个桉树生物胁迫 RNA 测序文库，以表征与五种不同病理系统相互作用期间的共同防御基因网络。我们构建了一个综合加权基因共表达网络，并鉴定了 38 个高度共表达基因模块，其中包含 40 至 3,328 个基因。该网络揭示了由病原体感染诱导的不同模块，丰富了防御反应，包括水杨酸信号传导和次级代谢物生物合成，尤其是硝酸盐转运和反应，表明氮代谢和免疫之间存在潜在联系。转录因子富集分析强调 WRKY 家族基因是诱导反应的关键调节因子，而 WRKY6 则成为广谱抗性的候选中心基因。总之，这项研究提供了桉树对不同生物应激源反应的第一个综合转录组网络，并为未来的功能验证提供候选基因和途径，以增强长寿树木的抗病资源。</w:t>
      </w:r>
    </w:p>
    <w:p>
      <w:pPr>
        <w:spacing w:before="120"/>
      </w:pPr>
      <w:r>
        <w:rPr>
          <w:rFonts w:ascii="Times New Roman" w:hAnsi="Times New Roman" w:eastAsia="宋体"/>
          <w:b/>
          <w:sz w:val="21"/>
        </w:rPr>
        <w:t>English Abstract:</w:t>
      </w:r>
    </w:p>
    <w:p>
      <w:r>
        <w:rPr>
          <w:rFonts w:ascii="Times New Roman" w:hAnsi="Times New Roman" w:eastAsia="宋体"/>
          <w:sz w:val="21"/>
        </w:rPr>
        <w:t>Eucalyptus is a globally important forestry genera cultivated for paper, pulp and biofuel production. These trees are increasingly threatened by a range of emerging pests and pathogens. While previous studies have focused on the transcriptomes of single Eucalyptus-pathogen interactions, the core transcriptional networks underlying defence across multiple biotic challenges remain poorly understood. Here we integrated 180 Eucalyptus-biotic stress RNA-sequencing libraries to characterise the common defence gene network during interactions with five distinct pathosystems. We constructed a comprehensive weighted gene co-expression network and identified 38 modules of highly co-expressed genes consisting of between 40 and 3,328 genes. The network revealed distinct modules that were induced by pathogen infection, enriched for defence responses including salicylic acid signalling and secondary metabolite biosynthesis and notably nitrate transport and responses, suggesting a potential link between nitrogen metabolism and immunity. Transcription factor enrichment analysis highlighted WRKY family genes as key regulators of induced responses, with WRKY6 emerging as a candidate hub gene in broad-spectrum resistance. Together, this study provides the first integrative transcriptome network of Eucalyptus responses to diverse biotic stressors, and offers candidate genes and pathways for future functional validation to enhance disease resistance resource in long-lived trees.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基于机器学习的中国东部大豆-小麦轮作土壤有机碳动态评估</w:t>
      </w:r>
    </w:p>
    <w:p>
      <w:r>
        <w:rPr>
          <w:rFonts w:ascii="Times New Roman" w:hAnsi="Times New Roman" w:eastAsia="宋体"/>
          <w:b/>
          <w:color w:val="003264"/>
          <w:sz w:val="24"/>
        </w:rPr>
        <w:t>Machine learning-based assessment of soil organic carbon dynamics in soybean–wheat rotations in eastern China</w:t>
      </w:r>
    </w:p>
    <w:p>
      <w:r>
        <w:rPr>
          <w:rFonts w:ascii="Times New Roman" w:hAnsi="Times New Roman" w:eastAsia="宋体"/>
          <w:sz w:val="21"/>
        </w:rPr>
        <w:t>作者: Zhi Yu</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https://doi.org/10.1038/s41598-026-38105-6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农业生态系统的重要组成部分，影响碳循环、土壤肥力和结构，从而影响作物生产力。本研究利用先进的机器学习模型评估了大豆-小麦轮作条件下中国东部土壤有机碳储量的空间分布和动态。数据收集自安徽、河北、河南、江苏、山东、天津和北京，测量了2022-2024年播种前和收获后两个土壤深度（0-15厘米和15-30厘米）的SOC。在测试的模型中，随机森林 (RF) 提供了最准确的 SOC 预测，特别是在 0–15 cm 层（R2 = 0.89，RMSE = 0.95，PRD = 3.41）。结果显示，大豆种植后 SOC 增加，小麦收获后减少，区域差异受标准化高度 (standh)、NDVI、温度季节性 (tempSeason) 和 LS 因子等环境因素影响。大豆较高的生物量和广泛的根系显着提高了 SOC，而小麦较低的生物量导致了 SOC 消耗。这些发现强调了作物类型和管理实践对土壤碳储量的影响，强调了含大豆轮作在改善土壤健康和减轻气候变化影响方面的潜力。</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critical component of agroecosystems, influencing carbon cycling, soil fertility, and structure, thereby affecting crop productivity. This study evaluated the spatial distribution and dynamics of SOC stocks in eastern China under soybean–wheat rotations using advanced machine learning models. Data were collected from Anhui, Hebei, Henan, Jiangsu, Shandong, Tianjin, and Beijing, measuring SOC at two soil depths (0–15 cm and 15–30 cm) before sowing and after harvest during 2022–2024. Among the models tested, Random Forest (RF) provided the most accurate SOC predictions, particularly in the 0–15 cm layer (R2 = 0.89, RMSE = 0.95, PRD = 3.41). Results revealed SOC increases following soybean cultivation and decreases after wheat harvest, with regional variations shaped by environmental factors such as standardized height (standh), NDVI, temperature seasonality (tempSeason), and LS factor. The higher biomass and extensive root system of soybean significantly enhanced SOC, whereas wheat’s lower biomass contributed to SOC depletion. These findings underscore the influence of crop type and management practices on soil carbon stocks, highlighting the potential of soybean-inclusive rotations to improve soil health and mitigate climate change impacts.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泊马度胺和帕比司他协同靶向 ARID2-MYC 轴克服了多发性骨髓瘤中固有的 IMiD 耐药性</w:t>
      </w:r>
    </w:p>
    <w:p>
      <w:r>
        <w:rPr>
          <w:rFonts w:ascii="Times New Roman" w:hAnsi="Times New Roman" w:eastAsia="宋体"/>
          <w:b/>
          <w:color w:val="003264"/>
          <w:sz w:val="24"/>
        </w:rPr>
        <w:t>Synergistic targeting of the ARID2–MYC axis by pomalidomide and panobinostat overcomes intrinsic IMiD resistance in multiple myeloma</w:t>
      </w:r>
    </w:p>
    <w:p>
      <w:r>
        <w:rPr>
          <w:rFonts w:ascii="Times New Roman" w:hAnsi="Times New Roman" w:eastAsia="宋体"/>
          <w:sz w:val="21"/>
        </w:rPr>
        <w:t>作者: Junichi Yamamoto, Tomoko Asatsuma-Okumura, Takumi Ito, Yoshiko Iwai, Hiroshi Handa, Yuki Yamaguchi</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https://doi.org/10.1038/s41598-026-37740-3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尽管蛋白酶体抑制剂、免疫调节药物 (IMiD) 和单克隆抗体最近取得了进展，但多发性骨髓瘤仍然是一个治疗挑战。在新方法中，IMiD 和组蛋白脱乙酰酶抑制剂的组合在治疗复发性或难治性多发性骨髓瘤方面显示出了希望。在这里，我们阐明了它们协同作用的分子基础及其在克服骨髓瘤细胞耐药性中的作用。我们证明这些药物共同下调主癌基因 MYC，从而产生协同细胞毒性。重要的是，即使在本质上抵抗 IMiD 的模型中，这种效应仍然存在，其中规范的 IKZF1/3–IRF4/MYC 轴在功能上是解耦的。在这种情况下，该组合涉及另一种 ARID2-MYC 轴，由 IMiD 新底物 ARID2 的协同下调介导。这一发现强调了 IMiD 固有的多药理学在细胞水平上规避主要耐药机制的功能相关性。总之，我们的结果确定了含有 ARID2 的 PBAF 复合物是耐药性骨髓瘤细胞的一个关键弱点，并为设计共同靶向该复合物的联合策略提供了机制原理，并有可能通过克服耐药性来增强治疗效果。</w:t>
      </w:r>
    </w:p>
    <w:p>
      <w:pPr>
        <w:spacing w:before="120"/>
      </w:pPr>
      <w:r>
        <w:rPr>
          <w:rFonts w:ascii="Times New Roman" w:hAnsi="Times New Roman" w:eastAsia="宋体"/>
          <w:b/>
          <w:sz w:val="21"/>
        </w:rPr>
        <w:t>English Abstract:</w:t>
      </w:r>
    </w:p>
    <w:p>
      <w:r>
        <w:rPr>
          <w:rFonts w:ascii="Times New Roman" w:hAnsi="Times New Roman" w:eastAsia="宋体"/>
          <w:sz w:val="21"/>
        </w:rPr>
        <w:t>Multiple myeloma remains a therapeutic challenge despite recent advances with proteasome inhibitors, immunomodulatory drugs (IMiDs), and monoclonal antibodies. Among new approaches, the combination of IMiDs and histone deacetylase inhibitors has shown promise in relapsed or refractory multiple myeloma. Here, we elucidate the molecular basis of their synergy and its role in overcoming drug resistance in myeloma cells. We demonstrate that these agents converge to downregulate the master oncogene MYC, resulting in synergistic cytotoxicity. Importantly, this effect persists even in models intrinsically resistant to IMiDs, where the canonical IKZF1/3–IRF4/MYC axis is functionally uncoupled. In this context, the combination engages an alternative ARID2–MYC axis, mediated by the synergistic downregulation of the IMiD neosubstrate ARID2. This finding highlights the functional relevance of IMiD’s inherent polypharmacology in circumventing primary resistance mechanisms at the cellular level. Together, our results identify the ARID2-containing PBAF complex as a critical vulnerability in resistant myeloma cells and provide a mechanistic rationale for designing combination strategies that co-target this complex, with the potential to enhance therapeutic efficacy by overcoming drug resistance.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通过冲突感知提示学习实现轻量级多天气图像恢复</w:t>
      </w:r>
    </w:p>
    <w:p>
      <w:r>
        <w:rPr>
          <w:rFonts w:ascii="Times New Roman" w:hAnsi="Times New Roman" w:eastAsia="宋体"/>
          <w:b/>
          <w:color w:val="003264"/>
          <w:sz w:val="24"/>
        </w:rPr>
        <w:t>A lightweight multi-weather image restoration via conflict-aware prompt learning</w:t>
      </w:r>
    </w:p>
    <w:p>
      <w:r>
        <w:rPr>
          <w:rFonts w:ascii="Times New Roman" w:hAnsi="Times New Roman" w:eastAsia="宋体"/>
          <w:sz w:val="21"/>
        </w:rPr>
        <w:t>作者: Pengyun Chen, Ning Cao, Minghui Jiang, Zhuoyu Jin, Hao Liu, Xiaoheng Jiang, Mingliang Xu</w:t>
        <w:br/>
      </w:r>
      <w:r>
        <w:rPr>
          <w:rFonts w:ascii="Times New Roman" w:hAnsi="Times New Roman" w:eastAsia="宋体"/>
          <w:sz w:val="21"/>
        </w:rPr>
        <w:t xml:space="preserve">时间: 2026-02-01 | </w:t>
      </w:r>
      <w:r>
        <w:t xml:space="preserve">链接: </w:t>
      </w:r>
      <w:hyperlink r:id="rId15">
        <w:r>
          <w:rPr>
            <w:rFonts w:ascii="Times New Roman" w:hAnsi="Times New Roman" w:eastAsia="宋体"/>
            <w:color w:val="0000FF"/>
            <w:sz w:val="21"/>
            <w:u w:val="single"/>
          </w:rPr>
          <w:t>https://doi.org/10.1016/j.displa.2026.103378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基于视觉注意力的 VR 疾病评估模型</w:t>
      </w:r>
    </w:p>
    <w:p>
      <w:r>
        <w:rPr>
          <w:rFonts w:ascii="Times New Roman" w:hAnsi="Times New Roman" w:eastAsia="宋体"/>
          <w:b/>
          <w:color w:val="003264"/>
          <w:sz w:val="24"/>
        </w:rPr>
        <w:t>A visual Attention-Based model for VR sickness assessment</w:t>
      </w:r>
    </w:p>
    <w:p>
      <w:r>
        <w:rPr>
          <w:rFonts w:ascii="Times New Roman" w:hAnsi="Times New Roman" w:eastAsia="宋体"/>
          <w:sz w:val="21"/>
        </w:rPr>
        <w:t>作者: Yongqing Cai, Cheng Han, Wei Quan, Yuechen Zhang</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“基于双端点检测和迭代 VMD 的非对称干涉仪宽频振动定位”的勘误表 [选项 1]激光技术。 187（2025）112882]</w:t>
      </w:r>
    </w:p>
    <w:p>
      <w:r>
        <w:rPr>
          <w:rFonts w:ascii="Times New Roman" w:hAnsi="Times New Roman" w:eastAsia="宋体"/>
          <w:b/>
          <w:color w:val="003264"/>
          <w:sz w:val="24"/>
        </w:rPr>
        <w:t>Corrigendum to “Wide-Frequency vibration positioning of asymmetric interferometers based on dual endpoint detection and iterative VMD” [Opt. Laser Technol. 187 (2025) 112882]</w:t>
      </w:r>
    </w:p>
    <w:p>
      <w:r>
        <w:rPr>
          <w:rFonts w:ascii="Times New Roman" w:hAnsi="Times New Roman" w:eastAsia="宋体"/>
          <w:sz w:val="21"/>
        </w:rPr>
        <w:t>作者: Chaoxiang Chen, Kun Liu, Jianying Jing, Xinxin Hu, Kang Xue, Dongqi Zhang, Ziwen Du, Guixian Li, Tianhua Xu, Junfeng Jiang, Tiegen Liu</w:t>
        <w:br/>
      </w:r>
      <w:r>
        <w:rPr>
          <w:rFonts w:ascii="Times New Roman" w:hAnsi="Times New Roman" w:eastAsia="宋体"/>
          <w:sz w:val="21"/>
        </w:rPr>
        <w:t xml:space="preserve">时间: 2026-02-01 | </w:t>
      </w:r>
      <w:r>
        <w:t xml:space="preserve">链接: </w:t>
      </w:r>
      <w:hyperlink r:id="rId17">
        <w:r>
          <w:rPr>
            <w:rFonts w:ascii="Times New Roman" w:hAnsi="Times New Roman" w:eastAsia="宋体"/>
            <w:color w:val="0000FF"/>
            <w:sz w:val="21"/>
            <w:u w:val="single"/>
          </w:rPr>
          <w:t>https://doi.org/10.1016/j.optlastec.2026.114799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Ti-6Al-4V合金T型接头非水平双激光束双边同步焊接熔池和小孔重力变形动力学</w:t>
      </w:r>
    </w:p>
    <w:p>
      <w:r>
        <w:rPr>
          <w:rFonts w:ascii="Times New Roman" w:hAnsi="Times New Roman" w:eastAsia="宋体"/>
          <w:b/>
          <w:color w:val="003264"/>
          <w:sz w:val="24"/>
        </w:rPr>
        <w:t>Gravity-induced distortion dynamics of molten pool and keyhole during non-horizontal dual laser beam bilateral synchronous welding for Ti-6Al-4V alloy T-joints</w:t>
      </w:r>
    </w:p>
    <w:p>
      <w:r>
        <w:rPr>
          <w:rFonts w:ascii="Times New Roman" w:hAnsi="Times New Roman" w:eastAsia="宋体"/>
          <w:sz w:val="21"/>
        </w:rPr>
        <w:t>作者: Yanqiu Zhao, Tingyan Yan, Rui Li, Jiangfeng Wang, Chao Ma, Xiaohong Zhan</w:t>
        <w:br/>
      </w:r>
      <w:r>
        <w:rPr>
          <w:rFonts w:ascii="Times New Roman" w:hAnsi="Times New Roman" w:eastAsia="宋体"/>
          <w:sz w:val="21"/>
        </w:rPr>
        <w:t xml:space="preserve">时间: 2026-06-01 | </w:t>
      </w:r>
      <w:r>
        <w:t xml:space="preserve">链接: </w:t>
      </w:r>
      <w:hyperlink r:id="rId18">
        <w:r>
          <w:rPr>
            <w:rFonts w:ascii="Times New Roman" w:hAnsi="Times New Roman" w:eastAsia="宋体"/>
            <w:color w:val="0000FF"/>
            <w:sz w:val="21"/>
            <w:u w:val="single"/>
          </w:rPr>
          <w:t>https://doi.org/10.1016/j.optlastec.2026.114815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激光冲击波作用下CFRP胶层分层机理</w:t>
      </w:r>
    </w:p>
    <w:p>
      <w:r>
        <w:rPr>
          <w:rFonts w:ascii="Times New Roman" w:hAnsi="Times New Roman" w:eastAsia="宋体"/>
          <w:b/>
          <w:color w:val="003264"/>
          <w:sz w:val="24"/>
        </w:rPr>
        <w:t>Delamination mechanism of CFRP adhesive layer under laser-induced shock waves</w:t>
      </w:r>
    </w:p>
    <w:p>
      <w:r>
        <w:rPr>
          <w:rFonts w:ascii="Times New Roman" w:hAnsi="Times New Roman" w:eastAsia="宋体"/>
          <w:sz w:val="21"/>
        </w:rPr>
        <w:t>作者: Wangfan Zhou, Tao Wang, Jun Chen, Haoyu Zhou, Gui Zhang, Enoch Asuako Larson, Yu Yang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https://doi.org/10.1016/j.optlastec.2026.114876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基于激光功率调制的4H-SiC晶圆皮秒激光多层改性及隐形切割研究</w:t>
      </w:r>
    </w:p>
    <w:p>
      <w:r>
        <w:rPr>
          <w:rFonts w:ascii="Times New Roman" w:hAnsi="Times New Roman" w:eastAsia="宋体"/>
          <w:b/>
          <w:color w:val="003264"/>
          <w:sz w:val="24"/>
        </w:rPr>
        <w:t>Study on picosecond laser multi-layer modification and stealth dicing of 4H-SiC wafers based on laser power modulation</w:t>
      </w:r>
    </w:p>
    <w:p>
      <w:r>
        <w:rPr>
          <w:rFonts w:ascii="Times New Roman" w:hAnsi="Times New Roman" w:eastAsia="宋体"/>
          <w:sz w:val="21"/>
        </w:rPr>
        <w:t>作者: Yixiong Yan, Sijia Chen, Yuxuan Cheng, Cong Mao, Mingjun Zhang, Yu Zheng, Weidong Tang, Ji’an Duan</w:t>
        <w:br/>
      </w:r>
      <w:r>
        <w:rPr>
          <w:rFonts w:ascii="Times New Roman" w:hAnsi="Times New Roman" w:eastAsia="宋体"/>
          <w:sz w:val="21"/>
        </w:rPr>
        <w:t xml:space="preserve">时间: 2026-06-01 | </w:t>
      </w:r>
      <w:r>
        <w:t xml:space="preserve">链接: </w:t>
      </w:r>
      <w:hyperlink r:id="rId20">
        <w:r>
          <w:rPr>
            <w:rFonts w:ascii="Times New Roman" w:hAnsi="Times New Roman" w:eastAsia="宋体"/>
            <w:color w:val="0000FF"/>
            <w:sz w:val="21"/>
            <w:u w:val="single"/>
          </w:rPr>
          <w:t>https://doi.org/10.1016/j.optlastec.2026.114882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集成基于 TIE 的相位成像和边缘 AI 分析的电动可调台式显微镜</w:t>
      </w:r>
    </w:p>
    <w:p>
      <w:r>
        <w:rPr>
          <w:rFonts w:ascii="Times New Roman" w:hAnsi="Times New Roman" w:eastAsia="宋体"/>
          <w:b/>
          <w:color w:val="003264"/>
          <w:sz w:val="24"/>
        </w:rPr>
        <w:t>Electrically tunable benchtop microscope integrating TIE-based phase imaging and edge AI analysis</w:t>
      </w:r>
    </w:p>
    <w:p>
      <w:r>
        <w:rPr>
          <w:rFonts w:ascii="Times New Roman" w:hAnsi="Times New Roman" w:eastAsia="宋体"/>
          <w:sz w:val="21"/>
        </w:rPr>
        <w:t>作者: Hsieh-Fu Tsai, Soumyajit Podder, I-Ming Chang, Mao-Chang Ho</w:t>
        <w:br/>
      </w:r>
      <w:r>
        <w:rPr>
          <w:rFonts w:ascii="Times New Roman" w:hAnsi="Times New Roman" w:eastAsia="宋体"/>
          <w:sz w:val="21"/>
        </w:rPr>
        <w:t xml:space="preserve">时间: 2026-06-01 | </w:t>
      </w:r>
      <w:r>
        <w:t xml:space="preserve">链接: </w:t>
      </w:r>
      <w:hyperlink r:id="rId21">
        <w:r>
          <w:rPr>
            <w:rFonts w:ascii="Times New Roman" w:hAnsi="Times New Roman" w:eastAsia="宋体"/>
            <w:color w:val="0000FF"/>
            <w:sz w:val="21"/>
            <w:u w:val="single"/>
          </w:rPr>
          <w:t>https://doi.org/10.1016/j.optlaseng.2026.109659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面内和面外磁场中等离子体纳米结构的手性光学响应的​​各向异性变化</w:t>
      </w:r>
    </w:p>
    <w:p>
      <w:r>
        <w:rPr>
          <w:rFonts w:ascii="Times New Roman" w:hAnsi="Times New Roman" w:eastAsia="宋体"/>
          <w:b/>
          <w:color w:val="003264"/>
          <w:sz w:val="24"/>
        </w:rPr>
        <w:t>Anisotropic Variation in Chiroptical Response of Plasmonic Nanostructure in In-plane and Out-of-Plane Magnetic Fields</w:t>
      </w:r>
    </w:p>
    <w:p>
      <w:r>
        <w:rPr>
          <w:rFonts w:ascii="Times New Roman" w:hAnsi="Times New Roman" w:eastAsia="宋体"/>
          <w:sz w:val="21"/>
        </w:rPr>
        <w:t>作者: Muhammad Ikram, Shaohua Tao, Muhammad Akram</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https://doi.org/10.1016/j.optcom.2026.132998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具有可控方位角对称性的等离激元增强二维原子定位</w:t>
      </w:r>
    </w:p>
    <w:p>
      <w:r>
        <w:rPr>
          <w:rFonts w:ascii="Times New Roman" w:hAnsi="Times New Roman" w:eastAsia="宋体"/>
          <w:b/>
          <w:color w:val="003264"/>
          <w:sz w:val="24"/>
        </w:rPr>
        <w:t>Plasmon-enhanced two-dimensional atomic localization with controllable azimuthal symmetry</w:t>
      </w:r>
    </w:p>
    <w:p>
      <w:r>
        <w:rPr>
          <w:rFonts w:ascii="Times New Roman" w:hAnsi="Times New Roman" w:eastAsia="宋体"/>
          <w:sz w:val="21"/>
        </w:rPr>
        <w:t>作者: Muhammad Idrees, Yuanping Chen, Beibing Huang, Hui-Jun Li, Zareen A. Khan, Yuee Xie</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https://doi.org/10.1016/j.optcom.2026.132990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采用大直径和低数值孔径侧芯设计的改进手性耦合芯光纤具有低损耗、宽带宽和良好的热负载耐受性</w:t>
      </w:r>
    </w:p>
    <w:p>
      <w:r>
        <w:rPr>
          <w:rFonts w:ascii="Times New Roman" w:hAnsi="Times New Roman" w:eastAsia="宋体"/>
          <w:b/>
          <w:color w:val="003264"/>
          <w:sz w:val="24"/>
        </w:rPr>
        <w:t>Low loss, broad bandwidth and good heat load tolerance in a modified chirally-coupled-core fiber with large-diameter and low-NA side-core design</w:t>
      </w:r>
    </w:p>
    <w:p>
      <w:r>
        <w:rPr>
          <w:rFonts w:ascii="Times New Roman" w:hAnsi="Times New Roman" w:eastAsia="宋体"/>
          <w:sz w:val="21"/>
        </w:rPr>
        <w:t>作者: Yifeng Hong, Jianchang Tan, He Hao, Jiabin Bai, Zupei Zhan, Dong Li, Shuiliang Zhou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00:28 ---</w:t>
      </w:r>
    </w:p>
    <w:p>
      <w:pPr>
        <w:pStyle w:val="Heading2"/>
      </w:pPr>
      <w:r/>
      <w:r>
        <w:rPr>
          <w:rFonts w:ascii="Times New Roman" w:hAnsi="Times New Roman" w:eastAsia="宋体"/>
          <w:b/>
          <w:color w:val="000000"/>
          <w:sz w:val="24"/>
        </w:rPr>
        <w:t>吸收聚焦激光微分干涉仪可近乎同时进行稳定和脉动流动特性测量</w:t>
      </w:r>
    </w:p>
    <w:p>
      <w:r>
        <w:rPr>
          <w:rFonts w:ascii="Times New Roman" w:hAnsi="Times New Roman" w:eastAsia="宋体"/>
          <w:b/>
          <w:color w:val="003264"/>
          <w:sz w:val="24"/>
        </w:rPr>
        <w:t>Absorption focused laser differential interferometry for near-simultaneous steady and fluctuating flow property measurements</w:t>
      </w:r>
    </w:p>
    <w:p>
      <w:r>
        <w:rPr>
          <w:rFonts w:ascii="Times New Roman" w:hAnsi="Times New Roman" w:eastAsia="宋体"/>
          <w:sz w:val="21"/>
        </w:rPr>
        <w:t>作者: Joshua M. Weisberger, Brett F. Bathel, Gregory C. Herring</w:t>
        <w:br/>
      </w:r>
      <w:r>
        <w:rPr>
          <w:rFonts w:ascii="Times New Roman" w:hAnsi="Times New Roman" w:eastAsia="宋体"/>
          <w:sz w:val="21"/>
        </w:rPr>
        <w:t xml:space="preserve">时间: 2026-02-03 | </w:t>
      </w:r>
      <w:r>
        <w:t xml:space="preserve">链接: </w:t>
      </w:r>
      <w:hyperlink r:id="rId25">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使用单个可调谐二极管激光器的聚焦激光差分干涉仪（FLDI）系统已在实验室中组装和测试，以便对高频流密度波动和其他稳定流特性进行近同步和共线测量。可调谐二极管发射近 760 nm 波长的光，可探测分子氧（许多风洞设施中普遍存在的气体种类）的 A 波段吸收光谱，从而避免了这些测量中使用流动播种的需要。使用具有 100% O 2 的压力控制测试单元对非聚焦 LDI 和聚焦版本的吸收干涉仪系统进行了测试，两个系统均在 0.01 atm 至 0.3 atm 的测试范围内准确测量压力，而使用 FLDI 系统的压力估计具有更高的不确定性。还观察到了 LDI 和 FLDI 系统干涉仪方面的预期操作，其中 LDI 系统表现出对沿光束路径的压缩空气射流的恒定灵敏度，而 FLDI 系统表现出过滤远离焦点平面的信号的能力。在 NASA 兰利研究中心的探头校准隧道对该系统进行了进一步测试，用于评估激光调制的各种选项及其对测量的干涉仪和吸收部分的影响。该系统演示了直接吸收和波长调制技术，并讨论了每种方法的优点和缺点。</w:t>
      </w:r>
    </w:p>
    <w:p>
      <w:pPr>
        <w:spacing w:before="120"/>
      </w:pPr>
      <w:r>
        <w:rPr>
          <w:rFonts w:ascii="Times New Roman" w:hAnsi="Times New Roman" w:eastAsia="宋体"/>
          <w:b/>
          <w:sz w:val="21"/>
        </w:rPr>
        <w:t>English Abstract:</w:t>
      </w:r>
    </w:p>
    <w:p>
      <w:r>
        <w:rPr>
          <w:rFonts w:ascii="Times New Roman" w:hAnsi="Times New Roman" w:eastAsia="宋体"/>
          <w:sz w:val="21"/>
        </w:rPr>
        <w:t>A focused laser differential interferometer (FLDI) system using a single tunable diode laser has been assembled and tested in the lab, in order to make near-simultaneous and colinear measurements of high-frequency flow density fluctuations and other steady flow properties. The tunable diode, emitting near 760 nm, probes the A-band absorption spectrum of molecular oxygen, a gas species ubiquitous in many wind tunnel facilities, avoiding the need for flow seeding for these measurements. Non-focused LDI and focused versions of the absorption interferometer system were tested using a pressure-controlled test cell with 100% O 2 , where both systems accurately measured the pressure over the tested range from 0.01 atm to 0.3 atm, with higher uncertainties in pressure estimates using the FLDI system. The expected operation of the interferometer aspect of LDI and FLDI systems was also observed, where the LDI system demonstrated constant sensitivity to a compressed air jet along the beam path, whereas the FLDI system demonstrated the ability to filter the signal away from the plane of focus. Further testing of the system at NASA Langley Research Center’s Probe Calibration Tunnel was used to evaluate various options for laser modulation and their impact on the interferometer and absorption portions of the measurement. Both direct absorption and wavelength modulation techniques are demonstrated for this system, as well as a discussion of the benefits and drawbacks of each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00:28 ---</w:t>
      </w:r>
    </w:p>
    <w:p>
      <w:pPr>
        <w:pStyle w:val="Heading2"/>
      </w:pPr>
      <w:r/>
      <w:r>
        <w:rPr>
          <w:rFonts w:ascii="Times New Roman" w:hAnsi="Times New Roman" w:eastAsia="宋体"/>
          <w:b/>
          <w:color w:val="000000"/>
          <w:sz w:val="24"/>
        </w:rPr>
        <w:t>统一分数拉盖尔-高斯光束</w:t>
      </w:r>
    </w:p>
    <w:p>
      <w:r>
        <w:rPr>
          <w:rFonts w:ascii="Times New Roman" w:hAnsi="Times New Roman" w:eastAsia="宋体"/>
          <w:b/>
          <w:color w:val="003264"/>
          <w:sz w:val="24"/>
        </w:rPr>
        <w:t>Unified fractional Laguerre–Gaussian beams</w:t>
      </w:r>
    </w:p>
    <w:p>
      <w:r>
        <w:rPr>
          <w:rFonts w:ascii="Times New Roman" w:hAnsi="Times New Roman" w:eastAsia="宋体"/>
          <w:sz w:val="21"/>
        </w:rPr>
        <w:t>作者: Javier Alejandro Pérez-Garza, Pedro Oliva-Sanchez, Ruben Aguilar-Marquez, Servando López-Aguayo</w:t>
        <w:br/>
      </w:r>
      <w:r>
        <w:rPr>
          <w:rFonts w:ascii="Times New Roman" w:hAnsi="Times New Roman" w:eastAsia="宋体"/>
          <w:sz w:val="21"/>
        </w:rPr>
        <w:t xml:space="preserve">时间: 2026-01-27 | </w:t>
      </w:r>
      <w:r>
        <w:t xml:space="preserve">链接: </w:t>
      </w:r>
      <w:hyperlink r:id="rId26">
        <w:r>
          <w:rPr>
            <w:rFonts w:ascii="Times New Roman" w:hAnsi="Times New Roman" w:eastAsia="宋体"/>
            <w:color w:val="0000FF"/>
            <w:sz w:val="21"/>
            <w:u w:val="single"/>
          </w:rPr>
          <w:t>https://doi.org/10.1364/ol.578134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傅立叶-拉普拉斯分数阶框架，该框架通过精确的近轴解将标准和优雅的拉盖尔-高斯族统一起来。通过施加高斯型包络约束，我们恢复整数索引标准模式，并同时生成具有分数径向顺序的有界、优雅的分支。利用切比雪夫结构探索了方位角依赖性，并通过整数轨道角动量 (OAM) 模式的香农-正弦叠加来物理实现，该叠加保留了单值性，但实现了连续可调的平均 OAM。我们推导了封闭形式的归一化场，在数值上验证了它们的自由空间传播，并揭示了标准分支和优雅分支之间的 OAM 简并性，每个分支都表现出独特的横向鲁棒性。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Fourier–Laplace fractional framework that unifies the standard and elegant Laguerre–Gaussian families through exact paraxial solutions. By imposing a Gaussian-type envelope constraint, we recover the integer-indexed standard modes and simultaneously generate a bounded, elegant branch with fractional-radial order. The azimuthal dependence is explored with Chebyshev structures and realized physically through a Shannon–sinc superposition of integer orbital-angular-momentum (OAM) modes, which preserves single-valuedness yet enables continuously tunable mean OAM. We derive closed-form normalized fields, numerically validate their free-space propagation, and uncover an OAM degeneracy between the standard and elegant branches, each exhibiting distinct transverse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 X 射线脉冲形状对多原子系统衍射的影响</w:t>
      </w:r>
    </w:p>
    <w:p>
      <w:r>
        <w:rPr>
          <w:rFonts w:ascii="Times New Roman" w:hAnsi="Times New Roman" w:eastAsia="宋体"/>
          <w:b/>
          <w:color w:val="003264"/>
          <w:sz w:val="24"/>
        </w:rPr>
        <w:t>Influence of the shape of ultrashort X-ray pulses on diffraction in polyatomic systems</w:t>
      </w:r>
    </w:p>
    <w:p>
      <w:r>
        <w:rPr>
          <w:rFonts w:ascii="Times New Roman" w:hAnsi="Times New Roman" w:eastAsia="宋体"/>
          <w:sz w:val="21"/>
        </w:rPr>
        <w:t>作者: D. N. Makarov, M. K. Eseev, E. S. Gusarevich, A. A. Kharlamova</w:t>
        <w:br/>
      </w:r>
      <w:r>
        <w:rPr>
          <w:rFonts w:ascii="Times New Roman" w:hAnsi="Times New Roman" w:eastAsia="宋体"/>
          <w:sz w:val="21"/>
        </w:rPr>
        <w:t xml:space="preserve">时间: 2026-02-03 | </w:t>
      </w:r>
      <w:r>
        <w:t xml:space="preserve">链接: </w:t>
      </w:r>
      <w:hyperlink r:id="rId27">
        <w:r>
          <w:rPr>
            <w:rFonts w:ascii="Times New Roman" w:hAnsi="Times New Roman" w:eastAsia="宋体"/>
            <w:color w:val="0000FF"/>
            <w:sz w:val="21"/>
            <w:u w:val="single"/>
          </w:rPr>
          <w:t>https://doi.org/10.1364/ol.582649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由于新的脉冲源的出现，超短 X 射线脉冲在研究物质结构方面的应用最近变得越来越重要。在结构研究中通常很少考虑脉冲持续时间，并且其形状的影响实际上仍未被探索。本文证明，当在多原子系统上散射超短 X 射线脉冲时，脉冲形状是使用阿秒脉冲时的一个重要特征。还表明，脉冲形状对散射光谱的影响可以用简单的分析形式表示。例如，考虑具有 NV 中心的金刚石晶体和 DNA 分子片段对三个不同形状的超短脉冲的散射。</w:t>
      </w:r>
    </w:p>
    <w:p>
      <w:pPr>
        <w:spacing w:before="120"/>
      </w:pPr>
      <w:r>
        <w:rPr>
          <w:rFonts w:ascii="Times New Roman" w:hAnsi="Times New Roman" w:eastAsia="宋体"/>
          <w:b/>
          <w:sz w:val="21"/>
        </w:rPr>
        <w:t>English Abstract:</w:t>
      </w:r>
    </w:p>
    <w:p>
      <w:r>
        <w:rPr>
          <w:rFonts w:ascii="Times New Roman" w:hAnsi="Times New Roman" w:eastAsia="宋体"/>
          <w:sz w:val="21"/>
        </w:rPr>
        <w:t>The use of ultrashort X-ray pulses in studying the structure of matter has recently gained increasing relevance due to the emergence of new sources of such pulses. Pulse duration is typically rarely considered in structural studies, and the influence of its shape remains virtually unexplored. This article demonstrates that, when scattering ultrashort X-ray pulses on polyatomic systems, pulse shape is an important characteristic when using attosecond pulses. It is also shown that the influence of pulse shape on scattering spectra can be represented in a simple analytical form. As an example, the scattering of three ultrashort pulses of different shapes by a diamond crystal with NV centers and a fragment of a DNA molecule is considered.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高功率脉冲电化学发光用于果蝇幼虫行为的光遗传学操作</w:t>
      </w:r>
    </w:p>
    <w:p>
      <w:r>
        <w:rPr>
          <w:rFonts w:ascii="Times New Roman" w:hAnsi="Times New Roman" w:eastAsia="宋体"/>
          <w:b/>
          <w:color w:val="003264"/>
          <w:sz w:val="24"/>
        </w:rPr>
        <w:t>High-power pulsed electrochemiluminescence for optogenetic manipulation of Drosophila larval behaviour</w:t>
      </w:r>
    </w:p>
    <w:p>
      <w:r>
        <w:rPr>
          <w:rFonts w:ascii="Times New Roman" w:hAnsi="Times New Roman" w:eastAsia="宋体"/>
          <w:sz w:val="21"/>
        </w:rPr>
        <w:t>作者: Chang-Ki Moon, Matthias König, Ranjini Sircar, Julian F. Butscher, Ronald Alle, Klaus Meerholz, Stefan R. Pulver, Malte C. Gather</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https://doi.org/10.1038/s41377-025-02143-y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摘要电化学发光（ECL）通过电化学反应产生光，并在生物医学的各种分析应用中显示出前景。然而，由于光输出不足和运行稳定性低，ECL器件（ECLD）作为光源的使用受到限制。在这项研究中，我们提出了一种 ECLD 的高功率脉冲操作策略，以解决这些局限性并证明其在光遗传学操作中的有效性。通过应用具有短相反相位的双相电压序列，我们通过激基复合物形成反应途径实现了强烈且高效的 ECL。这种方法可产生极高的光功率密度，对于数千个脉冲超过 100 μW mm − ²。通过优化电压波形来平衡离子浓度进一步提高了设备​​的稳定性。通过将多个优化的脉冲合并到由短休息期分隔的脉冲串中，获得了高亮度且随着时间的推移功率损失最小的延长光脉冲。利用这些策略在表达光遗传学效应子 CsChrimson 的果蝇 (Drosophila melanogaster) 幼虫中引发强烈的光遗传学反应。 ECLD 的半透明特性有助于通过设备从下方同时对幼虫行为进行成像。这些发现凸显了 ECLD 作为生物医学和神经光子学研究中多功能光学工具的潜力。</w:t>
      </w:r>
    </w:p>
    <w:p>
      <w:pPr>
        <w:spacing w:before="120"/>
      </w:pPr>
      <w:r>
        <w:rPr>
          <w:rFonts w:ascii="Times New Roman" w:hAnsi="Times New Roman" w:eastAsia="宋体"/>
          <w:b/>
          <w:sz w:val="21"/>
        </w:rPr>
        <w:t>English Abstract:</w:t>
      </w:r>
    </w:p>
    <w:p>
      <w:r>
        <w:rPr>
          <w:rFonts w:ascii="Times New Roman" w:hAnsi="Times New Roman" w:eastAsia="宋体"/>
          <w:sz w:val="21"/>
        </w:rPr>
        <w:t>Abstract Electrochemiluminescence (ECL) produces light through electrochemical reactions and has shown promise for various analytic applications in biomedicine. However, the use of ECL devices (ECLDs) as light sources has been limited due to insufficient light output and low operational stability. In this study, we present a high-power pulsed operation strategy for ECLDs to address these limitations and demonstrate their effectiveness in optogenetic manipulation. By applying a biphasic voltage sequence with short opposing phases, we achieve intense and efficient ECL through an exciplex-formation reaction pathway. This approach results in an exceptionally high optical power density, exceeding 100 μW mm − ², for several thousand pulses. Balancing the ion concentration by optimizing the voltage waveform further improves device stability. By incorporating multiple optimized pulses into a pulse train separated by short rest periods, extended light pulses of high brightness and with minimal power loss over time were obtained. These strategies were leveraged to elicit a robust optogenetic response in fruit fly ( Drosophila melanogaster ) larvae expressing the optogenetic effector CsChrimson. The semi-transparent nature of ECLDs facilitates simultaneous imaging of larval behaviour from underneath, through the device. These findings highlight the potential of ECLDs as versatile optical tools in biomedical and neurophotonics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用于大规模重建的结构引导内存高效 3D 高斯</w:t>
      </w:r>
    </w:p>
    <w:p>
      <w:r>
        <w:rPr>
          <w:rFonts w:ascii="Times New Roman" w:hAnsi="Times New Roman" w:eastAsia="宋体"/>
          <w:b/>
          <w:color w:val="003264"/>
          <w:sz w:val="24"/>
        </w:rPr>
        <w:t>Structure-guided Memory-efficient 3D Gaussians for Large-scale Reconstruction</w:t>
      </w:r>
    </w:p>
    <w:p>
      <w:r>
        <w:rPr>
          <w:rFonts w:ascii="Times New Roman" w:hAnsi="Times New Roman" w:eastAsia="宋体"/>
          <w:sz w:val="21"/>
        </w:rPr>
        <w:t>作者: Zinan Lv, Yeqian Qian, Chunxiang Wang, and Ming Yang</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https://doi.org/10.1109/tvcg.2025.3637033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重建是一项关键技术，对城市规划、自动驾驶和虚拟现实等应用具有重大影响。 3D 高斯溅射 (3DGS) 的最新进展在小规模场景中展示了令人印象深刻的结果，通过实时渲染功能实现了高质量重建。然而，当应用于大规模场景时，由于模型尺寸呈指数级增长，现有的3DGS方法面临着巨大的挑战，常常超出消费级GPU的内存容量，导致训练和渲染变得不可行。在本文中，我们提出了一种结构引导的内存高效 3DGS 框架，该框架仅使用当前大规模 3DGS 方法一半的内存，同时保持最先进的重建精度。具体来说，我们引入了一种结构引导的密度控制机制，该机制使用启发式方法在具有挑战性的区域中分割高斯椭球体，并在致密化过程中优化其属性，显着降低内存存储需求，同时用更少的椭球体保留结构细节。此外，我们提出了一种新颖的结构损失来监督场景结构信息的学习，使模型能够更好地捕获和保留直线和边缘等几何细节，进一步提高重建精度。我们还提出了已知最大的用于 3D 重建的无人机数据集，其中包含 10,000 多张高分辨率图像，覆盖面积超过 250 万平方米。对多个基准数据集和我们提出的数据集的广泛实验表明，我们的新方法具有高内存效率和高精度。</w:t>
      </w:r>
    </w:p>
    <w:p>
      <w:pPr>
        <w:spacing w:before="120"/>
      </w:pPr>
      <w:r>
        <w:rPr>
          <w:rFonts w:ascii="Times New Roman" w:hAnsi="Times New Roman" w:eastAsia="宋体"/>
          <w:b/>
          <w:sz w:val="21"/>
        </w:rPr>
        <w:t>English Abstract:</w:t>
      </w:r>
    </w:p>
    <w:p>
      <w:r>
        <w:rPr>
          <w:rFonts w:ascii="Times New Roman" w:hAnsi="Times New Roman" w:eastAsia="宋体"/>
          <w:sz w:val="21"/>
        </w:rPr>
        <w:t>3D reconstruction is a critical technology with significant implications for applications such as urban planning, autonomous driving, and virtual reality. Recent advances in 3D Gaussian Splatting (3DGS) have demonstrated impressive results in small-scale scenes, achieving high-quality reconstructions with real-time rendering capabilities. However, when applied to large-scale scenes, existing 3DGS methods face significant challenges due to the exponential growth of model size, often exceeding the memory capacity of consumer-grade GPUs and making training and rendering infeasible. In this paper, we propose a structure-guided memory-efficient 3DGS framework that uses only half the memory of current large-scale 3DGS methods while maintaining state-of-the-art reconstruction accuracy. Specifically, we introduce a structure-guided density control mechanism that uses a heuristic approach to split Gaussian ellipsoids in challenging regions and optimizes their attributes during densification, significantly reducing memory storage requirements while preserving structural details with fewer ellipsoids. Moreover, we propose a novel structure loss to supervise the learning of scene structural information, enabling the model to better capture and preserve geometric details such as straight lines and edges, further enhancing reconstruction accuracy. We also propose the largest known drone dataset for 3D reconstruction, comprising over 10,000 high-resolution images covering more than 2.5 million square meters. Extensive experiments on multiple benchmark datasets and our proposed dataset demonstrate that our new method is highly memory-efficient with high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通过简并准 BIC 超表面产生可调谐二次谐波</w:t>
      </w:r>
    </w:p>
    <w:p>
      <w:r>
        <w:rPr>
          <w:rFonts w:ascii="Times New Roman" w:hAnsi="Times New Roman" w:eastAsia="宋体"/>
          <w:b/>
          <w:color w:val="003264"/>
          <w:sz w:val="24"/>
        </w:rPr>
        <w:t>Tunable Second Harmonic Generation by Degenerate Quasi-BIC Metasurfaces</w:t>
      </w:r>
    </w:p>
    <w:p>
      <w:r>
        <w:rPr>
          <w:rFonts w:ascii="Times New Roman" w:hAnsi="Times New Roman" w:eastAsia="宋体"/>
          <w:sz w:val="21"/>
        </w:rPr>
        <w:t>作者: Mingsheng Gao, Zhenyu Wang, Jiadian Yan, Zixian Ma, Lu Peng, Yang Chen, Qing Zhang, Yuanjie Yang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https://doi.org/10.1021/acsphotonics.5c02490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使用弱监督剩余变压器进行准确的工业异常检测和定位</w:t>
      </w:r>
    </w:p>
    <w:p>
      <w:r>
        <w:rPr>
          <w:rFonts w:ascii="Times New Roman" w:hAnsi="Times New Roman" w:eastAsia="宋体"/>
          <w:b/>
          <w:color w:val="003264"/>
          <w:sz w:val="24"/>
        </w:rPr>
        <w:t>Accurate Industrial Anomaly Detection and Localization using Weakly-Supervised Residual Transformers</w:t>
      </w:r>
    </w:p>
    <w:p>
      <w:r>
        <w:rPr>
          <w:rFonts w:ascii="Times New Roman" w:hAnsi="Times New Roman" w:eastAsia="宋体"/>
          <w:sz w:val="21"/>
        </w:rPr>
        <w:t>作者: Hanxi Li, Jingqi Wu, Deyin Liu, Lin Yuanbo Wu, Hao Chen, Chunhua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https://doi.org/10.1109/tip.2026.3659337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AD）的最新进展表明，在训练过程中纳入少量异常样本可以显着提高准确性。然而，这种改进通常是以大量注释工作为代价的，这对于许多实际应用程序来说是不切实际的。在本文中，我们介绍了一种新颖的框架“弱监督RES idual Transformer”（WeakREST），旨在实现高异常检测精度，同时最大限度地减少对手动注释的依赖。首先，我们将逐像素异常定位任务重新表述为逐块分类问题。其次，我们引入了一种基于残差的特征表示，称为“位置快速异常残差”（PosFAR），它可以更有效地捕获异常模式。为了利用此功能，我们采用 Swin Transformer 来增强异常检测和定位。此外，我们提出了一种利用边界框和图像标签来定义异常区域的弱注释方法。这种方法建立了一个半监督学习环境，减少了对精确像素级标签的依赖。为了进一步改进学习过程，我们开发了一种新颖的 ResMixMatch 算法，能够处理弱标签和基于残差的表示之间的相互作用。在基准数据集 MVTec-AD 上，我们的方法实现了 83:0% 的平均精度 (AP)，超过了之前在无监督设置下 82:7% 的最佳结果。在有监督的 AD 设置中，WeakREST 的 AP 达到 87:6%，超过了之前最好的 86:0%。值得注意的是，即使使用边界框等较弱的注释，WeakREST 也超过了依赖于像素级监督的领先方法的性能，与 MVTec-AD 上之前最好的 86:0% 相比，AP 达到了 87:1%。这种卓越的性能在其他成熟的 AD 数据集上得到了一致的复制，包括 MVTec 3D、KSDD2 和 Real-IAD。代码位于：https://github.com/BeJane/Semi REST。</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industrial anomaly detection (AD) have demonstrated that incorporating a small number of anomalous samples during training can significantly enhance accuracy. However, this improvement often comes at the cost of extensive annotation efforts, which are impractical for many real-world applications. In this paper, we introduce a novel framework, “ Weakly -supervised RES idual T ransformer” (WeakREST) , designed to achieve high anomaly detection accuracy while minimizing the reliance on manual annotations. First, we reformulate the pixel-wise anomaly localization task into a block-wise classification problem. Second, we introduce a residual-based feature representation called “ Pos itional F ast A nomaly R esiduals” (PosFAR) which captures anomalous patterns more effectively. To leverage this feature, we adapt the Swin Transformer for enhanced anomaly detection and localization. Additionally, we propose a weak annotation approach utilizing bounding boxes and image tags to define anomalous regions. This approach establishes a semi-supervised learning context that reduces the dependency on precise pixel-level labels. To further improve the learning process, we develop a novel ResMixMatch algorithm, capable of handling the interplay between weak labels and residual-based representations. On the benchmark dataset MVTec-AD, our method achieves an Average Precision (AP) of 83:0%, surpassing the previous best result of 82:7% in the unsupervised setting. In the supervised AD setting, WeakREST attains an AP of 87:6%, outperforming the previous best of 86:0%. Notably, even when using weaker annotations such as bounding boxes, WeakREST exceeds the performance of leading methods relying on pixel-wise supervision, achieving an AP of 87:1% compared to the prior best of 86:0% on MVTec-AD. This superior performance is consistently replicated across other well-established AD datasets, including MVTec 3D, KSDD2 and Real-IAD. Code is available at: https://github.com/BeJane/Semi 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无约束环境下多视角掌纹识别的高置信度块对角线分析</w:t>
      </w:r>
    </w:p>
    <w:p>
      <w:r>
        <w:rPr>
          <w:rFonts w:ascii="Times New Roman" w:hAnsi="Times New Roman" w:eastAsia="宋体"/>
          <w:b/>
          <w:color w:val="003264"/>
          <w:sz w:val="24"/>
        </w:rPr>
        <w:t>High-Confident Block Diagonal Analysis for Multi-View Palmprint Recognition in Unrestrained Environment</w:t>
      </w:r>
    </w:p>
    <w:p>
      <w:r>
        <w:rPr>
          <w:rFonts w:ascii="Times New Roman" w:hAnsi="Times New Roman" w:eastAsia="宋体"/>
          <w:sz w:val="21"/>
        </w:rPr>
        <w:t>作者: Shuping Zhao, Lunke Fei, Tingting Cai, Jie Wen, Bob Zhang, Jinrong Cui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https://doi.org/10.1109/tip.2026.3659325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限制掌纹识别是指在智能手机摄像头、监控录像、近红外场景等非受控环境下，根据采集到的掌纹图像进行个人身份认证的综合身份认证技术。然而，由于此类环境中图像质量、照明条件和手部姿势的变化，无限制的掌纹识别面临着巨大的挑战。我们观察到许多现有方法都利用子空间结构作为先验，其中数据的块对角线属性已经得到证明。在本文中，我们考虑一种统一的学习模型来保证所有视图的一致块对角线属性，称为多视图掌纹识别的高置信块对角线分析（HCBDA MPR）。特别是，本文提出了一种多视图块对角正则器来指导所有视图学习一致的块对角结构。以这种方式，可以保留每个视图的主要判别特征，同时学习所有视图的严格块对角线结构。在多个真实世界无约束掌纹数据库上的实验结果证明了该方法的优越性，与其他最先进的相关方法相比，获得了最高的识别精度。</w:t>
      </w:r>
    </w:p>
    <w:p>
      <w:pPr>
        <w:spacing w:before="120"/>
      </w:pPr>
      <w:r>
        <w:rPr>
          <w:rFonts w:ascii="Times New Roman" w:hAnsi="Times New Roman" w:eastAsia="宋体"/>
          <w:b/>
          <w:sz w:val="21"/>
        </w:rPr>
        <w:t>English Abstract:</w:t>
      </w:r>
    </w:p>
    <w:p>
      <w:r>
        <w:rPr>
          <w:rFonts w:ascii="Times New Roman" w:hAnsi="Times New Roman" w:eastAsia="宋体"/>
          <w:sz w:val="21"/>
        </w:rPr>
        <w:t>Unrestrained palmprint recognition refers to a comprehensive identity authentication technology, that performs personal authentication based on the palmprint images captured in uncontrolled environments, i.e., smartphone cameras, surveillance footage, or near-infrared scenarios. However, unrestrained palmprint recognition faces significant challenges due to the variability in image quality, lighting conditions, and hand poses present in such settings. We observed that many existing methods utilize the subspace structure as a prior, where the block diagonal property of the data has been proved. In this paper, we consider a unified learning model to guarantee the consensus block diagonal property for all views, named high-confident block diagonal analysis for multi-view palmprint recognition (HCBDA MPR). Particularly, this paper proposed a multi-view block diagonal regularizer to guide that all views learn a consensus block diagonal structure. In such a manner, the main discriminant features from each view can be preserved while the learning of the strict block diagonal structure across all views. Experimental results on a number of real-world unrestrained palmprint databases proved the superiority of the proposed method, where the highest recognition accuracies were obtained in comparison with the other state-of-the-art related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野外单图像反射分离的互补专家混合和互补交叉注意</w:t>
      </w:r>
    </w:p>
    <w:p>
      <w:r>
        <w:rPr>
          <w:rFonts w:ascii="Times New Roman" w:hAnsi="Times New Roman" w:eastAsia="宋体"/>
          <w:b/>
          <w:color w:val="003264"/>
          <w:sz w:val="24"/>
        </w:rPr>
        <w:t>Complementary Mixture-of-Experts and Complementary Cross-Attention for Single Image Reflection Separation in the Wild</w:t>
      </w:r>
    </w:p>
    <w:p>
      <w:r>
        <w:rPr>
          <w:rFonts w:ascii="Times New Roman" w:hAnsi="Times New Roman" w:eastAsia="宋体"/>
          <w:sz w:val="21"/>
        </w:rPr>
        <w:t>作者: Jonghyuk Park, Jae-Young Sim</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旨在从通过玻璃状反射表面捕获的包含两者叠加的单个图像重建透射图像和反射图像。最近基于学习的 SIRS 方法显着提高了具有轻微反射伪影的典型图像的性能；然而，他们经常与包含在野外拍摄的具有挑战性的反射的各种图像作斗争。在本文中，我们提出了一种基于灵活的双流架构的通用 SIRS 框架，能够处理不同的反射工件。具体来说，我们采用了专家混合机制，可以根据空间异构反射特性动态地将专业专家分配给图像块。然后，指定的专家合作以自适应方式提取传输流和反射流之间的互补特征。此外，我们利用 Transformers 的多头注意力机制来同时利用高和低互相关性，然后将其互补地用于促进自适应流间特征交互。在不同的现实世界数据集上评估的实验结果表明，所提出的方法在定性和定量上都显着优于现有的最先进方法。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aims to reconstruct both the transmitted and reflected images from a single image that contains a superimposition of both, captured through a glass-like reflective surface. Recent learning-based methods of SIRS have significantly improved performance on typical images with mild reflection artifacts; however, they often struggle with diverse images containing challenging reflections captured in the wild. In this paper, we propose a universal SIRS framework based on a flexible dual-stream architecture, capable of handling diverse reflection artifacts. Specifically, we incorporate a Mixture-of-Experts mechanism that dynamically assigns specialized experts to image patches based on spatially heterogeneous reflection characteristics. The assigned experts then cooperate to extract complementary features between the transmission and reflection streams in an adaptive manner. In addition, we leverage the multi-head attention mechanism of Transformers to simultaneously exploit both high and low cross-correlations, which are then complementarily used to facilitate adaptive inter-stream feature interactions. Experimental results evaluated on diverse real-world datasets demonstrate that the proposed method significantly outperforms existing state-of-the-art methods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通过频率空间特征过滤和高斯混合建模改进无监督超声图像异常检测</w:t>
      </w:r>
    </w:p>
    <w:p>
      <w:r>
        <w:rPr>
          <w:rFonts w:ascii="Times New Roman" w:hAnsi="Times New Roman" w:eastAsia="宋体"/>
          <w:b/>
          <w:color w:val="003264"/>
          <w:sz w:val="24"/>
        </w:rPr>
        <w:t>Improving Unsupervised Ultrasonic Image Anomaly Detection via Frequency-Spatial Feature Filtering and Gaussian Mixture Modeling</w:t>
      </w:r>
    </w:p>
    <w:p>
      <w:r>
        <w:rPr>
          <w:rFonts w:ascii="Times New Roman" w:hAnsi="Times New Roman" w:eastAsia="宋体"/>
          <w:sz w:val="21"/>
        </w:rPr>
        <w:t>作者: Wenjing Zhang, Ke Lu, Jinbao Wang, Hao Liang, Can Gao, Jian Xue</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https://doi.org/10.1109/tip.2026.3659292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由于有限的标记数据、强烈的结构和随机噪声以及高度多样化的缺陷表现，超声图像异常检测面临重大挑战。为了克服这些障碍，我们推出了 UltraChip，这是一种新的大规模 C 扫描基准测试，包含来自各种芯片封装类型的约 8,000 张真实图像，每张图像都用像素级掩模仔细注释了裂纹、孔洞和层。在此资源的基础上，我们提出了 FSGM-Net，这是一个专为异常检测量身定制的完全无监督框架。 FSGM-Net 利用自适应频率空间特征过滤机制：可学习的 FFT 空间补丁滤波器首先抑制噪声，并动态地将正态权重分配给视觉变换器 (ViT) 补丁特征。随后，自适应高斯混合模型（Ada-GMM）捕获正常特征的分布，并指导深浅多尺度交互解码器进行准确的像素级异常推断。此外，我们提出了一种强制编码器-滤波器一致性和基于熵的稀疏门控的滤波器损失，以及鼓励特征重建和置信高斯混合建模的分布损失。大量实验表明，FSGM-Net 不仅在 UltraChip 上取得了最先进的结果，而且还表现出优于 MVTec-AD 和 VisA 的跨域泛化能力，同时支持在单个 GPU 上进行实时推理。该数据集和框架共同推进了实际应用中稳健、无注释的超声无损检测。</w:t>
      </w:r>
    </w:p>
    <w:p>
      <w:pPr>
        <w:spacing w:before="120"/>
      </w:pPr>
      <w:r>
        <w:rPr>
          <w:rFonts w:ascii="Times New Roman" w:hAnsi="Times New Roman" w:eastAsia="宋体"/>
          <w:b/>
          <w:sz w:val="21"/>
        </w:rPr>
        <w:t>English Abstract:</w:t>
      </w:r>
    </w:p>
    <w:p>
      <w:r>
        <w:rPr>
          <w:rFonts w:ascii="Times New Roman" w:hAnsi="Times New Roman" w:eastAsia="宋体"/>
          <w:sz w:val="21"/>
        </w:rPr>
        <w:t>Ultrasonic image anomaly detection faces significant challenges due to limited labeled data, strong structural and random noise, and highly diverse defect manifestations. To overcome these obstacles, we introduce UltraChip, a new large-scale C-scan benchmark containing about 8,000 real-world images from various chip packaging types, each meticulously annotated with pixel-level masks for cracks, holes, and layers. Building on this resource, we present FSGM-Net, a fully unsupervised framework tailored for anomaly detection. FSGM-Net leverages an adaptive Frequency-Spatial feature filtering mechanism: a learnable FFT-Spatial patch filter first suppresses noise and dynamically assigns normality weights to Vision Transformer (ViT) patch features. Subsequently, an Adaptive Gaussian Mixture Model (Ada-GMM) captures the distribution of normal features and guides a deep–shallow multi-scale interaction decoder for accurate, pixel-level anomaly inference. In addition, we propose a filter loss that enforces encoder–filter consistency and entropy-based sparse gating, together with a distributional loss that encourages both feature reconstruction and confident Gaussian mixture modeling. Extensive experiments demonstrate that FSGM-Net not only achieves state-of-the-art results on UltraChip but also exhibits superior cross-domain generalization to MVTec-AD and VisA, while supporting real-time inference on a single GPU. Together, the dataset and framework advance robust, annotation-free ultrasonic NDT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攻击增强混合对比骨骼表示学习</w:t>
      </w:r>
    </w:p>
    <w:p>
      <w:r>
        <w:rPr>
          <w:rFonts w:ascii="Times New Roman" w:hAnsi="Times New Roman" w:eastAsia="宋体"/>
          <w:b/>
          <w:color w:val="003264"/>
          <w:sz w:val="24"/>
        </w:rPr>
        <w:t>Attack-Augmented Mixing-Contrastive Skeletal Representation Learning</w:t>
      </w:r>
    </w:p>
    <w:p>
      <w:r>
        <w:rPr>
          <w:rFonts w:ascii="Times New Roman" w:hAnsi="Times New Roman" w:eastAsia="宋体"/>
          <w:sz w:val="21"/>
        </w:rPr>
        <w:t>作者: Binqian Xu, Xiangbo Shu, Jiachao Zhang, Rui Yan, Guo-Sen Xie</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https://doi.org/10.1109/tip.2026.3659331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通过利用有效的正样本和负样本对来促进无监督动作识别的信息骨架表示的获取。然而，大多数现有方法通过弱或强的数据增强来构建这些对，这通常依赖于骨骼的随机外观改变。虽然这种增强在某种程度上是有效的，但它们只是间接引入语义变化，并且面临两个固有的局限性。首先，简单地修改骨架的外观通常无法反映有意义的语义变化。其次，随机扰动可能会无意中模糊正负对之间的界限，削弱对比目标。为了应对这些挑战，我们提出了一种攻击驱动的增强框架，明确引入了语义级扰动。这种方法有助于生成硬阳性，同时指导模型挖掘信息更丰富的硬阴性。基于这个想法，我们提出了攻击增强混合对比骨骼表示学习（A 2 MC），这是一个新颖的框架，专注于对比硬正样本和硬负样本，以实现更稳健的表示学习。在 A 2 MC 中，我们设计了一个攻击增强 (Att-Aug) 模块，该模块集成了目标（基于攻击）和非目标（基于增强）扰动，以生成信息丰富的硬阳性样本。与此同时，我们提出了正负混合器（PNM），它将硬正负特征混合在一起，以合成具有挑战性的硬负特征。然后将它们用于更新混合记忆库，以实现更有效的对比学习。对三个公共基准的综合评估表明，我们的方法（称为 A 2 MC）实现了与现有最​​先进方法相当或超过的性能。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facilitates the acquisition of informative skeleton representations for unsupervised action recognition by leveraging effective positive and negative sample pairs. However, most existing methods construct these pairs through weak or strong data augmentations, which typically rely on random appearance alterations of skeletons. While such augmentations are somewhat effective, they introduce semantic variations only indirectly and face two inherent limitations. First, simply modifying the appearance of skeletons often fails to reflect meaningful semantic variations. Second, random perturbations can unintentionally blur the boundary between positive and negative pairs, weakening the contrastive objective. To address these challenges, we propose an attack-driven augmentation framework that explicitly introduces semantic-level perturbations. This approach facilitates the generation of hard positives while guiding the model to mine more informative hard negatives. Building on this idea, we present Attack-Augmented Mixing-Contrastive Skeletal Representation Learning (A 2 MC), a novel framework that focuses on contrasting hard positive and hard negative samples for more robust representation learning. Within A 2 MC, we design an Attack-Augmentation (Att-Aug) module that integrates both targeted (attack-based) and untargeted (augmentation-based) perturbations to generate informative hard positive samples. In parallel, we propose the Positive-Negative Mixer (PNM), which blends hard positive and negative features to synthesize challenging hard negatives. These are then used to update a mixed memory bank for more effective contrastive learning. Comprehensive evaluations across three public benchmarks demonstrate that our approach, termed A 2 MC, achieves performance on par with or exceeding existing state-of-the-art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通过语言指导和表示对齐快速解开领域泛化</w:t>
      </w:r>
    </w:p>
    <w:p>
      <w:r>
        <w:rPr>
          <w:rFonts w:ascii="Times New Roman" w:hAnsi="Times New Roman" w:eastAsia="宋体"/>
          <w:b/>
          <w:color w:val="003264"/>
          <w:sz w:val="24"/>
        </w:rPr>
        <w:t>Prompt Disentanglement via Language Guidance and Representation Alignment for Domain Generalization</w:t>
      </w:r>
    </w:p>
    <w:p>
      <w:r>
        <w:rPr>
          <w:rFonts w:ascii="Times New Roman" w:hAnsi="Times New Roman" w:eastAsia="宋体"/>
          <w:sz w:val="21"/>
        </w:rPr>
        <w:t>作者: De Cheng, Zhipeng Xu, Xinyang Jiang, Dongsheng Li, Nannan Wang, Xinbo Gao</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https://doi.org/10.1109/tpami.2026.3661049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域泛化（DG）旨在通过学习域不变表示来开发在未见过的目标域上表现良好的模型。预训练视觉基础模型 (VFM)（例如 CLIP）的最新进展显示出通过即时调整增强 DG 的强大潜力。然而，现有的基于 VFM 的提示调整方法通常侧重于特定于任务的适应，而不是解开域不变特征，导致跨域泛化的探索不够充分。在本文中，我们通过充分利用 VFM 中可控且灵活的语言提示来应对这一挑战。观察到文本模态本质上具有丰富的语义并且更容易解开，我们提出了一种新颖的框架，称为通过语言指导和表示对齐进行提示解开（PADG）。 PADG 首先采用大型语言模型 (LLM) 将文本提示分解为领域不变和领域特定的组件，然后指导领域不变视觉表示的学习。为了补充纯文本指导的局限性，我们进一步引入了最差显式表示对齐（WERA）模块，该模块通过可学习的风格化提示模拟有界域的变化以及对齐原始样本和扰动样本之间的表示来增强视觉不变性。对主流 DG 基准（包括 PACS、VLCS、OfficeHome、DomainNet 和 TerraInc）的大量实验表明，PADG 始终优于现有的最先进方法，验证了其在鲁棒域不变表示学习中的有效性。该代码位于：https://anonymous.4open.science/r/paper-5403/</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(DG) seeks to develop models that perform well on unseen target domains by learning domain-invariant representations. Recent advances in pre-trained Visual Foundation Models (VFMs), such as CLIP, have shown strong potential for enhancing DG through prompt tuning. However, existing VFM-based prompt tuning methods often focus on task-specific adaptation rather than disentangling domain invariant features, leaving cross-domain generalization insufficiently explored. In this paper, we address this challenge by fully leveraging the controllable and flexible language prompt in VFMs. Observing that the text modality is inherently rich in semantics and easier to disentangle, we propose a novel frame work termed Prompt Disentanglement via Language Guidance and Representation Alignment (PADG). PADG first employs a large language model (LLM) to disentangle textual prompts into domain-invariant and domain-specific components, which then guide the learning of domain-invariant visual representations. To complement the limitations of text-only guidance, we further introduce the Worst Explicit Representation Alignment (WERA) module, which enhances visual invariance by simulating bounded domain shifts through learnable stylization prompts and aligning representations between original and perturbed samples. Extensive experiments on mainstream DG benchmarks, including PACS, VLCS, OfficeHome, DomainNet, and TerraInc, demonstrate that PADG consistently outperforms existing state of-the-art methods, validating its effectiveness in robust domain invariant representation learning. The code is available at: https://anonymous.4open.science/r/paper-5403/</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249-8" TargetMode="External"/><Relationship Id="rId11" Type="http://schemas.openxmlformats.org/officeDocument/2006/relationships/hyperlink" Target="https://doi.org/10.1038/s41598-026-38248-6" TargetMode="External"/><Relationship Id="rId12" Type="http://schemas.openxmlformats.org/officeDocument/2006/relationships/hyperlink" Target="https://doi.org/10.1038/s41598-025-32699-z" TargetMode="External"/><Relationship Id="rId13" Type="http://schemas.openxmlformats.org/officeDocument/2006/relationships/hyperlink" Target="https://doi.org/10.1038/s41598-026-38105-6" TargetMode="External"/><Relationship Id="rId14" Type="http://schemas.openxmlformats.org/officeDocument/2006/relationships/hyperlink" Target="https://doi.org/10.1038/s41598-026-37740-3" TargetMode="External"/><Relationship Id="rId15" Type="http://schemas.openxmlformats.org/officeDocument/2006/relationships/hyperlink" Target="https://doi.org/10.1016/j.displa.2026.103378" TargetMode="External"/><Relationship Id="rId16" Type="http://schemas.openxmlformats.org/officeDocument/2006/relationships/hyperlink" Target="https://doi.org/10.1016/j.displa.2026.103376" TargetMode="External"/><Relationship Id="rId17" Type="http://schemas.openxmlformats.org/officeDocument/2006/relationships/hyperlink" Target="https://doi.org/10.1016/j.optlastec.2026.114799" TargetMode="External"/><Relationship Id="rId18" Type="http://schemas.openxmlformats.org/officeDocument/2006/relationships/hyperlink" Target="https://doi.org/10.1016/j.optlastec.2026.114815" TargetMode="External"/><Relationship Id="rId19" Type="http://schemas.openxmlformats.org/officeDocument/2006/relationships/hyperlink" Target="https://doi.org/10.1016/j.optlastec.2026.114876" TargetMode="External"/><Relationship Id="rId20" Type="http://schemas.openxmlformats.org/officeDocument/2006/relationships/hyperlink" Target="https://doi.org/10.1016/j.optlastec.2026.114882" TargetMode="External"/><Relationship Id="rId21" Type="http://schemas.openxmlformats.org/officeDocument/2006/relationships/hyperlink" Target="https://doi.org/10.1016/j.optlaseng.2026.109659" TargetMode="External"/><Relationship Id="rId22" Type="http://schemas.openxmlformats.org/officeDocument/2006/relationships/hyperlink" Target="https://doi.org/10.1016/j.optcom.2026.132998" TargetMode="External"/><Relationship Id="rId23" Type="http://schemas.openxmlformats.org/officeDocument/2006/relationships/hyperlink" Target="https://doi.org/10.1016/j.optcom.2026.132990" TargetMode="External"/><Relationship Id="rId24" Type="http://schemas.openxmlformats.org/officeDocument/2006/relationships/hyperlink" Target="https://doi.org/10.1016/j.optcom.2026.132981" TargetMode="External"/><Relationship Id="rId25" Type="http://schemas.openxmlformats.org/officeDocument/2006/relationships/hyperlink" Target="https://doi.org/10.1364/ao.580653" TargetMode="External"/><Relationship Id="rId26" Type="http://schemas.openxmlformats.org/officeDocument/2006/relationships/hyperlink" Target="https://doi.org/10.1364/ol.578134" TargetMode="External"/><Relationship Id="rId27" Type="http://schemas.openxmlformats.org/officeDocument/2006/relationships/hyperlink" Target="https://doi.org/10.1364/ol.582649" TargetMode="External"/><Relationship Id="rId28" Type="http://schemas.openxmlformats.org/officeDocument/2006/relationships/hyperlink" Target="https://doi.org/10.1038/s41377-025-02143-y" TargetMode="External"/><Relationship Id="rId29" Type="http://schemas.openxmlformats.org/officeDocument/2006/relationships/hyperlink" Target="https://doi.org/10.1109/tvcg.2025.3637033" TargetMode="External"/><Relationship Id="rId30" Type="http://schemas.openxmlformats.org/officeDocument/2006/relationships/hyperlink" Target="https://doi.org/10.1021/acsphotonics.5c02490" TargetMode="External"/><Relationship Id="rId31" Type="http://schemas.openxmlformats.org/officeDocument/2006/relationships/hyperlink" Target="https://doi.org/10.1109/tip.2026.3659337" TargetMode="External"/><Relationship Id="rId32" Type="http://schemas.openxmlformats.org/officeDocument/2006/relationships/hyperlink" Target="https://doi.org/10.1109/tip.2026.3659325" TargetMode="External"/><Relationship Id="rId33" Type="http://schemas.openxmlformats.org/officeDocument/2006/relationships/hyperlink" Target="https://doi.org/10.1109/tip.2026.3659334" TargetMode="External"/><Relationship Id="rId34" Type="http://schemas.openxmlformats.org/officeDocument/2006/relationships/hyperlink" Target="https://doi.org/10.1109/tip.2026.3659292" TargetMode="External"/><Relationship Id="rId35" Type="http://schemas.openxmlformats.org/officeDocument/2006/relationships/hyperlink" Target="https://doi.org/10.1109/tip.2026.3659331" TargetMode="External"/><Relationship Id="rId36" Type="http://schemas.openxmlformats.org/officeDocument/2006/relationships/hyperlink" Target="https://doi.org/10.1109/tpami.2026.36610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