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欧亚急流轴上下游地带一致性变化破纪录出现</w:t>
      </w:r>
    </w:p>
    <w:p>
      <w:r>
        <w:rPr>
          <w:rFonts w:ascii="Times New Roman" w:hAnsi="Times New Roman" w:eastAsia="宋体"/>
          <w:b/>
          <w:color w:val="003264"/>
          <w:sz w:val="24"/>
        </w:rPr>
        <w:t>Record-breaking emergence of upstream-downstream zonal-consistent variation in the Eurasian jet axis</w:t>
      </w:r>
    </w:p>
    <w:p>
      <w:r>
        <w:rPr>
          <w:rFonts w:ascii="Times New Roman" w:hAnsi="Times New Roman" w:eastAsia="宋体"/>
          <w:sz w:val="21"/>
        </w:rPr>
        <w:t>作者: Lifei Lin, Chundi Hu, Dake Chen, Renguang Wu, Tao Lian, Quanliang Chen, Zeming Wu, Song Yang</w:t>
        <w:br/>
      </w:r>
      <w:r>
        <w:rPr>
          <w:rFonts w:ascii="Times New Roman" w:hAnsi="Times New Roman" w:eastAsia="宋体"/>
          <w:sz w:val="21"/>
        </w:rPr>
        <w:t xml:space="preserve">时间: 2026-02-04 | </w:t>
      </w:r>
      <w:r>
        <w:t xml:space="preserve">链接: </w:t>
      </w:r>
      <w:hyperlink r:id="rId27">
        <w:r>
          <w:rPr>
            <w:rFonts w:ascii="Times New Roman" w:hAnsi="Times New Roman" w:eastAsia="宋体"/>
            <w:color w:val="0000FF"/>
            <w:sz w:val="21"/>
            <w:u w:val="single"/>
          </w:rPr>
          <w:t>https://doi.org/10.1038/s41467-026-68772-y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欧亚地区的天气/气候极端事件通常与高层西风急流的蜿蜒和/或纬度变化有很大关系，但欧亚急流轴上下游纬向一致性（UDZC）的变化和影响却鲜为人知。在这里，我们报告了过去两到三十年中破纪录的增强型 UDZC 的出现。特别是上下游协方差从&lt;10%​​增加到&gt;60%，欧亚对流层上层西风异常以欧亚急流强度变化模式为主，促使亚洲和太平洋副热带高压发生大规模相互作用，从而引起欧亚大陆环流和气候异常分布格局的巨变。这种大范围的环流调整还伴随着环全球丝绸之路遥相关，即纬向波数为6的罗斯贝波列，它起源于东北大西洋，将亚洲气候与西欧和北美的热浪和干旱条件联系起来。气候模型模拟表明，随着北部中纬度地区变暖变得更加明显，UDZC将进一步加剧。我们的研究结果强调，欧亚急流轴上增强的UDZC的出现能够引发行星规模的极端气候，甚至遍及整个北半球，从而造成更严重的气候威胁。</w:t>
      </w:r>
    </w:p>
    <w:p>
      <w:pPr>
        <w:spacing w:before="120"/>
      </w:pPr>
      <w:r>
        <w:rPr>
          <w:rFonts w:ascii="Times New Roman" w:hAnsi="Times New Roman" w:eastAsia="宋体"/>
          <w:b/>
          <w:sz w:val="21"/>
        </w:rPr>
        <w:t>English Abstract:</w:t>
      </w:r>
    </w:p>
    <w:p>
      <w:r>
        <w:rPr>
          <w:rFonts w:ascii="Times New Roman" w:hAnsi="Times New Roman" w:eastAsia="宋体"/>
          <w:sz w:val="21"/>
        </w:rPr>
        <w:t>Abstract Eurasian weather/climate extremes are often considerably linked to the meandering and/or latitudinal shifts of upper-level westerly jet, but the variation and impact of the upstream-downstream zonal consistency (UDZC) in the Eurasian jet axis are less known. Here we report a record-breaking emergence of an enhanced UDZC during the past two-to-three decades. In particular, the upstream-downstream covariance has increased from &lt;10% to &gt;60%, with the Eurasian upper-tropospheric westerly wind anomalies dominated by the Eurasian jet intensity change mode, which prompts a large-scale interplay between Asian and Pacific subtropical highs and thereby induces mega-shifts in the distribution patterns of circulation and climate anomalies across Eurasia. Such large-range circulation adjustments are also accompanied by a circumglobal Silk Road teleconnection, a Rossby wavetrain with zonal wavenumber 6, which originates from the Northeast Atlantic and connects Asian climate with western Europe and North America heatwave and drought conditions. Climate model simulations suggest that the UDZC would further intensify as the northern mid-latitude warming becomes more pronounced. Our results highlight that the emergence of enhancing UDZC in the Eurasian jet axis is capable of triggering planetary-scale climate extremes even across the whole Northern Hemisphere, imposing more serious climate threats.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15年来棕熊对意大利东北部农牧业活动的损害模式</w:t>
      </w:r>
    </w:p>
    <w:p>
      <w:r>
        <w:rPr>
          <w:rFonts w:ascii="Times New Roman" w:hAnsi="Times New Roman" w:eastAsia="宋体"/>
          <w:b/>
          <w:color w:val="003264"/>
          <w:sz w:val="24"/>
        </w:rPr>
        <w:t>Patterns of brown bear damages to agro-livestock activities in North-Eastern Italy across 15 years</w:t>
      </w:r>
    </w:p>
    <w:p>
      <w:r>
        <w:rPr>
          <w:rFonts w:ascii="Times New Roman" w:hAnsi="Times New Roman" w:eastAsia="宋体"/>
          <w:sz w:val="21"/>
        </w:rPr>
        <w:t>作者: Marcello Franchini, Salvatore Raniolo, Mirco Corazzin, Paolo Zanghellini, Natalia Bragalanti, Stefano Bovolenta</w:t>
        <w:br/>
      </w:r>
      <w:r>
        <w:rPr>
          <w:rFonts w:ascii="Times New Roman" w:hAnsi="Times New Roman" w:eastAsia="宋体"/>
          <w:sz w:val="21"/>
        </w:rPr>
        <w:t xml:space="preserve">时间: 2026-02-04 | </w:t>
      </w:r>
      <w:r>
        <w:t xml:space="preserve">链接: </w:t>
      </w:r>
      <w:hyperlink r:id="rId28">
        <w:r>
          <w:rPr>
            <w:rFonts w:ascii="Times New Roman" w:hAnsi="Times New Roman" w:eastAsia="宋体"/>
            <w:color w:val="0000FF"/>
            <w:sz w:val="21"/>
            <w:u w:val="single"/>
          </w:rPr>
          <w:t>https://doi.org/10.1038/s41598-026-38371-4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牲畜的捕食以及对农田和蜂箱的破坏是共享景观中人熊冲突的一些主要驱动因素。在意大利东北部阿尔卑斯山，唯一的棕熊 Ursus arctos 繁殖种群持续存在于特伦托自治省，通过 LIFE Ursus 计划（1999-2004）重新引入，而在弗留利·威尼斯朱利亚 (FVG)，每年很少发现分散的雄性。这两个地区均报告主要对人类住区附近的农牧业活动造成损害。本研究的目的是：(i) 使用 15 年的索赔数据描述与熊相关的对牲畜（被捕食、受伤和失踪个体的总和）、农业、蜂箱和结构的损害； ㈡ 评估人类住区附近损害的时间趋势； (iii) 评估损害的空间扩展。我们分析了特伦托自治省和 FVG 2009 年至 2023 年的官方赔偿索赔。广义相加模型评估邻近趋势，同时使用基于 5 × 5 公里网格的热点分析来分析空间扩展。调查结果显示，多年来，牲畜和结构性破坏发生在距离人类住区更近的地方；但仅在特伦托自治省观察到损害在空间上显着扩大。结果强调需要有效预防以减少冲突并支持人与熊共存。</w:t>
      </w:r>
    </w:p>
    <w:p>
      <w:pPr>
        <w:spacing w:before="120"/>
      </w:pPr>
      <w:r>
        <w:rPr>
          <w:rFonts w:ascii="Times New Roman" w:hAnsi="Times New Roman" w:eastAsia="宋体"/>
          <w:b/>
          <w:sz w:val="21"/>
        </w:rPr>
        <w:t>English Abstract:</w:t>
      </w:r>
    </w:p>
    <w:p>
      <w:r>
        <w:rPr>
          <w:rFonts w:ascii="Times New Roman" w:hAnsi="Times New Roman" w:eastAsia="宋体"/>
          <w:sz w:val="21"/>
        </w:rPr>
        <w:t>Livestock predations along with damages to croplands and beehives, are some of the main drivers of human-bear conflicts in shared landscapes. In the North-Eastern Italian Alps, the only brown bear Ursus arctos breeding population persists in the Autonomous Province of Trento, reintroduced via the LIFE Ursus program (1999–2004), while in Friuli Venezia Giulia (FVG) few dispersing males are detected annually. Both areas report damages mainly to agro-livestock activities near human settlements. This study aimed to: (i) describe bear-related damages to livestock (sum of preyed, injured, and missing individuals), agriculture, beehives, and structures using 15 years of claims data; (ii) assess temporal trends in damages near human settlements; and (iii) evaluate the spatial expansion of damages. We analysed official compensation claims from 2009 to 2023 in the Autonomous Province of Trento and FVG. Generalized Additive Models assessed proximity trends, while spatial expansion was analysed using 5 × 5 km grid-based hotspot analysis. Findings revealed that livestock and structural damages occurred significantly closer to human settlements across years; but a significant spatial expansion of damages was observed only in the Autonomous Province of Trento. Results highlight the need for effective prevention to reduce conflicts and support human-bear coexistence.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使用光学相干断层扫描血管造影诊断帕金森病的整体机器学习分类器</w:t>
      </w:r>
    </w:p>
    <w:p>
      <w:r>
        <w:rPr>
          <w:rFonts w:ascii="Times New Roman" w:hAnsi="Times New Roman" w:eastAsia="宋体"/>
          <w:b/>
          <w:color w:val="003264"/>
          <w:sz w:val="24"/>
        </w:rPr>
        <w:t>An ensemble machine learning classifier for Parkinson’s disease diagnosis using optical coherence tomography angiography</w:t>
      </w:r>
    </w:p>
    <w:p>
      <w:r>
        <w:rPr>
          <w:rFonts w:ascii="Times New Roman" w:hAnsi="Times New Roman" w:eastAsia="宋体"/>
          <w:sz w:val="21"/>
        </w:rPr>
        <w:t>作者: MohammadReza Hasanshahi, Alireza Mehdizadeh, Tahereh Mahmoudi, Vahid Reza Ostovan, M. Hossein Nowroozzadeh, Hossein Parsaei</w:t>
        <w:br/>
      </w:r>
      <w:r>
        <w:rPr>
          <w:rFonts w:ascii="Times New Roman" w:hAnsi="Times New Roman" w:eastAsia="宋体"/>
          <w:sz w:val="21"/>
        </w:rPr>
        <w:t xml:space="preserve">时间: 2026-02-04 | </w:t>
      </w:r>
      <w:r>
        <w:t xml:space="preserve">链接: </w:t>
      </w:r>
      <w:hyperlink r:id="rId29">
        <w:r>
          <w:rPr>
            <w:rFonts w:ascii="Times New Roman" w:hAnsi="Times New Roman" w:eastAsia="宋体"/>
            <w:color w:val="0000FF"/>
            <w:sz w:val="21"/>
            <w:u w:val="single"/>
          </w:rPr>
          <w:t>https://doi.org/10.1038/s41598-026-38407-9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帕金森病（PD）是全球增长最快的神经退行性疾病，但由于缺乏可靠的生物标志物，其早期诊断仍然是一个重大挑战。新的证据表明，可通过光学相干断层扫描血管造影 (OCTA) 检测到的视网膜微血管改变可能作为 PD 的有前途的非侵入性生物标志物。然而，早期 PD 缺乏明确的诊断测试突显了迫切需要客观、非侵入性的工具来促进及时检测和干预。在这项回顾性研究中，从 53 名 PD 患者和 39 名健康对照中获得了 OCTA 图像。对浅表血管复合体 (SVC) 和深层血管复合体 (DVC) 进行分割，以提取 22 个定量特征，包括中心凹无血管区 (FAZ) 描述符和血管密度测量值。采用基于患者的交叉验证策略将数据集划分为训练集、验证集和独立测试集，确保来自同一个体的数据不会出现在多个子集中。为了降低维度并增强泛化性，我们应用了使用单变量特征选择、递归特征消除和随机森林特征重要性的组合特征选择框架。然后对多种机器学习算法进行训练和优化，将性能最佳的分类器（XGBoost、随机森林和 K 最近邻）集成到加权集成模型中。集成方法优于单个分类器，在独立保留测试集上实现了 74.28% 的准确度、90% 的灵敏度、53.33% 的特异性和 0.75 的 AUC 。特征分析表明，形态描述符（形状因子、凸度、坚固度、圆度）和血管密度参数（包括血管面积密度（VAD）和血管骨架密度（VSD））对模型性能有很大贡献。开发了图形用户界面（PDAI – 帕金森病人工智能）以促进临床采用，实现交互式预处理、特征可视化和自动预测。我们的研究结果提供了一个有前景的非侵入性框架来支持 PD 分类和筛查，值得在更大的多中心队列中进行进一步验证。</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the fastest-growing neurodegenerative disorder worldwide, yet its early diagnosis remains a major challenge due to the absence of reliable biomarkers. Emerging evidence indicates that retinal microvascular alterations, detectable through Optical Coherence Tomography Angiography (OCTA), may serve as promising non-invasive biomarkers for PD. However, the lack of definitive diagnostic tests for early-stage PD underscores an urgent need for objective, non-invasive tools to facilitate timely detection and intervention. In this retrospective study, OCTA images were obtained from 53 PD patients and 39 healthy controls. Both the superficial vascular complex (SVC) and deep vascular complex (DVC) were segmented to extract 22 quantitative features, including foveal avascular zone (FAZ) descriptors and vascular density measures. A patient-based cross-validation strategy was employed to partition the dataset into training, validation, and independent test sets, ensuring that data from the same individual did not appear across multiple subsets. To reduce dimensionality and enhance generalizability, we applied a combined feature selection framework using Univariate Feature Selection, Recursive Feature Elimination, and Random Forest Feature Importance. Multiple machine learning algorithms were then trained and optimized, with the best-performing classifiers (XGBoost, Random Forest, and K-Nearest Neighbors) integrated into a weighted ensemble model. The ensemble approach outperformed individual classifiers, achieving an accuracy of 74.28%, sensitivity of 90%, specificity of 53.33%, and an AUC of 0.75 on the independent hold-out test set. Feature analysis revealed that both morphological descriptors (form factor, convexity, solidity, roundness) and vascular density parameters, including vessel area density (VAD) and vessel skeleton density (VSD) contributed strongly to model performance. A graphical user interface (PDAI – Parkinson’s Disease Artificial Intelligence) was developed to facilitate clinical adoption, enabling interactive preprocessing, feature visualization, and automated prediction. Our findings provide a promising and non-invasive framework to support PD classification and screening, warranting further validation in larger and multi-center cohorts.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辫状河河段堤防管理策略的洪峰衰减有效性评估：以黄河下游为例</w:t>
      </w:r>
    </w:p>
    <w:p>
      <w:r>
        <w:rPr>
          <w:rFonts w:ascii="Times New Roman" w:hAnsi="Times New Roman" w:eastAsia="宋体"/>
          <w:b/>
          <w:color w:val="003264"/>
          <w:sz w:val="24"/>
        </w:rPr>
        <w:t>Evaluating flood peak attenuation effectiveness of levee management strategies in braided river reaches: a case study of the lower Yellow River</w:t>
      </w:r>
    </w:p>
    <w:p>
      <w:r>
        <w:rPr>
          <w:rFonts w:ascii="Times New Roman" w:hAnsi="Times New Roman" w:eastAsia="宋体"/>
          <w:sz w:val="21"/>
        </w:rPr>
        <w:t>作者: Jian Chen, Luyao Zhang, Haizhou Wang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https://doi.org/10.1038/s41598-026-38415-9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以黄河下游辫状河为研究对象，分析了不同重现期（5年一遇、10年一遇、100年一遇）下宽堤间距和窄堤间距两种人工堤坝治理方案对洪峰衰减和空间分布的影响。结果表明，两种方案均显着降低了洪峰流量，且衰减幅度随着洪水重现期的延长而增大。宽堤间距方案在极端洪水条件下表现出优异的减峰性能，在100年一遇洪水期间，最大减峰量为985.6 m3/s，平均减峰量为342.02 m3/s，但伴随着水位上升0.57~1.14 m。窄堤间距方案位居第二，最大减量为669.51 m3/s，平均减量为290.32 m3/s，水位上升0.66~1.45 m。从空间上看，堤坝方案可能会略微增加上游断面（如大柳寺）的洪峰流量，而在下游断面（如宝城）实现显着减少。宽堤距方案更适合应对高洪水风险，特别是在极端洪水情况下，而窄堤距方案更适合适度防洪、平衡洪峰衰减和上下游流量分配。该研究为辫状河河段防洪及优化设计提供科学依据。</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braided river of the lower Yellow River, analyzing the effects of two artificial levee management schemes—wide levee spacing and narrow levee spacing—on flood peak attenuation and spatial distribution under different return periods (5-year, 10-year, and 100-year floods). The results demonstrate that both schemes significantly reduce flood peak discharges, with the attenuation magnitude increasing as the flood return period becomes longer. The wide levee spacing scheme exhibits superior peak reduction performance under extreme flood conditions, achieving a maximum reduction of 985.6 m3/s and an average reduction of 342.02 m3/s during the 100-year flood event, though accompanied by a water level rise of 0.57–1.14 m. The narrow levee spacing scheme ranks second, with a maximum reduction of 669.51 m3/s and an average reduction of 290.32 m3/s, with water levels rising by 0.66–1.45 m. Spatially, the levee schemes may slightly increase peak discharge at upstream sections (e.g., Daliusi) while achieving significant reductions at downstream sections (e.g., Baocheng). The wide levee spacing scheme is more suitable for addressing high flood risks, particularly in extreme flood scenarios, while the narrow levee spacing scheme is better suited for moderate flood control, balancing peak attenuation and upstream-downstream flow distribution. This study provides a scientific basis for flood control and optimization design in braided river reaches.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人工智能与多学科团队建议在结直肠癌肝转移管理中的比较</w:t>
      </w:r>
    </w:p>
    <w:p>
      <w:r>
        <w:rPr>
          <w:rFonts w:ascii="Times New Roman" w:hAnsi="Times New Roman" w:eastAsia="宋体"/>
          <w:b/>
          <w:color w:val="003264"/>
          <w:sz w:val="24"/>
        </w:rPr>
        <w:t>Comparison of artificial intelligence and multidisciplinary team recommendations in the management of colorectal cancer liver metastases</w:t>
      </w:r>
    </w:p>
    <w:p>
      <w:r>
        <w:rPr>
          <w:rFonts w:ascii="Times New Roman" w:hAnsi="Times New Roman" w:eastAsia="宋体"/>
          <w:sz w:val="21"/>
        </w:rPr>
        <w:t>作者: Mustafa Yılmaz, Najmaddın Abbaslı, Simge Tuna, Uğfe Kuyucuoğlu, Cumhur Özcan, Hilmi Bozkurt, Tahsin Çolak</w:t>
        <w:br/>
      </w:r>
      <w:r>
        <w:rPr>
          <w:rFonts w:ascii="Times New Roman" w:hAnsi="Times New Roman" w:eastAsia="宋体"/>
          <w:sz w:val="21"/>
        </w:rPr>
        <w:t xml:space="preserve">时间: 2026-02-04 | </w:t>
      </w:r>
      <w:r>
        <w:t xml:space="preserve">链接: </w:t>
      </w:r>
      <w:hyperlink r:id="rId31">
        <w:r>
          <w:rPr>
            <w:rFonts w:ascii="Times New Roman" w:hAnsi="Times New Roman" w:eastAsia="宋体"/>
            <w:color w:val="0000FF"/>
            <w:sz w:val="21"/>
            <w:u w:val="single"/>
          </w:rPr>
          <w:t>https://doi.org/10.1038/s41598-026-38449-z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多学科团队 (MDT) 是结直肠癌肝转移 (CRCLM) 治疗计划的核心，但需要时间和持续获得专业知识。基于聊天的大型语言模型 (LLM)（例如 ChatGPT）可以根据书面临床摘要生成建议；然而，它们与 CRCLM 中 MDT 决策的一致性尚不明确。我们对 MDT 中讨论的 30 个连续 CRCLM 病例进行了单中心回顾性一致性研究。 ChatGPT 获得了标准化匿名文本概要（没有直接成像访问），并要求在两个先验条件下提供管理建议：（1）仅基线概要，以及（2）明确指定可切除性状态的条件查询。每个案例和条件都使用相同的提示在单独的会话中独立查询三次；产出被映射到预定义的管理类别。最终 LLM 建议与 MDT 决策之间的一致性是使用一致性百分比和 Cohen 的 kappa 进行评估的。在重复运行中，LLM 在所有情况下为两个查询条件分配相同的管理类别（模型内一致性 100%，3/3）。在基线条件下，与 MDT 决策的一致性为 66.7%（20/30；Cohen’s kappa = 0.606，中等一致性）。在有条件可切除性指定条件下，一致性为 93.3%（28/30；Cohen’s kappa = 0.924，非常好的一致性）。基线不一致病例的特点是保守的模型输出，包括全身治疗和/或额外诊断检查的建议；在确定可切除性后，只有两例仍不一致。基于聊天的法学硕士显示出与来自最少病例摘要的一致 MDT 建议的中等一致性，并且在明确指定可切除状态时显示出非常好的一致性。这些发现支持作为监督决策支持辅助手段的可行性，但并未确定临床益处；需要基于预期结果的验证。</w:t>
      </w:r>
    </w:p>
    <w:p>
      <w:pPr>
        <w:spacing w:before="120"/>
      </w:pPr>
      <w:r>
        <w:rPr>
          <w:rFonts w:ascii="Times New Roman" w:hAnsi="Times New Roman" w:eastAsia="宋体"/>
          <w:b/>
          <w:sz w:val="21"/>
        </w:rPr>
        <w:t>English Abstract:</w:t>
      </w:r>
    </w:p>
    <w:p>
      <w:r>
        <w:rPr>
          <w:rFonts w:ascii="Times New Roman" w:hAnsi="Times New Roman" w:eastAsia="宋体"/>
          <w:sz w:val="21"/>
        </w:rPr>
        <w:t>Multidisciplinary teams (MDTs) are central to treatment planning for colorectal cancer liver metastases (CRCLM) but require time and consistent access to expertise. Chat-based large language models (LLMs) such as ChatGPT can generate recommendations from written clinical summaries; however, their concordance with MDT decisions in CRCLM is not well characterized. We conducted a single-center retrospective concordance study of 30 consecutive CRCLM cases discussed at an MDT. ChatGPT was provided a standardized anonymized text synopsis (without direct imaging access) and asked for management recommendations under two a priori conditions: (1) baseline synopsis only, and (2) a conditional query in which resectability status was explicitly specified. Each case and condition was queried three independent times in separate sessions using identical prompts; outputs were mapped to predefined management categories. Agreement between the final LLM recommendation and MDT decisions was assessed using percent agreement and Cohen’s kappa. Across repeated runs, the LLM assigned the same management category in all cases (within-model consistency 100%, 3/3) for both querying conditions. In the baseline condition, agreement with MDT decisions was 66.7% (20/30; Cohen’s kappa = 0.606, moderate agreement). In the conditional resectability-specified condition, agreement was 93.3% (28/30; Cohen’s kappa = 0.924, very good agreement). Baseline discordant cases were characterized by conservative model outputs, including recommendations for systemic therapy and/or additional diagnostic work-up; only two cases remained discordant after resectability was specified. A chat-based LLM showed moderate concordance with unanimous MDT recommendations from minimal case summaries and very good concordance when resectability status was explicitly specified. These findings support feasibility as a supervised decision-support adjunct, but do not establish clinical benefit; prospective outcome-based validation is required.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七叶苷通过调节细胞外基质重塑和分子途径改善糖尿病大鼠的伤口愈合</w:t>
      </w:r>
    </w:p>
    <w:p>
      <w:r>
        <w:rPr>
          <w:rFonts w:ascii="Times New Roman" w:hAnsi="Times New Roman" w:eastAsia="宋体"/>
          <w:b/>
          <w:color w:val="003264"/>
          <w:sz w:val="24"/>
        </w:rPr>
        <w:t>Esculin improves wound healing in diabetic rats by modulating extracellular matrix remodeling and molecular pathways</w:t>
      </w:r>
    </w:p>
    <w:p>
      <w:r>
        <w:rPr>
          <w:rFonts w:ascii="Times New Roman" w:hAnsi="Times New Roman" w:eastAsia="宋体"/>
          <w:sz w:val="21"/>
        </w:rPr>
        <w:t>作者: Mohamadreza Almasifard, Mohammad Hashemnia, Hadi Cheraghi, Adel Mohammadalipour</w:t>
        <w:br/>
      </w:r>
      <w:r>
        <w:rPr>
          <w:rFonts w:ascii="Times New Roman" w:hAnsi="Times New Roman" w:eastAsia="宋体"/>
          <w:sz w:val="21"/>
        </w:rPr>
        <w:t xml:space="preserve">时间: 2026-02-04 | </w:t>
      </w:r>
      <w:r>
        <w:t xml:space="preserve">链接: </w:t>
      </w:r>
      <w:hyperlink r:id="rId32">
        <w:r>
          <w:rPr>
            <w:rFonts w:ascii="Times New Roman" w:hAnsi="Times New Roman" w:eastAsia="宋体"/>
            <w:color w:val="0000FF"/>
            <w:sz w:val="21"/>
            <w:u w:val="single"/>
          </w:rPr>
          <w:t>https://doi.org/10.1038/s41598-026-39098-y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伤口以再生不良、慢性炎症和氧化应激为特征，是糖尿病患者面临的重大挑战。七叶苷是一种天然香豆素，具有抗氧化和抗炎作用，有望促进伤口愈合。本研究调查了外用七叶苷对链脲佐菌素诱导的糖尿病大鼠全层伤口的组织病理学、生化和分子影响。对 60 只 Sprague-Dawley 大鼠进行切除伤口，分为四组：正常对照组、糖尿病对照组、七叶苷软膏 5% 和 10%。在第 7、14 和 21 天收集组织样本进行组织病理学、分子和生化分析。七叶苷治疗显着加速伤口闭合并改善上皮再形成和肉芽组织形成。组织学分析显示，早期阶段淋巴细胞浸润减少，成纤维细胞增殖和新血管形成增加，伤口愈合后期纤维细胞数量增多，胶原蛋白沉积更有组织。从生化角度来看，七叶苷显着提高抗氧化酶活性并减少氧化应激标记物，表明氧化还原平衡的恢复。此外，七叶苷下调促炎细胞因子 IL-1β 并上调 bFGF、VEG) 和 TGF-β1，从而支持成纤维细胞活性、血管生成和细胞外基质重塑。总的来说，这些发现强调了七叶苷在促进糖尿病患者伤口愈合方面的多方面作用，支持其作为治疗慢性伤口的有前途的辅助疗法的潜力。</w:t>
      </w:r>
    </w:p>
    <w:p>
      <w:pPr>
        <w:spacing w:before="120"/>
      </w:pPr>
      <w:r>
        <w:rPr>
          <w:rFonts w:ascii="Times New Roman" w:hAnsi="Times New Roman" w:eastAsia="宋体"/>
          <w:b/>
          <w:sz w:val="21"/>
        </w:rPr>
        <w:t>English Abstract:</w:t>
      </w:r>
    </w:p>
    <w:p>
      <w:r>
        <w:rPr>
          <w:rFonts w:ascii="Times New Roman" w:hAnsi="Times New Roman" w:eastAsia="宋体"/>
          <w:sz w:val="21"/>
        </w:rPr>
        <w:t>Diabetic wounds, marked by poor regeneration, chronic inflammation, and oxidative stress, pose a major challenge in diabetes. Esculin, a natural coumarin with antioxidant and anti-inflammatory effects, shows promise for wound healing. This study investigated the histopathological, biochemical, and molecular effects of topical esculin on full-thickness wounds in streptozotocin-induced diabetic rats. Excisional wounds were created on 60 Sprague-Dawley rats, assigned to four groups: normal control, diabetic control, esculin ointment 5% and 10%. Tissue samples were collected on days 7, 14, and 21 for histopathological, molecular, and biochemical analysis. Esculin treatment significantly accelerated wound closure and improved re-epithelialization and granulation tissue formation. Histological analysis revealed a decrease in lymphocyte infiltration, increased fibroblast proliferation and neovascularization at the earlier stages, and a higher number of fibrocytes and more organized collagen deposition at later stages of wound healing. Biochemically, esculin significantly elevated antioxidant enzyme activities and reduced oxidative stress markers, indicating restoration of redox balance. Moreover, esculin downregulated the pro-inflammatory cytokine IL-1β and upregulated bFGF, VEG), and TGF-β1, thereby supporting fibroblast activity, angiogenesis, and extracellular matrix remodeling. Collectively, these findings highlight the multifaceted role of esculin in promoting wound healing under diabetic conditions, supporting its potential as a promising adjunct therapy for managing chronic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脑血管疾病患者抓握力可调性与上肢/手功能的关系</w:t>
      </w:r>
    </w:p>
    <w:p>
      <w:r>
        <w:rPr>
          <w:rFonts w:ascii="Times New Roman" w:hAnsi="Times New Roman" w:eastAsia="宋体"/>
          <w:b/>
          <w:color w:val="003264"/>
          <w:sz w:val="24"/>
        </w:rPr>
        <w:t>Relationship between adjustability of grasping force and upper limb/hand function in individuals with cerebrovascular disorders</w:t>
      </w:r>
    </w:p>
    <w:p>
      <w:r>
        <w:rPr>
          <w:rFonts w:ascii="Times New Roman" w:hAnsi="Times New Roman" w:eastAsia="宋体"/>
          <w:sz w:val="21"/>
        </w:rPr>
        <w:t>作者: Tatsuya Kaneno, Katsutoshi Kawahara, Tatsuya Yabe, Takashi Tasaka, Tomoyuki Sakurai, Akihiro Sato, Kazunori Akizuki, Yoshifumi Morita</w:t>
        <w:br/>
      </w:r>
      <w:r>
        <w:rPr>
          <w:rFonts w:ascii="Times New Roman" w:hAnsi="Times New Roman" w:eastAsia="宋体"/>
          <w:sz w:val="21"/>
        </w:rPr>
        <w:t xml:space="preserve">时间: 2026-02-04 | </w:t>
      </w:r>
      <w:r>
        <w:t xml:space="preserve">链接: </w:t>
      </w:r>
      <w:hyperlink r:id="rId33">
        <w:r>
          <w:rPr>
            <w:rFonts w:ascii="Times New Roman" w:hAnsi="Times New Roman" w:eastAsia="宋体"/>
            <w:color w:val="0000FF"/>
            <w:sz w:val="21"/>
            <w:u w:val="single"/>
          </w:rPr>
          <w:t>https://doi.org/10.1038/s41598-026-38384-z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生活活动，包括抓、握、捏，对于独立至关重要，但对于患有脑血管疾病的人来说，由于上肢瘫痪往往变得困难。我们研究了抓握力可调节性（AGF）（定义为调节抓握力的能力）与上肢/手功能表现之间的关系。十二名患有轻度脑血管疾病的个体参与了这项初步横断面研究。评估包括使用 iWakka 的 AGF 任务、Fugl-Meyer 评估、评估手功能的简单测试、手臂动作研究测试 (ARAT) 和运动活动日志 (MAL)。 AGF 使用 AGF 分数进行量化，计算为目标抓握力和实际抓握力之间的绝对误差； AGF 分数越低表明 AGF 越好。根据年龄进行调整后的部分斯皮尔曼等级相关显示，受影响较小一侧的 AGF 评分（等长截面）分别与受影响较小一侧和受影响较大一侧的 ARAT 和 MAL（运动质量）呈负相关和正相关。这些发现表明，受影响较小一侧的 AGF 较好，可能会增强该侧的运动表现，但可能与受影响较大一侧的感知运动质量较低有关。这凸显了受影响较小的一侧在中风后功能中的复杂作用，并表明康复策略应考虑身体两侧的 AGF。</w:t>
      </w:r>
    </w:p>
    <w:p>
      <w:pPr>
        <w:spacing w:before="120"/>
      </w:pPr>
      <w:r>
        <w:rPr>
          <w:rFonts w:ascii="Times New Roman" w:hAnsi="Times New Roman" w:eastAsia="宋体"/>
          <w:b/>
          <w:sz w:val="21"/>
        </w:rPr>
        <w:t>English Abstract:</w:t>
      </w:r>
    </w:p>
    <w:p>
      <w:r>
        <w:rPr>
          <w:rFonts w:ascii="Times New Roman" w:hAnsi="Times New Roman" w:eastAsia="宋体"/>
          <w:sz w:val="21"/>
        </w:rPr>
        <w:t>Abstract Activities of daily living, including grasping, holding, and pinching, are essential for independence but often become difficult for individuals with cerebrovascular disease owing to upper limb paralysis. We investigated the relationship between adjustability of grasping force (AGF), defined as the ability to adjust grasping force, and upper limb/hand functional performance. Twelve individuals with mild cerebrovascular disorders participated in this preliminary cross-sectional study. Assessments included the AGF task using iWakka, the Fugl-Meyer Assessment, Simple Test for Evaluating Hand Function, Action Research Arm Test (ARAT), and Motor Activity Log (MAL). AGF was quantified using the AGF score, calculated as the absolute error between target and actual grasping force; lower AGF scores indicate better AGF. Partial Spearman’s rank correlations, adjusted for age, revealed that AGF score (isometric section) on the less-affected side was negatively and positively correlated with ARAT and MAL (Quality of Movement) on the less-affected and more-affected sides, respectively. These findings suggest that better AGF on the less-affected side may enhance motor performance on that side but could be associated with lower perceived movement quality on the more-affected side. This highlights the complex role of the less-affected side in post-stroke function and suggests that rehabilitation strategies should consider AGF on both sides of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晶格集成的 AES 框架，可在资源受限的边缘设备上提供超安全的生物识别保护</w:t>
      </w:r>
    </w:p>
    <w:p>
      <w:r>
        <w:rPr>
          <w:rFonts w:ascii="Times New Roman" w:hAnsi="Times New Roman" w:eastAsia="宋体"/>
          <w:b/>
          <w:color w:val="003264"/>
          <w:sz w:val="24"/>
        </w:rPr>
        <w:t>A lattice-integrated AES framework for ultra-secure biometric protection on resource-constrained edge devices</w:t>
      </w:r>
    </w:p>
    <w:p>
      <w:r>
        <w:rPr>
          <w:rFonts w:ascii="Times New Roman" w:hAnsi="Times New Roman" w:eastAsia="宋体"/>
          <w:sz w:val="21"/>
        </w:rPr>
        <w:t>作者: Aanjankumar Sureshkumar, M. Maragatharajan, Kaushik Jangiti, M. Karuppasamy, Kathiresan Jayabalan, Prakash Tukaram Raut, Nithya Rekha Sivakumar</w:t>
        <w:br/>
      </w:r>
      <w:r>
        <w:rPr>
          <w:rFonts w:ascii="Times New Roman" w:hAnsi="Times New Roman" w:eastAsia="宋体"/>
          <w:sz w:val="21"/>
        </w:rPr>
        <w:t xml:space="preserve">时间: 2026-02-04 | </w:t>
      </w:r>
      <w:r>
        <w:t xml:space="preserve">链接: </w:t>
      </w:r>
      <w:hyperlink r:id="rId34">
        <w:r>
          <w:rPr>
            <w:rFonts w:ascii="Times New Roman" w:hAnsi="Times New Roman" w:eastAsia="宋体"/>
            <w:color w:val="0000FF"/>
            <w:sz w:val="21"/>
            <w:u w:val="single"/>
          </w:rPr>
          <w:t>https://doi.org/10.1038/s41598-026-36054-8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在最近的技术进步中，手机和边缘设备等消费电子产品迅速扩张。尽管如此，与用户数据的机密性和完整性相关的关键安全问题仍然存在。超过 12 亿台消费设备正在使用，其用户数据各不相同。尽管如此，用户生物识别信息（例如指纹、语音和面部映射）的保密性仍然受到损害，导致消费者及其宝贵的储蓄遭受重大损失。为了克服这个问题，该研究引入了指纹模板保护框架，以确保用户生物识别信息在消费电子设备上的安全，防止用户数据被篡改。所提出的方法是轻量级的，可以在资源受限的设备上平稳运行，并能有效地提取特征并标准化用户指纹数据。该模型利用 AES-256 Galois 计数器模式 (GCM) 和面向 PIN 的密钥以及基于点阵的轻量级随机生成器来保护用户信息。与 RC5 (59.6%)、ElGamal (91.1%) 和 RSA (92.35%) 等其他最先进的方法相比，所提出的框架以最小的加密和解密周转时间实现了 98.69% 的假指纹检测准确率。实验结果表明，所提出的框架在安全性和数据可访问性方面均具有优越性。在消费电子产品中集成基于点阵的轻量级随机发生器可提高安全性并实现更可靠的设备应用程序。</w:t>
      </w:r>
    </w:p>
    <w:p>
      <w:pPr>
        <w:spacing w:before="120"/>
      </w:pPr>
      <w:r>
        <w:rPr>
          <w:rFonts w:ascii="Times New Roman" w:hAnsi="Times New Roman" w:eastAsia="宋体"/>
          <w:b/>
          <w:sz w:val="21"/>
        </w:rPr>
        <w:t>English Abstract:</w:t>
      </w:r>
    </w:p>
    <w:p>
      <w:r>
        <w:rPr>
          <w:rFonts w:ascii="Times New Roman" w:hAnsi="Times New Roman" w:eastAsia="宋体"/>
          <w:sz w:val="21"/>
        </w:rPr>
        <w:t>In recent technological advancements, consumer electronics such as mobile phones and edge devices have expanded rapidly. Still, critical security issues related to the confidentiality and integrity of user data is persistent. Over 1.2 billion consumer devices are in use, with varying user data. Still the secrecy of user biometric information, such as fingerprints, voice, and facial mapping is being compromised, leading to significant losses for consumers and their valuable savings. To overcome this, the study introduces a fingerprint-template protection framework to keep user biometric information safe on consumer electronic devices, preventing tampering with user data. The proposed methodology is lightweight and runs smoothly on resource-constrained devices, with an effective feature extraction and normalization of user fingerprint data. The model utilizes AES-256 Galois counter mode (GCM) with PIN oriented keys and a lightweight lattice-based randomness generator to secure user information. The proposed framework achieves a fake fingerprint detection accuracy of 98.69% with minimum turnaround for encryption and decryption, compared with other state-of-the-art methods such as RC5 (59.6%), ElGamal (91.1%), and RSA (92.35%). The experimental results show that the proposed framework is superior in both security and data accessibility. Integration of lightweight lattice-based randomness generators in consumer electronics improves security and enables more reliable on-device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多囊卵巢综合征女性与排卵对照女性的24小时动态血压及相关因素</w:t>
      </w:r>
    </w:p>
    <w:p>
      <w:r>
        <w:rPr>
          <w:rFonts w:ascii="Times New Roman" w:hAnsi="Times New Roman" w:eastAsia="宋体"/>
          <w:b/>
          <w:color w:val="003264"/>
          <w:sz w:val="24"/>
        </w:rPr>
        <w:t>24-hour ambulatory blood pressure and associated factors in women with polycystic ovary syndrome compared with ovulatory controls</w:t>
      </w:r>
    </w:p>
    <w:p>
      <w:r>
        <w:rPr>
          <w:rFonts w:ascii="Times New Roman" w:hAnsi="Times New Roman" w:eastAsia="宋体"/>
          <w:sz w:val="21"/>
        </w:rPr>
        <w:t>作者: Maria de Fátima Azevedo, Ana Kleyce Coreia Rocha, Livia Maria Bezerra de Melo, Luciana Medeiros Bezerra de Melo, Romena Leão Azevedo Catão, Eduardo Caldas Costa</w:t>
        <w:br/>
      </w:r>
      <w:r>
        <w:rPr>
          <w:rFonts w:ascii="Times New Roman" w:hAnsi="Times New Roman" w:eastAsia="宋体"/>
          <w:sz w:val="21"/>
        </w:rPr>
        <w:t xml:space="preserve">时间: 2026-02-04 | </w:t>
      </w:r>
      <w:r>
        <w:t xml:space="preserve">链接: </w:t>
      </w:r>
      <w:hyperlink r:id="rId35">
        <w:r>
          <w:rPr>
            <w:rFonts w:ascii="Times New Roman" w:hAnsi="Times New Roman" w:eastAsia="宋体"/>
            <w:color w:val="0000FF"/>
            <w:sz w:val="21"/>
            <w:u w:val="single"/>
          </w:rPr>
          <w:t>https://doi.org/10.1038/s41598-026-38731-0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比较多囊卵巢综合征 (PCOS) 女性与排卵对照女性之间的 24 小时动态血压 (ABP)，并探讨 PCOS 女性 ABP 的潜在人体测量、激素、代谢和炎症相关性。在这项横断面研究中，50 名患有 PCOS 的女性（按照鹿特丹标准诊断）和 50 名排卵对照者接受了办公室 24 小时 ABP 监测。评估临床、人体测量、激素、代谢和炎症参数。组间比较根据体重指数（BMI）进行调整。 LASSO 回归用于识别与 PCOS 组 ABP 独立相关的变量。与对照组相比，PCOS 女性的 24 小时和白天平均动脉压和心率显着升高，即使在调整 BMI 后也是如此 (p &lt; 0.05)。夜间 ABP 或诊室血压没有观察到差异 (p &gt; 0.05)。 PCOS 参与者表现出更不利的心脏代谢特征，包括较高的 BMI、腰围、胰岛素、糖化血红蛋白、甘油三酯、肌酐和 TNF-α，以及较低的雌二醇和黄体酮水平。在 LASSO 模型中，BMI 成为所有时期 ABP 唯一一致的独立预测因子。其他预测因子，如 HbA1c（夜间平均血压）、肌酐（日间舒张压）和腰围（日间收缩压）均保留在特定模型中，而大多数激素、代谢和炎症标志物与 PCOS 组的 ABP 无关。总之，与排卵对照相比，患有 PCOS 的女性表现出更高的 24 小时和白天 ABP，与 BMI 无关。根据 BMI 评估，肥胖似乎是该人群中与 ABP 相关的关键因素。这些发现强调了 24 小时 ABP 监测和体重管理在 PCOS 女性心血管风险评估和护理中的重要性。</w:t>
      </w:r>
    </w:p>
    <w:p>
      <w:pPr>
        <w:spacing w:before="120"/>
      </w:pPr>
      <w:r>
        <w:rPr>
          <w:rFonts w:ascii="Times New Roman" w:hAnsi="Times New Roman" w:eastAsia="宋体"/>
          <w:b/>
          <w:sz w:val="21"/>
        </w:rPr>
        <w:t>English Abstract:</w:t>
      </w:r>
    </w:p>
    <w:p>
      <w:r>
        <w:rPr>
          <w:rFonts w:ascii="Times New Roman" w:hAnsi="Times New Roman" w:eastAsia="宋体"/>
          <w:sz w:val="21"/>
        </w:rPr>
        <w:t>To compare 24-hour ambulatory blood pressure (ABP) between women with polycystic ovary syndrome (PCOS) and ovulatory controls, and to explore potential anthropometric, hormonal, metabolic, and inflammatory correlates of ABP in women with PCOS. In this cross-sectional study, 50 women with PCOS (diagnosed by Rotterdam criteria) and 50 ovulatory controls underwent office and 24-hour ABP monitoring. Clinical, anthropometric, hormonal, metabolic, and inflammatory parameters were assessed. Between-group comparisons were adjusted for body mass index (BMI). LASSO regression was used to identify variables independently associated with ABP in the PCOS group. Women with PCOS showed significantly higher 24-hour and daytime mean arterial pressure and heart rate compared to controls, even after adjustment for BMI (p &lt; 0.05). No differences were observed in nighttime ABP or office blood pressure (p &gt; 0.05). PCOS participants exhibited a more adverse cardiometabolic profile, including higher BMI, waist circumference, insulin, HbA1c, triglycerides, creatinine, and TNF-alfa, along with lower estradiol and progesterone levels. In LASSO models, BMI emerged as the only consistent independent predictor of ABP across all periods. Additional predictors, such as HbA1c (nighttime mean BP), creatinine (daytime diastolic BP), and waist circumference (daytime systolic BP), were retained in specific models, while most hormonal, metabolic, and inflammatory markers were not associated with ABP in the PCOS group. In summary, women with PCOS exhibit higher 24-hour and daytime ABP compared to ovulatory controls, independently of BMI. Adiposity, as assessed by BMI, appears to be a key factor associated with ABP in this population. These findings highlight the importance of 24-hour ABP monitoring and weight management in the cardiovascular risk assessment and care of women with PCOS.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 COVID-19 大流行对性健康和生殖健康的影响：一项信息流行病学调查</w:t>
      </w:r>
    </w:p>
    <w:p>
      <w:r>
        <w:rPr>
          <w:rFonts w:ascii="Times New Roman" w:hAnsi="Times New Roman" w:eastAsia="宋体"/>
          <w:b/>
          <w:color w:val="003264"/>
          <w:sz w:val="24"/>
        </w:rPr>
        <w:t>Sexual and reproductive health consequences of COVID-19 pandemic in Nigeria: an infodemiological survey</w:t>
      </w:r>
    </w:p>
    <w:p>
      <w:r>
        <w:rPr>
          <w:rFonts w:ascii="Times New Roman" w:hAnsi="Times New Roman" w:eastAsia="宋体"/>
          <w:sz w:val="21"/>
        </w:rPr>
        <w:t>作者: R. E. Akhigbe, M. A. Hamed, D. H. Adeyemi, T. M. Akhigbe</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https://doi.org/10.1038/s41598-026-38746-7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本研究分析了常见性和生殖健康状况（例如性、色情、强奸、避孕、堕胎、性传播感染、性传播感染、勃起功能障碍和 ED）的互联网搜索行为及其与 COVID-19 的关联。这项信息流行病学调查利用 Google Trends 分析了 2018 年 10 月 1 日至 2021 年 8 月 1 日期间尼日利亚选定的性健康和生殖健康状况的互联网搜索行为，分为新冠疫情前和 2020 年 3 月 1 日新冠疫情期间。提取的数据包括查询最多的州、人口最多的州、上升的查询和热门查询的搜索量指数 (SVI)。 Mann-Whitney U 检验用于比较新冠疫情前和新冠疫情期间的平均 SVI，而 Spearman 的排序相关性则用于使用 SPSS 统计包确定性健康和生殖健康指数与 COVID-19 之间的关联。 P 值 &lt; 0.05 被认为是显着的。与新冠疫情之前相比，新冠疫情期间，网上对“如何强奸”、“后遗症”、“什么是性病”、“性病的含义”、“什么是勃起功能障碍”和“勃起功能障碍治疗”等术语的兴趣有所增加。此外，与新冠疫情爆发前相比，大流行期间强奸、避孕、堕胎、性传播感染和 ED 的 SVI 有所减少。此外，色情的 SVI 有所增加，而性的 SVI 在大流行期间没有变化。 COVID 的 SVI 与色情呈正相关，但与强奸、避孕、堕胎、性传播感染和 ED 呈负相关。疫情期间，强奸意图、对紧急避孕药（如事后避孕）、性传播感染事件和性传播感染自我诊断、性传播感染事件以及性传播感染自我诊断和自我管理的需求有所增加。这些发现与色情消费的增加有关，如色情 SVI 的增加所示。 COVID-19 大流行极大地影响了尼日利亚与性和生殖健康相关的互联网搜索行为，这表现在人们对某些健康查询的兴趣增加，例如与性暴力、紧急避孕和勃起功能障碍相关的查询，同时色情内容搜索也有所增加。相比之下，与避孕、堕胎和性传播感染 (STI) 相关的术语的搜索兴趣有所下降。这些模式表明，在大流行期间，性健康话题的在线参与度增加与态度或行为的改变之间存在着复杂的相互作用。研究结果可以通过强调新兴趋势以及在 COVID-19 期间和之后不断变化的性健康和生殖健康问题的背景下对有针对性的健康教育和服务的需求，为公共卫生举措提供信息。</w:t>
      </w:r>
    </w:p>
    <w:p>
      <w:pPr>
        <w:spacing w:before="120"/>
      </w:pPr>
      <w:r>
        <w:rPr>
          <w:rFonts w:ascii="Times New Roman" w:hAnsi="Times New Roman" w:eastAsia="宋体"/>
          <w:b/>
          <w:sz w:val="21"/>
        </w:rPr>
        <w:t>English Abstract:</w:t>
      </w:r>
    </w:p>
    <w:p>
      <w:r>
        <w:rPr>
          <w:rFonts w:ascii="Times New Roman" w:hAnsi="Times New Roman" w:eastAsia="宋体"/>
          <w:sz w:val="21"/>
        </w:rPr>
        <w:t>The present study analyzed the internet search behavior of common sexual and reproductive health conditions (such as sex, porn, rape, contraceptive, abortion, sexually transmitted infections, STI, erectile dysfunction, and ED) and their associations with COVID-19. This infodemiological survey employed Google Trends to analyze the internet search behavior of selected sexual and reproductive health conditions in Nigeria from October 1, 2018, to August 1, 2021, which was divided into the pre-COVID and COVID periods on March 1, 2020. The extracted data included search volume index (SVIs) for the top queried state, most populated state, rising queries, and top queries. Mann-Whitney U test was used to compare the mean SVIs for the pre-COVID and COVID periods, while Spearman’s rank-order correlation was conducted to determine the association between the sexual and reproductive health indices and COVID-19 using the SPSS statistical package. P-values &lt; 0.05 were considered significant. The online interest in terms such as “how to rape”, “postinor”, “what is sti”, “meaning of sti”, “what is erectile dysfunction”, and “erectile dysfunction treatment” increased during the COVID pandemic compared to the pre-COVID period. Also, the SVIs for rape, contraceptive, abortion, STI, and ED reduced during the pandemic compared to the pre-COVID period. In addition, the SVI for porn increased, while that for sex was unaltered during the pandemic. SVI for COVID was positively correlated with porn but negatively correlated with rape, contraceptive, abortion, STI, and ED. The intent of rape, the need for an emergency contraceptive such as postinor, incident STI and self-diagnosis of STI, and incident ED and self-diagnosis and self-management of STI increased during the pandemic. These findings are associated with increased porn consumption as depicted by a rise in porn SVI. The COVID-19 pandemic considerably influenced internet search behavior related to sexual and reproductive health in Nigeria as shown by an increased interest in certain health queries, such as those related to sexual violence, emergency contraception, and erectile dysfunction, alongside a rise in pornographic content searches. In contrast, there was a decrease in search interest for terms related to contraception, abortion, and sexually transmitted infections (STIs). These patterns suggest a complex interplay between increased online engagement with sexual health topics and altered attitudes or behaviors during the pandemic. The findings could inform public health initiatives by highlighting emerging trends and the need for targeted health education and services in the context of evolving sexual and reproductive health concerns during and post-COVID-19.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结肠内吞细胞镜染色质量的新型评分量表的开发和验证</w:t>
      </w:r>
    </w:p>
    <w:p>
      <w:r>
        <w:rPr>
          <w:rFonts w:ascii="Times New Roman" w:hAnsi="Times New Roman" w:eastAsia="宋体"/>
          <w:b/>
          <w:color w:val="003264"/>
          <w:sz w:val="24"/>
        </w:rPr>
        <w:t>Development and validation of a novel scoring scale for colonic endocytoscopy staining quality</w:t>
      </w:r>
    </w:p>
    <w:p>
      <w:r>
        <w:rPr>
          <w:rFonts w:ascii="Times New Roman" w:hAnsi="Times New Roman" w:eastAsia="宋体"/>
          <w:sz w:val="21"/>
        </w:rPr>
        <w:t>作者: Jiawei Fan, He Zhu, Mingqing Liu, Fengming Ni, Dong Yang, Guohua Jin, Ke Tao, Hong Xu</w:t>
        <w:br/>
      </w:r>
      <w:r>
        <w:rPr>
          <w:rFonts w:ascii="Times New Roman" w:hAnsi="Times New Roman" w:eastAsia="宋体"/>
          <w:sz w:val="21"/>
        </w:rPr>
        <w:t xml:space="preserve">时间: 2026-02-04 | </w:t>
      </w:r>
      <w:r>
        <w:t xml:space="preserve">链接: </w:t>
      </w:r>
      <w:hyperlink r:id="rId37">
        <w:r>
          <w:rPr>
            <w:rFonts w:ascii="Times New Roman" w:hAnsi="Times New Roman" w:eastAsia="宋体"/>
            <w:color w:val="0000FF"/>
            <w:sz w:val="21"/>
            <w:u w:val="single"/>
          </w:rPr>
          <w:t>https://doi.org/10.1038/s41598-026-37406-0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摘要背景 虽然内吞镜允许进行体内细胞水平观察，但实现高质量染色仍然是一个技术挑战。目的 开发并验证一种简单、可靠的量表，用于评估和提高内吞细胞镜染色质量。方法 我们制定了四维染色质量评分，并在回顾性图像队列 (n = 2692) 上对其进行了验证。评估了量表的信度、效度和内部一致性，并使用多项回归确定了相关因素。然后，该量表在单独的回顾性图像队列 (n = 2413) 中进行了外部验证，以确认其临床适用性。结果该量表显示出评定者间一致性（ICC = 0.992）和可靠性（Cronbach's alpha = 0.81），单个主因素解释了 62.3% 的方差。金标准得分与 AOD 值之间的 Spearman 相关性为 0.81。染色质量受病变特征和医生经验的影响（P &lt; 0.05）。经过一个月的培训，初级医生与金标准分数的一致性有所提高，Kappa 值从 0.61、0.66 和 0.69 上升到 0.81、0.83 和 0.82。较高的染色质量也与细胞镜成像和组织病理学之间更好的一致性显着相关（P &lt; 0.001）。结论 该内吞细胞镜染色质量评分是指导技术改进和提高诊断准确性的可靠有效的工具。</w:t>
      </w:r>
    </w:p>
    <w:p>
      <w:pPr>
        <w:spacing w:before="120"/>
      </w:pPr>
      <w:r>
        <w:rPr>
          <w:rFonts w:ascii="Times New Roman" w:hAnsi="Times New Roman" w:eastAsia="宋体"/>
          <w:b/>
          <w:sz w:val="21"/>
        </w:rPr>
        <w:t>English Abstract:</w:t>
      </w:r>
    </w:p>
    <w:p>
      <w:r>
        <w:rPr>
          <w:rFonts w:ascii="Times New Roman" w:hAnsi="Times New Roman" w:eastAsia="宋体"/>
          <w:sz w:val="21"/>
        </w:rPr>
        <w:t>Abstract Background While endocytoscopy allows for in vivo cellular-level observation, achieving high-quality staining remains a technical challenge. Aims To develop and validate a simple, reliable scale for assessing and improving endocytoscopic staining quality. Methods We developed a four-dimension staining quality score and validated it on a retrospective image cohort (n = 2692). The scale’s reliability, validity, and internal consistency were assessed, and associated factors were identified using multinomial regression. The scale was then externally validated in a separate retrospective image cohort (n = 2413) to confirm its clinical applicability. Results The scale showed inter-rater agreement (ICC = 0.992) and reliability (Cronbach’s alpha = 0.81), with a single principal factor explaining 62.3% of variance.The Spearman correlation between the gold standard score and AOD value was 0.81. Staining quality was influenced by lesion characteristics and physician experience (P &lt; 0.05). After one month of training, junior physicians showed improved agreement with gold standard scores, with Kappa values rising from 0.61, 0.66, and 0.69 to 0.81, 0.83, and 0.82. Higher staining quality was also significantly associated with better concordance between Endocytoscopy imaging and histopathology (P &lt; 0.001). Conclusion This endocytoscopic staining quality score is a reliable and valid tool to guide technique refinement and improve diagnostic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5XFAD 小鼠中参考基因随年龄和性别的变化凸显了阿尔茨海默氏症模型正常化的挑战</w:t>
      </w:r>
    </w:p>
    <w:p>
      <w:r>
        <w:rPr>
          <w:rFonts w:ascii="Times New Roman" w:hAnsi="Times New Roman" w:eastAsia="宋体"/>
          <w:b/>
          <w:color w:val="003264"/>
          <w:sz w:val="24"/>
        </w:rPr>
        <w:t>Reference gene variability across age and sex in 5XFAD mice highlights normalization challenges in Alzheimer’s models</w:t>
      </w:r>
    </w:p>
    <w:p>
      <w:r>
        <w:rPr>
          <w:rFonts w:ascii="Times New Roman" w:hAnsi="Times New Roman" w:eastAsia="宋体"/>
          <w:sz w:val="21"/>
        </w:rPr>
        <w:t>作者: Eleonora Daini, Kristy Antonioni, Monica Piemontese, Martina Bodria, Michele Zoli, Antonietta Vilella</w:t>
        <w:br/>
      </w:r>
      <w:r>
        <w:rPr>
          <w:rFonts w:ascii="Times New Roman" w:hAnsi="Times New Roman" w:eastAsia="宋体"/>
          <w:sz w:val="21"/>
        </w:rPr>
        <w:t xml:space="preserve">时间: 2026-02-04 | </w:t>
      </w:r>
      <w:r>
        <w:t xml:space="preserve">链接: </w:t>
      </w:r>
      <w:hyperlink r:id="rId38">
        <w:r>
          <w:rPr>
            <w:rFonts w:ascii="Times New Roman" w:hAnsi="Times New Roman" w:eastAsia="宋体"/>
            <w:color w:val="0000FF"/>
            <w:sz w:val="21"/>
            <w:u w:val="single"/>
          </w:rPr>
          <w:t>https://doi.org/10.1038/s41598-026-38346-5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 (AD) 等神经退行性疾病的基因表达谱通常使用实时定量聚合酶链反应 (RT-qPCR) 进行。该技术的准确性在很大程度上依赖于选择合适的参考基因（RG）进行标准化和内部控制。理想情况下，RG 应保持一致的转录水平，不受细胞或病理变化的影响。然而，识别稳定的 RG 具有挑战性，特别是在 AD 等疾病中，基因表达在不同疾病阶段会发生波动。本研究旨在确定雄性和雌性 5XFAD 小鼠（家族性 AD 模型）的两个大脑区域 - 皮质 (CTX) 和海马 (HIPP) 中最稳定的 RG。使用 GeNorm、NormFinder、BestKeeper 和 EndoGene 算法评估了五种常用 RG（即 Gapdh、Ppia、Rer1、Rpl27 和 Rps29）在三个 AD 阶段的稳定性：前驱期（2 个月龄）、早期（4 个月）和晚期（7 个月和 10 个月）。结果揭示了 RG 表达稳定性的区域、性别和时间依赖性差异，反映了 CTX 和 HIPP 对 Aβ 病理学的明显脆弱性。使用两个最稳定的 RG 进行标准化可以提高靶基因表达分析的精度、减少变异性并提高显着性水平。这些发现强调了在特定实验条件下验证 RG 的必要性，以确保 AD 研究中可靠的 RT-qPCR 定量。</w:t>
      </w:r>
    </w:p>
    <w:p>
      <w:pPr>
        <w:spacing w:before="120"/>
      </w:pPr>
      <w:r>
        <w:rPr>
          <w:rFonts w:ascii="Times New Roman" w:hAnsi="Times New Roman" w:eastAsia="宋体"/>
          <w:b/>
          <w:sz w:val="21"/>
        </w:rPr>
        <w:t>English Abstract:</w:t>
      </w:r>
    </w:p>
    <w:p>
      <w:r>
        <w:rPr>
          <w:rFonts w:ascii="Times New Roman" w:hAnsi="Times New Roman" w:eastAsia="宋体"/>
          <w:sz w:val="21"/>
        </w:rPr>
        <w:t>Gene expression profiling in neurodegenerative diseases such as Alzheimer’s Disease (AD) is frequently performed using real-time quantitative polymerase chain reaction (RT-qPCR). The accuracy of this technique relies heavily on selecting suitable reference genes (RGs) for normalization and internal control. Ideally, RGs should maintain consistent transcription levels, unaffected by cellular or pathological changes. However, identifying stable RGs is challenging, particularly in diseases like AD, where gene expression fluctuates across disease stages. This study aimed to determine the most stable RGs in two brain regions - cortex (CTX) and hippocampus (HIPP) - of male and female 5XFAD mice, a model of familial AD. The stability of five commonly used RGs namely Gapdh, Ppia, Rer1, Rpl27 and Rps29, was evaluated using GeNorm, NormFinder, BestKeeper, and EndoGene algorithms across three AD stages: prodromal (2 months of age, mo), early (4 mo), and late (7 and 10 mo). Results revealed region-, sex-, and time-dependent differences in RG expression stability, reflecting the distinct vulnerability of CTX and HIPP to Aβ pathology. Using the two most stable RGs for normalization improved precision, reducing variability and increasing the significance level in target gene expression analyses. These findings emphasize the necessity of validating RGs under specific experimental conditions to ensure reliable RT-qPCR quantification in AD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火山灰介导的锰循环塑造珊瑚对沿海沉积的反应</w:t>
      </w:r>
    </w:p>
    <w:p>
      <w:r>
        <w:rPr>
          <w:rFonts w:ascii="Times New Roman" w:hAnsi="Times New Roman" w:eastAsia="宋体"/>
          <w:b/>
          <w:color w:val="003264"/>
          <w:sz w:val="24"/>
        </w:rPr>
        <w:t>Tephra-mediated manganese cycling shapes coral responses to coastal sedimentation</w:t>
      </w:r>
    </w:p>
    <w:p>
      <w:r>
        <w:rPr>
          <w:rFonts w:ascii="Times New Roman" w:hAnsi="Times New Roman" w:eastAsia="宋体"/>
          <w:sz w:val="21"/>
        </w:rPr>
        <w:t>作者: Frank Förster, Christine Ferrier-Pagès, Allan Fries, Erouscilla Joseph, Tom E. Sheldrake</w:t>
        <w:br/>
      </w:r>
      <w:r>
        <w:rPr>
          <w:rFonts w:ascii="Times New Roman" w:hAnsi="Times New Roman" w:eastAsia="宋体"/>
          <w:sz w:val="21"/>
        </w:rPr>
        <w:t xml:space="preserve">时间: 2026-02-04 | </w:t>
      </w:r>
      <w:r>
        <w:t xml:space="preserve">链接: </w:t>
      </w:r>
      <w:hyperlink r:id="rId39">
        <w:r>
          <w:rPr>
            <w:rFonts w:ascii="Times New Roman" w:hAnsi="Times New Roman" w:eastAsia="宋体"/>
            <w:color w:val="0000FF"/>
            <w:sz w:val="21"/>
            <w:u w:val="single"/>
          </w:rPr>
          <w:t>https://doi.org/10.1038/s41598-026-38388-9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来自热带火山岛的陆地径流通过增加浑浊度和沉积作用影响珊瑚礁。在火山爆发期间，大量碎裂的火山岩（火山灰）沉积下来，长期加剧沉积物径流。然而，火山灰是必需微量金属锰 (Mn) 的重要来源，但被低估了，锰可促进珊瑚的光合作用。在这里，我们表明从原始和重新流动的火山灰中浸出的锰可以提高对沉积应力的恢复能力。通过珊瑚培养实验，暴露于四种火山灰样本的 Stylophora pistillata 小菌落均表现出光合效率（ΦPSII、rETR、Pn 和 Pgross）快速且持续的增加，即使在光照条件较差的情况下也是如此。光合效率与海水锰浓度呈对数相关，在值 &lt; 3 µg Mn L− 1 时大幅增加，而在值 &gt; 10 µg Mn L− 1 时变化可忽略不计。 接触火山灰在沿海锰循环中发挥着至关重要的作用，并可能对环境干扰后应激的珊瑚有益。</w:t>
      </w:r>
    </w:p>
    <w:p>
      <w:pPr>
        <w:spacing w:before="120"/>
      </w:pPr>
      <w:r>
        <w:rPr>
          <w:rFonts w:ascii="Times New Roman" w:hAnsi="Times New Roman" w:eastAsia="宋体"/>
          <w:b/>
          <w:sz w:val="21"/>
        </w:rPr>
        <w:t>English Abstract:</w:t>
      </w:r>
    </w:p>
    <w:p>
      <w:r>
        <w:rPr>
          <w:rFonts w:ascii="Times New Roman" w:hAnsi="Times New Roman" w:eastAsia="宋体"/>
          <w:sz w:val="21"/>
        </w:rPr>
        <w:t>Terrestrial runoff from tropical volcanic islands impacts coral reefs by increasing turbidity and sedimentation. During explosive volcanic eruptions, large amounts of fragmented volcanogenic rock (tephra) are deposited, exacerbating sediment runoff for long periods of time. Nevertheless, tephra is an important, yet underestimated, source of the essential trace metal manganese (Mn), which promotes coral photosynthesis. Here, we show Mn leached from pristine and remobilised tephra increases resilience to sedimentation stress. Using coral culture experiments, microcolonies of Stylophora pistillata exposed to four tephra samples all showed rapid and sustained increases in photosynthetic efficiency (ΦPSII, rETR, Pn and Pgross), even under reduced light conditions. Photosynthetic efficiency is logarithmically correlated to seawater Mn concentration, with large increases at values &lt; 3 µg Mn L− 1, and negligible changes at values &gt; 10 µg Mn L− 1. Tephra exposure has a crucial role in coastal Mn cycling and potentially benefits stressed corals following environmental disturbances.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发达地区传统村落空间格局及影响因素——以浙江省为例</w:t>
      </w:r>
    </w:p>
    <w:p>
      <w:r>
        <w:rPr>
          <w:rFonts w:ascii="Times New Roman" w:hAnsi="Times New Roman" w:eastAsia="宋体"/>
          <w:b/>
          <w:color w:val="003264"/>
          <w:sz w:val="24"/>
        </w:rPr>
        <w:t>Spatial patterns and influencing factors of traditional villages in developed regions: a case study of Zhejiang Province, China</w:t>
      </w:r>
    </w:p>
    <w:p>
      <w:r>
        <w:rPr>
          <w:rFonts w:ascii="Times New Roman" w:hAnsi="Times New Roman" w:eastAsia="宋体"/>
          <w:sz w:val="21"/>
        </w:rPr>
        <w:t>作者: Ding Chuanbiao, He Yuzhe, Wang Jiacheng, Zheng Yiyi, Wang Zhengzheng, Bai Congxia, Yan Dan</w:t>
        <w:br/>
      </w:r>
      <w:r>
        <w:rPr>
          <w:rFonts w:ascii="Times New Roman" w:hAnsi="Times New Roman" w:eastAsia="宋体"/>
          <w:sz w:val="21"/>
        </w:rPr>
        <w:t xml:space="preserve">时间: 2026-02-04 | </w:t>
      </w:r>
      <w:r>
        <w:t xml:space="preserve">链接: </w:t>
      </w:r>
      <w:hyperlink r:id="rId40">
        <w:r>
          <w:rPr>
            <w:rFonts w:ascii="Times New Roman" w:hAnsi="Times New Roman" w:eastAsia="宋体"/>
            <w:color w:val="0000FF"/>
            <w:sz w:val="21"/>
            <w:u w:val="single"/>
          </w:rPr>
          <w:t>https://doi.org/10.1038/s41598-026-38128-z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村落在乡村发展中发挥着重要作用，推动了我国乡村振兴、民族文化复兴。本研究以浙江省701个民族传统村落为研究对象，利用最近邻指数和核密度分析方法分析其空间分布。利用地理探测器定量识别影响空间分布的因素及其相互作用效应。研究结果表明：（1）浙江省传统村落呈现出独特的“两核多点”空间集聚特征，民族分化明显。少数民族村寨主要分布在浙西南山区。 （2）海拔、人均可支配收入、社会固定资产投资、人均GDP是驱动该地区传统村落空间分异的关键因素。 (3)交叉检测揭示了浙江省传统村落的空间分布是在自然、经济和社会因素的共同影响下演变的。这种演变涵盖了以自然环境位置和随后社会经济发展中的保护为特征的时期。该研究量化了自然和经济因素对中国发达省份传统村落分布和保护的影响，确定了居民收入和社会固定资产投资对其保留模式的影响。</w:t>
      </w:r>
    </w:p>
    <w:p>
      <w:pPr>
        <w:spacing w:before="120"/>
      </w:pPr>
      <w:r>
        <w:rPr>
          <w:rFonts w:ascii="Times New Roman" w:hAnsi="Times New Roman" w:eastAsia="宋体"/>
          <w:b/>
          <w:sz w:val="21"/>
        </w:rPr>
        <w:t>English Abstract:</w:t>
      </w:r>
    </w:p>
    <w:p>
      <w:r>
        <w:rPr>
          <w:rFonts w:ascii="Times New Roman" w:hAnsi="Times New Roman" w:eastAsia="宋体"/>
          <w:sz w:val="21"/>
        </w:rPr>
        <w:t>Traditional villages play a vital role in rural development by promoting the revitalization of China’s rural areas and the rejuvenation of national culture. This study examines 701 national traditional villages in Zhejiang Province, analyzing their spatial distribution using the nearest neighbor index, and kernel density analysis. Geographic detectors were employed to quantitatively identify the factors influencing spatial distribution and their interaction effects. Findings indicate: (1) Traditional villages in Zhejiang Province display unique spatial agglomeration characteristics described as “two cores and multiple points,” accompanied by notable ethnic differentiation. Predominantly, minority villages are situated in the mountainous regions of southwestern Zhejiang. (2) Elevation, per capita disposable income, social fixed asset investment, per capita GDP, are key factors driving the spatial differentiation of traditional villages in the region. (3) Cross detection reveals that the spatial distribution of traditional villages in Zhejiang Province has evolved through the combined influence of natural, economic, and social factors. This evolution encompasses periods characterized by natural environmental location and subsequent preservation amid socio-economic development. The study quantifies the impact of natural and economic factors on the distribution and preservation of traditional villages in China’s developed provinces, identifying the influence of residential income and social fixed asset investment on their retention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自动驾驶车辆中具有照明适应的多模式道路感知</w:t>
      </w:r>
    </w:p>
    <w:p>
      <w:r>
        <w:rPr>
          <w:rFonts w:ascii="Times New Roman" w:hAnsi="Times New Roman" w:eastAsia="宋体"/>
          <w:b/>
          <w:color w:val="003264"/>
          <w:sz w:val="24"/>
        </w:rPr>
        <w:t>Multimodal road perception with illumination adaptation in autonomous vehicles</w:t>
      </w:r>
    </w:p>
    <w:p>
      <w:r>
        <w:rPr>
          <w:rFonts w:ascii="Times New Roman" w:hAnsi="Times New Roman" w:eastAsia="宋体"/>
          <w:sz w:val="21"/>
        </w:rPr>
        <w:t>作者: Jinri Wei, Yi Mo, Caiyu Su, Xueping Li</w:t>
        <w:br/>
      </w:r>
      <w:r>
        <w:rPr>
          <w:rFonts w:ascii="Times New Roman" w:hAnsi="Times New Roman" w:eastAsia="宋体"/>
          <w:sz w:val="21"/>
        </w:rPr>
        <w:t xml:space="preserve">时间: 2026-02-04 | </w:t>
      </w:r>
      <w:r>
        <w:t xml:space="preserve">链接: </w:t>
      </w:r>
      <w:hyperlink r:id="rId41">
        <w:r>
          <w:rPr>
            <w:rFonts w:ascii="Times New Roman" w:hAnsi="Times New Roman" w:eastAsia="宋体"/>
            <w:color w:val="0000FF"/>
            <w:sz w:val="21"/>
            <w:u w:val="single"/>
          </w:rPr>
          <w:t>https://doi.org/10.1038/s41598-025-31173-0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自动驾驶技术的发展正在重塑交通方式。然而，雨、雾、夜间等弱光条件下感知能力的显着下降仍然是限制其广泛应用的关键瓶颈。本文提出了 SafeDrive-Fusion，这是一种新型的光照自适应多模态感知框架，引入动态跨模态注意力融合和安全关键区域优先级，以实现自动驾驶中稳健的道路通行性评估。与现有的静态融合方法不同，该框架通过创新的照明自适应加权机制解决了昏暗环境中感知能力显着降低的问题，该机制动态集成视觉和雷达信息，同时优先考虑安全关键的道路区域。实验结果表明，即使在极弱光条件下，SafeDrive-Fusion也能保持87.5%的准确率，性能下降仅为6.1%，远远优于现有方法16.6%-34.8%的下降范围。特别是在安全关键的“危险情况”识别中，该系统的 F1 得分为 0.82，比基线方法高出 0.40。通过其光照自适应模态权重动态调整机制，系统可以根据环境条件自动调整其对不同模态的依赖性。随着照度从正常降低到极低，雷达模态权重从 25% 增加到 62%。同时，SafeDrive-Fusion具有45ms的低计算延迟，满足自动驾驶的实时要求。</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autonomous driving technology is reshaping transportation methods. However, the significant decline in perception capabilities under low-light conditions such as rain, fog, and nighttime remains a key bottleneck restricting its widespread application. This paper proposes SafeDrive-Fusion, a novel illumination-adaptive multimodal perception framework that introduces dynamic cross-modal attention fusion and safety-critical region prioritization for robust road passability assessment in autonomous driving. Unlike existing static fusion approaches, this framework addresses the problem of significantly reduced perception capabilities in dim environments through an innovative illumination-adaptive weighting mechanism that dynamically integrates visual and radar information while prioritizing safety-critical road regions. Experimental results show that SafeDrive-Fusion maintains 87.5% accuracy even under extremely low-light conditions, with a performance degradation of only 6.1%, far superior to existing methods’ degradation range of 16.6%-34.8%. Particularly in safety-critical “hazardous situation” recognition, the system achieves an F1 score of 0.82, which is 0.40 higher than baseline methods. Through its illumination-adaptive modal weight dynamic adjustment mechanism, the system can automatically adjust its dependence on different modalities according to environmental conditions. As illumination decreases from normal to extremely low, the radar modality weight increases from 25% to 62%. Meanwhile, SafeDrive-Fusion features a low computational latency of 45ms, meeting the real-time requirements of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通过智能优化和进化算法为随机性测试人员生成边界测试样本</w:t>
      </w:r>
    </w:p>
    <w:p>
      <w:r>
        <w:rPr>
          <w:rFonts w:ascii="Times New Roman" w:hAnsi="Times New Roman" w:eastAsia="宋体"/>
          <w:b/>
          <w:color w:val="003264"/>
          <w:sz w:val="24"/>
        </w:rPr>
        <w:t>Generating borderline test samples for randomness testers via intelligent optimization and evolutionary algorithms</w:t>
      </w:r>
    </w:p>
    <w:p>
      <w:r>
        <w:rPr>
          <w:rFonts w:ascii="Times New Roman" w:hAnsi="Times New Roman" w:eastAsia="宋体"/>
          <w:sz w:val="21"/>
        </w:rPr>
        <w:t>作者: Peng Gao, Bin Zhang, Ziyuan Wang, Chenglong Li</w:t>
        <w:br/>
      </w:r>
      <w:r>
        <w:rPr>
          <w:rFonts w:ascii="Times New Roman" w:hAnsi="Times New Roman" w:eastAsia="宋体"/>
          <w:sz w:val="21"/>
        </w:rPr>
        <w:t xml:space="preserve">时间: 2026-02-04 | </w:t>
      </w:r>
      <w:r>
        <w:t xml:space="preserve">链接: </w:t>
      </w:r>
      <w:hyperlink r:id="rId42">
        <w:r>
          <w:rPr>
            <w:rFonts w:ascii="Times New Roman" w:hAnsi="Times New Roman" w:eastAsia="宋体"/>
            <w:color w:val="0000FF"/>
            <w:sz w:val="21"/>
            <w:u w:val="single"/>
          </w:rPr>
          <w:t>https://doi.org/10.1038/s41598-026-38020-w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确保信息安全在很大程度上依赖于加密密钥的高质量随机序列。物理熵源尽管用于生成真正的随机序列，但很容易受到环境干扰，因此需要实时随机性测试来维持高熵。然而，现有的为实时随机性测试仪生成测试数据的方法面临着重大挑战，包括生成无法满足特定随机性标准的序列、构造具有轻微非随机性的边界序列以及解决同时违反多个随机性标准的困难。本文介绍了一个旨在解决这些挑战的动态测试数据生成框架。该框架利用进化算法（EA）将边界序列的生成转化为多约束优化问题，其中大型语言模型（LLM）充当动态参数调节器。通过分析人口统计中的进化趋势，并通过博弈论机制与进化动力学相互作用，法学硕士可以自适应地调整比例因子和权重系数，减轻多目标优化中的维数灾难，并实现实时参数调整。实验结果还强调了生成序列的高质量：我们的方法可以生成稍微无法满足目标随机性标准的边缘测试数据，但表现出与标准测试套件下的高熵源非常相似的统计特性。这些边界序列是可检测错误的，并为基于经典统计测试的实时随机性测试仪提供具有挑战性的、真实的测试输入。</w:t>
      </w:r>
    </w:p>
    <w:p>
      <w:pPr>
        <w:spacing w:before="120"/>
      </w:pPr>
      <w:r>
        <w:rPr>
          <w:rFonts w:ascii="Times New Roman" w:hAnsi="Times New Roman" w:eastAsia="宋体"/>
          <w:b/>
          <w:sz w:val="21"/>
        </w:rPr>
        <w:t>English Abstract:</w:t>
      </w:r>
    </w:p>
    <w:p>
      <w:r>
        <w:rPr>
          <w:rFonts w:ascii="Times New Roman" w:hAnsi="Times New Roman" w:eastAsia="宋体"/>
          <w:sz w:val="21"/>
        </w:rPr>
        <w:t>Abstract Ensuring information security heavily relies on high-quality random sequences for encryption keys. Physical entropy sources, despite their use in generating true random sequences, are susceptible to environmental disturbances, necessitating real-time randomness testing to maintain high entropy. However, existing methods for generating test data for real-time randomness testers face significant challenges, including producing sequences that fail to meet specific randomness criteria, constructing borderline sequences with slight non-randomness, and addressing the difficulty of simultaneously violating multiple randomness criteria. This paper introduces a dynamic test data generation framework designed to address these challenges. The framework leverages evolutionary algorithm (EA) to transform the generation of borderline sequences into a multi-constrained optimization problem, where a large language model (LLM) acts as a dynamic parameter adjuster. By analyzing evolutionary trends in population statistics and interacting with evolutionary dynamics through a game-theoretic mechanism, the LLM adaptively adjusts scaling factors and weight coefficients, mitigating the curse of dimensionality in multi-objective optimization and enabling real-time parameter tuning. The experimental results also highlight the high quality of the generated sequences: our approach can generate borderline test data that slightly fail to satisfy the target randomness criteria, yet exhibit statistical properties very similar to those of high-entropy sources under standard test suites. These borderline sequences are fault-detectable and provide challenging, realistic test inputs for classical statistical-test-based real-time randomness testers.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通过多模式脑电图和心电图融合改善认知压力分类：生理反应的性别差异</w:t>
      </w:r>
    </w:p>
    <w:p>
      <w:r>
        <w:rPr>
          <w:rFonts w:ascii="Times New Roman" w:hAnsi="Times New Roman" w:eastAsia="宋体"/>
          <w:b/>
          <w:color w:val="003264"/>
          <w:sz w:val="24"/>
        </w:rPr>
        <w:t>Improving cognitive stress classification via multimodal EEG and ECG fusion: gender differences in physiological response</w:t>
      </w:r>
    </w:p>
    <w:p>
      <w:r>
        <w:rPr>
          <w:rFonts w:ascii="Times New Roman" w:hAnsi="Times New Roman" w:eastAsia="宋体"/>
          <w:sz w:val="21"/>
        </w:rPr>
        <w:t>作者: Abdus Salam, Fakhre Alam, Dilawar Shah, Sami Ur Rahman, Shujaat Ali, Muhammad Tahir</w:t>
        <w:br/>
      </w:r>
      <w:r>
        <w:rPr>
          <w:rFonts w:ascii="Times New Roman" w:hAnsi="Times New Roman" w:eastAsia="宋体"/>
          <w:sz w:val="21"/>
        </w:rPr>
        <w:t xml:space="preserve">时间: 2026-02-04 | </w:t>
      </w:r>
      <w:r>
        <w:t xml:space="preserve">链接: </w:t>
      </w:r>
      <w:hyperlink r:id="rId43">
        <w:r>
          <w:rPr>
            <w:rFonts w:ascii="Times New Roman" w:hAnsi="Times New Roman" w:eastAsia="宋体"/>
            <w:color w:val="0000FF"/>
            <w:sz w:val="21"/>
            <w:u w:val="single"/>
          </w:rPr>
          <w:t>https://doi.org/10.1038/s41598-026-38356-3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集成脑电图（EEG）和心电图（ECG）特征的多模式机器学习系统，以区分认知压力水平并分析性别差异。特别是，我们评估了特征融合如何提高分类准确性，并且还比较了男性和女性受试者认知压力的生理迹象。使用公开的数据集，即不同性别的心理负荷和多级压力分类的心电图和脑电图特征。在 EEG 信号和 ECG 信号中确定了三个基本生理特征（Theta/Alpha 比率 (TAR)、心率 (HR) 和 LF/HF 比率）。这些特征的辨别能力通过统计测试（例如 Shapiro-Wilk 和 Kruskal-Wallis 测试）得到了证实。使用主成分分析（PCA）进行降维。进行特征融合，其中引入脑电图和心电图信号并对齐以形成分类的完整输入。在二元和多类认知压力任务上测试了六种机器学习 (ML) 分类模型，即决策树 (DT)、K 最近邻 (KNN)、线性判别 (LD)、朴素贝叶斯 (NB)、随机森林 (RF) 和支持向量机 (SVM)。就整体性能而言，SVM取得了最好的结果，在认知压力的组合性别分类中达到了94.7%的准确率。对于特定性别分类，LD 得分最高（90.9%）。多模态 SVM 表现出优于单模态 EEG/ECG 模型的优越性，达到 92.6% 的峰值平均准确度。由于基于性别的分析，女性在分类上得分更高，这意味着认知压力期间与性别相关的生理模式存在差异。结果表明，生理特征的多模态融合可以改善认知压力分类。基于性别的分析的建议强调了认知监测系统在个人层面的可能性。这在教育、人体工程学和人机交互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multimodal machine learning system integrating electroencephalogram (EEG) and electrocardiogram (ECG) features to discriminate cognitive stress levels and analyze gender differences. In particular, we assess how well feature fusion enhances the classification accuracy and we also compare the physiological signs of cognitive stress in male and female subjects. A publicly available dataset, namely, ECG and EEG features for mental workload and multilevel stress classification of different sexes, was used. Three essential physiological characteristics (Theta/Alpha Ratio (TAR), Heart Rate (HR), and LF/HF Ratio) were identified in EEG signals as well as in ECG signals. The discriminative power of the features was confirmed by statistical testing, such as Shapiro-Wilk and Kruskal-Wallis tests. Dimensional reduction was performed using Principal Component Analysis (PCA). Feature fusion was performed, where EEG and ECG signals were introduced and aligned to form a complete input for the classification. Six machine learning (ML) classification models, namely Decision Tree (DT), K-Nearest Neighbors (KNN), Linear Discriminant (LD), Naive Bayes (NB), Random Forest (RF), and Support Vector Machine (SVM), were tested on binary and multiclass cognitive stress tasks. In terms of overall performance, the SVM achieved the best results, attaining 94.7% accuracy in the combined-gender classification of cognitive stress. For sex-specific classifications, LD recorded the highest score (90.9%). The multimodal SVM demonstrated superiority over the unimodal EEG/ECG models, reaching a peak average accuracy of 92.6%. Owing to the gender-based analysis, females had a better score in classification, implying a difference in sex-related physiological patterns during cognitive stress. The results show that multimodal fusion of physiological features can improve cognitive stress classification. The suggestion of gender-based analysis highlights the possibility of cognitive monitoring systems being at a personal level. This has potential applications in education, ergonomics, and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岩相-地层压力耦合下深层页岩孔隙微裂缝结构、孔隙度及含气性</w:t>
      </w:r>
    </w:p>
    <w:p>
      <w:r>
        <w:rPr>
          <w:rFonts w:ascii="Times New Roman" w:hAnsi="Times New Roman" w:eastAsia="宋体"/>
          <w:b/>
          <w:color w:val="003264"/>
          <w:sz w:val="24"/>
        </w:rPr>
        <w:t>Pore-micro fracture structure, porosity and gas- bearing property of deep shale under lithofacies-formation pressure coupling</w:t>
      </w:r>
    </w:p>
    <w:p>
      <w:r>
        <w:rPr>
          <w:rFonts w:ascii="Times New Roman" w:hAnsi="Times New Roman" w:eastAsia="宋体"/>
          <w:sz w:val="21"/>
        </w:rPr>
        <w:t>作者: Yunjun Zhang, Hao Zhang, Li Zhang, Jianlin Li, Yaohui Yan</w:t>
        <w:br/>
      </w:r>
      <w:r>
        <w:rPr>
          <w:rFonts w:ascii="Times New Roman" w:hAnsi="Times New Roman" w:eastAsia="宋体"/>
          <w:sz w:val="21"/>
        </w:rPr>
        <w:t xml:space="preserve">时间: 2026-02-04 | </w:t>
      </w:r>
      <w:r>
        <w:t xml:space="preserve">链接: </w:t>
      </w:r>
      <w:hyperlink r:id="rId44">
        <w:r>
          <w:rPr>
            <w:rFonts w:ascii="Times New Roman" w:hAnsi="Times New Roman" w:eastAsia="宋体"/>
            <w:color w:val="0000FF"/>
            <w:sz w:val="21"/>
            <w:u w:val="single"/>
          </w:rPr>
          <w:t>https://doi.org/10.1038/s41598-026-38352-7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层压力-岩相类型是影响页岩储层微观孔隙结构和孔隙度的最关键因素。然而，这两个因素如何共同影响页岩气聚集仍不清楚。综合扫描电镜（SEM）、X射线衍射（XRD）、核磁共振（NMR）、现场解吸和低温氮气吸附（LTNA）等技术，分析压力变化与岩相耦合对深层页岩储层质量和含气性的影响。龙马溪组深埋页岩发育3种岩相：硅质岩相（S）、泥质岩相（CM）和混合岩相（M）。孔径&lt;4 nm的孔是比表面积（SSA）的主要贡献者，4 nm至30 nm之间的孔是孔体积（PV）的主要贡献者。压力变化直接影响有机质孔隙的大小和数量，但对颗粒内孔隙没有影响。粒间孔隙的变异性表明S岩相比M岩相具有更强的抗压实能力。深埋页岩储层孔隙度和微观结构受岩相类型、埋藏深度和压力变化的影响。富有机质S页岩和贫有机质S页岩在超压和保存良好的条件下表现出良好的储层物性，其中富有机质S页岩的抗压实能力最强。在富含有机质页岩的压实过程中，有机孔和无机孔大量损失。 CM岩相的物质基础较差，抗压实能力最弱，压实过程中难以保持原有的孔隙度和孔隙结构。地层压力的降低导致大孔隙对孔体积几乎没有贡献，而中孔的贡献进一步增强。随着地层压力降低，微孔对孔体积的贡献逐渐增大。随着页岩孔隙度的降低，与大孔隙相关的孔隙度首先下降，其次是与中孔相关的孔隙度。随着孔隙度的降低，CM 和 M 岩相中的游离气含量迅速下降。随着孔隙率的丧失，吸附气体和游离气体都急剧减少。</w:t>
      </w:r>
    </w:p>
    <w:p>
      <w:pPr>
        <w:spacing w:before="120"/>
      </w:pPr>
      <w:r>
        <w:rPr>
          <w:rFonts w:ascii="Times New Roman" w:hAnsi="Times New Roman" w:eastAsia="宋体"/>
          <w:b/>
          <w:sz w:val="21"/>
        </w:rPr>
        <w:t>English Abstract:</w:t>
      </w:r>
    </w:p>
    <w:p>
      <w:r>
        <w:rPr>
          <w:rFonts w:ascii="Times New Roman" w:hAnsi="Times New Roman" w:eastAsia="宋体"/>
          <w:sz w:val="21"/>
        </w:rPr>
        <w:t>Formation pressure-lithofacies type are the most critical factors influencing micro pore structure and porosity in shale reservoir. However, how these two factors jointly affect shale gas accumulation remains unclear. Scanning electron microscopy (SEM), X-ray diffraction (XRD), nuclear magnetic resonance (NMR), on-site desorption and low-temperature N2 adsorption (LTNA) are integrated to analyze coupling effects of pressure variation and lithofacies on reservoir quality and gas-bearing characteristics of deep-buried shale. Three lithofacies are identified in Longmaxi deep-buried shale: siliceous lithofacies (S), argillaceous lithofacies (CM) and mixed lithofacies (M). Pores with pore size &lt; 4 nm are the main contributors to the specific surface area (SSA), and pores between 4 nm and 30 nm are the main contributors to the pore volume (PV). Pressure variations directly affect the size and number of organic matter pores but have no impact on intraparticle pores. The variability in interparticle pores indicates that the S lithofacies has a stronger resistance to compaction compared to the M lithofacies. Porosity and micro structure of deep-buried shale reservoir are influenced by lithofacies type, burial depth and pressure variation. Organic-rich S shale and organic-poor S shale demonstrate good reservoir properties under over-pressure and well-preserved conditions, with organic-rich S shale having the strongest resistance to compaction. Organic and inorganic pores are largely lost during compaction of organic-rich M shale. CM lithofacies also has a poor material foundation and the weakest resistance to compaction, making it difficult to preserve original porosity and pore structure during compaction. The decrease in formation pressure results in macropores making almost no contribution to pore volume, while the contribution of mesopores is further enhanced. As the formation pressure decreases, the contribution of micropores to pore volume is gradually increased. As shale porosity decreases, porosity associated with macro pores declines first, followed by that associated with mesopores. Free-gas content in the CM and M lithofacies declines rapidly as porosity decreases. Both adsorbed and free gas decrease sharply as porosity is lost.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Socialbit 作为智能手表算法在临床人群中进行社交互动检测的验证</w:t>
      </w:r>
    </w:p>
    <w:p>
      <w:r>
        <w:rPr>
          <w:rFonts w:ascii="Times New Roman" w:hAnsi="Times New Roman" w:eastAsia="宋体"/>
          <w:b/>
          <w:color w:val="003264"/>
          <w:sz w:val="24"/>
        </w:rPr>
        <w:t>Validation of socialbit as a smartwatch algorithm for social interaction detection in a clinical population</w:t>
      </w:r>
    </w:p>
    <w:p>
      <w:r>
        <w:rPr>
          <w:rFonts w:ascii="Times New Roman" w:hAnsi="Times New Roman" w:eastAsia="宋体"/>
          <w:sz w:val="21"/>
        </w:rPr>
        <w:t>作者: Amar Dhand, Samuel Tate, Cade Mack, Sofia Carozza, David Farynyk, Mehdi Bourahla, Oluwamayomikun Adeboye, Grace Cooke, Olivia Berglund, Riya Dahima, Melinda Luo, Vrushali Dhongade, George S. Usmanov, Kelly White, Amanda M. Bernal, Ross Zafonte, Shrikanth Narayanan, Minwoo Lee, Matthias R. Mehl, Min Shin</w:t>
        <w:br/>
      </w:r>
      <w:r>
        <w:rPr>
          <w:rFonts w:ascii="Times New Roman" w:hAnsi="Times New Roman" w:eastAsia="宋体"/>
          <w:sz w:val="21"/>
        </w:rPr>
        <w:t xml:space="preserve">时间: 2026-02-04 | </w:t>
      </w:r>
      <w:r>
        <w:t xml:space="preserve">链接: </w:t>
      </w:r>
      <w:hyperlink r:id="rId58">
        <w:r>
          <w:rPr>
            <w:rFonts w:ascii="Times New Roman" w:hAnsi="Times New Roman" w:eastAsia="宋体"/>
            <w:color w:val="0000FF"/>
            <w:sz w:val="21"/>
            <w:u w:val="single"/>
          </w:rPr>
          <w:t>https://doi.org/10.1038/s41598-026-37746-x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社交互动有助于大脑健康和神经损伤后的恢复。然而，还没有经过验证的工具可以对有或没有神经缺陷的个体进行实时测量。我们开发了 SocialBit，这是一种轻量级、保护隐私的机器学习算法，可以使用商用智能手表上的环境音频功能来检测社交互动。在一项前瞻性验证研究中，我们对 153 名住院中风患者佩戴该设备长达 8 天的实时直播、每分钟的人类编码地面事实进行了评估，生成了 88,918 分钟的观察结果。这些患者的中风严重程度和认知能力涵盖广泛的临床范围（NIH 中风量表 0-25；蒙特利尔认知评估 8-30），24 名患者患有不同亚型的失语症，包括严重的失语症。 SocialBit 在语言缺陷患者中取得了较高的整体性能（敏感性 0.87、特异性 0.88、曲线下面积 0.94）并保持了准确性（AUC 0.93）。尽管时间采样较低，SocialBit 产生的交互频率分布与每分钟的人类编码非常匹配。跨环境和交互类型的性能都很强大。具有临床相关性的是，SocialBit 表明，中风较严重的患者社交互动较少，这与人类编码的结果类似。 SocialBit 是一种准确的社交互动数字生物标记，在远程监控和临床试验中具有潜在应用。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Social interaction supports brain health and recovery after neurological injury. Yet no validated tool exists for real-time measurement in individuals with and without neurological deficits. We developed SocialBit, a lightweight, privacy-preserving machine learning algorithm that detects social interactions using ambient audio features on a commercial smartwatch. In a prospective validation study, we evaluated SocialBit against livestream minute-by-minute human-coded ground truth in 153 hospitalized stroke patients who wore the device for up to 8 days, generating 88,918 min of observation. In these patients, the stroke severity and cognition spanned broad clinical ranges (NIH Stroke Scale 0–25; Montreal Cognitive Assessment 8–30), and 24 patients had aphasia across diverse subtypes, including severe presentations. SocialBit achieved high overall performance (sensitivity 0.87, specificity 0.88, area under the curve 0.94) and maintained accuracy in patients with language deficits (AUC 0.93). Despite lower temporal sampling, SocialBit produced interaction frequency distributions closely matching minute-by-minute human coding. Performance was robust across environments and interaction types. Of clinical relevance, SocialBit showed that patients with more severe strokes engaged in less social interaction, paralleling human-coded results. SocialBit is an accurate digital biomarker of social interaction with potential applications in remote monitoring and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在健康的巴勒斯坦队列中通过下一代测序进行口腔 HPV 检测和基因分型：试点研究</w:t>
      </w:r>
    </w:p>
    <w:p>
      <w:r>
        <w:rPr>
          <w:rFonts w:ascii="Times New Roman" w:hAnsi="Times New Roman" w:eastAsia="宋体"/>
          <w:b/>
          <w:color w:val="003264"/>
          <w:sz w:val="24"/>
        </w:rPr>
        <w:t>Oral HPV detection and genotyping by next-generation sequencing in a healthy Palestinian cohort: pilot study</w:t>
      </w:r>
    </w:p>
    <w:p>
      <w:r>
        <w:rPr>
          <w:rFonts w:ascii="Times New Roman" w:hAnsi="Times New Roman" w:eastAsia="宋体"/>
          <w:sz w:val="21"/>
        </w:rPr>
        <w:t>作者: Bisan Safi, Mahmoud Khalid, Abedelmajeed Nasereddin</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https://doi.org/10.1038/s41598-026-37318-z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口腔人乳头瘤病毒（HPV）是口咽癌的一个关键因素。然而，其在健康人群中的患病率和基因型分布在很大程度上仍然没有记录，特别是在目前没有国家筛查或疫苗接种计划的巴勒斯坦。这项研究是巴勒斯坦首次使用高度敏感的分子工作流程在健康人群中检测口腔 HPV 并进行基因分型。该检测采用针对 L1 基因的巢式聚合酶链式反应 (PCR) 和下一代测序 (NGS) 策略，L1 基因是编码病毒主要结构蛋白的高度保守区域。对西岸中部地区牙科诊所就诊的 75 名个人的口腔拭子进行了分析，结果显示 HPV 总体阳性率为 6.7%，并确定了 HPV-18、HPV-31 和 HPV-38 基因型。最近，发表了一名患有宫颈癌的巴勒斯坦妇女的 HPV-38 序列，这支持了我们在巴勒斯坦存在 HPV-38 的发现。研究结果为巴勒斯坦提供了初步的方法学数据，并凸显了先进测序技术在加强全球 HPV 监测方面的力量。该试点研究证明了方法学上的可行性，但无法提供可靠的流行病学基线。</w:t>
      </w:r>
    </w:p>
    <w:p>
      <w:pPr>
        <w:spacing w:before="120"/>
      </w:pPr>
      <w:r>
        <w:rPr>
          <w:rFonts w:ascii="Times New Roman" w:hAnsi="Times New Roman" w:eastAsia="宋体"/>
          <w:b/>
          <w:sz w:val="21"/>
        </w:rPr>
        <w:t>English Abstract:</w:t>
      </w:r>
    </w:p>
    <w:p>
      <w:r>
        <w:rPr>
          <w:rFonts w:ascii="Times New Roman" w:hAnsi="Times New Roman" w:eastAsia="宋体"/>
          <w:sz w:val="21"/>
        </w:rPr>
        <w:t>Oral human papillomavirus (HPV) is a key contributor to oropharyngeal cancers. Yet, its prevalence and genotype distribution in healthy populations remain largely undocumented, particularly in Palestine, where no national screening or vaccination programs currently exist. This study is the first in Palestine to detect and genotype oral HPV in a healthy population using a highly sensitive molecular workflow. The assay employs a nested polymerase chain reaction (PCR) and next-generation sequencing (NGS) strategy targeting the L1 gene, a highly conserved region that encodes the virus’s main structural protein. Buccal swabs from 75 individuals attending dental clinics in the central region of the West Bank were analyzed, revealing an overall HPV positivity rate of 6.7% and identifying the genotypes HPV-18, HPV-31, and HPV-38. Recently, an HPV-38 sequence from a Palestinian woman with cervical cancer was published, which supports our finding of HPV-38 presence in Palestine. The results provide preliminary methodological data for Palestine and highlight the power of advanced sequencing technologies in enhancing global HPV surveillance. This pilot study demonstrates methodological feasibility but is not powered to provide a reliable epidemiological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基于层次分析法的中国大学生学业成绩影响心理因素优先排序</w:t>
      </w:r>
    </w:p>
    <w:p>
      <w:r>
        <w:rPr>
          <w:rFonts w:ascii="Times New Roman" w:hAnsi="Times New Roman" w:eastAsia="宋体"/>
          <w:b/>
          <w:color w:val="003264"/>
          <w:sz w:val="24"/>
        </w:rPr>
        <w:t>An analytic hierarchy process–based prioritization of psychological factors influencing academic performance among university students in China</w:t>
      </w:r>
    </w:p>
    <w:p>
      <w:r>
        <w:rPr>
          <w:rFonts w:ascii="Times New Roman" w:hAnsi="Times New Roman" w:eastAsia="宋体"/>
          <w:sz w:val="21"/>
        </w:rPr>
        <w:t>作者: Xiaoqiu Xu, Ran Liu, Erlinda D. Serrano</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https://doi.org/10.1038/s41598-026-38343-8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学业成绩的心理决定因素对于制定循证教育策略至关重要。层次分析法（AHP）是一种成熟的决策分析方法，它的应用提供了一种系统的方法来量化多种心理因素对学生学业成绩的相对影响。采用有目的方便抽样方法，从中国延安大学 200 名大学生（150 名本科生和 50 名研究生）收集数据。参与者通过预备培训课程后的结构化成对比较，评估了六个关键心理变量：动机、焦虑、自我效能、情绪健康、认知风格和自我调节。层次分析法结果表明，动机（0.439）是影响学业成绩的最主要因素，其次是焦虑（0.218）和自我效能（0.148）。情绪健康（0.097）、认知风格（0.056）和自我调节（0.042）表现出相对较低但有意义的贡献。该模型的一致性比（CR = 0.042）证实了参与者判断的高可靠性。研究结果强调了动机和情感维度在塑造学业成功方面的核心作用。增强动机、培养自我效能和减轻有害焦虑的教育干预措施可以提高表现和幸福感，强调将心理学原理纳入教学设计和学生支持系统的重要性。</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psychological determinants of academic performance is essential for developing evidence-based educational strategies. Applying the Analytic Hierarchy Process (AHP), a well-established decision-analytic method, provides a systematic means to quantify the relative influence of multiple psychological factors on students’ academic outcomes. Data were collected from 200 university students (150 undergraduates and 50 postgraduates) at Yan’an University, China, using a purposive–convenience sampling approach. Participants evaluated six key psychological variables: Motivation, Anxiety, Self-Efficacy, Emotional Well-Being, Cognitive Styles, and Self-Regulation—through structured pairwise comparisons following a preparatory orientation session. The AHP results identified Motivation (0.439) as the most dominant factor influencing academic performance, followed by Anxiety (0.218) and Self-Efficacy (0.148). Emotional Well-Being (0.097), Cognitive Styles (0.056), and Self-Regulation (0.042) demonstrated comparatively lower yet meaningful contributions. The model’s Consistency Ratio (CR = 0.042) confirmed high reliability of participant judgments. Findings highlight the central role of motivational and affective dimensions in shaping academic success. Educational interventions that strengthen motivation, foster self-efficacy, and mitigate detrimental anxiety can enhance both performance and well-being, underscoring the importance of integrating psychological principles into instructional design and student support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ZenBand：具有图形用户界面的光子晶体数值求解器</w:t>
      </w:r>
    </w:p>
    <w:p>
      <w:r>
        <w:rPr>
          <w:rFonts w:ascii="Times New Roman" w:hAnsi="Times New Roman" w:eastAsia="宋体"/>
          <w:b/>
          <w:color w:val="003264"/>
          <w:sz w:val="24"/>
        </w:rPr>
        <w:t>ZenBand: a numerical solver of photonic crystals with a graphical user interface</w:t>
      </w:r>
    </w:p>
    <w:p>
      <w:r>
        <w:rPr>
          <w:rFonts w:ascii="Times New Roman" w:hAnsi="Times New Roman" w:eastAsia="宋体"/>
          <w:sz w:val="21"/>
        </w:rPr>
        <w:t>作者: Andrius Zinkevičius, Ignas Lukošiūnas, Darius Gailevičius</w:t>
        <w:br/>
      </w:r>
      <w:r>
        <w:rPr>
          <w:rFonts w:ascii="Times New Roman" w:hAnsi="Times New Roman" w:eastAsia="宋体"/>
          <w:sz w:val="21"/>
        </w:rPr>
        <w:t xml:space="preserve">时间: 2026-02-04 | </w:t>
      </w:r>
      <w:r>
        <w:t xml:space="preserve">链接: </w:t>
      </w:r>
      <w:hyperlink r:id="rId61">
        <w:r>
          <w:rPr>
            <w:rFonts w:ascii="Times New Roman" w:hAnsi="Times New Roman" w:eastAsia="宋体"/>
            <w:color w:val="0000FF"/>
            <w:sz w:val="21"/>
            <w:u w:val="single"/>
          </w:rPr>
          <w:t>https://doi.org/10.1038/s41598-026-37129-2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 Python 和自定义 Tkinter 库开发了一个开源平面波展开法求解器，以解决已知经典示例、自定义几何形状和对称性的光子晶体色散设计导向问题。这种结构能够实现光限制、全向反射、光束准直和负折射。我们更深入地研究对角各向异性光子晶体，其平面波展开算法直接嵌入到应用程序中。用户界面位于开发人员的存储库链接中：https://github.com/ZenTunturi/ZenBand。</w:t>
      </w:r>
    </w:p>
    <w:p>
      <w:pPr>
        <w:spacing w:before="120"/>
      </w:pPr>
      <w:r>
        <w:rPr>
          <w:rFonts w:ascii="Times New Roman" w:hAnsi="Times New Roman" w:eastAsia="宋体"/>
          <w:b/>
          <w:sz w:val="21"/>
        </w:rPr>
        <w:t>English Abstract:</w:t>
      </w:r>
    </w:p>
    <w:p>
      <w:r>
        <w:rPr>
          <w:rFonts w:ascii="Times New Roman" w:hAnsi="Times New Roman" w:eastAsia="宋体"/>
          <w:sz w:val="21"/>
        </w:rPr>
        <w:t>We developed an open-source Plane Wave Expansion Method solver using Python and a custom Tkinter library to solve a design oriented problem of photonic crystal dispersion for known classical examples, custom geometries, and symmetries. Such structures are capable of light confinement, omnidirectional reflection, beam collimation and negative refraction. We dive deeper into the diagonally anisotropic photonic crystals, whose Plane Wave Expansion algorithm is directly embedded in the application. The user interface is present in the developer’s repository link: https://github.com/ZenTunturi/ZenBand.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非洲 COVID-19 大流行期间加强哨点监测网络的挑战</w:t>
      </w:r>
    </w:p>
    <w:p>
      <w:r>
        <w:rPr>
          <w:rFonts w:ascii="Times New Roman" w:hAnsi="Times New Roman" w:eastAsia="宋体"/>
          <w:b/>
          <w:color w:val="003264"/>
          <w:sz w:val="24"/>
        </w:rPr>
        <w:t>Challenges in strengthening sentinel surveillance network during COVID-19 pandemic in Africa</w:t>
      </w:r>
    </w:p>
    <w:p>
      <w:r>
        <w:rPr>
          <w:rFonts w:ascii="Times New Roman" w:hAnsi="Times New Roman" w:eastAsia="宋体"/>
          <w:sz w:val="21"/>
        </w:rPr>
        <w:t>作者: Julien Poublan, Kadio Jean-Jacques Olivier Kadio, Rodion Konu, Ramatoulaye Hamidou Lazoumar, Mathurin Cyrille Tejiokem, Isaac Tiembré, Rila Ratovoson, Sandra Coti, Justus Nsio, Mamadou Aliou Barry, Parfait Hounbegnon, Emilande Guichet, Vincent Richard, Isidore Traoré, Mathias Altmann</w:t>
        <w:br/>
      </w:r>
      <w:r>
        <w:rPr>
          <w:rFonts w:ascii="Times New Roman" w:hAnsi="Times New Roman" w:eastAsia="宋体"/>
          <w:sz w:val="21"/>
        </w:rPr>
        <w:t xml:space="preserve">时间: 2026-02-04 | </w:t>
      </w:r>
      <w:r>
        <w:t xml:space="preserve">链接: </w:t>
      </w:r>
      <w:hyperlink r:id="rId62">
        <w:r>
          <w:rPr>
            <w:rFonts w:ascii="Times New Roman" w:hAnsi="Times New Roman" w:eastAsia="宋体"/>
            <w:color w:val="0000FF"/>
            <w:sz w:val="21"/>
            <w:u w:val="single"/>
          </w:rPr>
          <w:t>https://doi.org/10.1038/s41598-026-36363-y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大流行后变异病毒的出现给非洲的医疗系统带来了压力。 Afroscreen 项目正在加强国家哨点监测系统，并结合测序能力，以在早期阶段识别潜在的高毒力变异体。本文的目的是介绍该项目的结果并讨论相关的挑战。 2022 年 7 月至 2024 年 6 月，监测基于医院或外围的国家监测哨点系统、RT-PCR 诊断能力以及阳性情况下的测序。在 11 个非洲国家（塞内加尔、几内亚、科特迪瓦、多哥、贝宁、尼日尔、喀麦隆、中非共和国 (CAR)、布基纳法索、马达加斯加和刚果民主共和国）进行了监测。刚果），有可能证明 SARS-CoV-2 的传播在监测期间有所下降，只有 Omicron 变种在传播。在大流行期间建立和协调多国哨点监测系统是一个真正的挑战。这凸显了在流行间期和大流行期间加强监测系统的必要性，以及根据新出现的疾病准备和应对计划的可持续性问题。</w:t>
      </w:r>
    </w:p>
    <w:p>
      <w:pPr>
        <w:spacing w:before="120"/>
      </w:pPr>
      <w:r>
        <w:rPr>
          <w:rFonts w:ascii="Times New Roman" w:hAnsi="Times New Roman" w:eastAsia="宋体"/>
          <w:b/>
          <w:sz w:val="21"/>
        </w:rPr>
        <w:t>English Abstract:</w:t>
      </w:r>
    </w:p>
    <w:p>
      <w:r>
        <w:rPr>
          <w:rFonts w:ascii="Times New Roman" w:hAnsi="Times New Roman" w:eastAsia="宋体"/>
          <w:sz w:val="21"/>
        </w:rPr>
        <w:t>The emergence of variants in the wake of the COVID-19 pandemic has put a strain on healthcare systems in Africa. The Afroscreen project is strengthening national sentinel surveillance systems, combined with sequencing capabilities to identify potentially highly virulent variants of interest at an early stage. The aim of this article is to present the results of this project and discuss the related challenges. Surveillance was based on national surveillance sentinel systems, either hospital-based or peripheral, and RT-PCR diagnostic capabilities, coupled with sequencing in the event of positivity, from July 2022 to June 2024. In 11 African countries (Senegal, Guinea, Côte d’Ivoire, Togo, Benin, Niger, Cameroon, the Central African Republic (CAR), Burkina Faso, Madagascar and the Democratic Republic of the Congo), it was possible to demonstrate a decline in the circulation of SARS-CoV-2 over the surveillance period, with only the Omicron variant circulating. Setting up and coordinating a multicountry sentinel surveillance system during a pandemic period is a real challenge. This highlights the need to strengthen surveillance systems during interepidemic and pandemic periods and the question of their sustainability in line with emerging disease preparedness and response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一种具有噪声分析的高效三方远程状态准备方案</w:t>
      </w:r>
    </w:p>
    <w:p>
      <w:r>
        <w:rPr>
          <w:rFonts w:ascii="Times New Roman" w:hAnsi="Times New Roman" w:eastAsia="宋体"/>
          <w:b/>
          <w:color w:val="003264"/>
          <w:sz w:val="24"/>
        </w:rPr>
        <w:t>An efficient tripartite remote state preparation scheme with noise analysis</w:t>
      </w:r>
    </w:p>
    <w:p>
      <w:r>
        <w:rPr>
          <w:rFonts w:ascii="Times New Roman" w:hAnsi="Times New Roman" w:eastAsia="宋体"/>
          <w:sz w:val="21"/>
        </w:rPr>
        <w:t>作者: Mohammad Bolokian, Ali A. Orouji, Monireh Houshmand</w:t>
        <w:br/>
      </w:r>
      <w:r>
        <w:rPr>
          <w:rFonts w:ascii="Times New Roman" w:hAnsi="Times New Roman" w:eastAsia="宋体"/>
          <w:sz w:val="21"/>
        </w:rPr>
        <w:t xml:space="preserve">时间: 2026-02-04 | </w:t>
      </w:r>
      <w:r>
        <w:t xml:space="preserve">链接: </w:t>
      </w:r>
      <w:hyperlink r:id="rId63">
        <w:r>
          <w:rPr>
            <w:rFonts w:ascii="Times New Roman" w:hAnsi="Times New Roman" w:eastAsia="宋体"/>
            <w:color w:val="0000FF"/>
            <w:sz w:val="21"/>
            <w:u w:val="single"/>
          </w:rPr>
          <w:t>https://doi.org/10.1038/s41598-026-35816-8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量子隐形传态依赖于预先存在的纠缠、局部操作和经典通信来传输未知的量子态。量子远程状态准备（QRSP）具有相同的目标，但发送者已经知道要传输的状态。这项研究引入了一种创新的 QRSP 三方方案，允许三个用户同时发送和接收单量子位状态。该方案进一步扩展以适应用户之间任意数量的量子位的状态传输。该协议的功能通过Qiskit库中的电路实现进行了验证，确保了其实际可行性。此外，它的性能是在嘈杂的环境中进行分析的，可以深入了解其稳健性。所提出的协议的效率与最近的方案进行了比较，突显了它们在量子通信方面的进步。与之前的三方 RSP 方案相比，所提出的协议实现了更高的效率（η = 0.50）、模块化可扩展性以及使用标准量子门的实验可实现性。这项研究有助于多用户量子通信、安全量子密码学和量子网络的进步，为可扩展的量子系统铺平了道路。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teleportation relies on pre-existing entanglement, local operations and classical communication to transfer an unknown quantum state. Quantum remote state preparation (QRSP) shares the same objective, but the sender already knows the state to be transmitted. This research introduces an innovative tripartite scheme for QRSP, allowing three users to simultaneously send and receive single-qubit states. The scheme is further extended to accommodate the transmission of states with an arbitrary number of qubits among the users. The protocol’s functionality is validated through circuit implementation in the Qiskit library, ensuring its practical feasibility. Additionally, its performance is analyzed in a noisy environment, providing insights into its robustness. The efficiency of the proposed protocols is compared with recent schemes, highlighting their advancements in quantum communication. Compared to previous tripartite RSP schemes, the proposed protocol achieves higher efficiency (η = 0.50), modular scalability, and experimental realizability using standard quantum gates. This study contributes to advancements in multi-user quantum communication, secure quantum cryptography, and quantum networking, paving the way for scalable quantum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DFB-LD 与微环谐振器耦合生成可调谐带宽混沌信号</w:t>
      </w:r>
    </w:p>
    <w:p>
      <w:r>
        <w:rPr>
          <w:rFonts w:ascii="Times New Roman" w:hAnsi="Times New Roman" w:eastAsia="宋体"/>
          <w:b/>
          <w:color w:val="003264"/>
          <w:sz w:val="24"/>
        </w:rPr>
        <w:t>Generation of tunable bandwidth chaotic signals using a DFB-LD coupled with a microring resonator</w:t>
      </w:r>
    </w:p>
    <w:p>
      <w:r>
        <w:rPr>
          <w:rFonts w:ascii="Times New Roman" w:hAnsi="Times New Roman" w:eastAsia="宋体"/>
          <w:sz w:val="21"/>
        </w:rPr>
        <w:t>作者: Renhao Deng, Qiupin Wang, Ziyi Kang, Pu Ou, Yingke Xie, Dan Lu, Junqi Liu, Zhengmao Wu, Guangqiong Xia</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腔磁力力学中的磁振子压缩增强分数磁振子频率梳</w:t>
      </w:r>
    </w:p>
    <w:p>
      <w:r>
        <w:rPr>
          <w:rFonts w:ascii="Times New Roman" w:hAnsi="Times New Roman" w:eastAsia="宋体"/>
          <w:b/>
          <w:color w:val="003264"/>
          <w:sz w:val="24"/>
        </w:rPr>
        <w:t>Magnon-squeezing-enhanced fractional magnonic frequency combs in cavity magnomechanics</w:t>
      </w:r>
    </w:p>
    <w:p>
      <w:r>
        <w:rPr>
          <w:rFonts w:ascii="Times New Roman" w:hAnsi="Times New Roman" w:eastAsia="宋体"/>
          <w:sz w:val="21"/>
        </w:rPr>
        <w:t>作者: Lina Zhou, Hongyun Chen, Shuyao Lei, Caihua Nie, Pengshun Luo</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https://doi.org/10.1016/j.optcom.2026.132995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在基于超透镜的光镊中冷却纳米粒子</w:t>
      </w:r>
    </w:p>
    <w:p>
      <w:r>
        <w:rPr>
          <w:rFonts w:ascii="Times New Roman" w:hAnsi="Times New Roman" w:eastAsia="宋体"/>
          <w:b/>
          <w:color w:val="003264"/>
          <w:sz w:val="24"/>
        </w:rPr>
        <w:t>Cooling a nanoparticle in metalens-based optical tweezers</w:t>
      </w:r>
    </w:p>
    <w:p>
      <w:r>
        <w:rPr>
          <w:rFonts w:ascii="Times New Roman" w:hAnsi="Times New Roman" w:eastAsia="宋体"/>
          <w:sz w:val="21"/>
        </w:rPr>
        <w:t>作者: Zhen Liu, Hualong Yin, Jinheng Li, Guoyao Li, Cuihong Li, Zhang-qi Yin</w:t>
        <w:br/>
      </w:r>
      <w:r>
        <w:rPr>
          <w:rFonts w:ascii="Times New Roman" w:hAnsi="Times New Roman" w:eastAsia="宋体"/>
          <w:sz w:val="21"/>
        </w:rPr>
        <w:t xml:space="preserve">时间: 2026-01-21 | </w:t>
      </w:r>
      <w:r>
        <w:t xml:space="preserve">链接: </w:t>
      </w:r>
      <w:hyperlink r:id="rId47">
        <w:r>
          <w:rPr>
            <w:rFonts w:ascii="Times New Roman" w:hAnsi="Times New Roman" w:eastAsia="宋体"/>
            <w:color w:val="0000FF"/>
            <w:sz w:val="21"/>
            <w:u w:val="single"/>
          </w:rPr>
          <w:t>https://doi.org/10.1364/oe.582674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高真空中纳米粒子的光学悬浮和冷却为超灵敏计量和传感提供了一个特殊的平台。然而，传统的光镊依赖于笨重的物镜，限制了其小型化和应用。在这里，我们设计并制造了数值孔径为 0.83、在真空中工作于 1064 nm、直径为 600 μm 的超透镜。超透镜可作为激光捕获物镜的紧凑替代品。使用基于超透镜的镊子，我们在 1.4 × 10 -6 mbar 的最小压力下捕获纳米粒子，并通过参数反馈将其质心运动冷却至约 100 mK。纳米颗粒已被稳定捕获 30 多天。我们的工作展示了使用基于超透镜的光镊在超高真空中稳定捕获和冷却纳米颗粒，为高精度小型化光机械传感带来了新的机会。</w:t>
      </w:r>
    </w:p>
    <w:p>
      <w:pPr>
        <w:spacing w:before="120"/>
      </w:pPr>
      <w:r>
        <w:rPr>
          <w:rFonts w:ascii="Times New Roman" w:hAnsi="Times New Roman" w:eastAsia="宋体"/>
          <w:b/>
          <w:sz w:val="21"/>
        </w:rPr>
        <w:t>English Abstract:</w:t>
      </w:r>
    </w:p>
    <w:p>
      <w:r>
        <w:rPr>
          <w:rFonts w:ascii="Times New Roman" w:hAnsi="Times New Roman" w:eastAsia="宋体"/>
          <w:sz w:val="21"/>
        </w:rPr>
        <w:t>Optical levitation and cooling of nanoparticles in high vacuum offer an exceptional platform for ultrasensitive metrology and sensing. However, conventional optical tweezers rely on bulky objective lenses, limiting their miniaturization and application. Here, we design and fabricate a metalens with a numerical aperture of 0.83, operating at 1064 nm in vacuum, and a diameter of 600 μ m. The metalens serves as a compact alternative to objective lenses for laser trapping. With the metalens-based tweezers, we trap a nanoparticle at a minimal pressure of 1.4 × 10 −6 mbar and cool its center-of-mass motion via parametric feedback to around 100 mK. The nanoparticle has been stably trapped for over 30 days. Our work demonstrates stable trapping and cooling of a nanoparticle in ultra-high vacuum using a metalens-based optical tweezers, enabling new opportunities in high-precision miniaturized optomechanical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用于检测非生物表面上的单种和双种细菌生物膜的多光谱荧光成像和紫外线 C 消毒</w:t>
      </w:r>
    </w:p>
    <w:p>
      <w:r>
        <w:rPr>
          <w:rFonts w:ascii="Times New Roman" w:hAnsi="Times New Roman" w:eastAsia="宋体"/>
          <w:b/>
          <w:color w:val="003264"/>
          <w:sz w:val="24"/>
        </w:rPr>
        <w:t>Multispectral fluorescence imaging to detect and ultraviolet C to disinfect single and dual-species bacterial biofilm on abiotic surfaces</w:t>
      </w:r>
    </w:p>
    <w:p>
      <w:r>
        <w:rPr>
          <w:rFonts w:ascii="Times New Roman" w:hAnsi="Times New Roman" w:eastAsia="宋体"/>
          <w:sz w:val="21"/>
        </w:rPr>
        <w:t>作者: Benjamin Hu, Mahsa Aliee, Seyedali Hosseinirad, Ashley Boomer, Insuck Baek, Moon S. Kim, Fartash Vasefi, Jitendra Patel, Hossein Kashani Zadeh</w:t>
        <w:br/>
      </w:r>
      <w:r>
        <w:rPr>
          <w:rFonts w:ascii="Times New Roman" w:hAnsi="Times New Roman" w:eastAsia="宋体"/>
          <w:sz w:val="21"/>
        </w:rPr>
        <w:t xml:space="preserve">时间: 2026-01-23 | </w:t>
      </w:r>
      <w:r>
        <w:t xml:space="preserve">链接: </w:t>
      </w:r>
      <w:hyperlink r:id="rId48">
        <w:r>
          <w:rPr>
            <w:rFonts w:ascii="Times New Roman" w:hAnsi="Times New Roman" w:eastAsia="宋体"/>
            <w:color w:val="0000FF"/>
            <w:sz w:val="21"/>
            <w:u w:val="single"/>
          </w:rPr>
          <w:t>https://doi.org/10.1364/oe.581002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由于生物膜持久存在于医疗设备或工业管道等各种表面，因此大约 65% 的微生物感染与生物膜有关。因此，它们的检测和灭活对公共卫生非常重要。许多检测方法，例如拭子，需要通过摩擦采样，这可能昂贵、耗时，并且需要训练有素的人员。这项研究建议使用先前开发的手持式多光谱荧光成像系统来原位实时检测和消毒生物膜。我们利用了污染和消毒检查 (CSI) 和消毒 (CSI-D+)，两者均配有各种摄像头和紫外线 LED 来对污染物进行成像和消毒。使用工业生物反应器在聚氯乙烯（PVC）和不锈钢（SS）试片上生长生物膜，包括单核细胞增生李斯特菌/铜绿假单胞菌或产志贺毒素大肠杆菌（STEC）/铜绿假单胞菌的双物种生物膜，以及单核细胞增生李斯特菌和STEC的单物种生物膜。使用 275、365 或 405 nm 照明与相机组合，视觉检测生物膜的形成。通过比较无菌肉汤和不同类型的生物膜的彩色数据图像分析，SS 上的准确度为 91%，PVC 试片上的准确度为 89%。 UVC 光显着减少了表面试样上单物种和双物种生物膜中的这些病原体。</w:t>
      </w:r>
    </w:p>
    <w:p>
      <w:pPr>
        <w:spacing w:before="120"/>
      </w:pPr>
      <w:r>
        <w:rPr>
          <w:rFonts w:ascii="Times New Roman" w:hAnsi="Times New Roman" w:eastAsia="宋体"/>
          <w:b/>
          <w:sz w:val="21"/>
        </w:rPr>
        <w:t>English Abstract:</w:t>
      </w:r>
    </w:p>
    <w:p>
      <w:r>
        <w:rPr>
          <w:rFonts w:ascii="Times New Roman" w:hAnsi="Times New Roman" w:eastAsia="宋体"/>
          <w:sz w:val="21"/>
        </w:rPr>
        <w:t>Biofilms, because of their persistence on various surfaces such as medical devices or industrial piping, are associated with approximately 65% of all microbial infections. Thus, their detection and inactivation are of great importance to public health. Many detection methods, such as swabbing, require sampling by rubbing, which can be expensive, time-consuming, and require highly trained personnel. This study proposes the use of previously developed, handheld multispectral fluorescence imaging systems to detect and disinfect biofilm in situ and in real-time. We utilized the contamination and sanitization inspection (CSI) and disinfection (CSI-D+), both of which feature various cameras and UV-emitting LEDs to image and disinfect contamination. Biofilms were grown on polyvinyl chloride (PVC) and stainless steel (SS) coupons using an industrial bioreactor, including dual-species biofilms of Listeria monocytogenes/Pseudomonas aeruginosa or Shiga toxin-producing Escherichia coli (STEC)/ Pseudomonas aeruginosa , as well as single-species biofilms of Listeria monocytogenes and STEC. Using 275, 365, or 405 nm illumination with combinations of cameras detected biofilm formation visually. Color data image analysis comparing sterile broth and different types of biofilm yielded accuracies of 91% on SS and 89% on PVC coupons. The UVC light significantly reduced these pathogens in single- and dual-species biofilms from surface coupons.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基于频域滤波的 Shack–Hartmann 超分辨率波前重建神经网络</w:t>
      </w:r>
    </w:p>
    <w:p>
      <w:r>
        <w:rPr>
          <w:rFonts w:ascii="Times New Roman" w:hAnsi="Times New Roman" w:eastAsia="宋体"/>
          <w:b/>
          <w:color w:val="003264"/>
          <w:sz w:val="24"/>
        </w:rPr>
        <w:t>Frequency-domain filtering-based neural network for Shack–Hartmann super-resolution wavefront reconstruction</w:t>
      </w:r>
    </w:p>
    <w:p>
      <w:r>
        <w:rPr>
          <w:rFonts w:ascii="Times New Roman" w:hAnsi="Times New Roman" w:eastAsia="宋体"/>
          <w:sz w:val="21"/>
        </w:rPr>
        <w:t>作者: Xu Hou, Fujia Du, Xiushan Pan, Chong Pei, Heng Zuo</w:t>
        <w:br/>
      </w:r>
      <w:r>
        <w:rPr>
          <w:rFonts w:ascii="Times New Roman" w:hAnsi="Times New Roman" w:eastAsia="宋体"/>
          <w:sz w:val="21"/>
        </w:rPr>
        <w:t xml:space="preserve">时间: 2026-01-22 | </w:t>
      </w:r>
      <w:r>
        <w:t xml:space="preserve">链接: </w:t>
      </w:r>
      <w:hyperlink r:id="rId49">
        <w:r>
          <w:rPr>
            <w:rFonts w:ascii="Times New Roman" w:hAnsi="Times New Roman" w:eastAsia="宋体"/>
            <w:color w:val="0000FF"/>
            <w:sz w:val="21"/>
            <w:u w:val="single"/>
          </w:rPr>
          <w:t>https://doi.org/10.1364/oe.578992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下一代望远镜的孔径不断增大，需要更高分辨率的波前传感。 Shack-Hartmann 波前传感器 (SHWFS) 是自适应光学的关键组件，其传感分辨率从根本上受到其子孔径密度的限制。为了克服这一限制，我们引入了一种基于频域滤波器的神经网络（FF-Net），用于超分辨率波前重建（SRWR）。受到 SHWFS 物理成像原理和卷积定理的启发，FF-Net 利用可学习的 Gabor 滤波器来提取不同频段的像差特征。与标准卷积核相比，这种方法能够更有效地从混叠的子孔径点中解耦特征，从而实现高精度重建。数值模拟表明 FF-Net 实现了最先进的 SRWR 性能。值得注意的是，在欠采样 SHWFS 的情况下，我们的方法优于采用四倍子孔径密度的传统方法的低阶重建精度，同时检索高阶模式。此外，其GPU加速推理时间低于1毫秒，满足大多数天文自适应光学系统的实时要求。 FF-Net 证明，基于物理的网络设计是在自适应光学领域开发更准确、稳健和可解释的深度学习解决方案的强大策略。</w:t>
      </w:r>
    </w:p>
    <w:p>
      <w:pPr>
        <w:spacing w:before="120"/>
      </w:pPr>
      <w:r>
        <w:rPr>
          <w:rFonts w:ascii="Times New Roman" w:hAnsi="Times New Roman" w:eastAsia="宋体"/>
          <w:b/>
          <w:sz w:val="21"/>
        </w:rPr>
        <w:t>English Abstract:</w:t>
      </w:r>
    </w:p>
    <w:p>
      <w:r>
        <w:rPr>
          <w:rFonts w:ascii="Times New Roman" w:hAnsi="Times New Roman" w:eastAsia="宋体"/>
          <w:sz w:val="21"/>
        </w:rPr>
        <w:t>The increasing aperture of next-generation telescopes demands higher-resolution wavefront sensing. The sensing resolution of the Shack-Hartmann wavefront sensor (SHWFS), a key component in adaptive optics, is fundamentally limited by its sub-aperture density. To overcome this limitation, we introduce a frequency-domain filter-based neural network (FF-Net) for super-resolution wavefront reconstruction (SRWR). Inspired by the physical imaging principles of the SHWFS and the convolution theorem, FF-Net utilizes learnable Gabor filters to extract aberration features across various frequency bands. This approach enables more effective feature decoupling from aliased sub-aperture spots compared to standard convolutional kernels, leading to high-precision reconstruction. Numerical simulations demonstrate that FF-Net achieves state-of-the-art SRWR performance. Notably, with an under-sampled SHWFS, our method outperforms the low-order reconstruction accuracy of the conventional method employing four times the sub-aperture density, while simultaneously retrieving higher-order modes. Furthermore, its GPU-accelerated inference time of under 1 ms meets the real-time requirements of most astronomical adaptive optics systems. FF-Net demonstrates that physics-informed network design is a powerful strategy for developing more accurate, robust, and interpretable deep learning solutions in adaptive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通过光子库扩展检测带宽以实现超快光学传感</w:t>
      </w:r>
    </w:p>
    <w:p>
      <w:r>
        <w:rPr>
          <w:rFonts w:ascii="Times New Roman" w:hAnsi="Times New Roman" w:eastAsia="宋体"/>
          <w:b/>
          <w:color w:val="003264"/>
          <w:sz w:val="24"/>
        </w:rPr>
        <w:t>Expanding detection bandwidth via a photonic reservoir for ultrafast optical sensing</w:t>
      </w:r>
    </w:p>
    <w:p>
      <w:r>
        <w:rPr>
          <w:rFonts w:ascii="Times New Roman" w:hAnsi="Times New Roman" w:eastAsia="宋体"/>
          <w:sz w:val="21"/>
        </w:rPr>
        <w:t>作者: Yuito Ito, Tomoaki Niiyama, Tetsuya Asai, Gouhei Tanaka, Atsushi Uchida, Satoshi Sunada</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https://doi.org/10.1364/oe.581652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超快光学和射频 (RF) 信号的检测对于从高速通信到高级传感等各种应用至关重要。然而，传统探测器从根本上受到其固有带宽的限制，限制了宽带信号的精确测量。在这里，我们证明神经形态光子处理方法可以克服这一限制，从而能够检测超出探测器带宽的宽带信号。关键思想在于光子存储网络内输入波形的时空编码，它重建了单个探测器无法访问的高频分量。我们通过实验证明了使用片上硅光子库可以检测高速光学相位信号，有效带宽扩展了八倍以上。这种方法为高速光学和射频信号处理提供了一个可扩展的集成平台，为超快光子学和下一代通信系统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The detection of ultrafast optical and radio-frequency (RF) signals is crucial for applications ranging from high-speed communications to advanced sensing. However, conventional detectors are fundamentally constrained by their intrinsic bandwidth, limiting accurate measurement of broadband signals. Here, we show that a neuromorphic photonic processing approach can overcome this limitation, enabling detection of broadband signals beyond the detector bandwidth. The key idea lies in the spatiotemporal encoding of input waveforms within a photonic reservoir network, which reconstructs high-frequency components otherwise inaccessible to individual detectors. We experimentally demonstrate the detection of high-speed optical phase signals with more than an eightfold effective bandwidth expansion using an on-chip silicon photonic reservoir. This approach provides a scalable and integrated platform for high-speed optical and RF signal processing, opening new opportunities in ultrafast photonics and next-generation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使用边缘检测自旋微分衍射网络进行全光学物体分类</w:t>
      </w:r>
    </w:p>
    <w:p>
      <w:r>
        <w:rPr>
          <w:rFonts w:ascii="Times New Roman" w:hAnsi="Times New Roman" w:eastAsia="宋体"/>
          <w:b/>
          <w:color w:val="003264"/>
          <w:sz w:val="24"/>
        </w:rPr>
        <w:t>All-optical object classification using an edge-detecting spin-differential diffractive network</w:t>
      </w:r>
    </w:p>
    <w:p>
      <w:r>
        <w:rPr>
          <w:rFonts w:ascii="Times New Roman" w:hAnsi="Times New Roman" w:eastAsia="宋体"/>
          <w:sz w:val="21"/>
        </w:rPr>
        <w:t>作者: Yetao Shu, Laixi Sun, Yuhai Li, Tong Fu, Yubin Zhang, Rong Wu, Wenhua Gu, Li Li, Fang Wang, Xiaodong Yuan, Junwei Zhang</w:t>
        <w:br/>
      </w:r>
      <w:r>
        <w:rPr>
          <w:rFonts w:ascii="Times New Roman" w:hAnsi="Times New Roman" w:eastAsia="宋体"/>
          <w:sz w:val="21"/>
        </w:rPr>
        <w:t xml:space="preserve">时间: 2026-01-26 | </w:t>
      </w:r>
      <w:r>
        <w:t xml:space="preserve">链接: </w:t>
      </w:r>
      <w:hyperlink r:id="rId51">
        <w:r>
          <w:rPr>
            <w:rFonts w:ascii="Times New Roman" w:hAnsi="Times New Roman" w:eastAsia="宋体"/>
            <w:color w:val="0000FF"/>
            <w:sz w:val="21"/>
            <w:u w:val="single"/>
          </w:rPr>
          <w:t>https://doi.org/10.1364/oe.579508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全光计算提供超高速、低功耗和并行处理能力，这对于克服摩尔定律的限制至关重要。然而，传统的单波长衍射深度神经网络（D 2 NN）在实现高精度光学边缘特征提取和分类任务之间的协同优化方面面临着重大挑战。在这里，提出了一种用于单波长全光学物体分类的边缘检测自旋微分衍射神经网络（ESD-DNN）。该网络架构通过 Pancharatnam-Berry 相位梯度超表面实现，以实现快速边缘特征提取，而分类推理则通过利用基于左手/右手圆偏振 (LCP/RCP) 组件的自旋微分机制来完成。通过衍射层的端到端优化，ESD-DNN 实现了边缘特征提取和分类的协同优化，显着提高了精度，同时降低了计算成本。数值验证表明，单层 ESD-DNN 的分类准确率达到 97.5% (MNIST) 和 87.5% (Fashion-MNIST)，分别超过传统单波长 D 2 NN 10.2% 和 5.2%。同时，与四层 D 2 NN 相比，它的计算效率提高了 5 倍，同时时间复杂度降低了 80%。值得注意的是，在中等湍流强度或热透镜效应等极端条件下，该网络仍保持 &gt;90% 的分类精度 (MNIST)，展示了其卓越的环境鲁棒性。这些发现为人工智能、卫星遥感、智能工业检测和空间光通信等领域的应用铺平了道路。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All-optical computing offers ultra-high speed, low-power consumption, and parallel processing capabilities, crucial for overcoming Moore's Law limitations. However, conventional single-wavelength diffractive deep neural networks (D 2 NN) face significant challenges in achieving synergistic optimization between high-precision optical edge-feature extraction and classification tasks. Here, an edge-detecting spin-differential diffractive neural network (ESD-DNN) is proposed for single-wavelength all-optical object classification. The network architecture is implemented through a Pancharatnam-Berry phase gradient metasurface to achieve rapid edge-feature extraction, while classification inference is accomplished by utilizing a spin-differential mechanism based on left-/right-handed circularly polarized (LCP/RCP) components. Through end-to-end optimization of the diffractive layers, the ESD-DNN achieves co-optimization of edge-feature extraction and classification, significantly improving accuracy while reducing computational costs. Numerical validations reveal that the single-layer ESD-DNN attains 97.5% (MNIST) and 87.5% (Fashion-MNIST) classification accuracy, surpassing traditional single-wavelength D 2 NN by 10.2% and 5.2%, respectively. Meanwhile, it achieves 5-fold higher computational efficiency while reducing time complexity by 80% compared to a four-layer D 2 NN. Remarkably, under extreme conditions such as moderate turbulence intensity or thermal lensing effects, the network maintains &gt;90% classification accuracy (MNIST), demonstrating its exceptional environmental robustness. These findings pave the way for applications in artificial intelligence, satellite remote sensing, intelligent industrial inspection, and space optical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06:29 ---</w:t>
      </w:r>
    </w:p>
    <w:p>
      <w:pPr>
        <w:pStyle w:val="Heading2"/>
      </w:pPr>
      <w:r/>
      <w:r>
        <w:rPr>
          <w:rFonts w:ascii="Times New Roman" w:hAnsi="Times New Roman" w:eastAsia="宋体"/>
          <w:b/>
          <w:color w:val="000000"/>
          <w:sz w:val="24"/>
        </w:rPr>
        <w:t>反射共焦显微镜引导的空间选择性多光子光热作用可精确闭合小鼠眼缘血管</w:t>
      </w:r>
    </w:p>
    <w:p>
      <w:r>
        <w:rPr>
          <w:rFonts w:ascii="Times New Roman" w:hAnsi="Times New Roman" w:eastAsia="宋体"/>
          <w:b/>
          <w:color w:val="003264"/>
          <w:sz w:val="24"/>
        </w:rPr>
        <w:t>Spatially selective multiphoton photothermolysis guided by reflectance confocal microscopy for precise vessel closure in the mouse eye limbus</w:t>
      </w:r>
    </w:p>
    <w:p>
      <w:r>
        <w:rPr>
          <w:rFonts w:ascii="Times New Roman" w:hAnsi="Times New Roman" w:eastAsia="宋体"/>
          <w:sz w:val="21"/>
        </w:rPr>
        <w:t>作者: Liwei Jiang, Zhenguo Wu, Jianhua Zhao, Jing Cui, Harvey Lui, Sonia N. Yeung, Joanne A. Matsubara, Haishan Zeng</w:t>
        <w:br/>
      </w:r>
      <w:r>
        <w:rPr>
          <w:rFonts w:ascii="Times New Roman" w:hAnsi="Times New Roman" w:eastAsia="宋体"/>
          <w:sz w:val="21"/>
        </w:rPr>
        <w:t xml:space="preserve">时间: 2026-01-14 | </w:t>
      </w:r>
      <w:r>
        <w:t xml:space="preserve">链接: </w:t>
      </w:r>
      <w:hyperlink r:id="rId52">
        <w:r>
          <w:rPr>
            <w:rFonts w:ascii="Times New Roman" w:hAnsi="Times New Roman" w:eastAsia="宋体"/>
            <w:color w:val="0000FF"/>
            <w:sz w:val="21"/>
            <w:u w:val="single"/>
          </w:rPr>
          <w:t>https://doi.org/10.1364/boe.585526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角膜新生血管（CNV）的特点是角膜异常血管生长，通常会损害视力。传统的 CNV 激光疗法缺乏精确性，并且存在附带损害的风险。我们开发了一种多光子光热解 (MPP) 方法，使用基于飞秒 (fs) 激光的双光子吸收，并由实时反射共焦显微镜引导。实施了两种 MPP 激光治疗配置：用于成像（785 nm CW）和治疗（830 nm fs）的双激光器，以及用于这两种功能的单 fs 激光器。我们证明，在小鼠眼角膜中，MPP 实现了选择性血管闭合，而没有附带组织损伤。结果还表明治疗效果是由两个光子吸收而不是一个光子吸收介导的，这凸显了 MPP 作为精确且安全的 CNV 治疗的潜力。</w:t>
      </w:r>
    </w:p>
    <w:p>
      <w:pPr>
        <w:spacing w:before="120"/>
      </w:pPr>
      <w:r>
        <w:rPr>
          <w:rFonts w:ascii="Times New Roman" w:hAnsi="Times New Roman" w:eastAsia="宋体"/>
          <w:b/>
          <w:sz w:val="21"/>
        </w:rPr>
        <w:t>English Abstract:</w:t>
      </w:r>
    </w:p>
    <w:p>
      <w:r>
        <w:rPr>
          <w:rFonts w:ascii="Times New Roman" w:hAnsi="Times New Roman" w:eastAsia="宋体"/>
          <w:sz w:val="21"/>
        </w:rPr>
        <w:t>Corneal neovascularization (CNV) is characterized by abnormal vessel growth into the cornea, often impairing vision. Conventional laser therapies for CNV lack precision and risk collateral damage. We developed a multiphoton photothermolysis (MPP) approach using femtosecond (fs) laser-based two-photon absorption guided by real-time reflectance confocal microscopy. Two MPP laser treatment configurations were implemented: dual lasers for imaging (785 nm CW) and treatment (830 nm fs), and a single fs laser for both functions. We demonstrated that in the mouse eye limbus, MPP achieved selective vessel closure without collateral tissue damage. Results also indicate therapeutic effects are mediated by two- rather than one-photon absorption, highlighting MPP’s potential as a precise and safe CNV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太赫兹频率的拓扑光子器件和电路</w:t>
      </w:r>
    </w:p>
    <w:p>
      <w:r>
        <w:rPr>
          <w:rFonts w:ascii="Times New Roman" w:hAnsi="Times New Roman" w:eastAsia="宋体"/>
          <w:b/>
          <w:color w:val="003264"/>
          <w:sz w:val="24"/>
        </w:rPr>
        <w:t>Topological Photonic Devices and Circuits at Terahertz Frequencies</w:t>
      </w:r>
    </w:p>
    <w:p>
      <w:r>
        <w:rPr>
          <w:rFonts w:ascii="Times New Roman" w:hAnsi="Times New Roman" w:eastAsia="宋体"/>
          <w:sz w:val="21"/>
        </w:rPr>
        <w:t>作者: Samane Kalhor, Srabani Kar, Ranjan Singh, Kaveh Delfanazari</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https://doi.org/10.1002/lpor.202503162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拓扑光子学已成为太赫兹 (THz) 科学和技术的变革范式，通过本质上对无序、缺陷和制造缺陷具有鲁棒性的模式提供对电磁波前所未有的控制。 3D 拓扑绝缘体 (TI) 以自旋极化狄拉克表面态为特征，为实现可调谐、低损耗太赫兹组件提供了强大的材料平台，其功能超越了传统光子系统。基于 TI 的设备在下一代成像、传感和大容量无线通信的核心光谱范围内运行，有望增强性能、稳定性和能效。本文介绍了由 TI 和拓扑设计原理实现的太赫兹光子器件和电路的最新进展。我们首先概述 3D TI 的基本电子和光学特性，并评估它们与太赫兹调制器、开关、探测器和发射器的集成。然后，我们讨论从传统的基于 TI 的光子学到完全拓扑光子平台的进展，强调支持单向、反向散射免疫光传输的结构的出现。最后，我们研究了先进的拓扑相，包括量子自旋霍尔、量子谷霍尔和高阶拓扑，如何解锁缺陷免疫传播、无反射接口和可重构太赫兹电路。总之，这些发展将拓扑光子材料和架构定位为可扩展、弹性和高性能太赫兹和量子光子系统的基础技术。</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photonics has emerged as a transformative paradigm for terahertz (THz) science and technology, offering unprecedented control over electromagnetic waves through modes that are inherently robust against disorder, defects, and fabrication imperfections. 3D topological insulators (TIs), characterized by spin‑polarized Dirac surface states, provide a powerful materials platform for realizing tunable, low‑loss THz components with functionalities that surpass those of conventional photonic systems. Operating across a spectral range central to next‑generation imaging, sensing, and high‑capacity wireless communications, TI‑based devices promise enhanced performance, stability, and energy efficiency. This paper covers recent advances in THz photonic devices and circuits enabled by TIs and topological design principles. We first outline the fundamental electronic and optical properties of 3D TIs and evaluate their integration into THz modulators, switches, detectors, and emitters. We then discuss the progression from traditional TI‑based photonics to fully topological photonic platforms, highlighting the emergence of structures that support unidirectional, backscattering‑immune light transport. Finally, we examine how advanced topological phases, including quantum spin Hall, quantum valley Hall, and higher‑order topologies, unlock defect‑immune propagation, reflectionless interfaces, and reconfigurable THz circuitry. Together, these developments position topological photonic materials and architectures as a foundational technology for scalable, resilient, and high‑performance THz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具有高效自旋允许发射的穆勒型双自由基 X 射线闪烁</w:t>
      </w:r>
    </w:p>
    <w:p>
      <w:r>
        <w:rPr>
          <w:rFonts w:ascii="Times New Roman" w:hAnsi="Times New Roman" w:eastAsia="宋体"/>
          <w:b/>
          <w:color w:val="003264"/>
          <w:sz w:val="24"/>
        </w:rPr>
        <w:t>A Müller‐Type Diradicaloid With Efficient Spin‐Allowed Emission for X‐Ray Scintillation</w:t>
      </w:r>
    </w:p>
    <w:p>
      <w:r>
        <w:rPr>
          <w:rFonts w:ascii="Times New Roman" w:hAnsi="Times New Roman" w:eastAsia="宋体"/>
          <w:sz w:val="21"/>
        </w:rPr>
        <w:t>作者: Zihao Zhu, Yixiao Yin, Alim Abdurahman, Qiming Peng, Wei Huang, Zhongfu An</w:t>
        <w:br/>
      </w:r>
      <w:r>
        <w:rPr>
          <w:rFonts w:ascii="Times New Roman" w:hAnsi="Times New Roman" w:eastAsia="宋体"/>
          <w:sz w:val="21"/>
        </w:rPr>
        <w:t xml:space="preserve">时间: 2026-02-04 | </w:t>
      </w:r>
      <w:r>
        <w:t xml:space="preserve">链接: </w:t>
      </w:r>
      <w:hyperlink r:id="rId54">
        <w:r>
          <w:rPr>
            <w:rFonts w:ascii="Times New Roman" w:hAnsi="Times New Roman" w:eastAsia="宋体"/>
            <w:color w:val="0000FF"/>
            <w:sz w:val="21"/>
            <w:u w:val="single"/>
          </w:rPr>
          <w:t>https://doi.org/10.1002/lpor.202503022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限的激子利用效率（主要是由于自旋禁阻三线态跃迁）仍然是有机光电子学的一个基本挑战。与传统的闭壳发光体不同，开壳双自由基通过实现单重态和三重激发态的自旋允许发射，本质上克服了这一限制。然而，由于竞争性非辐射衰变途径和结构不稳定性，在双自由基中实现高发光效率仍然具有挑战性。在此，我们报告了一种超稳定且高发光的穆勒型双自由基，TPT-CzPh，其光致发光量子产率（PLQY）达到创纪录的16.9%，比典型的穆勒碳氢化合物TTM-PhTTM提高了一个数量级。综合光谱和理论分析将增强的发射归因于合理设计的供体-受体框架，该框架能够实现有效的自旋允许跃迁，并通过最小化的结构重组抑制非辐射衰变。值得注意的是，TPT-CzPh 还表现出明显的 X 射线诱导闪烁，代表第一个用作无金属有机闪烁体的发光双自由基。这一双重成就不仅加深了对双自由基激发态动力学的理解，而且将开壳光物理学与辐射检测联系起来，为下一代高效光电材料铺平了道路。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Limited exciton utilization efficiency—primarily due to spin‐forbidden triplet transitions—remains a fundamental challenge in organic optoelectronics. Unlike conventional closed‐shell luminophores, open‐shell diradicaloids inherently overcome this limitation by enabling spin‐allowed emission from both singlet and triplet excited states. However, achieving high luminescence efficiency in diradicaloids remains challenging due to competing nonradiative decay pathways and structural instability. Herein, we report a super‐stable and highly luminescent Müller‐type diradicaloid, TPT‐CzPh, which achieves a record photoluminescence quantum yield (PLQY) of 16.9%—an order‐of‐magnitude improvement over the prototypical Müller hydrocarbon TTM‐PhTTM. Comprehensive spectroscopic and theoretical analyses attribute the enhanced emission to a rationally engineered donor–acceptor framework that enables efficient spin‐allowed transitions and suppresses nonradiative decay via minimized structural reorganization. Remarkably, TPT‐CzPh also exhibits pronounced X‐ray‐induced scintillation, representing the first luminescent diradicaloid functioning as a metal‐free organic scintillator. This dual achievement not only deepens understanding of excited‐state dynamics in diradicaloids but also bridges open‐shell photophysics with radiation detection, paving the way for next‐generation high‐efficiency optoelectronic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Anapoles 的特异点和强耦合增强了全电介质异二聚体超表面中的 Purcell 效应</w:t>
      </w:r>
    </w:p>
    <w:p>
      <w:r>
        <w:rPr>
          <w:rFonts w:ascii="Times New Roman" w:hAnsi="Times New Roman" w:eastAsia="宋体"/>
          <w:b/>
          <w:color w:val="003264"/>
          <w:sz w:val="24"/>
        </w:rPr>
        <w:t>Exceptional Point and Strong Coupling of Anapoles Enhance Purcell Effect in All‐Dielectric Heterodimer Metasurface</w:t>
      </w:r>
    </w:p>
    <w:p>
      <w:r>
        <w:rPr>
          <w:rFonts w:ascii="Times New Roman" w:hAnsi="Times New Roman" w:eastAsia="宋体"/>
          <w:sz w:val="21"/>
        </w:rPr>
        <w:t>作者: Monica Pradhan, Shubhanshi Sharma, Ranjan Singh, Shailendra K. Varshney</w:t>
        <w:br/>
      </w:r>
      <w:r>
        <w:rPr>
          <w:rFonts w:ascii="Times New Roman" w:hAnsi="Times New Roman" w:eastAsia="宋体"/>
          <w:sz w:val="21"/>
        </w:rPr>
        <w:t xml:space="preserve">时间: 2026-02-04 | </w:t>
      </w:r>
      <w:r>
        <w:t xml:space="preserve">链接: </w:t>
      </w:r>
      <w:hyperlink r:id="rId55">
        <w:r>
          <w:rPr>
            <w:rFonts w:ascii="Times New Roman" w:hAnsi="Times New Roman" w:eastAsia="宋体"/>
            <w:color w:val="0000FF"/>
            <w:sz w:val="21"/>
            <w:u w:val="single"/>
          </w:rPr>
          <w:t>https://doi.org/10.1002/lpor.202502853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介质米氏谐振器是非厄米系统的一个例子，其中纳米尺度的光物质相互作用支持散射态的连续体。众所周知，此类系统表现出辐射和吸收损耗，分别与频率和衰减率相关。为了利用这种非厄米系统的重要特性，这项工作提出了解硅异质二聚体超表面中的阿纳极介导的共振耦合。阿纳极-阿纳极相互作用在某些扰动下通过异常点转变呈现出强耦合现象。这种耦合导致拉比分裂为 48.438 meV (11.7 THz)。采用两级原子系统的概念对所提出的系统中的原子跃迁和共振模式进行比较分析，这展示了一个清晰的类比，抓住了强耦合的本质。该系统提供了对控制混合光学模式的相互作用动力学的更深入的了解，这是一个有前途的平台，可实现实质性的珀塞尔增强并减少阿纳极共振周围的寿命。因此，所提出的二聚体结构为开发对于下一代光子量子网络至关重要的光子发射器界面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Dielectric Mie resonators are an example of non‐Hermitian systems where the light‐matter interaction at the nanoscale supports the continuum of scattering states. It is well established that such systems exhibit radiative and absorptive losses, relating to the frequency and decay rate, respectively. To utilize the significant properties of such non‐Hermitian systems, this work proposes to understand the anapole‐mediated resonance coupling in a silicon hetero‐dimer metasurface. The anapole–anapole interaction presents a strong coupling phenomenon under certain perturbations through an exceptional point transition. This coupling results in a Rabi splitting of 48.438 meV (11.7 THz). The concept of a two‐level atomic system is employed to establish a comparative analysis between the atomic transitions and the resonant modes in the proposed system, which demonstrates a clear analogy that captures the essence of strong coupling. This system provides deeper insight into the interaction dynamics governing the hybridized optical modes, which is a promising platform for achieving substantial Purcell enhancement and yielding the reduction in lifetime around the anapole resonance. Consequently, the proposed dimer structure paves the way toward developing photon–emitter interfaces that are essential for next‐generation photonic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6">
        <w:r>
          <w:rPr>
            <w:rFonts w:ascii="Times New Roman" w:hAnsi="Times New Roman" w:eastAsia="宋体"/>
            <w:color w:val="0000FF"/>
            <w:sz w:val="21"/>
            <w:u w:val="single"/>
          </w:rPr>
          <w:t>https://doi.org/10.1021/phv013i003_2036987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https://doi.org/10.1021/phv013i003_2036986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08:28 ---</w:t>
      </w:r>
    </w:p>
    <w:p>
      <w:pPr>
        <w:pStyle w:val="Heading2"/>
      </w:pPr>
      <w:r/>
      <w:r>
        <w:rPr>
          <w:rFonts w:ascii="Times New Roman" w:hAnsi="Times New Roman" w:eastAsia="宋体"/>
          <w:b/>
          <w:color w:val="000000"/>
          <w:sz w:val="24"/>
        </w:rPr>
        <w:t>纳米级排列连续体中的非局域束缚态</w:t>
      </w:r>
    </w:p>
    <w:p>
      <w:r>
        <w:rPr>
          <w:rFonts w:ascii="Times New Roman" w:hAnsi="Times New Roman" w:eastAsia="宋体"/>
          <w:b/>
          <w:color w:val="003264"/>
          <w:sz w:val="24"/>
        </w:rPr>
        <w:t>Non-local bound states in the continuum for nanoscale alignment</w:t>
      </w:r>
    </w:p>
    <w:p>
      <w:r>
        <w:rPr>
          <w:rFonts w:ascii="Times New Roman" w:hAnsi="Times New Roman" w:eastAsia="宋体"/>
          <w:sz w:val="21"/>
        </w:rPr>
        <w:t>作者: Jing Cheng Zhang, Din Ping Tsai, Stella W. Pang</w:t>
        <w:br/>
      </w:r>
      <w:r>
        <w:rPr>
          <w:rFonts w:ascii="Times New Roman" w:hAnsi="Times New Roman" w:eastAsia="宋体"/>
          <w:sz w:val="21"/>
        </w:rPr>
        <w:t xml:space="preserve">时间: 2026-02-04 | </w:t>
      </w:r>
      <w:r>
        <w:t xml:space="preserve">链接: </w:t>
      </w:r>
      <w:hyperlink r:id="rId64">
        <w:r>
          <w:rPr>
            <w:rFonts w:ascii="Times New Roman" w:hAnsi="Times New Roman" w:eastAsia="宋体"/>
            <w:color w:val="0000FF"/>
            <w:sz w:val="21"/>
            <w:u w:val="single"/>
          </w:rPr>
          <w:t>https://doi.org/10.1038/s41566-026-01847-w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研究人员研究了由面外不对称性引起的从连续体束缚态 (BIC) 到准 BIC 的转变，并说明了 BIC 共振的品质因数如何成为实现精确芯片图案精度的宝贵工具。</w:t>
      </w:r>
    </w:p>
    <w:p>
      <w:pPr>
        <w:spacing w:before="120"/>
      </w:pPr>
      <w:r>
        <w:rPr>
          <w:rFonts w:ascii="Times New Roman" w:hAnsi="Times New Roman" w:eastAsia="宋体"/>
          <w:b/>
          <w:sz w:val="21"/>
        </w:rPr>
        <w:t>English Abstract:</w:t>
      </w:r>
    </w:p>
    <w:p>
      <w:r>
        <w:rPr>
          <w:rFonts w:ascii="Times New Roman" w:hAnsi="Times New Roman" w:eastAsia="宋体"/>
          <w:sz w:val="21"/>
        </w:rPr>
        <w:t>Researchers study the transition from bound states in the continuum (BICs) to quasi-BIC caused by out-of-plane asymmetry and illustrate how quality factors of BIC resonances are valuable tools for precise chip patterning accuracy.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 Id="rId27" Type="http://schemas.openxmlformats.org/officeDocument/2006/relationships/hyperlink" Target="https://doi.org/10.1038/s41467-026-68772-y" TargetMode="External"/><Relationship Id="rId28" Type="http://schemas.openxmlformats.org/officeDocument/2006/relationships/hyperlink" Target="https://doi.org/10.1038/s41598-026-38371-4" TargetMode="External"/><Relationship Id="rId29" Type="http://schemas.openxmlformats.org/officeDocument/2006/relationships/hyperlink" Target="https://doi.org/10.1038/s41598-026-38407-9" TargetMode="External"/><Relationship Id="rId30" Type="http://schemas.openxmlformats.org/officeDocument/2006/relationships/hyperlink" Target="https://doi.org/10.1038/s41598-026-38415-9" TargetMode="External"/><Relationship Id="rId31" Type="http://schemas.openxmlformats.org/officeDocument/2006/relationships/hyperlink" Target="https://doi.org/10.1038/s41598-026-38449-z" TargetMode="External"/><Relationship Id="rId32" Type="http://schemas.openxmlformats.org/officeDocument/2006/relationships/hyperlink" Target="https://doi.org/10.1038/s41598-026-39098-y" TargetMode="External"/><Relationship Id="rId33" Type="http://schemas.openxmlformats.org/officeDocument/2006/relationships/hyperlink" Target="https://doi.org/10.1038/s41598-026-38384-z" TargetMode="External"/><Relationship Id="rId34" Type="http://schemas.openxmlformats.org/officeDocument/2006/relationships/hyperlink" Target="https://doi.org/10.1038/s41598-026-36054-8" TargetMode="External"/><Relationship Id="rId35" Type="http://schemas.openxmlformats.org/officeDocument/2006/relationships/hyperlink" Target="https://doi.org/10.1038/s41598-026-38731-0" TargetMode="External"/><Relationship Id="rId36" Type="http://schemas.openxmlformats.org/officeDocument/2006/relationships/hyperlink" Target="https://doi.org/10.1038/s41598-026-38746-7" TargetMode="External"/><Relationship Id="rId37" Type="http://schemas.openxmlformats.org/officeDocument/2006/relationships/hyperlink" Target="https://doi.org/10.1038/s41598-026-37406-0" TargetMode="External"/><Relationship Id="rId38" Type="http://schemas.openxmlformats.org/officeDocument/2006/relationships/hyperlink" Target="https://doi.org/10.1038/s41598-026-38346-5" TargetMode="External"/><Relationship Id="rId39" Type="http://schemas.openxmlformats.org/officeDocument/2006/relationships/hyperlink" Target="https://doi.org/10.1038/s41598-026-38388-9" TargetMode="External"/><Relationship Id="rId40" Type="http://schemas.openxmlformats.org/officeDocument/2006/relationships/hyperlink" Target="https://doi.org/10.1038/s41598-026-38128-z" TargetMode="External"/><Relationship Id="rId41" Type="http://schemas.openxmlformats.org/officeDocument/2006/relationships/hyperlink" Target="https://doi.org/10.1038/s41598-025-31173-0" TargetMode="External"/><Relationship Id="rId42" Type="http://schemas.openxmlformats.org/officeDocument/2006/relationships/hyperlink" Target="https://doi.org/10.1038/s41598-026-38020-w" TargetMode="External"/><Relationship Id="rId43" Type="http://schemas.openxmlformats.org/officeDocument/2006/relationships/hyperlink" Target="https://doi.org/10.1038/s41598-026-38356-3" TargetMode="External"/><Relationship Id="rId44" Type="http://schemas.openxmlformats.org/officeDocument/2006/relationships/hyperlink" Target="https://doi.org/10.1038/s41598-026-38352-7" TargetMode="External"/><Relationship Id="rId45" Type="http://schemas.openxmlformats.org/officeDocument/2006/relationships/hyperlink" Target="https://doi.org/10.1016/j.optcom.2026.132994" TargetMode="External"/><Relationship Id="rId46" Type="http://schemas.openxmlformats.org/officeDocument/2006/relationships/hyperlink" Target="https://doi.org/10.1016/j.optcom.2026.132995" TargetMode="External"/><Relationship Id="rId47" Type="http://schemas.openxmlformats.org/officeDocument/2006/relationships/hyperlink" Target="https://doi.org/10.1364/oe.582674" TargetMode="External"/><Relationship Id="rId48" Type="http://schemas.openxmlformats.org/officeDocument/2006/relationships/hyperlink" Target="https://doi.org/10.1364/oe.581002" TargetMode="External"/><Relationship Id="rId49" Type="http://schemas.openxmlformats.org/officeDocument/2006/relationships/hyperlink" Target="https://doi.org/10.1364/oe.578992" TargetMode="External"/><Relationship Id="rId50" Type="http://schemas.openxmlformats.org/officeDocument/2006/relationships/hyperlink" Target="https://doi.org/10.1364/oe.581652" TargetMode="External"/><Relationship Id="rId51" Type="http://schemas.openxmlformats.org/officeDocument/2006/relationships/hyperlink" Target="https://doi.org/10.1364/oe.579508" TargetMode="External"/><Relationship Id="rId52" Type="http://schemas.openxmlformats.org/officeDocument/2006/relationships/hyperlink" Target="https://doi.org/10.1364/boe.585526" TargetMode="External"/><Relationship Id="rId53" Type="http://schemas.openxmlformats.org/officeDocument/2006/relationships/hyperlink" Target="https://doi.org/10.1002/lpor.202503162" TargetMode="External"/><Relationship Id="rId54" Type="http://schemas.openxmlformats.org/officeDocument/2006/relationships/hyperlink" Target="https://doi.org/10.1002/lpor.202503022" TargetMode="External"/><Relationship Id="rId55" Type="http://schemas.openxmlformats.org/officeDocument/2006/relationships/hyperlink" Target="https://doi.org/10.1002/lpor.202502853" TargetMode="External"/><Relationship Id="rId56" Type="http://schemas.openxmlformats.org/officeDocument/2006/relationships/hyperlink" Target="https://doi.org/10.1021/phv013i003_2036987" TargetMode="External"/><Relationship Id="rId57" Type="http://schemas.openxmlformats.org/officeDocument/2006/relationships/hyperlink" Target="https://doi.org/10.1021/phv013i003_2036986" TargetMode="External"/><Relationship Id="rId58" Type="http://schemas.openxmlformats.org/officeDocument/2006/relationships/hyperlink" Target="https://doi.org/10.1038/s41598-026-37746-x" TargetMode="External"/><Relationship Id="rId59" Type="http://schemas.openxmlformats.org/officeDocument/2006/relationships/hyperlink" Target="https://doi.org/10.1038/s41598-026-37318-z" TargetMode="External"/><Relationship Id="rId60" Type="http://schemas.openxmlformats.org/officeDocument/2006/relationships/hyperlink" Target="https://doi.org/10.1038/s41598-026-38343-8" TargetMode="External"/><Relationship Id="rId61" Type="http://schemas.openxmlformats.org/officeDocument/2006/relationships/hyperlink" Target="https://doi.org/10.1038/s41598-026-37129-2" TargetMode="External"/><Relationship Id="rId62" Type="http://schemas.openxmlformats.org/officeDocument/2006/relationships/hyperlink" Target="https://doi.org/10.1038/s41598-026-36363-y" TargetMode="External"/><Relationship Id="rId63" Type="http://schemas.openxmlformats.org/officeDocument/2006/relationships/hyperlink" Target="https://doi.org/10.1038/s41598-026-35816-8" TargetMode="External"/><Relationship Id="rId64" Type="http://schemas.openxmlformats.org/officeDocument/2006/relationships/hyperlink" Target="https://doi.org/10.1038/s41566-026-0184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