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通过振动色散光谱探测气态光热效应</w:t>
      </w:r>
    </w:p>
    <w:p>
      <w:r>
        <w:rPr>
          <w:rFonts w:ascii="Times New Roman" w:hAnsi="Times New Roman" w:eastAsia="宋体"/>
          <w:b/>
          <w:color w:val="003264"/>
          <w:sz w:val="24"/>
        </w:rPr>
        <w:t>Probing gaseous photothermal effects via vibrational dispersion spectroscopy</w:t>
      </w:r>
    </w:p>
    <w:p>
      <w:r>
        <w:rPr>
          <w:rFonts w:ascii="Times New Roman" w:hAnsi="Times New Roman" w:eastAsia="宋体"/>
          <w:sz w:val="21"/>
        </w:rPr>
        <w:t>作者: Wenqing Song, Kokoro Fujiwara, Ikki Morichika, Satoshi Ashihara</w:t>
        <w:br/>
      </w:r>
      <w:r>
        <w:rPr>
          <w:rFonts w:ascii="Times New Roman" w:hAnsi="Times New Roman" w:eastAsia="宋体"/>
          <w:sz w:val="21"/>
        </w:rPr>
        <w:t xml:space="preserve">时间: 2026-01-23 | </w:t>
      </w:r>
      <w:r>
        <w:t xml:space="preserve">链接: </w:t>
      </w:r>
      <w:hyperlink r:id="rId34">
        <w:r>
          <w:rPr>
            <w:rFonts w:ascii="Times New Roman" w:hAnsi="Times New Roman" w:eastAsia="宋体"/>
            <w:color w:val="0000FF"/>
            <w:sz w:val="21"/>
            <w:u w:val="single"/>
          </w:rPr>
          <w:t>https://doi.org/10.1364/oe.584928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体中的光热光谱通过推断振动激发后激光引起的折射率变化的吸收，实现灵敏的分子检测。然而，在气体混合物中，光热响应随成分而变化，因为它受到碰撞能量转移以及耦合的热力学和传输过程的控制。当仅在非共振波长下探测折射率时，这些与物种相关的动力学很难解开。在这项工作中，我们采用无背景振动色散光谱来表征气体中的光热响应。该方法探测振动共振波长下的折射率，以检索与气体混合物中各个分子种类相关的稳态密度和差异密度变化。该功能为研究光热现象的热力学和传输提供了一个多功能平台，可应用于燃烧诊断和化学合成监测。</w:t>
      </w:r>
    </w:p>
    <w:p>
      <w:pPr>
        <w:spacing w:before="120"/>
      </w:pPr>
      <w:r>
        <w:rPr>
          <w:rFonts w:ascii="Times New Roman" w:hAnsi="Times New Roman" w:eastAsia="宋体"/>
          <w:b/>
          <w:sz w:val="21"/>
        </w:rPr>
        <w:t>English Abstract:</w:t>
      </w:r>
    </w:p>
    <w:p>
      <w:r>
        <w:rPr>
          <w:rFonts w:ascii="Times New Roman" w:hAnsi="Times New Roman" w:eastAsia="宋体"/>
          <w:sz w:val="21"/>
        </w:rPr>
        <w:t>Photothermal spectroscopy in gases enables sensitive molecular detection by inferring absorption from laser-induced refractive-index changes following rovibrational excitation. In gas mixtures, however, the photothermal response varies with composition because it is governed by collisional energy transfer and coupled thermodynamic and transport processes. These species-dependent dynamics are difficult to disentangle when the refractive index is probed only at an off-resonant wavelength. In this work, we employ background-free vibrational dispersion spectroscopy to characterize photothermal responses in gases. The method probes the refractive index at vibrationally resonant wavelengths to retrieve both steady-state density and differential density changes associated with individual molecular species in gas mixtures. This capability provides a versatile platform for studying the thermodynamics and transport underlying photothermal phenomena, with applications in combustion diagnostics and chemical-synthesis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基于耦合调制回音壁模式微腔的高灵敏度片上加速度计</w:t>
      </w:r>
    </w:p>
    <w:p>
      <w:r>
        <w:rPr>
          <w:rFonts w:ascii="Times New Roman" w:hAnsi="Times New Roman" w:eastAsia="宋体"/>
          <w:b/>
          <w:color w:val="003264"/>
          <w:sz w:val="24"/>
        </w:rPr>
        <w:t>High-sensitivity on-chip accelerometer based on a coupling-modulation whispering gallery mode microcavity</w:t>
      </w:r>
    </w:p>
    <w:p>
      <w:r>
        <w:rPr>
          <w:rFonts w:ascii="Times New Roman" w:hAnsi="Times New Roman" w:eastAsia="宋体"/>
          <w:sz w:val="21"/>
        </w:rPr>
        <w:t>作者: Yahua Zhang, Hang Yu, Ziyi Dong, Yifei Hu, Wei Lin, Zehao Guan, Xiaohe Tang, Yu Liu, Jing Zhang, Guangming Zhao, Ming Li</w:t>
        <w:br/>
      </w:r>
      <w:r>
        <w:rPr>
          <w:rFonts w:ascii="Times New Roman" w:hAnsi="Times New Roman" w:eastAsia="宋体"/>
          <w:sz w:val="21"/>
        </w:rPr>
        <w:t xml:space="preserve">时间: 2026-01-26 | </w:t>
      </w:r>
      <w:r>
        <w:t xml:space="preserve">链接: </w:t>
      </w:r>
      <w:hyperlink r:id="rId35">
        <w:r>
          <w:rPr>
            <w:rFonts w:ascii="Times New Roman" w:hAnsi="Times New Roman" w:eastAsia="宋体"/>
            <w:color w:val="0000FF"/>
            <w:sz w:val="21"/>
            <w:u w:val="single"/>
          </w:rPr>
          <w:t>https://doi.org/10.1364/oe.588352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高品质因数回音壁模式 (WGM) 光学微腔为高性能加速度计提供了一个有前景的平台。然而，大多数现有的 WGM 加速度计依赖于具有锥形光纤或棱镜耦合的片外微腔，这限制了它们的占地面积大、稳定性差和可扩展性有限。为了解决这些限制，我们提出了一种基于耦合调制 WGM 微环谐振器的新型片上加速度计，该加速度计在标准 SOI 平台上制造。外部加速度激发集成悬臂梁振动，引起马赫-曾德干涉仪 (MZI) 相移，从而调制耦合条件并直接转化为输出端口的强度变化。这种机制提供了对光谱响应的精确和稳定的控制，克服了传统物理间隙调制固有的不稳定性。该仿真优化器件在 10.5 mm × 1 mm 的封装内实现了 10 n g /Hz 的噪声等效加速度。其 CMOS 兼容的单片架构确保了鲁棒性、可扩展性以及大规模集成光学传感应用的强大潜力。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whispering-gallery-mode (WGM) optical microcavities offer a promising platform for high-performance accelerometers. However, most existing WGM accelerometers rely on off-chip microcavities with taper-fiber or prism coupling, which limit them with large footprints, poor stability, and limited scalability. To address these limitations, we propose a novel on-chip accelerometer based on a coupling-modulation WGM microring resonator, fabricated on the standard SOI platform. External acceleration excites integrated cantilever beam vibration, inducing a Mach–Zehnder interferometer (MZI) phase shift that modulates the coupling condition and translates directly into intensity variations at the output port. This mechanism provides precise and stable control of the spectral response, overcoming the inherent instability of conventional physical-gap modulation. The simulation-optimized device achieves a noise-equivalent acceleration of 10 n g /Hz within a 10.5 mm × 1 mm footprint. Its CMOS-compatible monolithic architecture ensures robustness, scalability, and strong potential for large-scale integrated optical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基于全保偏 SESAM 辅助的 9 字形 Er: 光纤激光器的紧凑型 GMN 放大系统</w:t>
      </w:r>
    </w:p>
    <w:p>
      <w:r>
        <w:rPr>
          <w:rFonts w:ascii="Times New Roman" w:hAnsi="Times New Roman" w:eastAsia="宋体"/>
          <w:b/>
          <w:color w:val="003264"/>
          <w:sz w:val="24"/>
        </w:rPr>
        <w:t>Compact GMN amplification system based on an all-PM SESAM-assisted figure-9 Er:fiber laser</w:t>
      </w:r>
    </w:p>
    <w:p>
      <w:r>
        <w:rPr>
          <w:rFonts w:ascii="Times New Roman" w:hAnsi="Times New Roman" w:eastAsia="宋体"/>
          <w:sz w:val="21"/>
        </w:rPr>
        <w:t>作者: Zhen Chen, Zhi Yang, Ze Li, Zhiguo Lv</w:t>
        <w:br/>
      </w:r>
      <w:r>
        <w:rPr>
          <w:rFonts w:ascii="Times New Roman" w:hAnsi="Times New Roman" w:eastAsia="宋体"/>
          <w:sz w:val="21"/>
        </w:rPr>
        <w:t xml:space="preserve">时间: 2026-01-23 | </w:t>
      </w:r>
      <w:r>
        <w:t xml:space="preserve">链接: </w:t>
      </w:r>
      <w:hyperlink r:id="rId36">
        <w:r>
          <w:rPr>
            <w:rFonts w:ascii="Times New Roman" w:hAnsi="Times New Roman" w:eastAsia="宋体"/>
            <w:color w:val="0000FF"/>
            <w:sz w:val="21"/>
            <w:u w:val="single"/>
          </w:rPr>
          <w:t>https://doi.org/10.1364/oe.585827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典型的全保偏（PM）9字光纤激光器由于其优异的长期稳定性而有望产生高重复率脉冲，但其发展受到腔长的限制。在此，我们提出了一种半导体可饱和吸收镜（SESAM）辅助的9字型Er：光纤激光器，该激光器在谐波锁模（HML）状态下工作以产生高重复率超短脉冲。通过利用 SESAM 固有的非线性反射率进行脉冲整形并优化泵浦功率，脉冲的重复率可以从 43.478 MHz 调整到 645.16 MHz（第 15 次谐波）。值得注意的是，泵浦引起的增益竞争使 13 次及更高阶谐波的中心波长稳定在 1532 nm 附近。此外，联合增益管理非线性（GMN）放大可提供能量为8.65 nJ、持续时间为102 fs的脉冲，实现超过100 nm的光谱覆盖范围，相当于67.54 nm的3 dB带宽。据我们所知，645.16 MHz 和 102 fs 分别代表 1.5 µm 区域内 GMN 放大的最高重复率和最短脉冲持续时间。我们的结果为研究 1.5 µm GMN 系统中的高能宽带脉冲奠定了基础。</w:t>
      </w:r>
    </w:p>
    <w:p>
      <w:pPr>
        <w:spacing w:before="120"/>
      </w:pPr>
      <w:r>
        <w:rPr>
          <w:rFonts w:ascii="Times New Roman" w:hAnsi="Times New Roman" w:eastAsia="宋体"/>
          <w:b/>
          <w:sz w:val="21"/>
        </w:rPr>
        <w:t>English Abstract:</w:t>
      </w:r>
    </w:p>
    <w:p>
      <w:r>
        <w:rPr>
          <w:rFonts w:ascii="Times New Roman" w:hAnsi="Times New Roman" w:eastAsia="宋体"/>
          <w:sz w:val="21"/>
        </w:rPr>
        <w:t>Typical all-polarization-maintaining (PM) figure-9 fiber lasers are promising for generating high-repetition-rate pulses due to their excellent long-term stability, but their development is limited by the cavity length. Herein, we propose a semiconductor saturable absorber mirror (SESAM)-assisted figure-9 Er:fiber laser that operates in the harmonic mode-locking (HML) regime to generate high-repetition-rate ultrashort pulses. By leveraging the intrinsic nonlinear reflectivity of the SESAM for pulse shaping and optimizing the pump power, the repetition rate of the pulses can be adjusted from 43.478 MHz to 645.16 MHz (15th harmonic). Notably, pump-induced gain competition stabilizes the central wavelength near 1532 nm for the 13th and higher-order harmonics. In addition, the joint gain-managed nonlinear (GMN) amplification delivers pulses with an energy of 8.65 nJ and a duration of 102 fs, achieving a spectral coverage exceeding 100 nm, which corresponds to a 3 dB bandwidth of 67.54 nm. To our knowledge, 645.16 MHz and 102 fs represent, respectively, the highest repetition rate and the shortest pulse duration in the GMN amplification within the 1.5 µm region. Our results establish a foundation for investigating high-energy, broadband pulses in 1.5 µm GMN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广泛可调的掺铥全光纤 MOPA 的高功率和高效率串联泵浦</w:t>
      </w:r>
    </w:p>
    <w:p>
      <w:r>
        <w:rPr>
          <w:rFonts w:ascii="Times New Roman" w:hAnsi="Times New Roman" w:eastAsia="宋体"/>
          <w:b/>
          <w:color w:val="003264"/>
          <w:sz w:val="24"/>
        </w:rPr>
        <w:t>High power and efficiency tandem-pumping of a widely tunable Tm-doped all-fiber MOPA</w:t>
      </w:r>
    </w:p>
    <w:p>
      <w:r>
        <w:rPr>
          <w:rFonts w:ascii="Times New Roman" w:hAnsi="Times New Roman" w:eastAsia="宋体"/>
          <w:sz w:val="21"/>
        </w:rPr>
        <w:t>作者: Chuanyong Ren, Yaocong Han, Yuhao Zheng, Yongxiang Hu, Yi Song, Haotian Wang, Jun Guo, Fei Wang, Deyuan Shen</w:t>
        <w:br/>
      </w:r>
      <w:r>
        <w:rPr>
          <w:rFonts w:ascii="Times New Roman" w:hAnsi="Times New Roman" w:eastAsia="宋体"/>
          <w:sz w:val="21"/>
        </w:rPr>
        <w:t xml:space="preserve">时间: 2026-01-27 | </w:t>
      </w:r>
      <w:r>
        <w:t xml:space="preserve">链接: </w:t>
      </w:r>
      <w:hyperlink r:id="rId37">
        <w:r>
          <w:rPr>
            <w:rFonts w:ascii="Times New Roman" w:hAnsi="Times New Roman" w:eastAsia="宋体"/>
            <w:color w:val="0000FF"/>
            <w:sz w:val="21"/>
            <w:u w:val="single"/>
          </w:rPr>
          <w:t>https://doi.org/10.1364/oe.583281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展示了一种采用纤芯泵浦和串联泵浦配置的高功率且广泛可调的掺铥全光纤主振荡器功率放大器（MOPA）。研究了1943nm串联泵浦的掺铥光纤的基态漂白效应。主振荡器是掺铥光纤环形激光器，结合了可调谐带通滤波器，以实现窄线宽和波长可调谐操作。 MOPA 在 1980nm 处提供 103W 的输出功率，在 1960 至 2020nm 的 60nm 调谐范围内保持 &gt;83W 的输出功率，实现约 80% 的高斜率效率。该激光器表现出~0.15 nm的光谱线宽和&gt;42 dB的高光信噪比（OSNR），这归因于串联泵浦对放大自发发射（ASE）的有效抑制。测得约 10 分钟范围内的功率稳定性 (RMS) 约为 0.75%。在最大激光输出时测得衍射极限光束品质因数M 2 为～1.18（水平）和1.16（垂直）。激光功率受到泵浦限制，即使在最大功率水平下，也不会出现寄生振荡或热致横模不稳定性 (TMI) 效应。据我们所知，这是首次演示全光纤集成、波长可调谐的掺铥光纤激光器在高效串联泵浦下达到 100 瓦的水平。</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high-power and widely-tunable Tm-doped all-fiber master oscillator power amplifier (MOPA) in a core- and tandem-pumping configuration. The ground-state bleaching effect of Tm-doped fiber tandem-pumped at 1943nm was investigated. The master oscillator is a Tm-doped fiber ring laser incorporating a tunable bandpass filter to realize a narrow linewidth and wavelength-tunable operation. The MOPA delivered 103 W of output power at 1980nm, with &gt;83 W maintained over a 60 nm tuning range from 1960 to 2020nm, achieving a high slope efficiency of ∼ 80%. The laser exhibited a spectral linewidth of ∼0.15 nm and a high optical signal-to-noise ratio (OSNR) of &gt;42 dB, attributed to the effective suppression of amplified spontaneous emission (ASE) by tandem pumping. The power stability (RMS) at a scale of ∼10 min was measured to be approximately 0.75%. A diffraction-limited beam quality factor M 2 of ∼1.18 (horizontal) and 1.16 (vertical) was measured at the maximum laser output. The laser power is pump-limited without the onset of parasitic oscillation or thermal-induced transverse mode instability (TMI) effect, even at the maximum power level. This represents the first demonstration, to the best of our knowledge, of an all-fiber-integrated, wavelength-tunable Tm-doped fiber laser reaching the 100-watt level under efficient tandem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用于准消色差、传播不变管状光束的衍射轴锥镜</w:t>
      </w:r>
    </w:p>
    <w:p>
      <w:r>
        <w:rPr>
          <w:rFonts w:ascii="Times New Roman" w:hAnsi="Times New Roman" w:eastAsia="宋体"/>
          <w:b/>
          <w:color w:val="003264"/>
          <w:sz w:val="24"/>
        </w:rPr>
        <w:t>Diffractive axicons for quasi-achromatic, propagation-invariant tubular beams</w:t>
      </w:r>
    </w:p>
    <w:p>
      <w:r>
        <w:rPr>
          <w:rFonts w:ascii="Times New Roman" w:hAnsi="Times New Roman" w:eastAsia="宋体"/>
          <w:sz w:val="21"/>
        </w:rPr>
        <w:t>作者: Niklas Sass, Christof Pruss, Oliver Krieglsteiner, Daniel Schachtler, Kevin Treptow, Stephan Reichelt</w:t>
        <w:br/>
      </w:r>
      <w:r>
        <w:rPr>
          <w:rFonts w:ascii="Times New Roman" w:hAnsi="Times New Roman" w:eastAsia="宋体"/>
          <w:sz w:val="21"/>
        </w:rPr>
        <w:t xml:space="preserve">时间: 2026-01-22 | </w:t>
      </w:r>
      <w:r>
        <w:t xml:space="preserve">链接: </w:t>
      </w:r>
      <w:hyperlink r:id="rId38">
        <w:r>
          <w:rPr>
            <w:rFonts w:ascii="Times New Roman" w:hAnsi="Times New Roman" w:eastAsia="宋体"/>
            <w:color w:val="0000FF"/>
            <w:sz w:val="21"/>
            <w:u w:val="single"/>
          </w:rPr>
          <w:t>https://doi.org/10.1364/oe.582786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光学系统，可生成准消色差、传播不变的管状光场，其直径在数米的传播范围内和所有研究的波长下保持恒定。该系统结合了两个具有相同光栅周期的衍射轴棱镜，其中二元轴棱镜（DOE1）的相位偏移通过控制+1级和-1级衍射级之间的干涉来决定傅里叶平面中出现单环还是双环结构。在傅立叶平面之外，我们分析了光束的全轴向演化。数值模拟和实验表明，横向环直径在传播过程中保持不变。结果表明，二维模拟和测量之间具有很强的一致性，证实了所生成的管状光场的准消色差和传播不变行为。</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optical system that generates a quasi-achromatic, propagation-invariant tubular light field whose diameter remains constant over meters of propagation and for all investigated wavelengths. The system combines two diffractive axicons of identical grating period, where the phase offset of the binary axicon (DOE1) determines whether a single-ring or double-ring structure appears in the Fourier plane by controlling the interference between the +1 st and −1 st diffraction orders. Beyond the Fourier plane, we analyze the full axial evolution of the beam. Numerical simulations and experiments show that the transverse ring diameter remains invariant during propagation. The results demonstrate strong agreement between two-dimensional simulations and measurements, confirming the quasi-achromatic and propagation-invariant behavior of the generated tubular light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超快光声计算机断层扫描用于小鼠呼吸和心脏动力学的体内可视化</w:t>
      </w:r>
    </w:p>
    <w:p>
      <w:r>
        <w:rPr>
          <w:rFonts w:ascii="Times New Roman" w:hAnsi="Times New Roman" w:eastAsia="宋体"/>
          <w:b/>
          <w:color w:val="003264"/>
          <w:sz w:val="24"/>
        </w:rPr>
        <w:t>Ultrafast photoacoustic computed tomography for in vivo visualization of respiratory and cardiac dynamics in mice</w:t>
      </w:r>
    </w:p>
    <w:p>
      <w:r>
        <w:rPr>
          <w:rFonts w:ascii="Times New Roman" w:hAnsi="Times New Roman" w:eastAsia="宋体"/>
          <w:sz w:val="21"/>
        </w:rPr>
        <w:t>作者: Simin Wang, Yang Liu, Yingjie Feng, Xianling Liu, Di Xu, Chao Tao, Xiaojun Liu</w:t>
        <w:br/>
      </w:r>
      <w:r>
        <w:rPr>
          <w:rFonts w:ascii="Times New Roman" w:hAnsi="Times New Roman" w:eastAsia="宋体"/>
          <w:sz w:val="21"/>
        </w:rPr>
        <w:t xml:space="preserve">时间: 2026-01-26 | </w:t>
      </w:r>
      <w:r>
        <w:t xml:space="preserve">链接: </w:t>
      </w:r>
      <w:hyperlink r:id="rId39">
        <w:r>
          <w:rPr>
            <w:rFonts w:ascii="Times New Roman" w:hAnsi="Times New Roman" w:eastAsia="宋体"/>
            <w:color w:val="0000FF"/>
            <w:sz w:val="21"/>
            <w:u w:val="single"/>
          </w:rPr>
          <w:t>https://doi.org/10.1364/oe.582616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我们提出了一种超快光声计算机断层扫描 (UPACT) 系统，该系统结合了 1 kHz 纳秒激光器、256 通道高速数据采集和频域 SNR 加权重建，可在超低表面注量 (∼0.226 mJ/cm 2 ) 下以每秒 1000 帧的速度进行单次全视图断层扫描，并具有 100 μm 面内分辨率。体模实验通过对快速移动的 100 μm 直径微球进行成像来验证运动冻结和定量跟踪。裸鼠体内成像捕捉心肺动态，膈肌厚度为0.6毫米，膈肌运动幅度为0.8毫米，呼吸频率为每分钟75次呼吸。 UPACT 进一步解析了心室特定的心脏力学，揭示了 4.55 Hz 的主导心脏频率和 0.093 s 的房室机械延迟。该系统在小鼠身体横截面的短轴和长轴上实现了高达14毫米和20毫米的有效穿透深度，实现了体内肾脏和脾脏等内脏器官的完整可视化。这些结果表明 UPACT 可能是快速生理动力学无创监测的强大平台，为心脏功能及相关领域的研究提供新的机会。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present an ultrafast photoacoustic computed tomography (UPACT) system that combines a 1 kHz nanosecond laser, 256-channel high-speed data acquisition, and frequency-domain SNR-weighted reconstruction to enable single-shot, full-view tomography at up to 1000 frames per second with 100 μm in-plane resolution under ultralow surface fluence (∼0.226 mJ/cm 2 ). Phantom experiments validate motion-freezing and quantitative tracking by imaging rapidly moving 100 μm-diameter microspheres. In vivo imaging of nude mice captures cardiopulmonary dynamics, yielding a diaphragm thickness of 0.6 mm, a diaphragm motion amplitude of 0.8 mm, and a respiratory rate of 75 breaths per minute. UPACT further resolves chamber-specific cardiac mechanics, revealing a dominant cardiac frequency of 4.55 Hz and an atrioventricular mechanical delay of 0.093 s. The system achieved an effective penetration depth of up to 14 mm along the short axis and 20 mm along the long axis of the mouse-body cross-section, enabling full visualization of internal organs such as the kidneys and spleen in vivo . These results suggest that UPACT might be a powerful platform for noninvasive monitoring of rapid physiological dynamics, offering new opportunities for research on cardiac function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使用非线性校正阵列光谱辐射计测量 0/45 反射系数</w:t>
      </w:r>
    </w:p>
    <w:p>
      <w:r>
        <w:rPr>
          <w:rFonts w:ascii="Times New Roman" w:hAnsi="Times New Roman" w:eastAsia="宋体"/>
          <w:b/>
          <w:color w:val="003264"/>
          <w:sz w:val="24"/>
        </w:rPr>
        <w:t>Measurement of 0/45 reflectance factor using nonlinearity corrected array spectroradiometer</w:t>
      </w:r>
    </w:p>
    <w:p>
      <w:r>
        <w:rPr>
          <w:rFonts w:ascii="Times New Roman" w:hAnsi="Times New Roman" w:eastAsia="宋体"/>
          <w:sz w:val="21"/>
        </w:rPr>
        <w:t>作者: Zhifeng Wu, Shize Wang, Xiaofeng Lu, Chao Liu, Jinzhao Lu, Caihong Dai, Ling Li, Ruoduan Sun, Yanfei Wang, Shufang He</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https://doi.org/10.1364/oe.582795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系数的测量涉及跨越多个数量级的动态范围，确保测量系统的线性度对于获得准确的结果至关重要。该论文描述了一种能够测量反射率并通过适当修改来实现线性测量的光学配置。线性校准设施将高温黑体源、孔径和白色扩散器结合在一起，使得光谱辐射亮度测量范围和相对光谱分布与使用积分球光源的反射系数测量相同。这显着减少了非线性和光谱杂散光的影响，使基于阵列光谱辐射计的反射系数测量更加方便，同时尽可能减少测量不确定性。从380 nm到780 nm，白漫反射的0/45反射系数测量不确定度达到1.20%-0.54%（k=2）。</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reflectance factor involves a dynamic range spanning multiple orders of magnitude, and ensuring the linearity of the measurement system is essential for obtaining accurate results. The paper describes an optical configuration capable of reflectance factor measurement and enabling linearity measurement by appropriately modifying it. The linearity calibration facility incorporates a high-temperature blackbody source, an aperture, and a white diffuser together, making the spectral radiance measurement range and relative spectral distribution identical to that of reflectance factor measurements using an integrating sphere light source. This significantly reduces the impact of nonlinearity and spectral stray light, making reflectance factor measurements based on array spectroradiometers more convenient while minimizing measurement uncertainty as much as possible. The 0/45 reflectance factor measurement uncertainty of white diffuse reaches 1.20%-0.54% ( k = 2) from 380 nm to 780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双光谱透明随机编码超表面，用于减少散射和电磁屏蔽</w:t>
      </w:r>
    </w:p>
    <w:p>
      <w:r>
        <w:rPr>
          <w:rFonts w:ascii="Times New Roman" w:hAnsi="Times New Roman" w:eastAsia="宋体"/>
          <w:b/>
          <w:color w:val="003264"/>
          <w:sz w:val="24"/>
        </w:rPr>
        <w:t>Dual-spectrum transparent random encoding metasurface for scattering reduction and electromagnetic shielding</w:t>
      </w:r>
    </w:p>
    <w:p>
      <w:r>
        <w:rPr>
          <w:rFonts w:ascii="Times New Roman" w:hAnsi="Times New Roman" w:eastAsia="宋体"/>
          <w:sz w:val="21"/>
        </w:rPr>
        <w:t>作者: Tianhao Liu, Yelong Wang, Feng Qi, Nairui Hu, Bo Hu, Zhaoyang Liu, Pengxiang Liu, Weifan Li</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https://doi.org/10.1364/oe.584559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双光谱透明随机编码超表面（DTREM），以实现先进光学窗口的出色雷达截面（RCS）减小和增强电磁（EM）保护。为了同时确保高电磁屏蔽和可见光和红外光谱中优异的透过率，采用了易于制造的金属网技术，并从理论上分析了其物理参数约束。随后，基于实用的模拟退火算法，精心设计了优化的编码阵列。该算法可以显着增强DTREM的RCS降低性能。实验结果表明，所制作的DTREM样品在550 nm处实现了89.5%的高双光谱透过率，在3.0-5.0 μm范围内实现了90.8%的高双光谱透过率。此外，它在 13.6-17.2 GHz 频段上的 RCS 显着降低超过 10 dB，在 X-Ku 频段上的屏蔽效能达到 23.8 dB。这些结果表明，所提出的方法为集成光电检测平台提供了一种有前景的解决方案。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dual-spectrum transparent random encoding metasurface (DTREM) is proposed to achieve both excellent radar cross-section (RCS) reduction and enhanced electromagnetic (EM) protection for advanced optical windows. To simultaneously ensure high EM shielding and excellent transmittance in the visible and infrared spectra, an easy-to-fabricate metal mesh technology is employed, with its physical parameter constraints analyzed theoretically. Subsequently, based on a practical simulated annealing algorithm, the optimized coding array is elaborately designed. This algorithm can significantly enhance the RCS reduction performance of DTREM. Experimental results show that the fabricated DTREM sample achieves a high dual-spectrum transmittance of 89.5% at 550 nm and 90.8% in the 3.0-5.0 μm range. Additionally, it demonstrates notable RCS reduction exceeding 10 dB across 13.6-17.2 GHz and a shielding effectiveness of 23.8 dB over the X-Ku band. These results suggest that the proposed approach offers a promising solution for integrated optoelectronic detection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垂直入射时具有亚分贝插入损耗的三波相互作用光栅耦合器</w:t>
      </w:r>
    </w:p>
    <w:p>
      <w:r>
        <w:rPr>
          <w:rFonts w:ascii="Times New Roman" w:hAnsi="Times New Roman" w:eastAsia="宋体"/>
          <w:b/>
          <w:color w:val="003264"/>
          <w:sz w:val="24"/>
        </w:rPr>
        <w:t>Three-wave interaction grating coupler with the sub-decibel insertion loss at normal incidence</w:t>
      </w:r>
    </w:p>
    <w:p>
      <w:r>
        <w:rPr>
          <w:rFonts w:ascii="Times New Roman" w:hAnsi="Times New Roman" w:eastAsia="宋体"/>
          <w:sz w:val="21"/>
        </w:rPr>
        <w:t>作者: Carson G. Valdez, Simon A. Bongarz, Anne R. Kroo, Anna J. Miller, Michel J. F. Digonnet, David A. B. Miller, Olav Solgaard</w:t>
        <w:br/>
      </w:r>
      <w:r>
        <w:rPr>
          <w:rFonts w:ascii="Times New Roman" w:hAnsi="Times New Roman" w:eastAsia="宋体"/>
          <w:sz w:val="21"/>
        </w:rPr>
        <w:t xml:space="preserve">时间: 2026-01-21 | </w:t>
      </w:r>
      <w:r>
        <w:t xml:space="preserve">链接: </w:t>
      </w:r>
      <w:hyperlink r:id="rId215">
        <w:r>
          <w:rPr>
            <w:rFonts w:ascii="Times New Roman" w:hAnsi="Times New Roman" w:eastAsia="宋体"/>
            <w:color w:val="0000FF"/>
            <w:sz w:val="21"/>
            <w:u w:val="single"/>
          </w:rPr>
          <w:t>https://doi.org/10.1364/optica.571318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或自由空间光束与硅光子电路之间的高效光学耦合对于降低系统级损耗和实现可扩展封装至关重要。传统的光栅耦合器通常需要非垂直入射的照明，这限制了它们与垂直定向光源和光纤的兼容性。我们报告了用于硅光子学的高效正入射光栅耦合器的设计、商业铸造厂的制造以及实验结果。我们观察到中心波长为 1546 nm 时，1 dB 带宽为 20 nm，最大耦合效率为 85.4% (−0.69dB)。这些实验结果验证了早期的理论和仿真结果，并为在对输入耦合损耗敏感的硅光子应用中使用完全垂直的光栅耦合器作为边缘耦合的替代方案铺平了道路。此外，这些结果使得光栅耦合器能够用于垂直定向元件，例如多芯光纤和 VCSEL，并解决了与自由空间光束耦合相关的挑战。</w:t>
      </w:r>
    </w:p>
    <w:p>
      <w:pPr>
        <w:spacing w:before="120"/>
      </w:pPr>
      <w:r>
        <w:rPr>
          <w:rFonts w:ascii="Times New Roman" w:hAnsi="Times New Roman" w:eastAsia="宋体"/>
          <w:b/>
          <w:sz w:val="21"/>
        </w:rPr>
        <w:t>English Abstract:</w:t>
      </w:r>
    </w:p>
    <w:p>
      <w:r>
        <w:rPr>
          <w:rFonts w:ascii="Times New Roman" w:hAnsi="Times New Roman" w:eastAsia="宋体"/>
          <w:sz w:val="21"/>
        </w:rPr>
        <w:t>High-efficiency optical coupling between fibers or free-space beams and silicon photonic circuits is critical for reducing system-level losses and enabling scalable packaging. Conventional grating couplers typically require illumination off-normal incidence, limiting their compatibility with vertically oriented sources and fibers. We report the design, fabrication in a commercial foundry, and experimental results of high-efficiency, normal incidence grating couplers for silicon photonics. We observe a maximum coupling efficiency of 85.4% (−0.69dB) with a 1 dB bandwidth of 20 nm at a central wavelength of 1546 nm. These experimental results verify earlier theoretical and simulation results and pave the way for the use of perfectly vertical grating couplers, as an alternative to edge coupling, in silicon photonics applications that are sensitive to input coupling loss. Further, these results enable the use of grating couplers for vertically oriented elements, such as multicore fibers and VCSELs, and address challenges associated with coupling to free space beams.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水射流引导激光系统能量传输与分布特性分析</w:t>
      </w:r>
    </w:p>
    <w:p>
      <w:r>
        <w:rPr>
          <w:rFonts w:ascii="Times New Roman" w:hAnsi="Times New Roman" w:eastAsia="宋体"/>
          <w:b/>
          <w:color w:val="003264"/>
          <w:sz w:val="24"/>
        </w:rPr>
        <w:t>Analysis of energy transmission and distribution characteristics in water jet guided laser systems</w:t>
      </w:r>
    </w:p>
    <w:p>
      <w:r>
        <w:rPr>
          <w:rFonts w:ascii="Times New Roman" w:hAnsi="Times New Roman" w:eastAsia="宋体"/>
          <w:sz w:val="21"/>
        </w:rPr>
        <w:t>作者: Zhouwei He, Xiaoyan Sun, Haikuan Chen, Haoning Zheng, Youwang Hu, Pingmei Ming</w:t>
        <w:br/>
      </w:r>
      <w:r>
        <w:rPr>
          <w:rFonts w:ascii="Times New Roman" w:hAnsi="Times New Roman" w:eastAsia="宋体"/>
          <w:sz w:val="21"/>
        </w:rPr>
        <w:t xml:space="preserve">时间: 2026-02-01 | </w:t>
      </w:r>
      <w:r>
        <w:t xml:space="preserve">链接: </w:t>
      </w:r>
      <w:hyperlink r:id="rId213">
        <w:r>
          <w:rPr>
            <w:rFonts w:ascii="Times New Roman" w:hAnsi="Times New Roman" w:eastAsia="宋体"/>
            <w:color w:val="0000FF"/>
            <w:sz w:val="21"/>
            <w:u w:val="single"/>
          </w:rPr>
          <w:t>https://doi.org/10.1016/j.optcom.2026.132992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11:27 ---</w:t>
      </w:r>
    </w:p>
    <w:p>
      <w:pPr>
        <w:pStyle w:val="Heading2"/>
      </w:pPr>
      <w:r/>
      <w:r>
        <w:rPr>
          <w:rFonts w:ascii="Times New Roman" w:hAnsi="Times New Roman" w:eastAsia="宋体"/>
          <w:b/>
          <w:color w:val="000000"/>
          <w:sz w:val="24"/>
        </w:rPr>
        <w:t>先进的激光差​​动扫描辅助电解质喷射加工方法提高了宏观表面平整度</w:t>
      </w:r>
    </w:p>
    <w:p>
      <w:r>
        <w:rPr>
          <w:rFonts w:ascii="Times New Roman" w:hAnsi="Times New Roman" w:eastAsia="宋体"/>
          <w:b/>
          <w:color w:val="003264"/>
          <w:sz w:val="24"/>
        </w:rPr>
        <w:t>Advanced laser differential scanning-assisted electrolyte jet machining method improves macroscopic surface flatness</w:t>
      </w:r>
    </w:p>
    <w:p>
      <w:r>
        <w:rPr>
          <w:rFonts w:ascii="Times New Roman" w:hAnsi="Times New Roman" w:eastAsia="宋体"/>
          <w:sz w:val="21"/>
        </w:rPr>
        <w:t>作者: Liqun Du, Dong Li, Ce Zhang, Mingxin Yu, Xiaolong Han, Jianfeng Cui</w:t>
        <w:br/>
      </w:r>
      <w:r>
        <w:rPr>
          <w:rFonts w:ascii="Times New Roman" w:hAnsi="Times New Roman" w:eastAsia="宋体"/>
          <w:sz w:val="21"/>
        </w:rPr>
        <w:t xml:space="preserve">时间: 2026-05-01 | </w:t>
      </w:r>
      <w:r>
        <w:t xml:space="preserve">链接: </w:t>
      </w:r>
      <w:hyperlink r:id="rId33">
        <w:r>
          <w:rPr>
            <w:rFonts w:ascii="Times New Roman" w:hAnsi="Times New Roman" w:eastAsia="宋体"/>
            <w:color w:val="0000FF"/>
            <w:sz w:val="21"/>
            <w:u w:val="single"/>
          </w:rPr>
          <w:t>https://doi.org/10.1016/j.optlastec.2026.114849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用于稳定荧光发射的 LED 光谱引导激发补偿</w:t>
      </w:r>
    </w:p>
    <w:p>
      <w:r>
        <w:rPr>
          <w:rFonts w:ascii="Times New Roman" w:hAnsi="Times New Roman" w:eastAsia="宋体"/>
          <w:b/>
          <w:color w:val="003264"/>
          <w:sz w:val="24"/>
        </w:rPr>
        <w:t>Spectrum-guided excitation compensation of LEDs for stabilizing fluorescence emission</w:t>
      </w:r>
    </w:p>
    <w:p>
      <w:r>
        <w:rPr>
          <w:rFonts w:ascii="Times New Roman" w:hAnsi="Times New Roman" w:eastAsia="宋体"/>
          <w:sz w:val="21"/>
        </w:rPr>
        <w:t>作者: Huan Zuo, Qian Zhao, Yong Liu, Beini Sun, Zhengfei Zhuang, Tongsheng Chen</w:t>
        <w:br/>
      </w:r>
      <w:r>
        <w:rPr>
          <w:rFonts w:ascii="Times New Roman" w:hAnsi="Times New Roman" w:eastAsia="宋体"/>
          <w:sz w:val="21"/>
        </w:rPr>
        <w:t xml:space="preserve">时间: 2026-05-01 | </w:t>
      </w:r>
      <w:r>
        <w:t xml:space="preserve">链接: </w:t>
      </w:r>
      <w:hyperlink r:id="rId333">
        <w:r>
          <w:rPr>
            <w:rFonts w:ascii="Times New Roman" w:hAnsi="Times New Roman" w:eastAsia="宋体"/>
            <w:color w:val="0000FF"/>
            <w:sz w:val="21"/>
            <w:u w:val="single"/>
          </w:rPr>
          <w:t>https://doi.org/10.1016/j.optlastec.2026.114848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具有聚焦拉盖尔高斯光束的旋转荧光纳米金刚石组件</w:t>
      </w:r>
    </w:p>
    <w:p>
      <w:r>
        <w:rPr>
          <w:rFonts w:ascii="Times New Roman" w:hAnsi="Times New Roman" w:eastAsia="宋体"/>
          <w:b/>
          <w:color w:val="003264"/>
          <w:sz w:val="24"/>
        </w:rPr>
        <w:t>Rotating fluorescent nanodiamond assemblies with focused Laguerre-Gaussian beams</w:t>
      </w:r>
    </w:p>
    <w:p>
      <w:r>
        <w:rPr>
          <w:rFonts w:ascii="Times New Roman" w:hAnsi="Times New Roman" w:eastAsia="宋体"/>
          <w:sz w:val="21"/>
        </w:rPr>
        <w:t>作者: Peter J. Reece</w:t>
        <w:br/>
      </w:r>
      <w:r>
        <w:rPr>
          <w:rFonts w:ascii="Times New Roman" w:hAnsi="Times New Roman" w:eastAsia="宋体"/>
          <w:sz w:val="21"/>
        </w:rPr>
        <w:t xml:space="preserve">时间: 2026-02-03T02:18:52Z | </w:t>
      </w:r>
      <w:r>
        <w:t xml:space="preserve">链接: </w:t>
      </w:r>
      <w:hyperlink r:id="rId42">
        <w:r>
          <w:rPr>
            <w:rFonts w:ascii="Times New Roman" w:hAnsi="Times New Roman" w:eastAsia="宋体"/>
            <w:color w:val="0000FF"/>
            <w:sz w:val="21"/>
            <w:u w:val="single"/>
          </w:rPr>
          <w:t>https://arxiv.org/abs/2602.03005v1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利用结构光场的光镊通过全息生成的拉盖尔高斯 (LG) 模式的轨道角动量 (OAM) 转移，实现捕获的纳米粒子的旋转。在这项研究中，我们使用 OAM 转移来演示在聚焦的高阶 LG 光束中组装的明亮荧光纳米金刚石簇的受控旋转。我们发现这些组件可以在轨道频率高达 5 Hz 的二维光阱中有效旋转。我们使用视频跟踪来探索这种捕获装置的布朗动力学，并研究方向稳定性对施加弱外部磁场的光学检测磁共振（ODMR）测量的影响。通过收集沿轨道多个点的 ODMR 谱，我们表明受限二维运动可以为矢量磁场重建提供额外的见解。</w:t>
      </w:r>
    </w:p>
    <w:p>
      <w:pPr>
        <w:spacing w:before="120"/>
      </w:pPr>
      <w:r>
        <w:rPr>
          <w:rFonts w:ascii="Times New Roman" w:hAnsi="Times New Roman" w:eastAsia="宋体"/>
          <w:b/>
          <w:sz w:val="21"/>
        </w:rPr>
        <w:t>English Abstract:</w:t>
      </w:r>
    </w:p>
    <w:p>
      <w:r>
        <w:rPr>
          <w:rFonts w:ascii="Times New Roman" w:hAnsi="Times New Roman" w:eastAsia="宋体"/>
          <w:sz w:val="21"/>
        </w:rPr>
        <w:t>Optical tweezers which utilize structured light fields enable the rotation of trapped nanoparticles through the transfer of orbital angular momentum (OAM) from holographically generated Laguerre-Gaussian (LG) modes. In this research we use OAM transfer to demonstrate controlled rotation of bright fluorescent nanodiamond clusters assembled in a focused higher-order LG beam. We find that the assemblies can be effectively rotated in a two-dimensional optical trap with orbital frequencies of up to 5 Hz. We use video tracking to explore the Brownian dynamics of such a trapping arrangement and look at the impact of orientation stability on measurements of optically detected magnetic resonance (ODMR) with an applied weak external magnetic field. By collecting ODMR spectra at multiple points along the orbit, we show that the constrained two-dimensional motion can provide additional insights for vector magnetic field reconstruction.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具有高度敏感拓扑演化的等离激元自旋Meron晶格</w:t>
      </w:r>
    </w:p>
    <w:p>
      <w:r>
        <w:rPr>
          <w:rFonts w:ascii="Times New Roman" w:hAnsi="Times New Roman" w:eastAsia="宋体"/>
          <w:b/>
          <w:color w:val="003264"/>
          <w:sz w:val="24"/>
        </w:rPr>
        <w:t>Plasmonic Spin Meron Lattices with Height-Sensitive Topology Evolution</w:t>
      </w:r>
    </w:p>
    <w:p>
      <w:r>
        <w:rPr>
          <w:rFonts w:ascii="Times New Roman" w:hAnsi="Times New Roman" w:eastAsia="宋体"/>
          <w:sz w:val="21"/>
        </w:rPr>
        <w:t>作者: Chen-Bin Huang</w:t>
        <w:br/>
      </w:r>
      <w:r>
        <w:rPr>
          <w:rFonts w:ascii="Times New Roman" w:hAnsi="Times New Roman" w:eastAsia="宋体"/>
          <w:sz w:val="21"/>
        </w:rPr>
        <w:t xml:space="preserve">时间: 2026-02-03T03:07:26Z | </w:t>
      </w:r>
      <w:r>
        <w:t xml:space="preserve">链接: </w:t>
      </w:r>
      <w:hyperlink r:id="rId43">
        <w:r>
          <w:rPr>
            <w:rFonts w:ascii="Times New Roman" w:hAnsi="Times New Roman" w:eastAsia="宋体"/>
            <w:color w:val="0000FF"/>
            <w:sz w:val="21"/>
            <w:u w:val="single"/>
          </w:rPr>
          <w:t>https://arxiv.org/abs/2602.03042v1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我们展示了圆偏振照明下金属方形耦合结构上方等离子体自旋子晶格的高度控制拓扑切换。在界面附近，倏逝的表面等离子体激元 (SPP) 通道产生具有 $\pm\frac{1}{2}$ 类似有效位点电荷的 Néel 型 meron 晶格。在较高高度处，来自方形边缘的衍射场占主导地位，并将晶格转变为布洛赫型结构。在一系列中间高度上，渐逝的 SPP 和边缘衍射之间的交叉产生了丰富的快速拓扑演化。这种转换伴随着面内自旋相中离界涡旋-反涡旋对的成核，产生高度依赖的分数位点电荷。我们的研究结果是通过等离子体区域中的 SPP 和衍射区域中的 Stratton-Chu 模型的线性叠加来分析表述的，并通过全波有限差分时域模拟得到证实。</w:t>
      </w:r>
    </w:p>
    <w:p>
      <w:pPr>
        <w:spacing w:before="120"/>
      </w:pPr>
      <w:r>
        <w:rPr>
          <w:rFonts w:ascii="Times New Roman" w:hAnsi="Times New Roman" w:eastAsia="宋体"/>
          <w:b/>
          <w:sz w:val="21"/>
        </w:rPr>
        <w:t>English Abstract:</w:t>
      </w:r>
    </w:p>
    <w:p>
      <w:r>
        <w:rPr>
          <w:rFonts w:ascii="Times New Roman" w:hAnsi="Times New Roman" w:eastAsia="宋体"/>
          <w:sz w:val="21"/>
        </w:rPr>
        <w:t>We demonstrate height-controlled topological switching of plasmonic spin meron lattices above a metallic square coupling structure under circularly polarized illumination. Near the interface, an evanescent surface plasmon polariton (SPP) channel yields a Néel-type meron lattice with $\pm\frac{1}{2}$ like effective site charges. At larger heights, diffracted fields from the square edges dominate and convert the lattice into a Bloch-type configuration. Over a range of intermediate heights, crossover between the evanescent SPP and edge diffraction gives rise to rich rapid topology evolutions. The switching is accompanied by nucleation of off-boundary vortex-anti vortex pairs in the in-plane spin phase, producing height-dependent fractional site charges. Our findings are analytically formulated by linear superposition of SPPs in the plasmonic regime and Stratton-Chu model in diffraction regime and confirmed via full-wave finite-difference time-domain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44">
        <w:r>
          <w:rPr>
            <w:rFonts w:ascii="Times New Roman" w:hAnsi="Times New Roman" w:eastAsia="宋体"/>
            <w:color w:val="0000FF"/>
            <w:sz w:val="21"/>
            <w:u w:val="single"/>
          </w:rPr>
          <w:t>https://arxiv.org/abs/2602.03281v1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通过基于物理的学习对 OCT 光学特性和散斑减少结构强度进行端到端重建</w:t>
      </w:r>
    </w:p>
    <w:p>
      <w:r>
        <w:rPr>
          <w:rFonts w:ascii="Times New Roman" w:hAnsi="Times New Roman" w:eastAsia="宋体"/>
          <w:b/>
          <w:color w:val="003264"/>
          <w:sz w:val="24"/>
        </w:rPr>
        <w:t>End-to-end reconstruction of OCT optical properties and speckle-reduced structural intensity via physics-based learning</w:t>
      </w:r>
    </w:p>
    <w:p>
      <w:r>
        <w:rPr>
          <w:rFonts w:ascii="Times New Roman" w:hAnsi="Times New Roman" w:eastAsia="宋体"/>
          <w:sz w:val="21"/>
        </w:rPr>
        <w:t>作者: Jin U. Kang</w:t>
        <w:br/>
      </w:r>
      <w:r>
        <w:rPr>
          <w:rFonts w:ascii="Times New Roman" w:hAnsi="Times New Roman" w:eastAsia="宋体"/>
          <w:sz w:val="21"/>
        </w:rPr>
        <w:t xml:space="preserve">时间: 2026-02-02T19:40:34Z | </w:t>
      </w:r>
      <w:r>
        <w:t xml:space="preserve">链接: </w:t>
      </w:r>
      <w:hyperlink r:id="rId45">
        <w:r>
          <w:rPr>
            <w:rFonts w:ascii="Times New Roman" w:hAnsi="Times New Roman" w:eastAsia="宋体"/>
            <w:color w:val="0000FF"/>
            <w:sz w:val="21"/>
            <w:u w:val="single"/>
          </w:rPr>
          <w:t>https://arxiv.org/abs/2602.02721v1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中的逆散射旨在恢复结构图像和固有组织光学特性，包括折射率、散射系数和各向异性。由于衰减、散斑噪声和参数之间的强耦合，这个逆问题具有挑战性。我们提出了一种正则化的端到端深度学习框架，该框架联合重建光学参数图和散斑减少的 OCT 结构强度以进行层可视化。我们的网络经过蒙特卡罗模拟地面实况训练，采用了基于物理的 OCT 前向模型，该模型根据估计参数生成预测信号，为参数恢复和伪影抑制提供物理一致的监督。合成角膜 OCT 数据集的实验证明了噪声下稳健的光学图恢复、改进的分辨率和增强的结构保真度。这种方法可以实现定量多参数组织表征，并突出了将物理信息建模与计算 OCT 深度学习相结合的好处。</w:t>
      </w:r>
    </w:p>
    <w:p>
      <w:pPr>
        <w:spacing w:before="120"/>
      </w:pPr>
      <w:r>
        <w:rPr>
          <w:rFonts w:ascii="Times New Roman" w:hAnsi="Times New Roman" w:eastAsia="宋体"/>
          <w:b/>
          <w:sz w:val="21"/>
        </w:rPr>
        <w:t>English Abstract:</w:t>
      </w:r>
    </w:p>
    <w:p>
      <w:r>
        <w:rPr>
          <w:rFonts w:ascii="Times New Roman" w:hAnsi="Times New Roman" w:eastAsia="宋体"/>
          <w:sz w:val="21"/>
        </w:rPr>
        <w:t>Inverse scattering in optical coherence tomography (OCT) seeks to recover both structural images and intrinsic tissue optical properties, including refractive index, scattering coefficient, and anisotropy. This inverse problem is challenging due to attenuation, speckle noise, and strong coupling among parameters. We propose a regularized end-to-end deep learning framework that jointly reconstructs optical parameter maps and speckle-reduced OCT structural intensity for layer visualization. Trained with Monte Carlo-simulated ground truth, our network incorporates a physics-based OCT forward model that generates predicted signals from the estimated parameters, providing physics-consistent supervision for parameter recovery and artifact suppression. Experiments on the synthetic corneal OCT dataset demonstrate robust optical map recovery under noise, improved resolution, and enhanced structural fidelity. This approach enables quantitative multi-parameter tissue characterization and highlights the benefit of combining physics-informed modeling with deep learning for computational 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通过高斯建模和 MCML 基于物理生成多层角膜 OCT 数据，用于 AI 驱动的诊断和手术指导应用</w:t>
      </w:r>
    </w:p>
    <w:p>
      <w:r>
        <w:rPr>
          <w:rFonts w:ascii="Times New Roman" w:hAnsi="Times New Roman" w:eastAsia="宋体"/>
          <w:b/>
          <w:color w:val="003264"/>
          <w:sz w:val="24"/>
        </w:rPr>
        <w:t>Physics-based generation of multilayer corneal OCT data via Gaussian modeling and MCML for AI-driven diagnostic and surgical guidance applications</w:t>
      </w:r>
    </w:p>
    <w:p>
      <w:r>
        <w:rPr>
          <w:rFonts w:ascii="Times New Roman" w:hAnsi="Times New Roman" w:eastAsia="宋体"/>
          <w:sz w:val="21"/>
        </w:rPr>
        <w:t>作者: Jin U. Kang</w:t>
        <w:br/>
      </w:r>
      <w:r>
        <w:rPr>
          <w:rFonts w:ascii="Times New Roman" w:hAnsi="Times New Roman" w:eastAsia="宋体"/>
          <w:sz w:val="21"/>
        </w:rPr>
        <w:t xml:space="preserve">时间: 2026-02-02T20:07:29Z | </w:t>
      </w:r>
      <w:r>
        <w:t xml:space="preserve">链接: </w:t>
      </w:r>
      <w:hyperlink r:id="rId46">
        <w:r>
          <w:rPr>
            <w:rFonts w:ascii="Times New Roman" w:hAnsi="Times New Roman" w:eastAsia="宋体"/>
            <w:color w:val="0000FF"/>
            <w:sz w:val="21"/>
            <w:u w:val="single"/>
          </w:rPr>
          <w:t>https://arxiv.org/abs/2602.02755v1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用于角膜光学相干断层扫描 (OCT) 成像的深度学习模型的训练受到大型且注释良好的数据集的可用性的限制。我们提出了一个可配置的蒙特卡罗模拟框架，该框架可生成合成角膜 B 扫描光学 OCT 图像，并具有直接从模拟几何形状导出的像素级五层分割标签。具有高斯表面的五层角膜模型可捕捉健康眼睛和圆锥角膜眼睛的曲率和厚度变化。每层都根据文献分配光学属性，并使用多层组织中光传输的蒙特卡罗模型 (MCML) 来模拟光传输，同时结合共焦 PSF 和灵敏度滚降等系统功能。该方法可生成超过 10,000 个高分辨率 (1024x1024) 图像标签对，并支持几何形状、光子计数、噪声和系统参数的定制。由此产生的数据集能够在受控的真实条件下对人工智能模型进行系统训练、验证和基准测试，提供可重复和可扩展的资源，以支持图像引导眼科诊断和手术指导应用的开发。</w:t>
      </w:r>
    </w:p>
    <w:p>
      <w:pPr>
        <w:spacing w:before="120"/>
      </w:pPr>
      <w:r>
        <w:rPr>
          <w:rFonts w:ascii="Times New Roman" w:hAnsi="Times New Roman" w:eastAsia="宋体"/>
          <w:b/>
          <w:sz w:val="21"/>
        </w:rPr>
        <w:t>English Abstract:</w:t>
      </w:r>
    </w:p>
    <w:p>
      <w:r>
        <w:rPr>
          <w:rFonts w:ascii="Times New Roman" w:hAnsi="Times New Roman" w:eastAsia="宋体"/>
          <w:sz w:val="21"/>
        </w:rPr>
        <w:t>Training deep learning models for corneal optical coherence tomography (OCT) imaging is limited by the availability of large, well-annotated datasets. We present a configurable Monte Carlo simulation framework that generates synthetic corneal B-scan optical OCT images with pixel-level five-layer segmentation labels derived directly from the simulation geometry. A five-layer corneal model with Gaussian surfaces captures curvature and thickness variability in healthy and keratoconic eyes. Each layer is assigned optical properties from the literature and light transport is simulated using Monte Carlo modeling of light transport in multi-layered tissues (MCML), while incorporating system features such as the confocal PSF and sensitivity roll-off. This approach produces over 10,000 high-resolution (1024x1024) image-label pairs and supports customization of geometry, photon count, noise, and system parameters. The resulting dataset enables systematic training, validation, and benchmarking of AI models under controlled, ground-truth conditions, providing a reproducible and scalable resource to support the development of diagnostic and surgical guidance applications in image-guided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使用扩散模型即插即用先验的角膜 B 扫描 OCT 成像的超分辨率和去噪</w:t>
      </w:r>
    </w:p>
    <w:p>
      <w:r>
        <w:rPr>
          <w:rFonts w:ascii="Times New Roman" w:hAnsi="Times New Roman" w:eastAsia="宋体"/>
          <w:b/>
          <w:color w:val="003264"/>
          <w:sz w:val="24"/>
        </w:rPr>
        <w:t>Super-Resolution and Denoising of Corneal B-Scan OCT Imaging Using Diffusion Model Plug-and-Play Priors</w:t>
      </w:r>
    </w:p>
    <w:p>
      <w:r>
        <w:rPr>
          <w:rFonts w:ascii="Times New Roman" w:hAnsi="Times New Roman" w:eastAsia="宋体"/>
          <w:sz w:val="21"/>
        </w:rPr>
        <w:t>作者: Jin U. Kang</w:t>
        <w:br/>
      </w:r>
      <w:r>
        <w:rPr>
          <w:rFonts w:ascii="Times New Roman" w:hAnsi="Times New Roman" w:eastAsia="宋体"/>
          <w:sz w:val="21"/>
        </w:rPr>
        <w:t xml:space="preserve">时间: 2026-02-02T20:56:10Z | </w:t>
      </w:r>
      <w:r>
        <w:t xml:space="preserve">链接: </w:t>
      </w:r>
      <w:hyperlink r:id="rId47">
        <w:r>
          <w:rPr>
            <w:rFonts w:ascii="Times New Roman" w:hAnsi="Times New Roman" w:eastAsia="宋体"/>
            <w:color w:val="0000FF"/>
            <w:sz w:val="21"/>
            <w:u w:val="single"/>
          </w:rPr>
          <w:t>https://arxiv.org/abs/2602.02795v1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光学相干断层扫描（OCT）对于手术计划和诊断的角膜成像至关重要。然而，高速采集通常会降低空间分辨率并增加散斑噪声，给准确解释带来挑战。我们提出了一种先进的超分辨率框架，利用扩散模型即插即用 (PnP) 先验来实现 4 倍空间分辨率增强，同时对 OCT Bscan 图像进行有效去噪。我们的方法将重建制定为有原则的贝叶斯逆问题，将马尔可夫链蒙特卡罗采样与预训练的生成先验相结合以增强解剖学一致性。我们使用 \emph{in vivo} 鱼眼角膜数据集全面验证该框架，以评估不同临床环境下的稳健性和可扩展性。与双三次插值、传统监督 U-Net 基线和替代扩散先验的比较实验表明，我们的方法始终能够产生更精确的解剖结构、改进的角膜层轮廓和出色的噪声抑制。定量结果显示了峰值信噪比、结构相似性指数和感知指标方面最先进的性能。这项工作凸显了扩散驱动的即插即用重建在提供高保真、高分辨率 OCT 成像、支持更可靠的临床评估和实现先进的图像引导干预方面的潜力。我们的研究结果表明，该方法可以扩展到需要强大的超分辨率和去噪的其他生物医学成像模式。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pivotal in corneal imaging for both surgical planning and diagnosis. However, high-speed acquisitions often degrade spatial resolution and increase speckle noise, posing challenges for accurate interpretation. We propose an advanced super-resolution framework leveraging diffusion model plug-and-play (PnP) priors to achieve 4x spatial resolution enhancement alongside effective denoising of OCT Bscan images. Our approach formulates reconstruction as a principled Bayesian inverse problem, combining Markov chain Monte Carlo sampling with pretrained generative priors to enforce anatomical consistency. We comprehensively validate the framework using \emph{in vivo} fisheye corneal datasets, to assess robustness and scalability under diverse clinical settings. Comparative experiments against bicubic interpolation, conventional supervised U-Net baselines, and alternative diffusion priors demonstrate that our method consistently yields more precise anatomical structures, improved delineation of corneal layers, and superior noise suppression. Quantitative results show state-of-the-art performance in peak signal-to-noise ratio, structural similarity index, and perceptual metrics. This work highlights the potential of diffusion-driven plug-and-play reconstruction to deliver high-fidelity, high-resolution OCT imaging, supporting more reliable clinical assessments and enabling advanced image-guided interventions. Our findings suggest the approach can be extended to other biomedical imaging modalities requiring robust super-resolution and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用于机器人深前板层角膜移植术 (DALK) 指导的实时拓扑感知 M 模式 OCT 分割</w:t>
      </w:r>
    </w:p>
    <w:p>
      <w:r>
        <w:rPr>
          <w:rFonts w:ascii="Times New Roman" w:hAnsi="Times New Roman" w:eastAsia="宋体"/>
          <w:b/>
          <w:color w:val="003264"/>
          <w:sz w:val="24"/>
        </w:rPr>
        <w:t>Real-time topology-aware M-mode OCT segmentation for robotic deep anterior lamellar keratoplasty (DALK) guidance</w:t>
      </w:r>
    </w:p>
    <w:p>
      <w:r>
        <w:rPr>
          <w:rFonts w:ascii="Times New Roman" w:hAnsi="Times New Roman" w:eastAsia="宋体"/>
          <w:sz w:val="21"/>
        </w:rPr>
        <w:t>作者: Jin U. Kang</w:t>
        <w:br/>
      </w:r>
      <w:r>
        <w:rPr>
          <w:rFonts w:ascii="Times New Roman" w:hAnsi="Times New Roman" w:eastAsia="宋体"/>
          <w:sz w:val="21"/>
        </w:rPr>
        <w:t xml:space="preserve">时间: 2026-02-02T20:58:04Z | </w:t>
      </w:r>
      <w:r>
        <w:t xml:space="preserve">链接: </w:t>
      </w:r>
      <w:hyperlink r:id="rId48">
        <w:r>
          <w:rPr>
            <w:rFonts w:ascii="Times New Roman" w:hAnsi="Times New Roman" w:eastAsia="宋体"/>
            <w:color w:val="0000FF"/>
            <w:sz w:val="21"/>
            <w:u w:val="single"/>
          </w:rPr>
          <w:t>https://arxiv.org/abs/2602.02798v1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机器人深前板层角膜移植术 (DALK) 需要准确的实时深度反馈，以接近后弹力层 (DM) 而不会穿孔。 M 模式术中光学相干断层扫描 (OCT) 提供高时间分辨率深度轨迹，但散斑噪声、衰减和仪器引起的阴影通常会导致不连续或模糊的层界面，从而在部署帧速率下挑战解剖学上一致的分割。我们提出了一种基于 UNeXt 的轻量级拓扑感知 M 模式分割管道，它结合了解剖拓扑正则化，以在低信噪比条件下稳定边界连续性和层排序。所提出的系统在单个 GPU 上的完整预处理推理叠加管道上测得的端到端吞吐量超过 80 Hz，展示了超越仅模型计时的实用实时指导。此操作余量提供了时间余量来拒绝低质量或丢失帧，同时保持稳定的有效深度更新率。使用已建立的基线协议​​对标准兔眼 M 模式数据集进行的评估表明，与拓扑无关的控制相比，定性边界稳定性得到了改善，同时保留了可部署的实时性能。</w:t>
      </w:r>
    </w:p>
    <w:p>
      <w:pPr>
        <w:spacing w:before="120"/>
      </w:pPr>
      <w:r>
        <w:rPr>
          <w:rFonts w:ascii="Times New Roman" w:hAnsi="Times New Roman" w:eastAsia="宋体"/>
          <w:b/>
          <w:sz w:val="21"/>
        </w:rPr>
        <w:t>English Abstract:</w:t>
      </w:r>
    </w:p>
    <w:p>
      <w:r>
        <w:rPr>
          <w:rFonts w:ascii="Times New Roman" w:hAnsi="Times New Roman" w:eastAsia="宋体"/>
          <w:sz w:val="21"/>
        </w:rPr>
        <w:t>Robotic deep anterior lamellar keratoplasty (DALK) requires accurate real time depth feedback to approach Descemet's membrane (DM) without perforation. M-mode intraoperative optical coherence tomography (OCT) provides high temporal resolution depth traces, but speckle noise, attenuation, and instrument induced shadowing often result in discontinuous or ambiguous layer interfaces that challenge anatomically consistent segmentation at deployment frame rates. We present a lightweight, topology aware M-mode segmentation pipeline based on UNeXt that incorporates anatomical topology regularization to stabilize boundary continuity and layer ordering under low signal to noise ratio conditions. The proposed system achieves end to end throughput exceeding 80 Hz measured over the complete preprocessing inference overlay pipeline on a single GPU, demonstrating practical real time guidance beyond model only timing. This operating margin provides temporal headroom to reject low quality or dropout frames while maintaining a stable effective depth update rate. Evaluation on a standard rabbit eye M-mode dataset using an established baseline protocol shows improved qualitative boundary stability compared with topology agnostic controls, while preserving deployable real 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通过基础模型驱动的人工智能，实现视网膜疾病 3D OCT 的完整端到端诊断工作流程自动化</w:t>
      </w:r>
    </w:p>
    <w:p>
      <w:r>
        <w:rPr>
          <w:rFonts w:ascii="Times New Roman" w:hAnsi="Times New Roman" w:eastAsia="宋体"/>
          <w:b/>
          <w:color w:val="003264"/>
          <w:sz w:val="24"/>
        </w:rPr>
        <w:t>Full end-to-end diagnostic workflow automation of 3D OCT via foundation model-driven AI for retinal diseases</w:t>
      </w:r>
    </w:p>
    <w:p>
      <w:r>
        <w:rPr>
          <w:rFonts w:ascii="Times New Roman" w:hAnsi="Times New Roman" w:eastAsia="宋体"/>
          <w:sz w:val="21"/>
        </w:rPr>
        <w:t>作者: Peng Xiao</w:t>
        <w:br/>
      </w:r>
      <w:r>
        <w:rPr>
          <w:rFonts w:ascii="Times New Roman" w:hAnsi="Times New Roman" w:eastAsia="宋体"/>
          <w:sz w:val="21"/>
        </w:rPr>
        <w:t xml:space="preserve">时间: 2026-02-03T09:28:51Z | </w:t>
      </w:r>
      <w:r>
        <w:t xml:space="preserve">链接: </w:t>
      </w:r>
      <w:hyperlink r:id="rId49">
        <w:r>
          <w:rPr>
            <w:rFonts w:ascii="Times New Roman" w:hAnsi="Times New Roman" w:eastAsia="宋体"/>
            <w:color w:val="0000FF"/>
            <w:sz w:val="21"/>
            <w:u w:val="single"/>
          </w:rPr>
          <w:t>https://arxiv.org/abs/2602.03302v1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光学相干断层扫描（OCT）以其高分辨率和三维成像特性彻底改变了视网膜疾病的诊断，但其在临床实践中的全面诊断自动化仍然受到多阶段工作流程和传统单切片单任务人工智能模型的限制。我们推出基于 OCT 的全流程临床实用系统 (FOCUS)，这是一个基础模型驱动框架，可实现 3D OCT 视网膜疾病诊断的端到端自动化。 FOCUS 使用 EfficientNetV2-S 依次执行图像质量评估，然后使用微调的视觉基础模型进行异常检测和多疾病分类。至关重要的是，FOCUS 利用统一的自适应聚合方法将 2D 切片级预测智能地集成到全面的 3D 患者级诊断中。 FOCUS 在 3,300 名患者（40,672 个切片）上进行了培训和测试，并在四个不同级别中心和不同 OCT 设备上对 1,345 名患者（18,498 个切片）进行了外部验证，在质量评估 (99.01%)、异常检测 (97.46%) 和患者级诊断 (94.39%) 方面取得了较高的 F1 分数。跨中心的真实世界验证也显示出稳定的性能（F1：90.22%-95.24%）。在人机对比中，FOCUS在异常检测（F1：95.47% vs 90.91%）和多疾病诊断（F1：93.49% vs 91.35%）方面与专家表现相当，同时表现出更好的效率。 FOCUS 实现了图像到诊断流程的自动化，代表了无人眼科的重大进步，为自主筛查提供了经过验证的蓝图，以提高人口规模视网膜护理的可及性和效率。</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has revolutionized retinal disease diagnosis with its high-resolution and three-dimensional imaging nature, yet its full diagnostic automation in clinical practices remains constrained by multi-stage workflows and conventional single-slice single-task AI models. We present Full-process OCT-based Clinical Utility System (FOCUS), a foundation model-driven framework enabling end-to-end automation of 3D OCT retinal disease diagnosis. FOCUS sequentially performs image quality assessment with EfficientNetV2-S, followed by abnormality detection and multi-disease classification using a fine-tuned Vision Foundation Model. Crucially, FOCUS leverages a unified adaptive aggregation method to intelligently integrate 2D slices-level predictions into comprehensive 3D patient-level diagnosis. Trained and tested on 3,300 patients (40,672 slices), and externally validated on 1,345 patients (18,498 slices) across four different-tier centers and diverse OCT devices, FOCUS achieved high F1 scores for quality assessment (99.01%), abnormally detection (97.46%), and patient-level diagnosis (94.39%). Real-world validation across centers also showed stable performance (F1: 90.22%-95.24%). In human-machine comparisons, FOCUS matched expert performance in abnormality detection (F1: 95.47% vs 90.91%) and multi-disease diagnosis (F1: 93.49% vs 91.35%), while demonstrating better efficiency. FOCUS automates the image-to-diagnosis pipeline, representing a critical advance towards unmanned ophthalmology with a validated blueprint for autonomous screening to enhance population scale retinal care accessibility and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使用石墨烯金属红外光电探测器进行通用重建偏振测量</w:t>
      </w:r>
    </w:p>
    <w:p>
      <w:r>
        <w:rPr>
          <w:rFonts w:ascii="Times New Roman" w:hAnsi="Times New Roman" w:eastAsia="宋体"/>
          <w:b/>
          <w:color w:val="003264"/>
          <w:sz w:val="24"/>
        </w:rPr>
        <w:t>Universal reconstructive polarimetry with graphene-metal infrared photodetectors</w:t>
      </w:r>
    </w:p>
    <w:p>
      <w:r>
        <w:rPr>
          <w:rFonts w:ascii="Times New Roman" w:hAnsi="Times New Roman" w:eastAsia="宋体"/>
          <w:sz w:val="21"/>
        </w:rPr>
        <w:t>作者: Dmitry Svintsov</w:t>
        <w:br/>
      </w:r>
      <w:r>
        <w:rPr>
          <w:rFonts w:ascii="Times New Roman" w:hAnsi="Times New Roman" w:eastAsia="宋体"/>
          <w:sz w:val="21"/>
        </w:rPr>
        <w:t xml:space="preserve">时间: 2026-02-02T19:53:06Z | </w:t>
      </w:r>
      <w:r>
        <w:t xml:space="preserve">链接: </w:t>
      </w:r>
      <w:hyperlink r:id="rId50">
        <w:r>
          <w:rPr>
            <w:rFonts w:ascii="Times New Roman" w:hAnsi="Times New Roman" w:eastAsia="宋体"/>
            <w:color w:val="0000FF"/>
            <w:sz w:val="21"/>
            <w:u w:val="single"/>
          </w:rPr>
          <w:t>https://arxiv.org/abs/2602.02737v1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光偏振的测量都是基于复杂、庞大且缓慢的光学仪器。具有原位可变偏振光响应的材料的出现引发了重构偏振测量的概念，其中探测器本身扮演可调谐偏振器的角色。实现这种功能的材料仅限于复杂的范德华异质结构。在这里，我们演示了基于简单门控石墨烯-金属结的红外（IR）探测器的重建偏振测量。重建利用了偏振对比度的栅极调谐，这使得能够根据两个连续栅极电压下的光电压测量来评估红外功率和偏振角。实现偏振测定的物理原理在于接触附近电子热点的偏振相关移动以及光敏势垒宽度的栅极调谐。我们进一步展示了偏振重建的普遍性，即它对于不同几何形状的结以及不同质量的石墨烯（从六方氮化硼封装到可扩展的气相沉积湿转移样品）的可行性。</w:t>
      </w:r>
    </w:p>
    <w:p>
      <w:pPr>
        <w:spacing w:before="120"/>
      </w:pPr>
      <w:r>
        <w:rPr>
          <w:rFonts w:ascii="Times New Roman" w:hAnsi="Times New Roman" w:eastAsia="宋体"/>
          <w:b/>
          <w:sz w:val="21"/>
        </w:rPr>
        <w:t>English Abstract:</w:t>
      </w:r>
    </w:p>
    <w:p>
      <w:r>
        <w:rPr>
          <w:rFonts w:ascii="Times New Roman" w:hAnsi="Times New Roman" w:eastAsia="宋体"/>
          <w:sz w:val="21"/>
        </w:rPr>
        <w:t>Measurement of light polarization has long been based on complex, bulk, and slow optical instruments. The advent of materials with in-situ variable polarization photoresponse has led to the concept of reconstructive polarimetry, where the detector itself plays the role of tunable polarizer. Materials enabling such functionality have been limited to complex van der Waals heterostructures. Here, we demonstrate the reconstructive polarimetry with infrared (IR) detectors based on simple gated graphene-metal junctions. The reconstruction exploits the gate tuning of polarization contrast, which enables the evaluation of both infrared power and polarization angle from photovoltage measurements at two sequential gate voltages. The physics enabling the polarimetry lies in polarization-dependent shift of the electron hot spot near the contact, and the gate tuning of the of light-sensitive barrier width. We further show the universality of polarization reconstruction, i.e. its feasibility with different geometries of the junction, and with graphene of different quality, from hBN-encapsulated to the scalable vapor-deposited wet-transferred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由光镊驱动的基于齿轮的 3D 打印微型机器</w:t>
      </w:r>
    </w:p>
    <w:p>
      <w:r>
        <w:rPr>
          <w:rFonts w:ascii="Times New Roman" w:hAnsi="Times New Roman" w:eastAsia="宋体"/>
          <w:b/>
          <w:color w:val="003264"/>
          <w:sz w:val="24"/>
        </w:rPr>
        <w:t>Gear-based 3D-printed Micromachines Actuated by Optical Tweezers</w:t>
      </w:r>
    </w:p>
    <w:p>
      <w:r>
        <w:rPr>
          <w:rFonts w:ascii="Times New Roman" w:hAnsi="Times New Roman" w:eastAsia="宋体"/>
          <w:sz w:val="21"/>
        </w:rPr>
        <w:t>作者: Muamer Kadic</w:t>
        <w:br/>
      </w:r>
      <w:r>
        <w:rPr>
          <w:rFonts w:ascii="Times New Roman" w:hAnsi="Times New Roman" w:eastAsia="宋体"/>
          <w:sz w:val="21"/>
        </w:rPr>
        <w:t xml:space="preserve">时间: 2026-02-02T20:07:49Z | </w:t>
      </w:r>
      <w:r>
        <w:t xml:space="preserve">链接: </w:t>
      </w:r>
      <w:hyperlink r:id="rId51">
        <w:r>
          <w:rPr>
            <w:rFonts w:ascii="Times New Roman" w:hAnsi="Times New Roman" w:eastAsia="宋体"/>
            <w:color w:val="0000FF"/>
            <w:sz w:val="21"/>
            <w:u w:val="single"/>
          </w:rPr>
          <w:t>https://arxiv.org/abs/2602.02756v1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机械机构的小型化对于开发紧凑、高性能的微型机械至关重要。然而，传统齿轮和微型电机的小型化驱动仍然受到实现机械/电力驱动的固有挑战的限制。在这里，我们展示了通过双光子聚合 3D 打印实现的光机械、齿轮驱动微型机器的设计、制造和表征。使用光镊实现驱动。该设备将微型齿轮传输系统与光学驱动部件集成在一起，从而实现光控微型机器。当受到高度聚焦的激光源照射时，第一个齿轮在齿轮组件内产生旋转扭矩，将光能转换成可传输到耦合齿轮的定向机械功。我们演示了使用双光子聚合（2PP）激光写入的微机械制造，能够制造能够产生平面外旋转的正齿轮系和锥齿轮，这是传统微机械制造技术无法实现的。微型机器由单个齿轮或两个或三个齿轮组成，部件之间没有任何不必要的粘附，从而形成正常运行的系统。实验上，使用光镊驱动所制造的微型机器，展示了连续的齿轮旋转、齿轮系中的有效运动传输、平面外旋转以及放大速度或扭矩的能力。光镊驱动拓宽了这些微型机器的潜在应用，特别是在生物医学和芯片实验室系统中，在这些系统中，微尺度的精确、微创控制至关重要。</w:t>
      </w:r>
    </w:p>
    <w:p>
      <w:pPr>
        <w:spacing w:before="120"/>
      </w:pPr>
      <w:r>
        <w:rPr>
          <w:rFonts w:ascii="Times New Roman" w:hAnsi="Times New Roman" w:eastAsia="宋体"/>
          <w:b/>
          <w:sz w:val="21"/>
        </w:rPr>
        <w:t>English Abstract:</w:t>
      </w:r>
    </w:p>
    <w:p>
      <w:r>
        <w:rPr>
          <w:rFonts w:ascii="Times New Roman" w:hAnsi="Times New Roman" w:eastAsia="宋体"/>
          <w:sz w:val="21"/>
        </w:rPr>
        <w:t>The miniaturization of mechanical mechanisms is crucial to enable the development of compact, high-performance micromachines. However, the downscaling actuation of conventional gears and micromotors has remained limited by the inherent challenges of implementing mechanical/electrical powering. Here, we present the design, fabrication, and characterization of an optomechanical, gear-driven micromachine realized through two-photon polymerization 3D printing. The actuation is achieved using optical tweezers. The device integrates a microgear transmission system with an optically actuated part, enabling light-controlled micromachines. When illuminated by a highly focused laser source, the first gear generates rotational torque within the gear assembly, converting optical energy into directional mechanical work that can be transmitted to the coupled gear. We demonstrate the fabrication of micromachines using two-photon polymerization (2PP) laser writing, enabling the fabrication of spur gear trains and bevel gears that can produce out-of-plane rotations, which is not achievable with traditional micromachining fabrication techniques. The micromachines are composed of a single gear or a train of two or three gears without any unwanted adhesion between the components, leading to functioning systems. Experimentally, the fabricated micromachines were actuated using optical tweezers, demonstrating continuous gear rotation, effective motion transmission in gear trains, out-of-plane rotations, and the ability to amplify velocity or torque. Optical-tweezer actuation broadens the potential applications of these micromachines, particularly in biomedical and lab-on-a-chip systems, where precise, minimally invasive control at the microscale is essential.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来自系综的单发射器光谱</w:t>
      </w:r>
    </w:p>
    <w:p>
      <w:r>
        <w:rPr>
          <w:rFonts w:ascii="Times New Roman" w:hAnsi="Times New Roman" w:eastAsia="宋体"/>
          <w:b/>
          <w:color w:val="003264"/>
          <w:sz w:val="24"/>
        </w:rPr>
        <w:t>Single-Emitter Spectra from an Ensemble</w:t>
      </w:r>
    </w:p>
    <w:p>
      <w:r>
        <w:rPr>
          <w:rFonts w:ascii="Times New Roman" w:hAnsi="Times New Roman" w:eastAsia="宋体"/>
          <w:sz w:val="21"/>
        </w:rPr>
        <w:t>作者: Moungi G. Bawendi</w:t>
        <w:br/>
      </w:r>
      <w:r>
        <w:rPr>
          <w:rFonts w:ascii="Times New Roman" w:hAnsi="Times New Roman" w:eastAsia="宋体"/>
          <w:sz w:val="21"/>
        </w:rPr>
        <w:t xml:space="preserve">时间: 2026-02-02T20:08:27Z | </w:t>
      </w:r>
      <w:r>
        <w:t xml:space="preserve">链接: </w:t>
      </w:r>
      <w:hyperlink r:id="rId52">
        <w:r>
          <w:rPr>
            <w:rFonts w:ascii="Times New Roman" w:hAnsi="Times New Roman" w:eastAsia="宋体"/>
            <w:color w:val="0000FF"/>
            <w:sz w:val="21"/>
            <w:u w:val="single"/>
          </w:rPr>
          <w:t>https://arxiv.org/abs/2602.02757v1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纳米级发射器的异质性阻碍了理解其基本光物理学的努力，并限制了它们在实际应用中的使用。现有方法难以在统计尺度上准确表征单发射器光谱和光学异质性。在这里，我们介绍 SPICEE（系综发射的光谱不平衡相关性），这是一种光谱过滤光子相关技术，可从系综样本中恢复单粒子发射线形。分析推导、数值建模和发射器解决方案集合的实验验证了该技术。我们将 SPICEE 应用于与显示应用相关的蓝光发射 ZnSeTe 半导体纳米晶体，发现整体光谱中的低色纯度主要是由具有独特发射机制的一小部分纳米晶体引起的。这项工作表明 SPICEE 是一种强大的高通量工具，可准确表征纳米级系统的单发射器特性。</w:t>
      </w:r>
    </w:p>
    <w:p>
      <w:pPr>
        <w:spacing w:before="120"/>
      </w:pPr>
      <w:r>
        <w:rPr>
          <w:rFonts w:ascii="Times New Roman" w:hAnsi="Times New Roman" w:eastAsia="宋体"/>
          <w:b/>
          <w:sz w:val="21"/>
        </w:rPr>
        <w:t>English Abstract:</w:t>
      </w:r>
    </w:p>
    <w:p>
      <w:r>
        <w:rPr>
          <w:rFonts w:ascii="Times New Roman" w:hAnsi="Times New Roman" w:eastAsia="宋体"/>
          <w:sz w:val="21"/>
        </w:rPr>
        <w:t>The heterogeneity in nanoscale emitters hinders efforts to understand their basic photophysics and limits their use in practical applications. Existing methods have difficulty accurately characterizing single-emitter spectra and optical heterogeneity on a statistical scale. Here, we introduce SPICEE (SPectrally Imbalanced Correlations from Ensemble Emission), a spectrally filtered photon-correlation technique that recovers single-particle emission lineshapes from an ensemble sample. Analytical derivations, numerical modeling, and experiments on a solution ensemble of emitters validate the technique. We apply SPICEE to blue-emitting ZnSeTe semiconductor nanocrystals relevant to display applications and find that the low color purity in the ensemble spectrum is primarily caused by a small subpopulation of nanocrystals with a distinct emission mechanism. This work demonstrates that SPICEE is a powerful high-throughput tool for accurately characterizing the single-emitter properties of nanoscale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通过四波混合门控的半导体纳米激光器的时间分辨动力学</w:t>
      </w:r>
    </w:p>
    <w:p>
      <w:r>
        <w:rPr>
          <w:rFonts w:ascii="Times New Roman" w:hAnsi="Times New Roman" w:eastAsia="宋体"/>
          <w:b/>
          <w:color w:val="003264"/>
          <w:sz w:val="24"/>
        </w:rPr>
        <w:t>Time-Resolved dynamics of semiconductor nanolaser via four-wave mixing gating</w:t>
      </w:r>
    </w:p>
    <w:p>
      <w:r>
        <w:rPr>
          <w:rFonts w:ascii="Times New Roman" w:hAnsi="Times New Roman" w:eastAsia="宋体"/>
          <w:sz w:val="21"/>
        </w:rPr>
        <w:t>作者: Fabrice Raineri</w:t>
        <w:br/>
      </w:r>
      <w:r>
        <w:rPr>
          <w:rFonts w:ascii="Times New Roman" w:hAnsi="Times New Roman" w:eastAsia="宋体"/>
          <w:sz w:val="21"/>
        </w:rPr>
        <w:t xml:space="preserve">时间: 2026-02-02T23:16:31Z | </w:t>
      </w:r>
      <w:r>
        <w:t xml:space="preserve">链接: </w:t>
      </w:r>
      <w:hyperlink r:id="rId53">
        <w:r>
          <w:rPr>
            <w:rFonts w:ascii="Times New Roman" w:hAnsi="Times New Roman" w:eastAsia="宋体"/>
            <w:color w:val="0000FF"/>
            <w:sz w:val="21"/>
            <w:u w:val="single"/>
          </w:rPr>
          <w:t>https://arxiv.org/abs/2602.02901v1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四波混频的非线性光选通技术通过实验证明了电信波长光子晶体纳米激光器的直接时域表征。这种方法能够以皮秒时间分辨率对短脉冲激励下的超快发射动力学进行时间表征。当将弱连续波分量添加到脉冲泵时，发射变得确定并且建立时间显着缩短。纯脉冲激励方式和混合激励方式之间的差异表明了脉冲间定时波动的影响。为了阐明这种效应，我们进行了基于朗之万的模拟，再现了实验观察到的展宽，并确认源自阈值附近自发发射噪声的时间抖动主导了时间色散。这些结果确立了四波混合门控作为以皮秒精度探测纳米激光动力学的强大方法。</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the direct time-domain characterization of photonic-crystal nanolasers at telecom wavelengths using a nonlinear optical gating technique based on four-wave mixing. This approach enables the temporal characterization of the ultrafast emission dynamics under short-pulse excitation with picosecond time resolution. When a weak continuous-wave component is added to the pulsed pump, the emission becomes deterministic and the build-up time is considerably reduced. The difference between purely pulsed and hybrid excitation regimes points to the influence of pulse-to-pulse timing fluctuations. To elucidate this effect, we perform Langevin-based simulations that reproduce the experimentally observed broadening and confirm that time jitter, originating from spontaneous-emission noise near threshold, dominates the temporal dispersion. These results establish four-wave-mixing gating as a powerful method to probe nanolaser dynamics with picosecond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具有均匀空气限制模式的平面尺度不变波导和谐振器</w:t>
      </w:r>
    </w:p>
    <w:p>
      <w:r>
        <w:rPr>
          <w:rFonts w:ascii="Times New Roman" w:hAnsi="Times New Roman" w:eastAsia="宋体"/>
          <w:b/>
          <w:color w:val="003264"/>
          <w:sz w:val="24"/>
        </w:rPr>
        <w:t>Planar Scale Invariant Waveguides and Resonators with Uniform Air Confined Modes</w:t>
      </w:r>
    </w:p>
    <w:p>
      <w:r>
        <w:rPr>
          <w:rFonts w:ascii="Times New Roman" w:hAnsi="Times New Roman" w:eastAsia="宋体"/>
          <w:sz w:val="21"/>
        </w:rPr>
        <w:t>作者: Ali Adibi</w:t>
        <w:br/>
      </w:r>
      <w:r>
        <w:rPr>
          <w:rFonts w:ascii="Times New Roman" w:hAnsi="Times New Roman" w:eastAsia="宋体"/>
          <w:sz w:val="21"/>
        </w:rPr>
        <w:t xml:space="preserve">时间: 2026-02-02T23:23:58Z | </w:t>
      </w:r>
      <w:r>
        <w:t xml:space="preserve">链接: </w:t>
      </w:r>
      <w:hyperlink r:id="rId54">
        <w:r>
          <w:rPr>
            <w:rFonts w:ascii="Times New Roman" w:hAnsi="Times New Roman" w:eastAsia="宋体"/>
            <w:color w:val="0000FF"/>
            <w:sz w:val="21"/>
            <w:u w:val="single"/>
          </w:rPr>
          <w:t>https://arxiv.org/abs/2602.02906v1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我们展示了一种基于平面超材料的谐振器和波导，在空气中具有强光限制，基于绝缘体上硅 (SOI) 平台，该平台在横向上表现出尺度不变性。通过在两个硅脊之间嵌入亚波长光栅（SWG）区域，波导在不同的宽度上保持几乎恒定的有效折射率，同时维持均匀的场分布。使用马赫曾德尔干涉仪进行的模拟和实验测量证实了尺度不变性，并且由相同结构制造的跑道谐振器表现出 40000 的内在品质因数。基于谐振的结构能够将光限制在空气中，提供具有高质量因数的大相互作用区域，以及与 CMOS 制造工艺的兼容性和针对制造缺陷的鲁棒性，使其成为增强光物质相互作用应用的绝佳候选者，并提高了功率处理能力，为集成光子学提供了一个有前途的平台。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a planar metamaterial based resonator and waveguide with strong light confinement in air based on a silicon-on-insulator (SOI) platform that exhibits scale invariance in the lateral direction. By embedding a sub wavelength grating (SWG) region between two silicon ridges, the waveguide maintains a nearly constant effective index across varying widths while sustaining a uniform field distribution. Simulations and experimental measurements using Mach Zehnder interferometers confirm scale invariance, and racetrack resonators fabricated from the same structure exhibit an intrinsic quality factor of 40000. The ability of the resonance based structures for confining light in air, providing large interaction regions with high quality factors along with compatibility with CMOS fabrication processes and robustness against fabrication imperfections make them excellent candidates for enhanced light matter interaction applications with improved power handling, offering a promising platform for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通过偏振工程光反馈对半导体 VCSEL 中的极端事件进行确定性控制</w:t>
      </w:r>
    </w:p>
    <w:p>
      <w:r>
        <w:rPr>
          <w:rFonts w:ascii="Times New Roman" w:hAnsi="Times New Roman" w:eastAsia="宋体"/>
          <w:b/>
          <w:color w:val="003264"/>
          <w:sz w:val="24"/>
        </w:rPr>
        <w:t>Deterministic Control of Extreme Events in a semiconductor VCSEL via Polarization-Engineered Optical Feedback</w:t>
      </w:r>
    </w:p>
    <w:p>
      <w:r>
        <w:rPr>
          <w:rFonts w:ascii="Times New Roman" w:hAnsi="Times New Roman" w:eastAsia="宋体"/>
          <w:sz w:val="21"/>
        </w:rPr>
        <w:t>作者: Y. Hao</w:t>
        <w:br/>
      </w:r>
      <w:r>
        <w:rPr>
          <w:rFonts w:ascii="Times New Roman" w:hAnsi="Times New Roman" w:eastAsia="宋体"/>
          <w:sz w:val="21"/>
        </w:rPr>
        <w:t xml:space="preserve">时间: 2026-02-03T01:07:08Z | </w:t>
      </w:r>
      <w:r>
        <w:t xml:space="preserve">链接: </w:t>
      </w:r>
      <w:hyperlink r:id="rId55">
        <w:r>
          <w:rPr>
            <w:rFonts w:ascii="Times New Roman" w:hAnsi="Times New Roman" w:eastAsia="宋体"/>
            <w:color w:val="0000FF"/>
            <w:sz w:val="21"/>
            <w:u w:val="single"/>
          </w:rPr>
          <w:t>https://arxiv.org/abs/2602.02968v1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端事件或异常波是在不同的物理系统中出现的高强度、罕见的事件，并且常常违背传统的统计预测。虽然光学系统为研究这些现象提供了受控设置，但对其生成实现确定性控制仍然具有挑战性。在这里，我们展示了一种使用偏振控制光学反馈在半导体 VCSEL 中诱发和精确调制极端事件的新颖方法。通过将 $λ$/2 波片集成到偏振选择性外腔中，我们调节 TE 和 TM 模式之间的非线性相互作用。这种设置会触发 TM 模式的高强度、重尾波动，表现出极端事件的清晰特征。我们证明，这些事件是由模式之间确定性的能量交换引起的，正如强双极相关性和长程时间记忆所证明的那样。波片角度作为有效的外部参数，可以对事件速率、强度和时间聚类进行非单调调整。我们的研究建立了一个探索耗散系统中极端事件的平台，对非线性光子学和光学技术具有影响。</w:t>
      </w:r>
    </w:p>
    <w:p>
      <w:pPr>
        <w:spacing w:before="120"/>
      </w:pPr>
      <w:r>
        <w:rPr>
          <w:rFonts w:ascii="Times New Roman" w:hAnsi="Times New Roman" w:eastAsia="宋体"/>
          <w:b/>
          <w:sz w:val="21"/>
        </w:rPr>
        <w:t>English Abstract:</w:t>
      </w:r>
    </w:p>
    <w:p>
      <w:r>
        <w:rPr>
          <w:rFonts w:ascii="Times New Roman" w:hAnsi="Times New Roman" w:eastAsia="宋体"/>
          <w:sz w:val="21"/>
        </w:rPr>
        <w:t>Extreme events, or rogue waves, are high-amplitude, rare occurrences that emerge across diverse physical systems and often defy conventional statistical predictions. While optical systems provide a controlled setting for studying these phenomena, achieving deterministic control over their generation remains challenging. Here, we demonstrate a novel approach to induce and precisely modulate extreme events in a semiconductor VCSEL using polarization-controlled optical feedback. By integrating a $λ$/2-waveplate into a polarization-selective external cavity, we regulate the nonlinear interaction between TE and TM modes. This setup triggers high-intensity, heavy-tailed fluctuations in the TM mode, exhibiting clear signatures of extreme events. We show that these events arise from deterministic energy exchange between modes, as evidenced by strong bipolar correlations and long-range temporal memory. The waveplate angle serves as an effective external parameter, enabling non-monotonic tuning of the event rate, intensity, and temporal clustering. Our study establish a platform for exploring extreme events in dissipative systems, with implications for nonlinear photonics and optical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准周期等离子体链中安德森定位的超低辐射热通量</w:t>
      </w:r>
    </w:p>
    <w:p>
      <w:r>
        <w:rPr>
          <w:rFonts w:ascii="Times New Roman" w:hAnsi="Times New Roman" w:eastAsia="宋体"/>
          <w:b/>
          <w:color w:val="003264"/>
          <w:sz w:val="24"/>
        </w:rPr>
        <w:t>Ultralow radiative heat flux by Anderson localization in quasiperiodic plasmonic chains</w:t>
      </w:r>
    </w:p>
    <w:p>
      <w:r>
        <w:rPr>
          <w:rFonts w:ascii="Times New Roman" w:hAnsi="Times New Roman" w:eastAsia="宋体"/>
          <w:sz w:val="21"/>
        </w:rPr>
        <w:t>作者: Xiaobin Chen</w:t>
        <w:br/>
      </w:r>
      <w:r>
        <w:rPr>
          <w:rFonts w:ascii="Times New Roman" w:hAnsi="Times New Roman" w:eastAsia="宋体"/>
          <w:sz w:val="21"/>
        </w:rPr>
        <w:t xml:space="preserve">时间: 2026-02-03T02:19:58Z | </w:t>
      </w:r>
      <w:r>
        <w:t xml:space="preserve">链接: </w:t>
      </w:r>
      <w:hyperlink r:id="rId56">
        <w:r>
          <w:rPr>
            <w:rFonts w:ascii="Times New Roman" w:hAnsi="Times New Roman" w:eastAsia="宋体"/>
            <w:color w:val="0000FF"/>
            <w:sz w:val="21"/>
            <w:u w:val="single"/>
          </w:rPr>
          <w:t>https://arxiv.org/abs/2602.03008v1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德森局域化是由无序系统中的波干扰引起的，极大地阻碍了能量传输，但其对多体热光子系统中辐射热通量的影响仍不清楚。在这里，我们展示了在一维准周期等离子体纳米颗粒链中对辐射传热的三级抑制，从而产生超低辐射传热。辐射传热的这种抑制与模态局域化直接相关，正如传输系数的模态分解所揭示的那样，它是安德森局域化的证据。此外，我们阐明了辐射热导降低对粒子间间距和材料阻尼率的依赖性，揭示了固有欧姆损耗、模式局域化和长程多体相互作用之间的相互作用。我们的研究结果增进了对无序光子结构中波介导热传输的理解，并提出了通过工程无序定制纳米级热管理的策略。</w:t>
      </w:r>
    </w:p>
    <w:p>
      <w:pPr>
        <w:spacing w:before="120"/>
      </w:pPr>
      <w:r>
        <w:rPr>
          <w:rFonts w:ascii="Times New Roman" w:hAnsi="Times New Roman" w:eastAsia="宋体"/>
          <w:b/>
          <w:sz w:val="21"/>
        </w:rPr>
        <w:t>English Abstract:</w:t>
      </w:r>
    </w:p>
    <w:p>
      <w:r>
        <w:rPr>
          <w:rFonts w:ascii="Times New Roman" w:hAnsi="Times New Roman" w:eastAsia="宋体"/>
          <w:sz w:val="21"/>
        </w:rPr>
        <w:t>Anderson localization, arising from wave interference in disordered systems, profoundly hinders energy transport, yet its impact on radiative heat flux in many-body thermophotonic systems remains unclear. Here, we demonstrate a three-order-of-magnitude suppression of radiative heat transfer, resulting in ultralow radiative heat transfer, in a one-dimensional quasiperiodic chain of plasmonic nanoparticles. This suppression in radiative heat transfer is directly correlated with mode localization, as revealed by the mode decomposition of the transmission coefficient, which serves as evidence of Anderson localization. Furthermore, we elucidate the dependence of radiative thermal conductance reduction on interparticle spacing and material damping rates, uncovering the interplay between intrinsic Ohmic losses, mode localization, and long-range many-body interactions. Our findings advance the understanding of wave-mediated thermal transport in disordered photonic structures and suggest strategies for tailoring nanoscale heat management via engineered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 Wasserstein 生成对抗网络进行可调谐红外超表面吸收器的逆向设计</w:t>
      </w:r>
    </w:p>
    <w:p>
      <w:r>
        <w:rPr>
          <w:rFonts w:ascii="Times New Roman" w:hAnsi="Times New Roman" w:eastAsia="宋体"/>
          <w:b/>
          <w:color w:val="003264"/>
          <w:sz w:val="24"/>
        </w:rPr>
        <w:t>Inverse Design of Tunable Infrared Metasurface Absorbers via a Conditional Wasserstein Generative Adversarial Network</w:t>
      </w:r>
    </w:p>
    <w:p>
      <w:r>
        <w:rPr>
          <w:rFonts w:ascii="Times New Roman" w:hAnsi="Times New Roman" w:eastAsia="宋体"/>
          <w:sz w:val="21"/>
        </w:rPr>
        <w:t>作者: T. Wang</w:t>
        <w:br/>
      </w:r>
      <w:r>
        <w:rPr>
          <w:rFonts w:ascii="Times New Roman" w:hAnsi="Times New Roman" w:eastAsia="宋体"/>
          <w:sz w:val="21"/>
        </w:rPr>
        <w:t xml:space="preserve">时间: 2026-02-03T03:43:40Z | </w:t>
      </w:r>
      <w:r>
        <w:t xml:space="preserve">链接: </w:t>
      </w:r>
      <w:hyperlink r:id="rId57">
        <w:r>
          <w:rPr>
            <w:rFonts w:ascii="Times New Roman" w:hAnsi="Times New Roman" w:eastAsia="宋体"/>
            <w:color w:val="0000FF"/>
            <w:sz w:val="21"/>
            <w:u w:val="single"/>
          </w:rPr>
          <w:t>https://arxiv.org/abs/2602.03062v1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窄带完美吸收体对于光谱传感、分子检测和红外成像很有趣。然而，他们的设计仍然受到直观、迭代方法的限制，缺乏灵活性，同时还面临多目标优化的挑战。在这里，我们介绍了一种支持深度学习的逆向设计框架，该框架通过条件 Wasserstein 生成对抗网络（WGAN）克服了这些限制。这项工作的主要贡献是双通道图像编码方案，该方案共同表示 Si$_3$N$_4$ 元层的几何形状和厚度，促进网络学习目标光学响应的​​可行结构的分布。这种方法自然地解决了固有的“一对多”设计问题，从单一输入范围中提供了多样化的功能候选组合。设计的吸收体实现了卓越的光谱保真度，共振峰值误差低于 5 nm，均方误差 (MSE) 约为 10^{-3}$，并且能够为每个目标生成 10 多个不同的高性能设计。此外，我们证明了该模型在倾斜照明下的鲁棒性，表明可以通过迁移学习对其进行有效微调，以在从 $10^\circ$ 到 $40^\circ$ 的入射角范围内保持光谱精度，从而将其实用性扩展到非正常操作条件。全波模拟证实，生成的几何形状支持混合等离子体介电共振，从而实现近乎完美的吸收和强大的近场增强。我们的研究提供了一种强大的、物理感知的设计范式，超越了传统的参数优化。引入的框架为传感、光谱学和光信号处理的先进光子器件的按需逆向设计建立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Narrowband perfect absorbers are interesting for spectrum sensing, molecular detection, and infrared imaging. However, their design remains constrained by intuitive, iterative methods that lack flexibility, while also facing challenges in multi-objective optimization. Here, we introduce a deep learning-enabled inverse-design framework that overcomes these limitations through a conditional Wasserstein Generative Adversarial Network (WGAN). The main contribution of this work is a dual-channel image encoding scheme that jointly represents the geometry and thickness of a Si$_3$N$_4$ meta-layer, facilitating the network to learn the distribution of viable structures for a target optical response. This approach naturally solves the inherent ``one-to-many'' design issue, giving a diverse portfolio of functional candidates from a single input spectrum. The designed absorbers achieve exceptional spectral fidelity, with resonance peak errors below 5 nm, a mean squared error (MSE) on the order of $10^{-3}$, and the capacity to produce over 10 distinct, high-performance designs per target. Furthermore, we demonstrate the model's robustness under oblique illumination, showing that it can be efficiently fine-tuned to maintain spectral accuracy across incidence angles from $10^\circ$ to $40^\circ$ by transfer learning, thus extending its practical utility to non-normal operating conditions. Full-wave simulations confirm that the generated geometries support a hybrid plasmonic-dielectric resonance, leading to near-perfect absorption and strong near-field enhancement. Our study provides a robust, physics-aware design paradigm that moves beyond conventional parametric optimization. The introduced framework establishes a versatile platform for the on-demand inverse design of advanced photonic devices for sensing, spectroscopy, and optical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非埃尔米特避免交叉处的相反振幅相位熵响应</w:t>
      </w:r>
    </w:p>
    <w:p>
      <w:r>
        <w:rPr>
          <w:rFonts w:ascii="Times New Roman" w:hAnsi="Times New Roman" w:eastAsia="宋体"/>
          <w:b/>
          <w:color w:val="003264"/>
          <w:sz w:val="24"/>
        </w:rPr>
        <w:t>Opposite amplitude phase entropy responses at a non Hermitian avoided crossing</w:t>
      </w:r>
    </w:p>
    <w:p>
      <w:r>
        <w:rPr>
          <w:rFonts w:ascii="Times New Roman" w:hAnsi="Times New Roman" w:eastAsia="宋体"/>
          <w:sz w:val="21"/>
        </w:rPr>
        <w:t>作者: Kabgyun Jeong</w:t>
        <w:br/>
      </w:r>
      <w:r>
        <w:rPr>
          <w:rFonts w:ascii="Times New Roman" w:hAnsi="Times New Roman" w:eastAsia="宋体"/>
          <w:sz w:val="21"/>
        </w:rPr>
        <w:t xml:space="preserve">时间: 2026-02-03T05:17:54Z | </w:t>
      </w:r>
      <w:r>
        <w:t xml:space="preserve">链接: </w:t>
      </w:r>
      <w:hyperlink r:id="rId58">
        <w:r>
          <w:rPr>
            <w:rFonts w:ascii="Times New Roman" w:hAnsi="Times New Roman" w:eastAsia="宋体"/>
            <w:color w:val="0000FF"/>
            <w:sz w:val="21"/>
            <w:u w:val="single"/>
          </w:rPr>
          <w:t>https://arxiv.org/abs/2602.03116v1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开式谐振器中避免的交叉 (A.C.) 是由非厄米模式相互作用引起的，其中泄漏会产生复杂的光谱和双正交本征模式。基于强度的熵是模式混合的稳健标记，但丢弃了复杂场的相位结构。在这里，我们介绍了一种基于腔网格玻恩加权采样下局部幅度和相位联合统计的场级信息论分析。对于强相互作用交流体系中的开放椭圆形微腔，我们发现了独特的扇区解析响应：振幅统计收紧，而相位统计在混合点处最大程度地变宽，并且调节显示出强烈的振幅-相位依赖性。通过引入粗略位置标签和相关的协同信息，我们进一步表明，全局幅度-相位耦合的增强受到腔内空间异质性的强烈影响。</w:t>
      </w:r>
    </w:p>
    <w:p>
      <w:pPr>
        <w:spacing w:before="120"/>
      </w:pPr>
      <w:r>
        <w:rPr>
          <w:rFonts w:ascii="Times New Roman" w:hAnsi="Times New Roman" w:eastAsia="宋体"/>
          <w:b/>
          <w:sz w:val="21"/>
        </w:rPr>
        <w:t>English Abstract:</w:t>
      </w:r>
    </w:p>
    <w:p>
      <w:r>
        <w:rPr>
          <w:rFonts w:ascii="Times New Roman" w:hAnsi="Times New Roman" w:eastAsia="宋体"/>
          <w:sz w:val="21"/>
        </w:rPr>
        <w:t>Avoided crossings (A.C.) in open resonators arise from non-Hermitian mode interaction, where leakage produces complex spectra and biorthogonal eigenmodes. Intensity-based entropies are robust markers of mode mixing but discard the phase structure of the complex field. Here we introduce a field-level information-theoretic analysis based on the joint statistics of local amplitude and phase under Born-weighted sampling on the cavity grid. For an open elliptical microcavity in the strong-interaction A.C. regime, we find a distinctive sector-resolved response: amplitude statistics tighten while phase statistics broaden maximally at the mixing point, and conditioning reveals strong amplitude-phase dependence. By introducing a coarse position label and the associated co-information, we further show that the enhancement of global amplitude-phase coupling is strongly shaped by spatial heterogeneity across the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通过学习生成流形实现本质上符合 DRC 的纳米光子设计</w:t>
      </w:r>
    </w:p>
    <w:p>
      <w:r>
        <w:rPr>
          <w:rFonts w:ascii="Times New Roman" w:hAnsi="Times New Roman" w:eastAsia="宋体"/>
          <w:b/>
          <w:color w:val="003264"/>
          <w:sz w:val="24"/>
        </w:rPr>
        <w:t>Intrinsically DRC-Compliant Nanophotonic Design via Learned Generative Manifolds</w:t>
      </w:r>
    </w:p>
    <w:p>
      <w:r>
        <w:rPr>
          <w:rFonts w:ascii="Times New Roman" w:hAnsi="Times New Roman" w:eastAsia="宋体"/>
          <w:sz w:val="21"/>
        </w:rPr>
        <w:t>作者: Emir Salih Magden</w:t>
        <w:br/>
      </w:r>
      <w:r>
        <w:rPr>
          <w:rFonts w:ascii="Times New Roman" w:hAnsi="Times New Roman" w:eastAsia="宋体"/>
          <w:sz w:val="21"/>
        </w:rPr>
        <w:t xml:space="preserve">时间: 2026-02-03T05:54:51Z | </w:t>
      </w:r>
      <w:r>
        <w:t xml:space="preserve">链接: </w:t>
      </w:r>
      <w:hyperlink r:id="rId59">
        <w:r>
          <w:rPr>
            <w:rFonts w:ascii="Times New Roman" w:hAnsi="Times New Roman" w:eastAsia="宋体"/>
            <w:color w:val="0000FF"/>
            <w:sz w:val="21"/>
            <w:u w:val="single"/>
          </w:rPr>
          <w:t>https://arxiv.org/abs/2602.03142v1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使得超紧凑和高性能纳米光子元件的系统设计成为可能。然而，在逆向设计过程中执行代工设计规则仍然是一个重大挑战，因为优化的器件经常违反最小特征尺寸和间距的限制。现有的制造受限方法通常依赖于惩罚项、投影滤波器或启发式二值化计划，这限制了可访问的设计空间，需要大量的超参数调整，并且通常无法保证整个优化轨迹的合规性。在这里，我们引入了一个纳米光子逆向设计框架，通过设计空间的生成性重新参数化来内在执行设计规则，将优化限制在符合 DRC 的几何形状的学习流形上。我们通过为电子束光刻和光刻平台设计代表性硅光子组件来验证这一范例，包括宽带功率分配器、光谱双工器和在 1,500-1,600 nm 波段运行的模式转换器。在所有设备中，基于流形的公式达到了最先进的性能指标，与基于像素的表示相比，计算成本降低了 5 倍以上，同时确保整个设计过程中的制造兼容的几何形状。通过将制造约束视为设计表示的基本属性而不是外部惩罚，这项工作为广泛适用、与平台无关且本质上符合 DRC 的纳米光子学建立了一条直接途径。</w:t>
      </w:r>
    </w:p>
    <w:p>
      <w:pPr>
        <w:spacing w:before="120"/>
      </w:pPr>
      <w:r>
        <w:rPr>
          <w:rFonts w:ascii="Times New Roman" w:hAnsi="Times New Roman" w:eastAsia="宋体"/>
          <w:b/>
          <w:sz w:val="21"/>
        </w:rPr>
        <w:t>English Abstract:</w:t>
      </w:r>
    </w:p>
    <w:p>
      <w:r>
        <w:rPr>
          <w:rFonts w:ascii="Times New Roman" w:hAnsi="Times New Roman" w:eastAsia="宋体"/>
          <w:sz w:val="21"/>
        </w:rPr>
        <w:t>Inverse design has enabled the systematic design of ultra-compact and high-performance nanophotonic components. Yet enforcing foundry design rules during inverse design remains a major challenge, as optimized devices frequently violate constraints on minimum feature size and spacing. Existing fabrication-constrained approaches typically rely on penalty terms, projection filters, or heuristic binarization schedules, which restrict the accessible design space, require extensive hyperparameter tuning, and often fail to guarantee compliance throughout the optimization trajectory. Here, we introduce a framework for nanophotonic inverse design with intrinsic enforcement of design rules through a generative reparameterization of the design space, restricting optimization to a learned manifold of DRC-compliant geometries. We validate this paradigm by designing representative silicon photonic components including broadband power splitters, spectral duplexers, and mode converters operating across the 1,500-1,600 nm band for both electron-beam lithography and photolithography platforms. Across all devices, the manifold-based formulation reaches state-of-the-art performance metrics with over a 5-fold reduction in computational cost compared to pixel-based representations, while ensuring fabrication-compatible geometries throughout the entire design process. By treating fabrication constraints as a fundamental property of the design representation rather than an external penalty, this work establishes a direct pathway toward broadly applicable, platform-agnostic, and intrinsically DRC-compliant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同时测量拉曼和非线性光学张量</w:t>
      </w:r>
    </w:p>
    <w:p>
      <w:r>
        <w:rPr>
          <w:rFonts w:ascii="Times New Roman" w:hAnsi="Times New Roman" w:eastAsia="宋体"/>
          <w:b/>
          <w:color w:val="003264"/>
          <w:sz w:val="24"/>
        </w:rPr>
        <w:t>Simultaneous measurement of Raman and nonlinear optical tensors</w:t>
      </w:r>
    </w:p>
    <w:p>
      <w:r>
        <w:rPr>
          <w:rFonts w:ascii="Times New Roman" w:hAnsi="Times New Roman" w:eastAsia="宋体"/>
          <w:sz w:val="21"/>
        </w:rPr>
        <w:t>作者: Jérémie Teyssier</w:t>
        <w:br/>
      </w:r>
      <w:r>
        <w:rPr>
          <w:rFonts w:ascii="Times New Roman" w:hAnsi="Times New Roman" w:eastAsia="宋体"/>
          <w:sz w:val="21"/>
        </w:rPr>
        <w:t xml:space="preserve">时间: 2026-02-03T07:09:43Z | </w:t>
      </w:r>
      <w:r>
        <w:t xml:space="preserve">链接: </w:t>
      </w:r>
      <w:hyperlink r:id="rId60">
        <w:r>
          <w:rPr>
            <w:rFonts w:ascii="Times New Roman" w:hAnsi="Times New Roman" w:eastAsia="宋体"/>
            <w:color w:val="0000FF"/>
            <w:sz w:val="21"/>
            <w:u w:val="single"/>
          </w:rPr>
          <w:t>https://arxiv.org/abs/2602.03196v1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拉曼光谱和二次谐波产生 (SHG) 是互补的非破坏性技术，可为材料的结构和电子特性提供丰富而独特的见解。拉曼光谱提供有关振动模式、相变、温度和局部应力的详细信息，而二次谐波发生器对对称性和方向高度敏感，特别是在非中心对称结构中。在这项工作中，除了结合这两种技术之外，我们还提出了一种确定非线性光学张量的新方法，利用显微镜焦点处贝塞尔高斯激光束的空间和超快时间偏移。</w:t>
      </w:r>
    </w:p>
    <w:p>
      <w:pPr>
        <w:spacing w:before="120"/>
      </w:pPr>
      <w:r>
        <w:rPr>
          <w:rFonts w:ascii="Times New Roman" w:hAnsi="Times New Roman" w:eastAsia="宋体"/>
          <w:b/>
          <w:sz w:val="21"/>
        </w:rPr>
        <w:t>English Abstract:</w:t>
      </w:r>
    </w:p>
    <w:p>
      <w:r>
        <w:rPr>
          <w:rFonts w:ascii="Times New Roman" w:hAnsi="Times New Roman" w:eastAsia="宋体"/>
          <w:sz w:val="21"/>
        </w:rPr>
        <w:t>Raman spectroscopy and Second Harmonic Generation (SHG) are complementary, non-destructive techniques that provide rich and distinct insights into the structural and electronic properties of materials. Raman spectroscopy offers detailed information on vibrational modes, phase transitions, temperature, and local stress, while SHG is highly sensitive to symmetry and orientation, particularly in non-centrosymmetric structures. In this work, in addition to combining both techniques, we propose a novel approach to determine the nonlinear optical tensor, leveraging the spatial and ultra-fast temporal offset of a Bessel-Gaussian laser beam at the microscope's focal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液体高次谐波产生中的量子轨迹分离和阿秒映射</w:t>
      </w:r>
    </w:p>
    <w:p>
      <w:r>
        <w:rPr>
          <w:rFonts w:ascii="Times New Roman" w:hAnsi="Times New Roman" w:eastAsia="宋体"/>
          <w:b/>
          <w:color w:val="003264"/>
          <w:sz w:val="24"/>
        </w:rPr>
        <w:t>Quantum Trajectory Separation and Attosecond Mapping in Liquid High-Harmonic Generation</w:t>
      </w:r>
    </w:p>
    <w:p>
      <w:r>
        <w:rPr>
          <w:rFonts w:ascii="Times New Roman" w:hAnsi="Times New Roman" w:eastAsia="宋体"/>
          <w:sz w:val="21"/>
        </w:rPr>
        <w:t>作者: Peixiang Lu</w:t>
        <w:br/>
      </w:r>
      <w:r>
        <w:rPr>
          <w:rFonts w:ascii="Times New Roman" w:hAnsi="Times New Roman" w:eastAsia="宋体"/>
          <w:sz w:val="21"/>
        </w:rPr>
        <w:t xml:space="preserve">时间: 2026-02-03T07:11:48Z | </w:t>
      </w:r>
      <w:r>
        <w:t xml:space="preserve">链接: </w:t>
      </w:r>
      <w:hyperlink r:id="rId61">
        <w:r>
          <w:rPr>
            <w:rFonts w:ascii="Times New Roman" w:hAnsi="Times New Roman" w:eastAsia="宋体"/>
            <w:color w:val="0000FF"/>
            <w:sz w:val="21"/>
            <w:u w:val="single"/>
          </w:rPr>
          <w:t>https://arxiv.org/abs/2602.03199v1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体的高次谐波产生（HHG）为化学复杂和无序环境中的阿秒光谱提供了一条潜在的途径，但基本问题仍然悬而未决：液体谐波发射是否保持明确的阿秒同步，以及谐波发射是否可以涉及来自多个量子轨迹的同时贡献，尽管有很强的无序和散射，但具有不同的偏移时间。在这里，我们通过解决液体 HHG 的轨迹依赖时间结构来通过实验解决这些问题。通过优化激光聚焦几何结构，我们实现了短轨迹和长轨迹贡献的清晰空间区分，为液体中存在多个量子轨迹提供了直接证据。使用相控双色驱动场，我们独立检索与每个轨迹相关的 attochirp，并证明短轨迹和长轨迹相反的能量-时间相关性，在液体 HHG 中建立轨迹解析的能量-时间映射。所有观察结果都可以通过半经典重碰撞模拟很好地再现。这些结果将液态 HHG 置于与气相和固相 HHG 相同的概念基础上，并为液体环境中超快电子和化学动力学的阿秒分辨光谱奠定了坚实的基础。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High-harmonic generation (HHG) from liquids offers a potential pathway to attosecond spectroscopy in chemically complex and disordered environments, yet fundamental questions remain open: whether liquid harmonic emission preserves well-defined attosecond synchronization, and whether harmonic emission can involve simultaneous contributions from multiple quantum trajectories with distinct excursion times despite strong disorder and scattering. Here, we address these issues experimentally by resolving the trajectory-dependent temporal structure of liquid HHG. By optimizing the laser focusing geometry, we achieve clear spatial discrimination of short- and long-trajectory contributions, providing direct evidence for the existence of multiple quantum trajectories in liquids. Using a phase-controlled two-color driving field, we independently retrieve the attochirp associated with each trajectory and demonstrate opposite energy-time correlations for short and long trajectories, establishing a trajectory-resolved energy-time mapping in liquid HHG. All observations are well reproduced by semiclassical recollision simulations. These results place liquid HHG on the same conceptual footing as gas- and solid-phase HHG and establish a robust foundation for attosecond-resolved spectroscopy of ultrafast electronic and chemical dynamics in liquid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用于色散和有损调制的广义时变 Drude 模型</w:t>
      </w:r>
    </w:p>
    <w:p>
      <w:r>
        <w:rPr>
          <w:rFonts w:ascii="Times New Roman" w:hAnsi="Times New Roman" w:eastAsia="宋体"/>
          <w:b/>
          <w:color w:val="003264"/>
          <w:sz w:val="24"/>
        </w:rPr>
        <w:t>Generalized Time-Varying Drude Model for Dispersive and Lossy Modulations</w:t>
      </w:r>
    </w:p>
    <w:p>
      <w:r>
        <w:rPr>
          <w:rFonts w:ascii="Times New Roman" w:hAnsi="Times New Roman" w:eastAsia="宋体"/>
          <w:sz w:val="21"/>
        </w:rPr>
        <w:t>作者: S. A. R. Horsley</w:t>
        <w:br/>
      </w:r>
      <w:r>
        <w:rPr>
          <w:rFonts w:ascii="Times New Roman" w:hAnsi="Times New Roman" w:eastAsia="宋体"/>
          <w:sz w:val="21"/>
        </w:rPr>
        <w:t xml:space="preserve">时间: 2026-02-03T08:22:26Z | </w:t>
      </w:r>
      <w:r>
        <w:t xml:space="preserve">链接: </w:t>
      </w:r>
      <w:hyperlink r:id="rId62">
        <w:r>
          <w:rPr>
            <w:rFonts w:ascii="Times New Roman" w:hAnsi="Times New Roman" w:eastAsia="宋体"/>
            <w:color w:val="0000FF"/>
            <w:sz w:val="21"/>
            <w:u w:val="single"/>
          </w:rPr>
          <w:t>https://arxiv.org/abs/2602.03243v1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我们开发了时变 Drude 模型的推广，将载流子密度、有效质量和碰撞率视为时间的显式函数。我们推导出不同域中的极化、磁化率、位移和介电常数的表达式。我们的分析表明，非绝热调制和时间相关损耗会引发丰富且独特的行为，从而导致时间模糊、选择性选通和抑制以及低频频谱重塑。除了支撑和升级当前时变介质光子学框架之外，该模型还可用于设计以及将理论模型与实验实现相拟合。</w:t>
      </w:r>
    </w:p>
    <w:p>
      <w:pPr>
        <w:spacing w:before="120"/>
      </w:pPr>
      <w:r>
        <w:rPr>
          <w:rFonts w:ascii="Times New Roman" w:hAnsi="Times New Roman" w:eastAsia="宋体"/>
          <w:b/>
          <w:sz w:val="21"/>
        </w:rPr>
        <w:t>English Abstract:</w:t>
      </w:r>
    </w:p>
    <w:p>
      <w:r>
        <w:rPr>
          <w:rFonts w:ascii="Times New Roman" w:hAnsi="Times New Roman" w:eastAsia="宋体"/>
          <w:sz w:val="21"/>
        </w:rPr>
        <w:t>We develop a generalization of the time-varying Drude model, treating carrier density, effective mass, and collision rate as explicit functions of time. We derive expressions for polarization, susceptibility, displacement, and permittivity in different domains. Our analysis reveals that non-adiabatic modulations and time-dependent losses induce rich and distinct behaviors, leading to temporal blurring, selective gating and suppression, and low-frequency spectral reshaping. Besides underpinning and upgrading the current framework on photonics of time-varying media, this model may be useful in the design and fitting theoretical models with experimental realizations.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薄而柔软的光学触觉传感器，可实现高度灵敏的物体感知</w:t>
      </w:r>
    </w:p>
    <w:p>
      <w:r>
        <w:rPr>
          <w:rFonts w:ascii="Times New Roman" w:hAnsi="Times New Roman" w:eastAsia="宋体"/>
          <w:b/>
          <w:color w:val="003264"/>
          <w:sz w:val="24"/>
        </w:rPr>
        <w:t>A thin and soft optical tactile sensor for highly sensitive object perception</w:t>
      </w:r>
    </w:p>
    <w:p>
      <w:r>
        <w:rPr>
          <w:rFonts w:ascii="Times New Roman" w:hAnsi="Times New Roman" w:eastAsia="宋体"/>
          <w:sz w:val="21"/>
        </w:rPr>
        <w:t>作者: Satoshi Sunada</w:t>
        <w:br/>
      </w:r>
      <w:r>
        <w:rPr>
          <w:rFonts w:ascii="Times New Roman" w:hAnsi="Times New Roman" w:eastAsia="宋体"/>
          <w:sz w:val="21"/>
        </w:rPr>
        <w:t xml:space="preserve">时间: 2026-02-03T08:28:14Z | </w:t>
      </w:r>
      <w:r>
        <w:t xml:space="preserve">链接: </w:t>
      </w:r>
      <w:hyperlink r:id="rId63">
        <w:r>
          <w:rPr>
            <w:rFonts w:ascii="Times New Roman" w:hAnsi="Times New Roman" w:eastAsia="宋体"/>
            <w:color w:val="0000FF"/>
            <w:sz w:val="21"/>
            <w:u w:val="single"/>
          </w:rPr>
          <w:t>https://arxiv.org/abs/2602.03248v1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传感对于机器人和可穿戴设备的安全感知和与环境的交互至关重要。光学触觉传感器已成为有前途的解决方案，因为它们不受电磁干扰并且具有高空间分辨率。然而，现有的光学方法，特别是基于视觉的触觉传感器，依赖于涉及镜头和相机的复杂光学组件，导致笨重、刚性和对准敏感的设计。在这项研究中，我们提出了一种薄型、紧凑型、柔软的光学触觉传感器，具有免对准配置。软光学传感器的工作原理是捕获软硅胶材料内产生的变形引起的散斑图案变化，从而通过机器学习实现精确的力测量和纹理识别。实验结果显示，力测量均方根误差为40 mN，对包括麻将牌在内的九类纹理表面的分类精度为93.33%。所提出的基于散斑的方法提供了一个紧凑、易于制造且机械兼容的平台，将光学传感与灵活的形状自适应架构连接起来，从而展示了其作为软机器人和可穿戴触觉界面的新型触觉传感范例的潜力。</w:t>
      </w:r>
    </w:p>
    <w:p>
      <w:pPr>
        <w:spacing w:before="120"/>
      </w:pPr>
      <w:r>
        <w:rPr>
          <w:rFonts w:ascii="Times New Roman" w:hAnsi="Times New Roman" w:eastAsia="宋体"/>
          <w:b/>
          <w:sz w:val="21"/>
        </w:rPr>
        <w:t>English Abstract:</w:t>
      </w:r>
    </w:p>
    <w:p>
      <w:r>
        <w:rPr>
          <w:rFonts w:ascii="Times New Roman" w:hAnsi="Times New Roman" w:eastAsia="宋体"/>
          <w:sz w:val="21"/>
        </w:rPr>
        <w:t>Tactile sensing is crucial in robotics and wearable devices for safe perception and interaction with the environment. Optical tactile sensors have emerged as promising solutions, as they are immune to electromagnetic interference and have high spatial resolution. However, existing optical approaches, particularly vision-based tactile sensors, rely on complex optical assemblies that involve lenses and cameras, resulting in bulky, rigid, and alignment-sensitive designs. In this study, we present a thin, compact, and soft optical tactile sensor featuring an alignment-free configuration. The soft optical sensor operates by capturing deformation-induced changes in speckle patterns generated within a soft silicone material, thereby enabling precise force measurements and texture recognition via machine learning. The experimental results show a root-mean-square error of 40 mN in the force measurement and a classification accuracy of 93.33% over nine classes of textured surfaces, including Mahjong tiles. The proposed speckle-based approach provides a compact, easily fabricated, and mechanically compliant platform that bridges optical sensing with flexible shape-adaptive architectures, thereby demonstrating its potential as a novel tactile-sensing paradigm for soft robotics and wearable haptic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波包和拍波中的推拉有质动力</w:t>
      </w:r>
    </w:p>
    <w:p>
      <w:r>
        <w:rPr>
          <w:rFonts w:ascii="Times New Roman" w:hAnsi="Times New Roman" w:eastAsia="宋体"/>
          <w:b/>
          <w:color w:val="003264"/>
          <w:sz w:val="24"/>
        </w:rPr>
        <w:t>Pushing and Pulling Ponderomotive Forces in Wavepackets and Beat Waves</w:t>
      </w:r>
    </w:p>
    <w:p>
      <w:r>
        <w:rPr>
          <w:rFonts w:ascii="Times New Roman" w:hAnsi="Times New Roman" w:eastAsia="宋体"/>
          <w:sz w:val="21"/>
        </w:rPr>
        <w:t>作者: Yury Bliokh</w:t>
        <w:br/>
      </w:r>
      <w:r>
        <w:rPr>
          <w:rFonts w:ascii="Times New Roman" w:hAnsi="Times New Roman" w:eastAsia="宋体"/>
          <w:sz w:val="21"/>
        </w:rPr>
        <w:t xml:space="preserve">时间: 2026-02-03T08:36:54Z | </w:t>
      </w:r>
      <w:r>
        <w:t xml:space="preserve">链接: </w:t>
      </w:r>
      <w:hyperlink r:id="rId64">
        <w:r>
          <w:rPr>
            <w:rFonts w:ascii="Times New Roman" w:hAnsi="Times New Roman" w:eastAsia="宋体"/>
            <w:color w:val="0000FF"/>
            <w:sz w:val="21"/>
            <w:u w:val="single"/>
          </w:rPr>
          <w:t>https://arxiv.org/abs/2602.03252v1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作用在传播波包（脉冲）中的小粒子上的有质动力。具体来说，我们分析了前向传播（平行相和群速度）和后向传播（反平行相和群速度）波包领域中的简单点粒子以及复合偶极子和哑铃粒子。根据波包的特性，粒子可能被推离波源或被拉向波源。我们还研究了由两个频率略有不同的前向传播波产生的拍波场中的粒子动力学。这种差拍波可以模拟向前或向后传播脉冲的周期序列。特别地，这提供了一种用于实现光学和声学“牵引梁”中所采用的拉力的简单机制。</w:t>
      </w:r>
    </w:p>
    <w:p>
      <w:pPr>
        <w:spacing w:before="120"/>
      </w:pPr>
      <w:r>
        <w:rPr>
          <w:rFonts w:ascii="Times New Roman" w:hAnsi="Times New Roman" w:eastAsia="宋体"/>
          <w:b/>
          <w:sz w:val="21"/>
        </w:rPr>
        <w:t>English Abstract:</w:t>
      </w:r>
    </w:p>
    <w:p>
      <w:r>
        <w:rPr>
          <w:rFonts w:ascii="Times New Roman" w:hAnsi="Times New Roman" w:eastAsia="宋体"/>
          <w:sz w:val="21"/>
        </w:rPr>
        <w:t>We consider ponderomotive forces acting on small particles in propagating wave packets (pulses). Specifically, we analyze simple point particles as well as composite dipole and dumbbell particles in the fields of forward-propagating (parallel phase and group velocities) and backward-propagating (antiparallel phase and group velocities) wave packets. Depending on the characteristics of the wave packet, particles may be pushed away from the wave source or pulled toward it. We also examine particle dynamics in the field of a beat wave generated by two forward-propagating waves with slightly different frequencies. Such a beat wave can emulate a periodic sequence of either forward- or backward-propagating pulses. In particular, this provides a simple mechanism for realizing pulling forces as employed in optical and acoustic `tractor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用于推进弹性能量收集的合成拓扑装置</w:t>
      </w:r>
    </w:p>
    <w:p>
      <w:r>
        <w:rPr>
          <w:rFonts w:ascii="Times New Roman" w:hAnsi="Times New Roman" w:eastAsia="宋体"/>
          <w:b/>
          <w:color w:val="003264"/>
          <w:sz w:val="24"/>
        </w:rPr>
        <w:t>Synthetic topological device for advancing elastic energy harvesting</w:t>
      </w:r>
    </w:p>
    <w:p>
      <w:r>
        <w:rPr>
          <w:rFonts w:ascii="Times New Roman" w:hAnsi="Times New Roman" w:eastAsia="宋体"/>
          <w:sz w:val="21"/>
        </w:rPr>
        <w:t>作者: Jie Zhu</w:t>
        <w:br/>
      </w:r>
      <w:r>
        <w:rPr>
          <w:rFonts w:ascii="Times New Roman" w:hAnsi="Times New Roman" w:eastAsia="宋体"/>
          <w:sz w:val="21"/>
        </w:rPr>
        <w:t xml:space="preserve">时间: 2026-02-03T10:00:38Z | </w:t>
      </w:r>
      <w:r>
        <w:t xml:space="preserve">链接: </w:t>
      </w:r>
      <w:hyperlink r:id="rId65">
        <w:r>
          <w:rPr>
            <w:rFonts w:ascii="Times New Roman" w:hAnsi="Times New Roman" w:eastAsia="宋体"/>
            <w:color w:val="0000FF"/>
            <w:sz w:val="21"/>
            <w:u w:val="single"/>
          </w:rPr>
          <w:t>https://arxiv.org/abs/2602.03335v1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弹性波的高效能量收集对于为可穿戴设备、无线传感和生物医学植入等许多新兴技术中的电子设备供电至关重要。尽管拓扑声子超材料最近已被证明是通过强大的束缚态限制和引导弹性波的有前途的范例，但实现超高Q拓扑谐振和增强的能量转换效率仍然是一个挑战。在这项工作中，我们通过设计弹性超材料的弯曲带，提出了一种合成维度的高阶拓扑绝缘体，其特征是体带中具有高度局域化的拓扑铰链状态。这种拓扑铰链模式源于合成维能带结构中体极化和陈数的非零组合，从而在声子板的拐角处产生强烈的弹性到电能的转换。通过数值模拟和实验验证，已经证明了局域模式具有强大的保护能力以及随后激活发光二极管（LED）阵列的能力的直接证据。我们的研究结果为拓扑物理超声设备开辟了一条新途径，并为弱信号检测和自供电传感器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High-efficiency energy harvesting of ultrasonic elastic waves are crucial for powering electric gadgets in many emerging technologies such as wearable devices, wireless sensing, and biomedical implants. Although topological phononic metamaterials have recently been demonstrated as a promising paradigm for confining and guiding elastic waves through robust bound states, achieving ultrahigh-Q topological resonance with enhanced energy conversion efficiency remains a challenge. In this work, we propose a synthetic-dimensional higher-order topological insulator by engineering the flexural bands of elastic metamaterials, featuring highly localized topological hinge states in the bulk bands. This topological hinge mode stems from the nonzero combination of the bulk polarization and the Chern number in the synthetic-dimensional band structure, thus giving rise to a strong elastic-to-electric energy conversion at the corner of the phononic plate. Through numerical simulations and experimental validations, straightforward evidence of the localized modes with robust protection and consequent abilities in activating the light-emitting diodes (LEDs) array have been demonstrated. Our findings open a new avenue for topological-physics-enabled ultrasonic devices and present promising prospects for applications in weak-signal detection and self-powered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光子时间晶体中的能量传输速度</w:t>
      </w:r>
    </w:p>
    <w:p>
      <w:r>
        <w:rPr>
          <w:rFonts w:ascii="Times New Roman" w:hAnsi="Times New Roman" w:eastAsia="宋体"/>
          <w:b/>
          <w:color w:val="003264"/>
          <w:sz w:val="24"/>
        </w:rPr>
        <w:t>Energy Transport Velocity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2026-02-03T12:19:54Z | </w:t>
      </w:r>
      <w:r>
        <w:t xml:space="preserve">链接: </w:t>
      </w:r>
      <w:hyperlink r:id="rId66">
        <w:r>
          <w:rPr>
            <w:rFonts w:ascii="Times New Roman" w:hAnsi="Times New Roman" w:eastAsia="宋体"/>
            <w:color w:val="0000FF"/>
            <w:sz w:val="21"/>
            <w:u w:val="single"/>
          </w:rPr>
          <w:t>https://arxiv.org/abs/2602.03453v1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 (PTC) 中陡峭或接近垂直的 Floquet 色散通常被解读为快速甚至明显超光速的传输。在这里，我们证明这种异常现象是由调制驱动的几何漂移引起的，而不是能量流。通过推导麦克斯韦通量赫尔曼-费曼关系，我们证明循环平均能量速度仍然严格有界。我们进一步建立了在整个通带中守恒的通用速度乘积定律 $ v_E v_g=\langle v_{\rm ph}^2\rangle_T $，仅通过逆介电常数的时间平均值来固定传输。然后，发散的群速度被追溯到电和磁几何相位连接之间的不匹配，揭示了作为时间调制的几何效应的表观超光度。</w:t>
      </w:r>
    </w:p>
    <w:p>
      <w:pPr>
        <w:spacing w:before="120"/>
      </w:pPr>
      <w:r>
        <w:rPr>
          <w:rFonts w:ascii="Times New Roman" w:hAnsi="Times New Roman" w:eastAsia="宋体"/>
          <w:b/>
          <w:sz w:val="21"/>
        </w:rPr>
        <w:t>English Abstract:</w:t>
      </w:r>
    </w:p>
    <w:p>
      <w:r>
        <w:rPr>
          <w:rFonts w:ascii="Times New Roman" w:hAnsi="Times New Roman" w:eastAsia="宋体"/>
          <w:sz w:val="21"/>
        </w:rPr>
        <w:t>Steep or near-vertical Floquet dispersion in photonic time crystals (PTCs) is often read as fast, even apparently superluminal, transport. Here, we demonstrate that this anomaly arises from modulation-driven geometric drift, not energy flow. By deriving a Maxwell-flux Hellmann-Feynman relation, we prove that the cycle-averaged energy velocity remains strictly bounded. We further establish a universal velocity-product law conserved throughout the passband, $ v_E v_g=\langle v_{\rm ph}^2\rangle_T $, fixing transport solely by the temporal average of the inverse permittivity. The divergent group velocity is then traced to a mismatch between electric and magnetic geometric phase connections, revealing apparent superluminality as a geometric effect of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用于量子应用的时空约瑟夫森超表面的频率转换特性</w:t>
      </w:r>
    </w:p>
    <w:p>
      <w:r>
        <w:rPr>
          <w:rFonts w:ascii="Times New Roman" w:hAnsi="Times New Roman" w:eastAsia="宋体"/>
          <w:b/>
          <w:color w:val="003264"/>
          <w:sz w:val="24"/>
        </w:rPr>
        <w:t>Frequency Conversion Characteristics of Spatiotemporal Josephson Metasurfaces for Quantum Applications</w:t>
      </w:r>
    </w:p>
    <w:p>
      <w:r>
        <w:rPr>
          <w:rFonts w:ascii="Times New Roman" w:hAnsi="Times New Roman" w:eastAsia="宋体"/>
          <w:sz w:val="21"/>
        </w:rPr>
        <w:t>作者: Sajjad Taravati</w:t>
        <w:br/>
      </w:r>
      <w:r>
        <w:rPr>
          <w:rFonts w:ascii="Times New Roman" w:hAnsi="Times New Roman" w:eastAsia="宋体"/>
          <w:sz w:val="21"/>
        </w:rPr>
        <w:t xml:space="preserve">时间: 2026-02-03T12:53:06Z | </w:t>
      </w:r>
      <w:r>
        <w:t xml:space="preserve">链接: </w:t>
      </w:r>
      <w:hyperlink r:id="rId67">
        <w:r>
          <w:rPr>
            <w:rFonts w:ascii="Times New Roman" w:hAnsi="Times New Roman" w:eastAsia="宋体"/>
            <w:color w:val="0000FF"/>
            <w:sz w:val="21"/>
            <w:u w:val="single"/>
          </w:rPr>
          <w:t>https://arxiv.org/abs/2602.03479v1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本演示探讨了在毫开尔文温度下工作的不可逆变频约瑟夫森超表面的各种特性。利用约瑟夫森结的独特特性（无阻力地支持超电流），该超表面能够有效操纵非线性波相互作用，促进入射光子的频率转换和放大。</w:t>
      </w:r>
    </w:p>
    <w:p>
      <w:pPr>
        <w:spacing w:before="120"/>
      </w:pPr>
      <w:r>
        <w:rPr>
          <w:rFonts w:ascii="Times New Roman" w:hAnsi="Times New Roman" w:eastAsia="宋体"/>
          <w:b/>
          <w:sz w:val="21"/>
        </w:rPr>
        <w:t>English Abstract:</w:t>
      </w:r>
    </w:p>
    <w:p>
      <w:r>
        <w:rPr>
          <w:rFonts w:ascii="Times New Roman" w:hAnsi="Times New Roman" w:eastAsia="宋体"/>
          <w:sz w:val="21"/>
        </w:rPr>
        <w:t>This presentation explores the various characteristics of a nonreciprocal, frequency-converting Josephson metasurface operating at millikelvin temperatures. Leveraging the unique properties of Josephson junctions, which support supercurrent flow without resistance, this metasurface enables efficient manipulation of nonlinear wave interactions, facilitating both frequency conversion and amplification of incident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减少采集时间和辐射损伤：用于光谱显微镜的数据驱动二次采样</w:t>
      </w:r>
    </w:p>
    <w:p>
      <w:r>
        <w:rPr>
          <w:rFonts w:ascii="Times New Roman" w:hAnsi="Times New Roman" w:eastAsia="宋体"/>
          <w:b/>
          <w:color w:val="003264"/>
          <w:sz w:val="24"/>
        </w:rPr>
        <w:t>Reducing acquisition time and radiation damage: data-driven subsampling for spectro-microscopy</w:t>
      </w:r>
    </w:p>
    <w:p>
      <w:r>
        <w:rPr>
          <w:rFonts w:ascii="Times New Roman" w:hAnsi="Times New Roman" w:eastAsia="宋体"/>
          <w:sz w:val="21"/>
        </w:rPr>
        <w:t>作者: Paul Quinn</w:t>
        <w:br/>
      </w:r>
      <w:r>
        <w:rPr>
          <w:rFonts w:ascii="Times New Roman" w:hAnsi="Times New Roman" w:eastAsia="宋体"/>
          <w:sz w:val="21"/>
        </w:rPr>
        <w:t xml:space="preserve">时间: 2026-02-03T17:05:27Z | </w:t>
      </w:r>
      <w:r>
        <w:t xml:space="preserve">链接: </w:t>
      </w:r>
      <w:hyperlink r:id="rId68">
        <w:r>
          <w:rPr>
            <w:rFonts w:ascii="Times New Roman" w:hAnsi="Times New Roman" w:eastAsia="宋体"/>
            <w:color w:val="0000FF"/>
            <w:sz w:val="21"/>
            <w:u w:val="single"/>
          </w:rPr>
          <w:t>https://arxiv.org/abs/2602.03744v1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显微镜是一种实验技术，可用于观察化学状态的空间变化以及化学状态随时间或在实验条件下的变化。因此，它在能源材料、催化、环境科学和生物样品等领域具有广泛的应用。然而，该技术常常受到采集时间长和辐射损伤等因素的限制。我们提出了两种测量策略，可以显着缩短实验时间和应用的总剂量。这些策略基于仅获取所有测量值的一小部分（例如稀疏采集或子采样），然后使用数学技术通过计算重建所有未观察到的测量值。这些方法是数据驱动的，使用光谱和空间重要性二次采样分布来识别重要的测量结果。因此，只需 4-6% 的测量就足以捕获与传统扫描相同的信息。</w:t>
      </w:r>
    </w:p>
    <w:p>
      <w:pPr>
        <w:spacing w:before="120"/>
      </w:pPr>
      <w:r>
        <w:rPr>
          <w:rFonts w:ascii="Times New Roman" w:hAnsi="Times New Roman" w:eastAsia="宋体"/>
          <w:b/>
          <w:sz w:val="21"/>
        </w:rPr>
        <w:t>English Abstract:</w:t>
      </w:r>
    </w:p>
    <w:p>
      <w:r>
        <w:rPr>
          <w:rFonts w:ascii="Times New Roman" w:hAnsi="Times New Roman" w:eastAsia="宋体"/>
          <w:sz w:val="21"/>
        </w:rPr>
        <w:t>Spectro-microscopy is an experimental technique which can be used to observe spatial variations in chemical state and changes in chemical state over time or under experimental conditions. As a result it has broad applications across areas such as energy materials, catalysis, environmental science and biological samples. However, the technique is often limited by factors such as long acquisition times and radiation damage. We present two measurement strategies that allow for significantly shorter experiment times and total doses applied. The strategies are based on taking only a small subset of all the measurements (e.g. sparse acquisition or subsampling), and then computationally reconstructing all unobserved measurements using mathematical techniques. The methods are data-driven, using spectral and spatial importance subsampling distributions to identify important measurements. As a result, taking as little as 4-6\% of the measurements is sufficient to capture the same information as in a conventional scan.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氧化铝草的恒星掠过：在类草氧化铝辅助下的 IPX-Clear 微透镜上的可见光和近红外区域的减反射涂层</w:t>
      </w:r>
    </w:p>
    <w:p>
      <w:r>
        <w:rPr>
          <w:rFonts w:ascii="Times New Roman" w:hAnsi="Times New Roman" w:eastAsia="宋体"/>
          <w:b/>
          <w:color w:val="003264"/>
          <w:sz w:val="24"/>
        </w:rPr>
        <w:t>Star Grazing with Alumina Grass: Antireflection coatings in the visible and near-infrared on IPX-Clear Microlenses assisted by Grass-like Alumina</w:t>
      </w:r>
    </w:p>
    <w:p>
      <w:r>
        <w:rPr>
          <w:rFonts w:ascii="Times New Roman" w:hAnsi="Times New Roman" w:eastAsia="宋体"/>
          <w:sz w:val="21"/>
        </w:rPr>
        <w:t>作者: Ceiwynn Longworth</w:t>
        <w:br/>
      </w:r>
      <w:r>
        <w:rPr>
          <w:rFonts w:ascii="Times New Roman" w:hAnsi="Times New Roman" w:eastAsia="宋体"/>
          <w:sz w:val="21"/>
        </w:rPr>
        <w:t xml:space="preserve">时间: 2026-02-03T17:14:41Z | </w:t>
      </w:r>
      <w:r>
        <w:t xml:space="preserve">链接: </w:t>
      </w:r>
      <w:hyperlink r:id="rId69">
        <w:r>
          <w:rPr>
            <w:rFonts w:ascii="Times New Roman" w:hAnsi="Times New Roman" w:eastAsia="宋体"/>
            <w:color w:val="0000FF"/>
            <w:sz w:val="21"/>
            <w:u w:val="single"/>
          </w:rPr>
          <w:t>https://arxiv.org/abs/2602.03752v1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双光子聚合 (2PP) 能够制造具有复杂自由形状几何形状的高精度微光学器件，为定制天文光学器件开辟了新的参数空间。在现有树脂中，新开发的 IPX Clear 特别适合可见光应用，可在可见光-近红外范围内提供高透射率、低表面粗糙度和出色的形状保真度。然而，空气-聚合物界面处的菲涅耳反射会引入显着的光学损耗，这在低信号天文学中是有害的。先前的研究表明，玻璃和熔融石英上的草状氧化铝涂层可以将 400-900 nm 范围内的平均透射率从 91.9% 提高到约 99%。在这里，我们探讨了原子层沉积 (ALD) 将此类涂层应用于 400-1700 nm 范围内的 IPX-Clear 微光学器件的可行性。草状氧化铝抗反射 (AR) 涂层可以通过创建从空气到块状 IPX Clear 的逐渐折射率过渡来近似理想的折射率条件，从而抑制表面反射。虽然在体光学器件上建立了类草涂层，并且保形 ALD 薄膜已应用于 2PP 微光学器件，但我们首次展示了用新型 IPX-Clear 树脂制成的 2PP 微透镜上的氧化铝草。我们讨论了关键挑战和工艺步骤，并观察到氧化铝草涂层微透镜在 400-850 nm 范围内的反射仅损失约 0.3% 的光子。未来的工作将测试整个 400-1700 nm 波段的性能，并探索改进的环境适应能力，例如 SiO2 外套。这些涂层与 IPX Clear 的高光学透明度相结合，可为天文应用提供定制设计的高效微透镜。</w:t>
      </w:r>
    </w:p>
    <w:p>
      <w:pPr>
        <w:spacing w:before="120"/>
      </w:pPr>
      <w:r>
        <w:rPr>
          <w:rFonts w:ascii="Times New Roman" w:hAnsi="Times New Roman" w:eastAsia="宋体"/>
          <w:b/>
          <w:sz w:val="21"/>
        </w:rPr>
        <w:t>English Abstract:</w:t>
      </w:r>
    </w:p>
    <w:p>
      <w:r>
        <w:rPr>
          <w:rFonts w:ascii="Times New Roman" w:hAnsi="Times New Roman" w:eastAsia="宋体"/>
          <w:sz w:val="21"/>
        </w:rPr>
        <w:t>Two-photon polymerization (2PP) enables fabrication of high-precision micro-optics with complex freeform geometries, opening a new parameter space for custom astronomical optics. Among available resins, the newly developed IPX Clear is particularly well suited for visible applications, offering high transmission across the visible-near-IR, low surface roughness, and excellent shape fidelity. However, Fresnel reflections at the air-polymer interface introduce significant optical losses, which are detrimental in low-signal astronomy. Previous studies show grass-like alumina coatings on glass and fused silica can raise average transmission from 91.9% to approximately 99% over 400-900 nm. Here we explore the feasibility of Atomic Layer Deposition (ALD) to apply such coatings to IPX-Clear micro-optics over 400-1700 nm. Grass-like alumina anti-reflective (AR) coatings can approximate the ideal index condition by creating a gradual refractive-index transition from air to bulk IPX Clear, suppressing surface reflections. While grass-like coatings are established on bulk optics and conformal ALD films have been applied to 2PP micro-optics, we demonstrate - for the first time - alumina grass on 2PP microlenses made with the new IPX-Clear resin. We discuss key challenges and process steps, and observe that alumina-grass-coated microlenses lose only approximately 0.3% of photons to reflection in the 400-850 nm range. Future work will test performance across the full 400-1700 nm band and explore improved environmental resilience, e.g., a SiO2 overcoat. Combined with the high optical transparency of IPX Clear, these coatings enable custom-designed, highly efficient microlenses for astronomical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多色光子计数CT中的灌注成像和单一材料重建</w:t>
      </w:r>
    </w:p>
    <w:p>
      <w:r>
        <w:rPr>
          <w:rFonts w:ascii="Times New Roman" w:hAnsi="Times New Roman" w:eastAsia="宋体"/>
          <w:b/>
          <w:color w:val="003264"/>
          <w:sz w:val="24"/>
        </w:rPr>
        <w:t>Perfusion Imaging and Single Material Reconstruction in Polychromatic Photon Counting CT</w:t>
      </w:r>
    </w:p>
    <w:p>
      <w:r>
        <w:rPr>
          <w:rFonts w:ascii="Times New Roman" w:hAnsi="Times New Roman" w:eastAsia="宋体"/>
          <w:sz w:val="21"/>
        </w:rPr>
        <w:t>作者: Sara Fridovich-Keil</w:t>
        <w:br/>
      </w:r>
      <w:r>
        <w:rPr>
          <w:rFonts w:ascii="Times New Roman" w:hAnsi="Times New Roman" w:eastAsia="宋体"/>
          <w:sz w:val="21"/>
        </w:rPr>
        <w:t xml:space="preserve">时间: 2026-02-02T19:27:55Z | </w:t>
      </w:r>
      <w:r>
        <w:t xml:space="preserve">链接: </w:t>
      </w:r>
      <w:hyperlink r:id="rId70">
        <w:r>
          <w:rPr>
            <w:rFonts w:ascii="Times New Roman" w:hAnsi="Times New Roman" w:eastAsia="宋体"/>
            <w:color w:val="0000FF"/>
            <w:sz w:val="21"/>
            <w:u w:val="single"/>
          </w:rPr>
          <w:t>https://arxiv.org/abs/2602.02713v1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背景：灌注计算机断层扫描 (CT) 对造影剂随时间推移在体内的动态进行成像，是医学成像中最高 X 射线剂量扫描之一。最近，针对单材料多色光子计数 CT 提出了一种基于单调变分不等式 (VI) 的理论上合理的重建算法，并在低剂量成像中显示出有希望的早期结果。目的：我们将这种重建算法应用于灌注CT，在假设静态背景组织已知的情况下重建造影剂的浓度图；我们将我们的方法称为 VI-PRISM（基于 VI 的灌注成像和单一材料重建）。我们使用带有不同浓度的水和碘的数字体模来评估其减少剂量灌注 CT 的潜力。方法：模拟碘浓度范围为 0.05 至 2.5 mg/ml。模拟 X 射线源发射高达 100 keV 的光子，每个探测器元件的平均强度范围从 $10^5$ 到 $10^2$ 光子。断层扫描投影的数量从 984 个减少到 8 个，以表征视图和强度之间光子分配的权衡。结果：我们将 VI-PRISM 与滤波反投影 (FBP) 进行比较，发现 VI-PRISM 在所有测试的源强度水平下恢复碘浓度，误差低于 0.4 mg/ml。即使与 FBP 相比，剂量减少了 10 倍到 100 倍，VI-PRISM 仍表现出与 FBP 相当的重建质量。结论：在所有测试的光子预算和角度采样密度中，与滤波反投影相比，VI-PRISM 始终实现较低的 RMSE、较低的噪声和较高的 SNR。即使在光子极其有限和稀疏采样的情况下，VI-PRISM 也能以低于 0.4 mg/ml 的误差恢复碘浓度，这表明 VI-PRISM 可以支持光子计数 CT 中准确且剂量高效的灌注成像。</w:t>
      </w:r>
    </w:p>
    <w:p>
      <w:pPr>
        <w:spacing w:before="120"/>
      </w:pPr>
      <w:r>
        <w:rPr>
          <w:rFonts w:ascii="Times New Roman" w:hAnsi="Times New Roman" w:eastAsia="宋体"/>
          <w:b/>
          <w:sz w:val="21"/>
        </w:rPr>
        <w:t>English Abstract:</w:t>
      </w:r>
    </w:p>
    <w:p>
      <w:r>
        <w:rPr>
          <w:rFonts w:ascii="Times New Roman" w:hAnsi="Times New Roman" w:eastAsia="宋体"/>
          <w:sz w:val="21"/>
        </w:rPr>
        <w:t>Background: Perfusion computed tomography (CT) images the dynamics of a contrast agent through the body over time, and is one of the highest X-ray dose scans in medical imaging. Recently, a theoretically justified reconstruction algorithm based on a monotone variational inequality (VI) was proposed for single material polychromatic photon-counting CT, and showed promising early results at low-dose imaging. Purpose: We adapt this reconstruction algorithm for perfusion CT, to reconstruct the concentration map of the contrast agent while the static background tissue is assumed known; we call our method VI-PRISM (VI-based PeRfusion Imaging and Single Material reconstruction). We evaluate its potential for dose-reduced perfusion CT, using a digital phantom with water and iodine of varying concentration. Methods: Simulated iodine concentrations range from 0.05 to 2.5 mg/ml. The simulated X-ray source emits photons up to 100 keV, with average intensity ranging from $10^5$ down to $10^2$ photons per detector element. The number of tomographic projections was varied from 984 down to 8 to characterize the tradeoff in photon allocation between views and intensity. Results: We compare VI-PRISM against filtered back-projection (FBP), and find that VI-PRISM recovers iodine concentration with error below 0.4 mg/ml at all source intensity levels tested. Even with a dose reduction between 10x and 100x compared to FBP, VI-PRISM exhibits reconstruction quality on par with FBP. Conclusion: Across all photon budgets and angular sampling densities tested, VI-PRISM achieved consistently lower RMSE, reduced noise, and higher SNR compared to filtered back-projection. Even in extremely photon-limited and sparsely sampled regimes, VI-PRISM recovered iodine concentrations with errors below 0.4 mg/ml, showing that VI-PRISM can support accurate and dose-efficient perfusion imaging in photon-counting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通过高速振镜扫描和实时镶嵌的宽视场高分辨率显微镜</w:t>
      </w:r>
    </w:p>
    <w:p>
      <w:r>
        <w:rPr>
          <w:rFonts w:ascii="Times New Roman" w:hAnsi="Times New Roman" w:eastAsia="宋体"/>
          <w:b/>
          <w:color w:val="003264"/>
          <w:sz w:val="24"/>
        </w:rPr>
        <w:t>Wide-field high-resolution microscopy via high-speed galvo scanning and real-time mosaicking</w:t>
      </w:r>
    </w:p>
    <w:p>
      <w:r>
        <w:rPr>
          <w:rFonts w:ascii="Times New Roman" w:hAnsi="Times New Roman" w:eastAsia="宋体"/>
          <w:sz w:val="21"/>
        </w:rPr>
        <w:t>作者: Jin U. Kang</w:t>
        <w:br/>
      </w:r>
      <w:r>
        <w:rPr>
          <w:rFonts w:ascii="Times New Roman" w:hAnsi="Times New Roman" w:eastAsia="宋体"/>
          <w:sz w:val="21"/>
        </w:rPr>
        <w:t xml:space="preserve">时间: 2026-02-02T20:09:23Z | </w:t>
      </w:r>
      <w:r>
        <w:t xml:space="preserve">链接: </w:t>
      </w:r>
      <w:hyperlink r:id="rId71">
        <w:r>
          <w:rPr>
            <w:rFonts w:ascii="Times New Roman" w:hAnsi="Times New Roman" w:eastAsia="宋体"/>
            <w:color w:val="0000FF"/>
            <w:sz w:val="21"/>
            <w:u w:val="single"/>
          </w:rPr>
          <w:t>https://arxiv.org/abs/2602.02758v1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高分辨率显微镜需要快速扫描和精确的图像镶嵌，以覆盖大视场而不影响图像质量。然而，传统的振镜扫描，特别是在正弦驱动下，可能会引入不均匀的空间采样，导致整个扫描场的几何不一致和亮度变化。为了应对这些挑战，我们提出了一种用于宽视场显微成像的图像镶嵌框架，该框架适用于线性和正弦振镜扫描策略。所提出的方法将基于平移的几何镶嵌模型与基于感兴趣区域（ROI）的亮度校正和接缝感知羽化相结合，以提高大视场的辐射一致性。该方法依赖于校准的扫描参数和同步扫描相机控制，不需要基于图像内容的配准。使用所提出的框架，在线性和正弦扫描策略下成功重建了宽视场镶嵌图像，实现了高达 $2.5 \times 2.5~\mathrm{cm}^2$ 的视场，每个数据集的总采集时间约为 $6~\mathrm{s}$。定量评估表明，两种扫描策略都显示出图像质量的提高，包括增强的亮度均匀性、增加的对比度噪声比（CNR）以及减少图像处理后与接缝相关的伪影，同时保持$7.81~μ\mathrm{m}$的横向分辨率。总体而言，所提出的框架为基于扫描的宽视场微观镶嵌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Wide-field high-resolution microscopy requires fast scanning and accurate image mosaicking to cover large fields of view without compromising image quality. However, conventional galvanometric scanning, particularly under sinusoidal driving, can introduce nonuniform spatial sampling, leading to geometric inconsistencies and brightness variations across the scanned field. To address these challenges, we present an image mosaicking framework for wide-field microscopic imaging that is applicable to both linear and sinusoidal galvanometric scanning strategies. The proposed approach combines a translation-based geometric mosaicking model with region-of-interest (ROI) based brightness correction and seam-aware feathering to improve radiometric consistency across large fields of view. The method relies on calibrated scan parameters and synchronized scan--camera control, without requiring image-content-based registration. Using the proposed framework, wide-field mosaicked images were successfully reconstructed under both linear and sinusoidal scanning strategies, achieving a field of view of up to $2.5 \times 2.5~\mathrm{cm}^2$ with a total acquisition time of approximately $6~\mathrm{s}$ per dataset. Quantitative evaluation shows that both scanning strategies demonstrate improved image quality, including enhanced brightness uniformity, increased contrast-to-noise ratio (CNR), and reduced seam-related artifacts after image processing, while preserving a lateral resolution of $7.81~μ\mathrm{m}$. Overall, the presented framework provides a practical and efficient solution for scan-based wide-field microscopic mosaicking.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HypCBC：用于广义医学图像分析的域不变双曲跨分支一致性</w:t>
      </w:r>
    </w:p>
    <w:p>
      <w:r>
        <w:rPr>
          <w:rFonts w:ascii="Times New Roman" w:hAnsi="Times New Roman" w:eastAsia="宋体"/>
          <w:b/>
          <w:color w:val="003264"/>
          <w:sz w:val="24"/>
        </w:rPr>
        <w:t>HypCBC: Domain-Invariant Hyperbolic Cross-Branch Consistency for Generalizable Medical Image Analysis</w:t>
      </w:r>
    </w:p>
    <w:p>
      <w:r>
        <w:rPr>
          <w:rFonts w:ascii="Times New Roman" w:hAnsi="Times New Roman" w:eastAsia="宋体"/>
          <w:sz w:val="21"/>
        </w:rPr>
        <w:t>作者: Christian Ledig</w:t>
        <w:br/>
      </w:r>
      <w:r>
        <w:rPr>
          <w:rFonts w:ascii="Times New Roman" w:hAnsi="Times New Roman" w:eastAsia="宋体"/>
          <w:sz w:val="21"/>
        </w:rPr>
        <w:t xml:space="preserve">时间: 2026-02-03T08:50:24Z | </w:t>
      </w:r>
      <w:r>
        <w:t xml:space="preserve">链接: </w:t>
      </w:r>
      <w:hyperlink r:id="rId72">
        <w:r>
          <w:rPr>
            <w:rFonts w:ascii="Times New Roman" w:hAnsi="Times New Roman" w:eastAsia="宋体"/>
            <w:color w:val="0000FF"/>
            <w:sz w:val="21"/>
            <w:u w:val="single"/>
          </w:rPr>
          <w:t>https://arxiv.org/abs/2602.03264v1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分布之外的鲁棒泛化仍然是深度神经网络的一个关键挑战。这在医学图像分析中尤其明显，其中数据通常稀缺，并且不同的硬件设备、成像协议和异质患者群体会产生协变量变化。这些因素共同阻碍了性能的可靠性并减慢了临床采用的速度。尽管最近取得了进展，现有的学习范式主要依赖于欧几里得流形，其平面几何形状无法捕获临床数据中存在的复杂的分层结构。在这项工作中，我们利用双曲流形的优势来建模复杂的数据特征。我们首次对用于医学图像分析的双曲表示学习进行了全面验证，并在 11 个分布数据集和 3 个 ViT 模型中展示了统计上显着的增益。我们进一步提出了一种无监督的、域不变的双曲跨分支一致性约束。大量实验证实，我们提出的方法促进了域不变特征，并且在三个域泛化基准（Fitzpatrick17k、Camelyon17-WILDS 和视网膜成像的跨数据集设置）上平均 AUC $+2.1\%$ AUC 优于最先进的欧几里德方法。这些数据集涵盖不同的成像模式、数据大小和标签粒度，证实了在截然不同的条件下的泛化能力。该代码可在 https://github.com/francescodisalvo05/hyperbolic-cross-branch-consistency 获取。</w:t>
      </w:r>
    </w:p>
    <w:p>
      <w:pPr>
        <w:spacing w:before="120"/>
      </w:pPr>
      <w:r>
        <w:rPr>
          <w:rFonts w:ascii="Times New Roman" w:hAnsi="Times New Roman" w:eastAsia="宋体"/>
          <w:b/>
          <w:sz w:val="21"/>
        </w:rPr>
        <w:t>English Abstract:</w:t>
      </w:r>
    </w:p>
    <w:p>
      <w:r>
        <w:rPr>
          <w:rFonts w:ascii="Times New Roman" w:hAnsi="Times New Roman" w:eastAsia="宋体"/>
          <w:sz w:val="21"/>
        </w:rPr>
        <w:t>Robust generalization beyond training distributions remains a critical challenge for deep neural networks. This is especially pronounced in medical image analysis, where data is often scarce and covariate shifts arise from different hardware devices, imaging protocols, and heterogeneous patient populations. These factors collectively hinder reliable performance and slow down clinical adoption. Despite recent progress, existing learning paradigms primarily rely on the Euclidean manifold, whose flat geometry fails to capture the complex, hierarchical structures present in clinical data. In this work, we exploit the advantages of hyperbolic manifolds to model complex data characteristics. We present the first comprehensive validation of hyperbolic representation learning for medical image analysis and demonstrate statistically significant gains across eleven in-distribution datasets and three ViT models. We further propose an unsupervised, domain-invariant hyperbolic cross-branch consistency constraint. Extensive experiments confirm that our proposed method promotes domain-invariant features and outperforms state-of-the-art Euclidean methods by an average of $+2.1\%$ AUC on three domain generalization benchmarks: Fitzpatrick17k, Camelyon17-WILDS, and a cross-dataset setup for retinal imaging. These datasets span different imaging modalities, data sizes, and label granularities, confirming generalization capabilities across substantially different conditions. The code is available at https://github.com/francescodisalvo05/hyperbolic-cross-branch-consistency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LEVIO：适用于资源受限设备的轻量级嵌入式视觉惯性里程计</w:t>
      </w:r>
    </w:p>
    <w:p>
      <w:r>
        <w:rPr>
          <w:rFonts w:ascii="Times New Roman" w:hAnsi="Times New Roman" w:eastAsia="宋体"/>
          <w:b/>
          <w:color w:val="003264"/>
          <w:sz w:val="24"/>
        </w:rPr>
        <w:t>LEVIO: Lightweight Embedded Visual Inertial Odometry for Resource-Constrained Devices</w:t>
      </w:r>
    </w:p>
    <w:p>
      <w:r>
        <w:rPr>
          <w:rFonts w:ascii="Times New Roman" w:hAnsi="Times New Roman" w:eastAsia="宋体"/>
          <w:sz w:val="21"/>
        </w:rPr>
        <w:t>作者: Luca Benini</w:t>
        <w:br/>
      </w:r>
      <w:r>
        <w:rPr>
          <w:rFonts w:ascii="Times New Roman" w:hAnsi="Times New Roman" w:eastAsia="宋体"/>
          <w:sz w:val="21"/>
        </w:rPr>
        <w:t xml:space="preserve">时间: 2026-02-03T09:20:57Z | </w:t>
      </w:r>
      <w:r>
        <w:t xml:space="preserve">链接: </w:t>
      </w:r>
      <w:hyperlink r:id="rId73">
        <w:r>
          <w:rPr>
            <w:rFonts w:ascii="Times New Roman" w:hAnsi="Times New Roman" w:eastAsia="宋体"/>
            <w:color w:val="0000FF"/>
            <w:sz w:val="21"/>
            <w:u w:val="single"/>
          </w:rPr>
          <w:t>https://arxiv.org/abs/2602.03294v1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用于运动跟踪的精确、无基础设施的传感器系统对于移动机器人和增强现实 (AR) 应用至关重要。然而，最流行的最先进的视觉惯性里程计（VIO）系统对于资源受限的硬件（例如微型无人机和智能眼镜）的计算要求过高。这项工作提出了 LEVIO，这是一种针对超低功耗计算平台进行优化的全功能 VIO 管道，可实现六自由度 (DoF) 实时传感。 LEVIO 整合了现有的 VIO 组件，例如定向 FAST 和旋转 Brief (ORB) 功能跟踪和捆绑调整，同时强调具有并行化和低内存使用率的计算高效架构，以适应嵌入式微控制器和低功耗片上系统 (SoC)。本文提出并详细介绍了算法设计选择和硬件-软件协同优化方法，并介绍了资源受限硬件上的实时性能。 LEVIO 在并行处理超低功耗 RISC-V SoC 上进行了验证，实现了 20 FPS，同时功耗低于 100 mW，并针对公共 VIO 数据集进行了基准测试，在效率和准确性之间提供了令人信服的平衡。为了促进可重复性和采用，完整的实现以开源方式发布。</w:t>
      </w:r>
    </w:p>
    <w:p>
      <w:pPr>
        <w:spacing w:before="120"/>
      </w:pPr>
      <w:r>
        <w:rPr>
          <w:rFonts w:ascii="Times New Roman" w:hAnsi="Times New Roman" w:eastAsia="宋体"/>
          <w:b/>
          <w:sz w:val="21"/>
        </w:rPr>
        <w:t>English Abstract:</w:t>
      </w:r>
    </w:p>
    <w:p>
      <w:r>
        <w:rPr>
          <w:rFonts w:ascii="Times New Roman" w:hAnsi="Times New Roman" w:eastAsia="宋体"/>
          <w:sz w:val="21"/>
        </w:rPr>
        <w:t>Accurate, infrastructure-less sensor systems for motion tracking are essential for mobile robotics and augmented reality (AR) applications. The most popular state-of-the-art visual-inertial odometry (VIO) systems, however, are too computationally demanding for resource-constrained hardware, such as micro-drones and smart glasses. This work presents LEVIO, a fully featured VIO pipeline optimized for ultra-low-power compute platforms, allowing six-degrees-of-freedom (DoF) real-time sensing. LEVIO incorporates established VIO components such as Oriented FAST and Rotated BRIEF (ORB) feature tracking and bundle adjustment, while emphasizing a computationally efficient architecture with parallelization and low memory usage to suit embedded microcontrollers and low-power systems-on-chip (SoCs). The paper proposes and details the algorithmic design choices and the hardware-software co-optimization approach, and presents real-time performance on resource-constrained hardware. LEVIO is validated on a parallel-processing ultra-low-power RISC-V SoC, achieving 20 FPS while consuming less than 100 mW, and benchmarked against public VIO datasets, offering a compelling balance between efficiency and accuracy. To facilitate reproducibility and adoption, the complete implementation is released as open-source.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具有时空注意力和线性 LSTM 的高效序列神经网络，用于使用多帧图像进行鲁棒车道检测</w:t>
      </w:r>
    </w:p>
    <w:p>
      <w:r>
        <w:rPr>
          <w:rFonts w:ascii="Times New Roman" w:hAnsi="Times New Roman" w:eastAsia="宋体"/>
          <w:b/>
          <w:color w:val="003264"/>
          <w:sz w:val="24"/>
        </w:rPr>
        <w:t>Efficient Sequential Neural Network with Spatial-Temporal Attention and Linear LSTM for Robust Lane Detection Using Multi-Frame Images</w:t>
      </w:r>
    </w:p>
    <w:p>
      <w:r>
        <w:rPr>
          <w:rFonts w:ascii="Times New Roman" w:hAnsi="Times New Roman" w:eastAsia="宋体"/>
          <w:sz w:val="21"/>
        </w:rPr>
        <w:t>作者: Hans Hellendoorn</w:t>
        <w:br/>
      </w:r>
      <w:r>
        <w:rPr>
          <w:rFonts w:ascii="Times New Roman" w:hAnsi="Times New Roman" w:eastAsia="宋体"/>
          <w:sz w:val="21"/>
        </w:rPr>
        <w:t xml:space="preserve">时间: 2026-02-03T15:51:29Z | </w:t>
      </w:r>
      <w:r>
        <w:t xml:space="preserve">链接: </w:t>
      </w:r>
      <w:hyperlink r:id="rId74">
        <w:r>
          <w:rPr>
            <w:rFonts w:ascii="Times New Roman" w:hAnsi="Times New Roman" w:eastAsia="宋体"/>
            <w:color w:val="0000FF"/>
            <w:sz w:val="21"/>
            <w:u w:val="single"/>
          </w:rPr>
          <w:t>https://arxiv.org/abs/2602.03669v1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车道检测对于所有级别的自动驾驶车辆 (AV) 和高级驾驶辅助系统来说都是一项至关重要的感知任务，特别是在自动驾驶车辆必须与人类驾驶车辆 (HDV) 交互的混合交通环境和具有挑战性的交通场景中。当前的方法在提供准确、鲁棒和实时兼容的车道检测方面缺乏通用性，特别是基于视觉的方法经常忽略图像的关键区域及其时空（ST）显着性，导致在严重遮挡和眩光照明等困难情况下性能不佳。本研究引入了一种具有时空注意力机制的新型顺序神经网络模型，以关注车道线的关键特征并利用连续图像帧之间的显着 ST 相关性。所提出的模型建立在标准编码器-解码器结构和通用神经网络主干之上，在三个大型开源数据集上进行训练和评估。大量的实验证明了所提出的模型的强度和鲁棒性，在各种测试场景中都优于最先进的方法。此外，利用ST注意力机制，与基线序列模型相比，开发的序列神经网络模型表现出更少的参数和减少的乘法累加操作（MAC），突出了它们的计算效率。相关数据、代码和模型发布于https://doi.org/10.4121/4619cab6-ae4a-40d5-af77-582a77f3d821。</w:t>
      </w:r>
    </w:p>
    <w:p>
      <w:pPr>
        <w:spacing w:before="120"/>
      </w:pPr>
      <w:r>
        <w:rPr>
          <w:rFonts w:ascii="Times New Roman" w:hAnsi="Times New Roman" w:eastAsia="宋体"/>
          <w:b/>
          <w:sz w:val="21"/>
        </w:rPr>
        <w:t>English Abstract:</w:t>
      </w:r>
    </w:p>
    <w:p>
      <w:r>
        <w:rPr>
          <w:rFonts w:ascii="Times New Roman" w:hAnsi="Times New Roman" w:eastAsia="宋体"/>
          <w:sz w:val="21"/>
        </w:rPr>
        <w:t>Lane detection is a crucial perception task for all levels of automated vehicles (AVs) and Advanced Driver Assistance Systems, particularly in mixed-traffic environments where AVs must interact with human-driven vehicles (HDVs) and challenging traffic scenarios. Current methods lack versatility in delivering accurate, robust, and real-time compatible lane detection, especially vision-based methods often neglect critical regions of the image and their spatial-temporal (ST) salience, leading to poor performance in difficult circumstances such as serious occlusion and dazzle lighting. This study introduces a novel sequential neural network model with a spatial-temporal attention mechanism to focus on key features of lane lines and exploit salient ST correlations among continuous image frames. The proposed model, built on a standard encoder-decoder structure and common neural network backbones, is trained and evaluated on three large-scale open-source datasets. Extensive experiments demonstrate the strength and robustness of the proposed model, outperforming state-of-the-art methods in various testing scenarios. Furthermore, with the ST attention mechanism, the developed sequential neural network models exhibit fewer parameters and reduced Multiply-Accumulate Operations (MACs) compared to baseline sequential models, highlighting their computational efficiency. Relevant data, code, and models are released at https://doi.org/10.4121/4619cab6-ae4a-40d5-af77-582a77f3d821.</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具有因子子目标扩散的分层实体中心强化学习</w:t>
      </w:r>
    </w:p>
    <w:p>
      <w:r>
        <w:rPr>
          <w:rFonts w:ascii="Times New Roman" w:hAnsi="Times New Roman" w:eastAsia="宋体"/>
          <w:b/>
          <w:color w:val="003264"/>
          <w:sz w:val="24"/>
        </w:rPr>
        <w:t>Hierarchical Entity-centric Reinforcement Learning with Factored Subgoal Diffusion</w:t>
      </w:r>
    </w:p>
    <w:p>
      <w:r>
        <w:rPr>
          <w:rFonts w:ascii="Times New Roman" w:hAnsi="Times New Roman" w:eastAsia="宋体"/>
          <w:sz w:val="21"/>
        </w:rPr>
        <w:t>作者: George Konidaris</w:t>
        <w:br/>
      </w:r>
      <w:r>
        <w:rPr>
          <w:rFonts w:ascii="Times New Roman" w:hAnsi="Times New Roman" w:eastAsia="宋体"/>
          <w:sz w:val="21"/>
        </w:rPr>
        <w:t xml:space="preserve">时间: 2026-02-02T19:40:54Z | </w:t>
      </w:r>
      <w:r>
        <w:t xml:space="preserve">链接: </w:t>
      </w:r>
      <w:hyperlink r:id="rId75">
        <w:r>
          <w:rPr>
            <w:rFonts w:ascii="Times New Roman" w:hAnsi="Times New Roman" w:eastAsia="宋体"/>
            <w:color w:val="0000FF"/>
            <w:sz w:val="21"/>
            <w:u w:val="single"/>
          </w:rPr>
          <w:t>https://arxiv.org/abs/2602.02722v1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以实体为中心的分层框架，用于离线目标条件强化学习（GCRL），它将子目标分解与分解结构相结合，以解决具有多个实体的领域中的长期任务。在复杂环境中实现长期目标仍然是强化学习（RL）的核心挑战。具有多个实体的域由于其组合复杂性而特别困难。 GCRL 促进了跨目标的泛化和子目标结构的使用，但在高维观察和组合状态空间方面存在困难，尤其是在奖励稀疏的情况下。我们采用由基于价值的 GCRL 代理和因子子目标生成条件扩散模型组成的两级层次结构。 RL 代理和子目标生成器独立训练，并通过基于价值函数的选择性子目标生成事后组合，使该方法模块化并与现有 GCRL 算法兼容。我们为基准任务引入了新的变体，突出了多实体领域的挑战，并表明我们的方法持续提高了底层 RL 代理在基于图像的长视野任务上的性能，奖励稀疏，在我们套件中最困难的任务上实现了超过 150% 的成功率，并推广到不断增加的视野和实体数量。推出视频位于：https://sites.google.com/view/hecrl</w:t>
      </w:r>
    </w:p>
    <w:p>
      <w:pPr>
        <w:spacing w:before="120"/>
      </w:pPr>
      <w:r>
        <w:rPr>
          <w:rFonts w:ascii="Times New Roman" w:hAnsi="Times New Roman" w:eastAsia="宋体"/>
          <w:b/>
          <w:sz w:val="21"/>
        </w:rPr>
        <w:t>English Abstract:</w:t>
      </w:r>
    </w:p>
    <w:p>
      <w:r>
        <w:rPr>
          <w:rFonts w:ascii="Times New Roman" w:hAnsi="Times New Roman" w:eastAsia="宋体"/>
          <w:sz w:val="21"/>
        </w:rPr>
        <w:t>We propose a hierarchical entity-centric framework for offline Goal-Conditioned Reinforcement Learning (GCRL) that combines subgoal decomposition with factored structure to solve long-horizon tasks in domains with multiple entities. Achieving long-horizon goals in complex environments remains a core challenge in Reinforcement Learning (RL). Domains with multiple entities are particularly difficult due to their combinatorial complexity. GCRL facilitates generalization across goals and the use of subgoal structure, but struggles with high-dimensional observations and combinatorial state-spaces, especially under sparse reward. We employ a two-level hierarchy composed of a value-based GCRL agent and a factored subgoal-generating conditional diffusion model. The RL agent and subgoal generator are trained independently and composed post hoc through selective subgoal generation based on the value function, making the approach modular and compatible with existing GCRL algorithms. We introduce new variations to benchmark tasks that highlight the challenges of multi-entity domains, and show that our method consistently boosts performance of the underlying RL agent on image-based long-horizon tasks with sparse rewards, achieving over 150% higher success rates on the hardest task in our suite and generalizing to increasing horizons and numbers of entities. Rollout videos are provided at: https://sites.google.com/view/hecrl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从标记到数字：SVG 生成的连续数字建模</w:t>
      </w:r>
    </w:p>
    <w:p>
      <w:r>
        <w:rPr>
          <w:rFonts w:ascii="Times New Roman" w:hAnsi="Times New Roman" w:eastAsia="宋体"/>
          <w:b/>
          <w:color w:val="003264"/>
          <w:sz w:val="24"/>
        </w:rPr>
        <w:t>From Tokens to Numbers: Continuous Number Modeling for SVG Generation</w:t>
      </w:r>
    </w:p>
    <w:p>
      <w:r>
        <w:rPr>
          <w:rFonts w:ascii="Times New Roman" w:hAnsi="Times New Roman" w:eastAsia="宋体"/>
          <w:sz w:val="21"/>
        </w:rPr>
        <w:t>作者: Ethan Smith</w:t>
        <w:br/>
      </w:r>
      <w:r>
        <w:rPr>
          <w:rFonts w:ascii="Times New Roman" w:hAnsi="Times New Roman" w:eastAsia="宋体"/>
          <w:sz w:val="21"/>
        </w:rPr>
        <w:t xml:space="preserve">时间: 2026-02-02T21:20:38Z | </w:t>
      </w:r>
      <w:r>
        <w:t xml:space="preserve">链接: </w:t>
      </w:r>
      <w:hyperlink r:id="rId76">
        <w:r>
          <w:rPr>
            <w:rFonts w:ascii="Times New Roman" w:hAnsi="Times New Roman" w:eastAsia="宋体"/>
            <w:color w:val="0000FF"/>
            <w:sz w:val="21"/>
            <w:u w:val="single"/>
          </w:rPr>
          <w:t>https://arxiv.org/abs/2602.02820v1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对于某些图像生成任务，可缩放矢量图形 (SVG) 等矢量图形具有明显的优势，例如提高灵活性、尺寸效率和编辑简便性，但与基于光栅的方法相比，其探索较少。一个核心挑战是，构成 SVG 很大一部分的数字、几何参数被低效地编码为长令牌序列。这会减慢训练速度、降低准确性并损害泛化能力。为了解决这些问题，我们提出了连续数字建模（CNM），这是一种直接将数字建模为一流的连续值而不是离散标记的方法。该公式通过将模型的输入与数据的连续性质对齐，消除基于标记的编码引入的离散化伪影，恢复了表示的数学优雅性。然后，我们在 200 万个光栅到 SVG 样本上训练多模态转换器，然后使用感知反馈通过强化学习进行微调，以进一步提高视觉质量。与其他方法相比，我们的方法将训练速度提高了 30% 以上，同时保持了更高的感知保真度。这项工作使 CNM 成为一种实用且高效的高质量矢量生成方法，具有更广泛的应用潜力。我们将代码提供给 http://github.com/mikeogezi/CNM。</w:t>
      </w:r>
    </w:p>
    <w:p>
      <w:pPr>
        <w:spacing w:before="120"/>
      </w:pPr>
      <w:r>
        <w:rPr>
          <w:rFonts w:ascii="Times New Roman" w:hAnsi="Times New Roman" w:eastAsia="宋体"/>
          <w:b/>
          <w:sz w:val="21"/>
        </w:rPr>
        <w:t>English Abstract:</w:t>
      </w:r>
    </w:p>
    <w:p>
      <w:r>
        <w:rPr>
          <w:rFonts w:ascii="Times New Roman" w:hAnsi="Times New Roman" w:eastAsia="宋体"/>
          <w:sz w:val="21"/>
        </w:rPr>
        <w:t>For certain image generation tasks, vector graphics such as Scalable Vector Graphics (SVGs) offer clear benefits such as increased flexibility, size efficiency, and editing ease, but remain less explored than raster-based approaches. A core challenge is that the numerical, geometric parameters, which make up a large proportion of SVGs, are inefficiently encoded as long sequences of tokens. This slows training, reduces accuracy, and hurts generalization. To address these problems, we propose Continuous Number Modeling (CNM), an approach that directly models numbers as first-class, continuous values rather than discrete tokens. This formulation restores the mathematical elegance of the representation by aligning the model's inputs with the data's continuous nature, removing discretization artifacts introduced by token-based encoding. We then train a multimodal transformer on 2 million raster-to-SVG samples, followed by fine-tuning via reinforcement learning using perceptual feedback to further improve visual quality. Our approach improves training speed by over 30% while maintaining higher perceptual fidelity compared to alternative approaches. This work establishes CNM as a practical and efficient approach for high-quality vector generation, with potential for broader applications. We make our code available http://github.com/mikeogezi/CNM.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手术室中自我监督的未校准多视图视频匿名化</w:t>
      </w:r>
    </w:p>
    <w:p>
      <w:r>
        <w:rPr>
          <w:rFonts w:ascii="Times New Roman" w:hAnsi="Times New Roman" w:eastAsia="宋体"/>
          <w:b/>
          <w:color w:val="003264"/>
          <w:sz w:val="24"/>
        </w:rPr>
        <w:t>Self-Supervised Uncalibrated Multi-View Video Anonymization in the Operating Room</w:t>
      </w:r>
    </w:p>
    <w:p>
      <w:r>
        <w:rPr>
          <w:rFonts w:ascii="Times New Roman" w:hAnsi="Times New Roman" w:eastAsia="宋体"/>
          <w:sz w:val="21"/>
        </w:rPr>
        <w:t>作者: Nicolas Padoy</w:t>
        <w:br/>
      </w:r>
      <w:r>
        <w:rPr>
          <w:rFonts w:ascii="Times New Roman" w:hAnsi="Times New Roman" w:eastAsia="宋体"/>
          <w:sz w:val="21"/>
        </w:rPr>
        <w:t xml:space="preserve">时间: 2026-02-02T21:54:57Z | </w:t>
      </w:r>
      <w:r>
        <w:t xml:space="preserve">链接: </w:t>
      </w:r>
      <w:hyperlink r:id="rId77">
        <w:r>
          <w:rPr>
            <w:rFonts w:ascii="Times New Roman" w:hAnsi="Times New Roman" w:eastAsia="宋体"/>
            <w:color w:val="0000FF"/>
            <w:sz w:val="21"/>
            <w:u w:val="single"/>
          </w:rPr>
          <w:t>https://arxiv.org/abs/2602.02850v1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隐私保护是在手术室 (OR) 研究中使用视频数据的先决条件。有效的匿名化依赖于每个人的彻底本地化；即使是一次漏检也需要大量的手动纠正。然而，现有方法面临两个关键的可扩展性瓶颈：（1）它们通常需要对每个新的临床站点进行手动注释以实现高精度； (2) 虽然多摄像头设置已被广泛采用来解决单视图模糊性，但每当重新定位摄像头时通常都需要进行摄像头校准。为了解决这些问题，我们提出了一种新颖的自监督多视图视频匿名化框架，包括全身人员检测和全身姿势估计，无需注释或相机校准。我们的核心策略是通过使用时间和多视图上下文“检索”假阴性并进行自监督域适应来增强单视图检测器。我们首先在每个视图中运行一个现成的全身人体检测器，具有低分阈值来收集候选检测。然后，我们通过跟踪和自我监督的未校准多视图关联来检索与高分检测保持一致的低分假阴性。这些恢复的检测作为伪标签来迭代微调全身检测器。最后，我们对每个检测到的人应用全身姿势估计，并使用其自己的高分预测来微调姿势模型。在模拟手术的 4D-OR 数据集和真实手术数据集上进行的实验表明，我们的方法的有效性达到了 97% 以上的召回率。此外，我们使用伪标签训练实时全身检测器，实现了可比较的性能并突出了我们方法的实际适用性。代码可在 https://github.com/CAMMA-public/OR_anonymization 获取。</w:t>
      </w:r>
    </w:p>
    <w:p>
      <w:pPr>
        <w:spacing w:before="120"/>
      </w:pPr>
      <w:r>
        <w:rPr>
          <w:rFonts w:ascii="Times New Roman" w:hAnsi="Times New Roman" w:eastAsia="宋体"/>
          <w:b/>
          <w:sz w:val="21"/>
        </w:rPr>
        <w:t>English Abstract:</w:t>
      </w:r>
    </w:p>
    <w:p>
      <w:r>
        <w:rPr>
          <w:rFonts w:ascii="Times New Roman" w:hAnsi="Times New Roman" w:eastAsia="宋体"/>
          <w:sz w:val="21"/>
        </w:rPr>
        <w:t>Privacy preservation is a prerequisite for using video data in Operating Room (OR) research. Effective anonymization relies on the exhaustive localization of every individual; even a single missed detection necessitates extensive manual correction. However, existing approaches face two critical scalability bottlenecks: (1) they usually require manual annotations of each new clinical site for high accuracy; (2) while multi-camera setups have been widely adopted to address single-view ambiguity, camera calibration is typically required whenever cameras are repositioned. To address these problems, we propose a novel self-supervised multi-view video anonymization framework consisting of whole-body person detection and whole-body pose estimation, without annotation or camera calibration. Our core strategy is to enhance the single-view detector by "retrieving" false negatives using temporal and multi-view context, and conducting self-supervised domain adaptation. We first run an off-the-shelf whole-body person detector in each view with a low-score threshold to gather candidate detections. Then, we retrieve the low-score false negatives that exhibit consistency with the high-score detections via tracking and self-supervised uncalibrated multi-view association. These recovered detections serve as pseudo labels to iteratively fine-tune the whole-body detector. Finally, we apply whole-body pose estimation on each detected person, and fine-tune the pose model using its own high-score predictions. Experiments on the 4D-OR dataset of simulated surgeries and our dataset of real surgeries show the effectiveness of our approach achieving over 97% recall. Moreover, we train a real-time whole-body detector using our pseudo labels, achieving comparable performance and highlighting our method's practical applicability. Code is available at https://github.com/CAMMA-public/OR_anonymization.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DoubleTake：医学成像中忠实决策的对比推理</w:t>
      </w:r>
    </w:p>
    <w:p>
      <w:r>
        <w:rPr>
          <w:rFonts w:ascii="Times New Roman" w:hAnsi="Times New Roman" w:eastAsia="宋体"/>
          <w:b/>
          <w:color w:val="003264"/>
          <w:sz w:val="24"/>
        </w:rPr>
        <w:t>DoubleTake: Contrastive Reasoning for Faithful Decision-Making in Medical Imaging</w:t>
      </w:r>
    </w:p>
    <w:p>
      <w:r>
        <w:rPr>
          <w:rFonts w:ascii="Times New Roman" w:hAnsi="Times New Roman" w:eastAsia="宋体"/>
          <w:sz w:val="21"/>
        </w:rPr>
        <w:t>作者: Shrenik Patel</w:t>
        <w:br/>
      </w:r>
      <w:r>
        <w:rPr>
          <w:rFonts w:ascii="Times New Roman" w:hAnsi="Times New Roman" w:eastAsia="宋体"/>
          <w:sz w:val="21"/>
        </w:rPr>
        <w:t xml:space="preserve">时间: 2026-02-02T23:00:39Z | </w:t>
      </w:r>
      <w:r>
        <w:t xml:space="preserve">链接: </w:t>
      </w:r>
      <w:hyperlink r:id="rId78">
        <w:r>
          <w:rPr>
            <w:rFonts w:ascii="Times New Roman" w:hAnsi="Times New Roman" w:eastAsia="宋体"/>
            <w:color w:val="0000FF"/>
            <w:sz w:val="21"/>
            <w:u w:val="single"/>
          </w:rPr>
          <w:t>https://arxiv.org/abs/2602.02894v1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成像中的准确决策需要对易混淆条件之间的细微视觉差异进行推理，但大多数现有方法依赖于最近邻检索，该检索返回冗余证据并强化单一假设。我们引入了一种对比性的、文档感知的参考选择框架，该框架通过使用 ROCO 嵌入和元数据明确平衡视觉相关性、嵌入多样性和源级出处，构建针对区分而不是相似性进行优化的紧凑证据集。虽然 ROCO 提供了大规模的图像标题对，但它没有指定如何选择参考文献进行对比推理，并且简单的检索经常会从同一文档中产生近乎重复的图形。为了解决这一差距，我们发布了可重复的参考选择协议和精选的参考库，可以对医学图像推理中的对比检索进行系统研究。基于这些对比证据集，我们提出了反事实对比推理，这是一种置信感知推理框架，它执行结构化的成对视觉比较，并使用基于边际的决策规则和忠实弃权来聚合证据。在 MediConfusion 基准测试中，我们的方法实现了最先进的性能，相对于之前的方法将集合级准确度提高了近 15%，同时减少了混乱并提高了个体准确度。</w:t>
      </w:r>
    </w:p>
    <w:p>
      <w:pPr>
        <w:spacing w:before="120"/>
      </w:pPr>
      <w:r>
        <w:rPr>
          <w:rFonts w:ascii="Times New Roman" w:hAnsi="Times New Roman" w:eastAsia="宋体"/>
          <w:b/>
          <w:sz w:val="21"/>
        </w:rPr>
        <w:t>English Abstract:</w:t>
      </w:r>
    </w:p>
    <w:p>
      <w:r>
        <w:rPr>
          <w:rFonts w:ascii="Times New Roman" w:hAnsi="Times New Roman" w:eastAsia="宋体"/>
          <w:sz w:val="21"/>
        </w:rPr>
        <w:t>Accurate decision making in medical imaging requires reasoning over subtle visual differences between confusable conditions, yet most existing approaches rely on nearest neighbor retrieval that returns redundant evidence and reinforces a single hypothesis. We introduce a contrastive, document-aware reference selection framework that constructs compact evidence sets optimized for discrimination rather than similarity by explicitly balancing visual relevance, embedding diversity, and source-level provenance using ROCO embeddings and metadata. While ROCO provides large-scale image-caption pairs, it does not specify how references should be selected for contrastive reasoning, and naive retrieval frequently yields near-duplicate figures from the same document. To address this gap, we release a reproducible reference selection protocol and curated reference bank that enable a systematic study of contrastive retrieval in medical image reasoning. Building on these contrastive evidence sets, we propose Counterfactual-Contrastive Inference, a confidence-aware reasoning framework that performs structured pairwise visual comparisons and aggregates evidence using margin-based decision rules with faithful abstention. On the MediConfusion benchmark, our approach achieves state-of-the-art performance, improving set-level accuracy by nearly 15% relative to prior methods while reducing confusion and improving individual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随机矩阵理论视角下的扩散模型一致性</w:t>
      </w:r>
    </w:p>
    <w:p>
      <w:r>
        <w:rPr>
          <w:rFonts w:ascii="Times New Roman" w:hAnsi="Times New Roman" w:eastAsia="宋体"/>
          <w:b/>
          <w:color w:val="003264"/>
          <w:sz w:val="24"/>
        </w:rPr>
        <w:t>A Random Matrix Theory Perspective on the Consistency of Diffusion Models</w:t>
      </w:r>
    </w:p>
    <w:p>
      <w:r>
        <w:rPr>
          <w:rFonts w:ascii="Times New Roman" w:hAnsi="Times New Roman" w:eastAsia="宋体"/>
          <w:sz w:val="21"/>
        </w:rPr>
        <w:t>作者: Cengiz Pehlevan</w:t>
        <w:br/>
      </w:r>
      <w:r>
        <w:rPr>
          <w:rFonts w:ascii="Times New Roman" w:hAnsi="Times New Roman" w:eastAsia="宋体"/>
          <w:sz w:val="21"/>
        </w:rPr>
        <w:t xml:space="preserve">时间: 2026-02-02T23:30:28Z | </w:t>
      </w:r>
      <w:r>
        <w:t xml:space="preserve">链接: </w:t>
      </w:r>
      <w:hyperlink r:id="rId79">
        <w:r>
          <w:rPr>
            <w:rFonts w:ascii="Times New Roman" w:hAnsi="Times New Roman" w:eastAsia="宋体"/>
            <w:color w:val="0000FF"/>
            <w:sz w:val="21"/>
            <w:u w:val="single"/>
          </w:rPr>
          <w:t>https://arxiv.org/abs/2602.02908v1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给定相同的噪声种子时，在数据集的不同、不重叠子集上训练的扩散模型通常会产生惊人相似的输出。我们将这种一致性追溯到一个简单的线性效应：跨分割的共享高斯统计数据已经预测了大部分生成的图像。为了形式化这一点，我们开发了一个随机矩阵理论（RMT）框架，该框架量化有限数据集如何在线性设置中塑造学习降噪器和采样图的期望和方差。对于期望，采样变异性通过自洽关系 $σ^2 \mapsto κ(σ^2)$ 充当噪声水平的重整化，解释了为什么有限的数据会过度收缩低方差方向并将样本拉向数据集均值。对于波动，我们的方差公式揭示了交叉分割分歧背后的三个关键因素：本征模之间的 \textit{各向异性}、输入之间的 \textit{不均匀性} 以及数据集大小的整体缩放。将确定性等价工具扩展到分数矩阵幂进一步使我们能够分析整个采样轨迹。该理论敏锐地预测了线性扩散模型的行为，并且我们在 UNet 和 DiT 架构的非记忆机制中验证了其预测，识别了样本在训练数据分割中的偏差位置和方式。这为扩散训练的可重复性提供了原则性基线，将数据的光谱特性与生成输出的稳定性联系起来。</w:t>
      </w:r>
    </w:p>
    <w:p>
      <w:pPr>
        <w:spacing w:before="120"/>
      </w:pPr>
      <w:r>
        <w:rPr>
          <w:rFonts w:ascii="Times New Roman" w:hAnsi="Times New Roman" w:eastAsia="宋体"/>
          <w:b/>
          <w:sz w:val="21"/>
        </w:rPr>
        <w:t>English Abstract:</w:t>
      </w:r>
    </w:p>
    <w:p>
      <w:r>
        <w:rPr>
          <w:rFonts w:ascii="Times New Roman" w:hAnsi="Times New Roman" w:eastAsia="宋体"/>
          <w:sz w:val="21"/>
        </w:rPr>
        <w:t>Diffusion models trained on different, non-overlapping subsets of a dataset often produce strikingly similar outputs when given the same noise seed. We trace this consistency to a simple linear effect: the shared Gaussian statistics across splits already predict much of the generated images. To formalize this, we develop a random matrix theory (RMT) framework that quantifies how finite datasets shape the expectation and variance of the learned denoiser and sampling map in the linear setting. For expectations, sampling variability acts as a renormalization of the noise level through a self-consistent relation $σ^2 \mapsto κ(σ^2)$, explaining why limited data overshrink low-variance directions and pull samples toward the dataset mean. For fluctuations, our variance formulas reveal three key factors behind cross-split disagreement: \textit{anisotropy} across eigenmodes, \textit{inhomogeneity} across inputs, and overall scaling with dataset size. Extending deterministic-equivalence tools to fractional matrix powers further allows us to analyze entire sampling trajectories. The theory sharply predicts the behavior of linear diffusion models, and we validate its predictions on UNet and DiT architectures in their non-memorization regime, identifying where and how samples deviates across training data split. This provides a principled baseline for reproducibility in diffusion training, linking spectral properties of data to the stability of generative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用于全幻灯片图像分析的多尺度线性时间编码器</w:t>
      </w:r>
    </w:p>
    <w:p>
      <w:r>
        <w:rPr>
          <w:rFonts w:ascii="Times New Roman" w:hAnsi="Times New Roman" w:eastAsia="宋体"/>
          <w:b/>
          <w:color w:val="003264"/>
          <w:sz w:val="24"/>
        </w:rPr>
        <w:t>A Multi-scale Linear-time Encoder for Whole-Slide Image Analysis</w:t>
      </w:r>
    </w:p>
    <w:p>
      <w:r>
        <w:rPr>
          <w:rFonts w:ascii="Times New Roman" w:hAnsi="Times New Roman" w:eastAsia="宋体"/>
          <w:sz w:val="21"/>
        </w:rPr>
        <w:t>作者: Tania Banerjee</w:t>
        <w:br/>
      </w:r>
      <w:r>
        <w:rPr>
          <w:rFonts w:ascii="Times New Roman" w:hAnsi="Times New Roman" w:eastAsia="宋体"/>
          <w:sz w:val="21"/>
        </w:rPr>
        <w:t xml:space="preserve">时间: 2026-02-02T23:47:07Z | </w:t>
      </w:r>
      <w:r>
        <w:t xml:space="preserve">链接: </w:t>
      </w:r>
      <w:hyperlink r:id="rId80">
        <w:r>
          <w:rPr>
            <w:rFonts w:ascii="Times New Roman" w:hAnsi="Times New Roman" w:eastAsia="宋体"/>
            <w:color w:val="0000FF"/>
            <w:sz w:val="21"/>
            <w:u w:val="single"/>
          </w:rPr>
          <w:t>https://arxiv.org/abs/2602.02918v1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我们引入了多尺度自适应循环生物医学线性时间编码器（MARBLE），这是第一个用于全幻灯片图像（WSI）分析的 \textit{纯基于 Mamba 的}多状态多实例学习（MIL）框架。 MARBLE 并行处理多个放大级别，并将从粗到细的推理集成到线性时间状态空间模型中，以最小的参数开销有效捕获跨尺度依赖性。由于十亿像素分辨率和分层放大倍率，WSI 分析仍然具有挑战性，而现有的 MIL 方法通常在单一尺度上运行，而基于变压器的方法则面临二次注意力成本。通过将并行多尺度处理与线性时间序列建模相结合，MARBLE 为基于注意力的架构提供了可扩展和模块化的替代方案。对五个公共数据集的实验表明，AUC 提高了 \textbf{6.9\%}，准确度提高了 \textbf{20.3\%}，C 指数提高了 \textbf{2.3\%}，从而将 MARBLE 确立为多尺度 WSI 分析的高效且可泛化的框架。</w:t>
      </w:r>
    </w:p>
    <w:p>
      <w:pPr>
        <w:spacing w:before="120"/>
      </w:pPr>
      <w:r>
        <w:rPr>
          <w:rFonts w:ascii="Times New Roman" w:hAnsi="Times New Roman" w:eastAsia="宋体"/>
          <w:b/>
          <w:sz w:val="21"/>
        </w:rPr>
        <w:t>English Abstract:</w:t>
      </w:r>
    </w:p>
    <w:p>
      <w:r>
        <w:rPr>
          <w:rFonts w:ascii="Times New Roman" w:hAnsi="Times New Roman" w:eastAsia="宋体"/>
          <w:sz w:val="21"/>
        </w:rPr>
        <w:t>We introduce Multi-scale Adaptive Recurrent Biomedical Linear-time Encoder (MARBLE), the first \textit{purely Mamba-based} multi-state multiple instance learning (MIL) framework for whole-slide image (WSI) analysis. MARBLE processes multiple magnification levels in parallel and integrates coarse-to-fine reasoning within a linear-time state-space model, efficiently capturing cross-scale dependencies with minimal parameter overhead. WSI analysis remains challenging due to gigapixel resolutions and hierarchical magnifications, while existing MIL methods typically operate at a single scale and transformer-based approaches suffer from quadratic attention costs. By coupling parallel multi-scale processing with linear-time sequence modeling, MARBLE provides a scalable and modular alternative to attention-based architectures. Experiments on five public datasets show improvements of up to \textbf{6.9\%} in AUC, \textbf{20.3\%} in accuracy, and \textbf{2.3\%} in C-index, establishing MARBLE as an efficient and generalizable framework for multi-scale WSI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SRA-Seg：半监督医学图像分割的合成与真实对齐</w:t>
      </w:r>
    </w:p>
    <w:p>
      <w:r>
        <w:rPr>
          <w:rFonts w:ascii="Times New Roman" w:hAnsi="Times New Roman" w:eastAsia="宋体"/>
          <w:b/>
          <w:color w:val="003264"/>
          <w:sz w:val="24"/>
        </w:rPr>
        <w:t>SRA-Seg: Synthetic to Real Alignment for Semi-Supervised Medical Image Segmentation</w:t>
      </w:r>
    </w:p>
    <w:p>
      <w:r>
        <w:rPr>
          <w:rFonts w:ascii="Times New Roman" w:hAnsi="Times New Roman" w:eastAsia="宋体"/>
          <w:sz w:val="21"/>
        </w:rPr>
        <w:t>作者: Kevin Desai</w:t>
        <w:br/>
      </w:r>
      <w:r>
        <w:rPr>
          <w:rFonts w:ascii="Times New Roman" w:hAnsi="Times New Roman" w:eastAsia="宋体"/>
          <w:sz w:val="21"/>
        </w:rPr>
        <w:t xml:space="preserve">时间: 2026-02-03T00:38:51Z | </w:t>
      </w:r>
      <w:r>
        <w:t xml:space="preserve">链接: </w:t>
      </w:r>
      <w:hyperlink r:id="rId81">
        <w:r>
          <w:rPr>
            <w:rFonts w:ascii="Times New Roman" w:hAnsi="Times New Roman" w:eastAsia="宋体"/>
            <w:color w:val="0000FF"/>
            <w:sz w:val="21"/>
            <w:u w:val="single"/>
          </w:rPr>
          <w:t>https://arxiv.org/abs/2602.02944v1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是用于医学图像分割的大量专家注释数据的有吸引力的替代方案，尽管其视觉真实感始终无法提高分割性能。原因是合成的医学图像和真实的医学图像存在于不同的语义特征空间中，造成了当前半监督学习方法无法弥合的领域差距。我们提出了 SRA-Seg，这是一个明确设计用于对齐医学图像分割的合成特征分布和真实特征分布的框架。 SRA-Seg 引入了相似性对齐 (SA) 损失，使用冻结的 DINOv2 嵌入将合成表示拉向语义空间中最接近的真实对应物。我们采用软边缘混合来创建平滑的解剖过渡和连续标签，消除传统复制粘贴增强的硬边界。该框架通过 EMA 教师模型为合成图像生成伪标签，并应用尊重混合区域不确定性的软分割损失。我们的实验证明了强有力的结果：仅使用 10% 标记的真实数据和 90% 合成的未标记数据，SRA-Seg 在 ACDC 上实现了 89.34% Dice，在 FIVES 上实现了 84.42%，显着优于现有的半监督方法，并与使用真实未标记数据的方法的性能相匹配。</w:t>
      </w:r>
    </w:p>
    <w:p>
      <w:pPr>
        <w:spacing w:before="120"/>
      </w:pPr>
      <w:r>
        <w:rPr>
          <w:rFonts w:ascii="Times New Roman" w:hAnsi="Times New Roman" w:eastAsia="宋体"/>
          <w:b/>
          <w:sz w:val="21"/>
        </w:rPr>
        <w:t>English Abstract:</w:t>
      </w:r>
    </w:p>
    <w:p>
      <w:r>
        <w:rPr>
          <w:rFonts w:ascii="Times New Roman" w:hAnsi="Times New Roman" w:eastAsia="宋体"/>
          <w:sz w:val="21"/>
        </w:rPr>
        <w:t>Synthetic data, an appealing alternative to extensive expert-annotated data for medical image segmentation, consistently fails to improve segmentation performance despite its visual realism. The reason being that synthetic and real medical images exist in different semantic feature spaces, creating a domain gap that current semi-supervised learning methods cannot bridge. We propose SRA-Seg, a framework explicitly designed to align synthetic and real feature distributions for medical image segmentation. SRA-Seg introduces a similarity-alignment (SA) loss using frozen DINOv2 embeddings to pull synthetic representations toward their nearest real counterparts in semantic space. We employ soft edge blending to create smooth anatomical transitions and continuous labels, eliminating the hard boundaries from traditional copy-paste augmentation. The framework generates pseudo-labels for synthetic images via an EMA teacher model and applies soft-segmentation losses that respect uncertainty in mixed regions. Our experiments demonstrate strong results: using only 10% labeled real data and 90% synthetic unlabeled data, SRA-Seg achieves 89.34% Dice on ACDC and 84.42% on FIVES, significantly outperforming existing semi-supervised methods and matching the performance of methods using real unlabeled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TRACE：时间放射学与接地 X 射线报告生成的解剖变化解释</w:t>
      </w:r>
    </w:p>
    <w:p>
      <w:r>
        <w:rPr>
          <w:rFonts w:ascii="Times New Roman" w:hAnsi="Times New Roman" w:eastAsia="宋体"/>
          <w:b/>
          <w:color w:val="003264"/>
          <w:sz w:val="24"/>
        </w:rPr>
        <w:t>TRACE: Temporal Radiology with Anatomical Change Explanation for Grounded X-ray Report Generation</w:t>
      </w:r>
    </w:p>
    <w:p>
      <w:r>
        <w:rPr>
          <w:rFonts w:ascii="Times New Roman" w:hAnsi="Times New Roman" w:eastAsia="宋体"/>
          <w:sz w:val="21"/>
        </w:rPr>
        <w:t>作者: Kevin Desai</w:t>
        <w:br/>
      </w:r>
      <w:r>
        <w:rPr>
          <w:rFonts w:ascii="Times New Roman" w:hAnsi="Times New Roman" w:eastAsia="宋体"/>
          <w:sz w:val="21"/>
        </w:rPr>
        <w:t xml:space="preserve">时间: 2026-02-03T01:03:41Z | </w:t>
      </w:r>
      <w:r>
        <w:t xml:space="preserve">链接: </w:t>
      </w:r>
      <w:hyperlink r:id="rId82">
        <w:r>
          <w:rPr>
            <w:rFonts w:ascii="Times New Roman" w:hAnsi="Times New Roman" w:eastAsia="宋体"/>
            <w:color w:val="0000FF"/>
            <w:sz w:val="21"/>
            <w:u w:val="single"/>
          </w:rPr>
          <w:t>https://arxiv.org/abs/2602.02963v1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片的时间比较是临床放射学的基础，可以检测疾病进展、治疗反应和新发现。虽然视觉语言模型具有先进的单图像报告生成和视觉基础，但现有的方法还没有将这些功能结合起来进行时间变化检测。我们引入具有解剖变化解释的时间放射学（TRACE），这是第一个联合执行时间比较、变化分类和空间定位的模型。给定之前和当前的胸部 X 光检查结果，TRACE 会生成间隔变化的自然语言描述（恶化、改善、稳定），同时以边界框坐标为每个发现奠定基础。 TRACE 展示了有效的空间定位，接地精度超过 90%，为这项具有挑战性的新任务奠定了基础。我们的消融研究揭示了一种新兴能力：仅当时间比较和空间基础共同学习时才会出现变化检测，因为单独学习两者都无法实现有意义的变化检测。这一发现表明，接地提供了一种对于时间推理至关重要的空间注意力机制。</w:t>
      </w:r>
    </w:p>
    <w:p>
      <w:pPr>
        <w:spacing w:before="120"/>
      </w:pPr>
      <w:r>
        <w:rPr>
          <w:rFonts w:ascii="Times New Roman" w:hAnsi="Times New Roman" w:eastAsia="宋体"/>
          <w:b/>
          <w:sz w:val="21"/>
        </w:rPr>
        <w:t>English Abstract:</w:t>
      </w:r>
    </w:p>
    <w:p>
      <w:r>
        <w:rPr>
          <w:rFonts w:ascii="Times New Roman" w:hAnsi="Times New Roman" w:eastAsia="宋体"/>
          <w:sz w:val="21"/>
        </w:rPr>
        <w:t>Temporal comparison of chest X-rays is fundamental to clinical radiology, enabling detection of disease progression, treatment response, and new findings. While vision-language models have advanced single-image report generation and visual grounding, no existing method combines these capabilities for temporal change detection. We introduce Temporal Radiology with Anatomical Change Explanation (TRACE), the first model that jointly performs temporal comparison, change classification, and spatial localization. Given a prior and current chest X-ray, TRACE generates natural language descriptions of interval changes (worsened, improved, stable) while grounding each finding with bounding box coordinates. TRACE demonstrates effective spatial localization with over 90% grounding accuracy, establishing a foundation for this challenging new task. Our ablation study uncovers an emergent capability: change detection arises only when temporal comparison and spatial grounding are jointly learned, as neither alone enables meaningful change detection. This finding suggests that grounding provides a spatial attention mechanism essential for temporal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用于红外小目标检测的动态高频卷积</w:t>
      </w:r>
    </w:p>
    <w:p>
      <w:r>
        <w:rPr>
          <w:rFonts w:ascii="Times New Roman" w:hAnsi="Times New Roman" w:eastAsia="宋体"/>
          <w:b/>
          <w:color w:val="003264"/>
          <w:sz w:val="24"/>
        </w:rPr>
        <w:t>Dynamic High-frequency Convolution for Infrared Small Target Detection</w:t>
      </w:r>
    </w:p>
    <w:p>
      <w:r>
        <w:rPr>
          <w:rFonts w:ascii="Times New Roman" w:hAnsi="Times New Roman" w:eastAsia="宋体"/>
          <w:sz w:val="21"/>
        </w:rPr>
        <w:t>作者: Yingqian Wang</w:t>
        <w:br/>
      </w:r>
      <w:r>
        <w:rPr>
          <w:rFonts w:ascii="Times New Roman" w:hAnsi="Times New Roman" w:eastAsia="宋体"/>
          <w:sz w:val="21"/>
        </w:rPr>
        <w:t xml:space="preserve">时间: 2026-02-03T01:07:55Z | </w:t>
      </w:r>
      <w:r>
        <w:t xml:space="preserve">链接: </w:t>
      </w:r>
      <w:hyperlink r:id="rId83">
        <w:r>
          <w:rPr>
            <w:rFonts w:ascii="Times New Roman" w:hAnsi="Times New Roman" w:eastAsia="宋体"/>
            <w:color w:val="0000FF"/>
            <w:sz w:val="21"/>
            <w:u w:val="single"/>
          </w:rPr>
          <w:t>https://arxiv.org/abs/2602.02969v1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红外小目标通常微小且局部显着，属于图像中的高频成分（HFC）。单帧红外小目标 (SIRST) 检测具有挑战性，因为目标中存在许多 HFC，例如明亮的角落、破碎的云层和其他杂波。当前基于学习的方法依赖于深度网络的强大能力，但忽略了各种 HFC 的显式建模和判别表示学习，这对于区分目标与其他 HFC 很重要。为了解决上述问题，我们提出了动态高频卷积（DHiF），将判别建模过程转化为动态局部滤波器组的生成。特别是，DHiF 对 HFC 很敏感，因为其生成的滤波器的动态参数根据傅立叶变换特性在零中心范围内对称调整。结合标准卷积运算，DHiF 可以自适应地动态处理不同的 HFC 区域，并捕获其独特的灰度变化特征，用于判别表示学习。 DHiF 可以作为标准卷积的直接替代品，并且可以在任意 SIRST 检测网络中使用，而不会显着降低计算效率。为了验证 DHiF 的有效性，我们在不同的 SIRST 检测网络上对真实场景数据集进行了广泛的实验。与其他最先进的卷积运算相比，DHiF 表现出卓越的检测性能，并且有望取得显着的改进。代码可在 https://github.com/TinaLRJ/DHiF 获取。</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targets are typically tiny and locally salient, which belong to high-frequency components (HFCs) in images. Single-frame infrared small target (SIRST) detection is challenging, since there are many HFCs along with targets, such as bright corners, broken clouds, and other clutters. Current learning-based methods rely on the powerful capabilities of deep networks, but neglect explicit modeling and discriminative representation learning of various HFCs, which is important to distinguish targets from other HFCs. To address the aforementioned issues, we propose a dynamic high-frequency convolution (DHiF) to translate the discriminative modeling process into the generation of a dynamic local filter bank. Especially, DHiF is sensitive to HFCs, owing to the dynamic parameters of its generated filters being symmetrically adjusted within a zero-centered range according to Fourier transformation properties. Combining with standard convolution operations, DHiF can adaptively and dynamically process different HFC regions and capture their distinctive grayscale variation characteristics for discriminative representation learning. DHiF functions as a drop-in replacement for standard convolution and can be used in arbitrary SIRST detection networks without significant decrease in computational efficiency. To validate the effectiveness of our DHiF, we conducted extensive experiments across different SIRST detection networks on real-scene datasets. Compared to other state-of-the-art convolution operations, DHiF exhibits superior detection performance with promising improvement. Codes are available at https://github.com/TinaLRJ/DHiF.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对齐图像和长标题中的森林和树木，以实现基于视觉的理解</w:t>
      </w:r>
    </w:p>
    <w:p>
      <w:r>
        <w:rPr>
          <w:rFonts w:ascii="Times New Roman" w:hAnsi="Times New Roman" w:eastAsia="宋体"/>
          <w:b/>
          <w:color w:val="003264"/>
          <w:sz w:val="24"/>
        </w:rPr>
        <w:t>Aligning Forest and Trees in Images and Long Captions for Visually Grounded Understanding</w:t>
      </w:r>
    </w:p>
    <w:p>
      <w:r>
        <w:rPr>
          <w:rFonts w:ascii="Times New Roman" w:hAnsi="Times New Roman" w:eastAsia="宋体"/>
          <w:sz w:val="21"/>
        </w:rPr>
        <w:t>作者: Stella X. Yu</w:t>
        <w:br/>
      </w:r>
      <w:r>
        <w:rPr>
          <w:rFonts w:ascii="Times New Roman" w:hAnsi="Times New Roman" w:eastAsia="宋体"/>
          <w:sz w:val="21"/>
        </w:rPr>
        <w:t xml:space="preserve">时间: 2026-02-03T01:31:55Z | </w:t>
      </w:r>
      <w:r>
        <w:t xml:space="preserve">链接: </w:t>
      </w:r>
      <w:hyperlink r:id="rId84">
        <w:r>
          <w:rPr>
            <w:rFonts w:ascii="Times New Roman" w:hAnsi="Times New Roman" w:eastAsia="宋体"/>
            <w:color w:val="0000FF"/>
            <w:sz w:val="21"/>
            <w:u w:val="single"/>
          </w:rPr>
          <w:t>https://arxiv.org/abs/2602.02977v1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大型视觉语言模型很难处理长标题，因为它们将图像和文本对齐为无差别的整体。细粒度的视觉语言理解需要分层语义来捕获视觉和文本领域的全局上下文和本地化细节。然而，来自语法或语义的语言层次结构很少与视觉组织相匹配，并且纯粹的视觉层次结构倾向于将场景分割成外观驱动的部分，而没有语义焦点。我们提出了 CAFT（森林和树木的跨域对齐），这是一种分层图像文本表示学习框架，可以在没有像素级监督的情况下跨图像和长标题对齐全局和局部语义。将精细到粗略的视觉编码器与分层文本转换器耦合起来，它使用分层对齐损失将整个图像与整个标题进行匹配，同时偏置区域-句子对应关系，以便粗略的语义是从细粒度的证据构建的，而不是从不受束缚的部分级基础的聚合构建的。 CAFT 经过 3000 万个图像文本对的训练，在六个长文本检索基准上实现了最先进的性能，并表现出强大的扩展行为。实验表明，分层跨域对齐可以在没有明确的区域级监督的情况下出现细粒度的、基于视觉的图像文本表示。</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such as CLIP struggle with long captions because they align images and texts as undifferentiated wholes. Fine-grained vision-language understanding requires hierarchical semantics capturing both global context and localized details across visual and textual domains. Yet linguistic hierarchies from syntax or semantics rarely match visual organization, and purely visual hierarchies tend to fragment scenes into appearance-driven parts without semantic focus. We propose CAFT (Cross-domain Alignment of Forests and Trees), a hierarchical image-text representation learning framework that aligns global and local semantics across images and long captions without pixel-level supervision. Coupling a fine-to-coarse visual encoder with a hierarchical text transformer, it uses a hierarchical alignment loss that matches whole images with whole captions while biasing region-sentence correspondences, so that coarse semantics are built from fine-grained evidence rather than from aggregation untethered to part-level grounding. Trained on 30M image-text pairs, CAFT achieves state-of-the-art performance on six long-text retrieval benchmarks and exhibits strong scaling behavior. Experiments show that hierarchical cross-domain alignment enables fine-grained, visually grounded image-text representations to emerge without explicit region-level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图像修复的卷积内部思考：全局和局部下通过结构重建纹理</w:t>
      </w:r>
    </w:p>
    <w:p>
      <w:r>
        <w:rPr>
          <w:rFonts w:ascii="Times New Roman" w:hAnsi="Times New Roman" w:eastAsia="宋体"/>
          <w:b/>
          <w:color w:val="003264"/>
          <w:sz w:val="24"/>
        </w:rPr>
        <w:t>Thinking inside the Convolution for Image Inpainting: Reconstructing Texture via Structure under Global and Local Side</w:t>
      </w:r>
    </w:p>
    <w:p>
      <w:r>
        <w:rPr>
          <w:rFonts w:ascii="Times New Roman" w:hAnsi="Times New Roman" w:eastAsia="宋体"/>
          <w:sz w:val="21"/>
        </w:rPr>
        <w:t>作者: Meng Wang</w:t>
        <w:br/>
      </w:r>
      <w:r>
        <w:rPr>
          <w:rFonts w:ascii="Times New Roman" w:hAnsi="Times New Roman" w:eastAsia="宋体"/>
          <w:sz w:val="21"/>
        </w:rPr>
        <w:t xml:space="preserve">时间: 2026-02-03T02:30:07Z | </w:t>
      </w:r>
      <w:r>
        <w:t xml:space="preserve">链接: </w:t>
      </w:r>
      <w:hyperlink r:id="rId85">
        <w:r>
          <w:rPr>
            <w:rFonts w:ascii="Times New Roman" w:hAnsi="Times New Roman" w:eastAsia="宋体"/>
            <w:color w:val="0000FF"/>
            <w:sz w:val="21"/>
            <w:u w:val="single"/>
          </w:rPr>
          <w:t>https://arxiv.org/abs/2602.03013v1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得益于编码器和解码器管道，图像修复取得了实质性进展，该管道受益于卷积神经网络（CNN），具有卷积下采样功能，可以从编码器内的已知区域语义上修复屏蔽区域，再加上解码器的上采样过程以实现最终修复输出。最近的研究直观地识别了 CNN 从编码器中提取的高频结构和低频纹理，然后进行理想的上采样恢复。然而，现有技术不可避免地忽视了在卷积下采样过程中结构和纹理特征图的信息损失，因此遭受不理想的上采样输出。在本文中，我们系统地回答了结构和纹理特征图是否以及如何能够相互帮助减轻卷积下采样过程中的信息损失。给定结构和纹理特征图，我们在卷积下采样过程中采用统计归一化和反归一化策略来进行重建指导。大量的实验结果验证了其相对于从低到高分辨率（包括 256*256 和 512*512）的图像的最新技术的优势，特别是通过用我们的编码器替换所有编码器来保持这一优势。我们的代码位于 https://github.com/htyjers/ConvInpaint-TSGL</w:t>
      </w:r>
    </w:p>
    <w:p>
      <w:pPr>
        <w:spacing w:before="120"/>
      </w:pPr>
      <w:r>
        <w:rPr>
          <w:rFonts w:ascii="Times New Roman" w:hAnsi="Times New Roman" w:eastAsia="宋体"/>
          <w:b/>
          <w:sz w:val="21"/>
        </w:rPr>
        <w:t>English Abstract:</w:t>
      </w:r>
    </w:p>
    <w:p>
      <w:r>
        <w:rPr>
          <w:rFonts w:ascii="Times New Roman" w:hAnsi="Times New Roman" w:eastAsia="宋体"/>
          <w:sz w:val="21"/>
        </w:rPr>
        <w:t>Image inpainting has earned substantial progress, owing to the encoder-and-decoder pipeline, which is benefited from the Convolutional Neural Networks (CNNs) with convolutional downsampling to inpaint the masked regions semantically from the known regions within the encoder, coupled with an upsampling process from the decoder for final inpainting output. Recent studies intuitively identify the high-frequency structure and low-frequency texture to be extracted by CNNs from the encoder, and subsequently for a desirable upsampling recovery. However, the existing arts inevitably overlook the information loss for both structure and texture feature maps during the convolutional downsampling process, hence suffer from a non-ideal upsampling output. In this paper, we systematically answer whether and how the structure and texture feature map can mutually help to alleviate the information loss during the convolutional downsampling. Given the structure and texture feature maps, we adopt the statistical normalization and denormalization strategy for the reconstruction guidance during the convolutional downsampling process. The extensive experimental results validate its advantages to the state-of-the-arts over the images from low-to-high resolutions including 256*256 and 512*512, especially holds by substituting all the encoders by ours. Our code is available at https://github.com/htyjers/ConvInpaint-TSGL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基于愿景的纽约市拥堵收费分析</w:t>
      </w:r>
    </w:p>
    <w:p>
      <w:r>
        <w:rPr>
          <w:rFonts w:ascii="Times New Roman" w:hAnsi="Times New Roman" w:eastAsia="宋体"/>
          <w:b/>
          <w:color w:val="003264"/>
          <w:sz w:val="24"/>
        </w:rPr>
        <w:t>A Vision-Based Analysis of Congestion Pricing in New York City</w:t>
      </w:r>
    </w:p>
    <w:p>
      <w:r>
        <w:rPr>
          <w:rFonts w:ascii="Times New Roman" w:hAnsi="Times New Roman" w:eastAsia="宋体"/>
          <w:sz w:val="21"/>
        </w:rPr>
        <w:t>作者: Andrew Smyth</w:t>
        <w:br/>
      </w:r>
      <w:r>
        <w:rPr>
          <w:rFonts w:ascii="Times New Roman" w:hAnsi="Times New Roman" w:eastAsia="宋体"/>
          <w:sz w:val="21"/>
        </w:rPr>
        <w:t xml:space="preserve">时间: 2026-02-03T02:35:56Z | </w:t>
      </w:r>
      <w:r>
        <w:t xml:space="preserve">链接: </w:t>
      </w:r>
      <w:hyperlink r:id="rId86">
        <w:r>
          <w:rPr>
            <w:rFonts w:ascii="Times New Roman" w:hAnsi="Times New Roman" w:eastAsia="宋体"/>
            <w:color w:val="0000FF"/>
            <w:sz w:val="21"/>
            <w:u w:val="single"/>
          </w:rPr>
          <w:t>https://arxiv.org/abs/2602.03015v1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我们通过对交通摄像头数据的自动分析来研究纽约市拥堵收费计划的影响。我们的计算机视觉管道处理分布在曼哈顿和纽约的 900 多个摄像机的镜头，比较从 2024 年 11 月到 2025 年 1 月计划实施到 2026 年 1 月的交通模式。我们建立基线交通模式并识别整个监控区域车辆密度的系统变化。</w:t>
      </w:r>
    </w:p>
    <w:p>
      <w:pPr>
        <w:spacing w:before="120"/>
      </w:pPr>
      <w:r>
        <w:rPr>
          <w:rFonts w:ascii="Times New Roman" w:hAnsi="Times New Roman" w:eastAsia="宋体"/>
          <w:b/>
          <w:sz w:val="21"/>
        </w:rPr>
        <w:t>English Abstract:</w:t>
      </w:r>
    </w:p>
    <w:p>
      <w:r>
        <w:rPr>
          <w:rFonts w:ascii="Times New Roman" w:hAnsi="Times New Roman" w:eastAsia="宋体"/>
          <w:sz w:val="21"/>
        </w:rPr>
        <w:t>We examine the impact of New York City's congestion pricing program through automated analysis of traffic camera data. Our computer vision pipeline processes footage from over 900 cameras distributed throughout Manhattan and New York, comparing traffic patterns from November 2024 through the program's implementation in January 2025 until January 2026. We establish baseline traffic patterns and identify systematic changes in vehicle density across the monitored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邦加德在感知和推理的边界：程序还是语言？</w:t>
      </w:r>
    </w:p>
    <w:p>
      <w:r>
        <w:rPr>
          <w:rFonts w:ascii="Times New Roman" w:hAnsi="Times New Roman" w:eastAsia="宋体"/>
          <w:b/>
          <w:color w:val="003264"/>
          <w:sz w:val="24"/>
        </w:rPr>
        <w:t>Bongards at the Boundary of Perception and Reasoning: Programs or Language?</w:t>
      </w:r>
    </w:p>
    <w:p>
      <w:r>
        <w:rPr>
          <w:rFonts w:ascii="Times New Roman" w:hAnsi="Times New Roman" w:eastAsia="宋体"/>
          <w:sz w:val="21"/>
        </w:rPr>
        <w:t>作者: Kevin Ellis</w:t>
        <w:br/>
      </w:r>
      <w:r>
        <w:rPr>
          <w:rFonts w:ascii="Times New Roman" w:hAnsi="Times New Roman" w:eastAsia="宋体"/>
          <w:sz w:val="21"/>
        </w:rPr>
        <w:t xml:space="preserve">时间: 2026-02-03T03:04:27Z | </w:t>
      </w:r>
      <w:r>
        <w:t xml:space="preserve">链接: </w:t>
      </w:r>
      <w:hyperlink r:id="rId87">
        <w:r>
          <w:rPr>
            <w:rFonts w:ascii="Times New Roman" w:hAnsi="Times New Roman" w:eastAsia="宋体"/>
            <w:color w:val="0000FF"/>
            <w:sz w:val="21"/>
            <w:u w:val="single"/>
          </w:rPr>
          <w:t>https://arxiv.org/abs/2602.03038v1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日常视觉任务中取得了巨大进步，例如为自然图像添加字幕，或回答有关此类图像的常识性问题。但人类拥有令人费解的能力，可以在全新的情况下部署视觉推理能力，这一技能经过了一系列经典的视觉推理挑战（称为邦加德问题）的严格测试。我们提出了一种神经符号方法来解决这些问题：给定 Bongard 问题的假设解决规则，我们利用 LLM 生成规则的参数化程序表示，并使用贝叶斯优化执行参数拟合。我们评估了我们在给定真实规则的情况下对 Bongard 问题图像进行分类以及从头开始解决问题的方法。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made great strides in everyday visual tasks, such as captioning a natural image, or answering commonsense questions about such images. But humans possess the puzzling ability to deploy their visual reasoning abilities in radically new situations, a skill rigorously tested by the classic set of visual reasoning challenges known as the Bongard problems. We present a neurosymbolic approach to solving these problems: given a hypothesized solution rule for a Bongard problem, we leverage LLMs to generate parameterized programmatic representations for the rule and perform parameter fitting using Bayesian optimization. We evaluate our method on classifying Bongard problem images given the ground truth rule, as well as on solving the problems from scratch.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HP-GAN：利用预训练网络通过 FakeTwins 和判别器一致性来改进 GAN</w:t>
      </w:r>
    </w:p>
    <w:p>
      <w:r>
        <w:rPr>
          <w:rFonts w:ascii="Times New Roman" w:hAnsi="Times New Roman" w:eastAsia="宋体"/>
          <w:b/>
          <w:color w:val="003264"/>
          <w:sz w:val="24"/>
        </w:rPr>
        <w:t>HP-GAN: Harnessing pretrained networks for GAN improvement with FakeTwins and discriminator consistency</w:t>
      </w:r>
    </w:p>
    <w:p>
      <w:r>
        <w:rPr>
          <w:rFonts w:ascii="Times New Roman" w:hAnsi="Times New Roman" w:eastAsia="宋体"/>
          <w:sz w:val="21"/>
        </w:rPr>
        <w:t>作者: Dosik Hwang</w:t>
        <w:br/>
      </w:r>
      <w:r>
        <w:rPr>
          <w:rFonts w:ascii="Times New Roman" w:hAnsi="Times New Roman" w:eastAsia="宋体"/>
          <w:sz w:val="21"/>
        </w:rPr>
        <w:t xml:space="preserve">时间: 2026-02-03T03:05:45Z | </w:t>
      </w:r>
      <w:r>
        <w:t xml:space="preserve">链接: </w:t>
      </w:r>
      <w:hyperlink r:id="rId88">
        <w:r>
          <w:rPr>
            <w:rFonts w:ascii="Times New Roman" w:hAnsi="Times New Roman" w:eastAsia="宋体"/>
            <w:color w:val="0000FF"/>
            <w:sz w:val="21"/>
            <w:u w:val="single"/>
          </w:rPr>
          <w:t>https://arxiv.org/abs/2602.03039v1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生成对抗网络（GAN）在提高图像合成质量方面取得了重大进展。最近的方法经常利用预训练的网络来计算感知损失或利用预训练的特征空间。在本文中，我们通过结合创新的自监督学习技术并在 GAN 训练期间强制判别器之间的一致性来扩展预训练网络的功能。我们提出的方法名为 HP-GAN，通过两种主要策略有效地利用神经网络先验：FakeTwins 和判别器一致性。 FakeTwins 利用预训练网络作为编码器来计算自监督损失，并将其应用到生成的图像中来训练生成器，从而能够生成更加多样化和高质量的图像。此外，我们在鉴别器之间引入了一种一致性机制，用于评估从卷积神经网络（CNN）和视觉变换器（ViT）特征网络中提取的特征图。鉴别器一致性促进鉴别器之间的连贯学习，并通过调整图像质量的评估来增强训练的稳健性。我们对 17 个数据集（包括大数据、小数据和有限数据的场景，并涵盖各种图像域）进行了广泛的评估，表明 HP-GAN 在 Fréchet 起始距离 (FID) 方面始终优于当前最先进的方法，在图像多样性和质量方面实现了显着改进。代码位于：https://github.com/higun2/HP-GAN。</w:t>
      </w:r>
    </w:p>
    <w:p>
      <w:pPr>
        <w:spacing w:before="120"/>
      </w:pPr>
      <w:r>
        <w:rPr>
          <w:rFonts w:ascii="Times New Roman" w:hAnsi="Times New Roman" w:eastAsia="宋体"/>
          <w:b/>
          <w:sz w:val="21"/>
        </w:rPr>
        <w:t>English Abstract:</w:t>
      </w:r>
    </w:p>
    <w:p>
      <w:r>
        <w:rPr>
          <w:rFonts w:ascii="Times New Roman" w:hAnsi="Times New Roman" w:eastAsia="宋体"/>
          <w:sz w:val="21"/>
        </w:rPr>
        <w:t>Generative Adversarial Networks (GANs) have made significant progress in enhancing the quality of image synthesis. Recent methods frequently leverage pretrained networks to calculate perceptual losses or utilize pretrained feature spaces. In this paper, we extend the capabilities of pretrained networks by incorporating innovative self-supervised learning techniques and enforcing consistency between discriminators during GAN training. Our proposed method, named HP-GAN, effectively exploits neural network priors through two primary strategies: FakeTwins and discriminator consistency. FakeTwins leverages pretrained networks as encoders to compute a self-supervised loss and applies this through the generated images to train the generator, thereby enabling the generation of more diverse and high quality images. Additionally, we introduce a consistency mechanism between discriminators that evaluate feature maps extracted from Convolutional Neural Network (CNN) and Vision Transformer (ViT) feature networks. Discriminator consistency promotes coherent learning among discriminators and enhances training robustness by aligning their assessments of image quality. Our extensive evaluation across seventeen datasets-including scenarios with large, small, and limited data, and covering a variety of image domains-demonstrates that HP-GAN consistently outperforms current state-of-the-art methods in terms of Fréchet Inception Distance (FID), achieving significant improvements in image diversity and quality. Code is available at: https://github.com/higun2/HP-GAN.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肌肉骨骼放射线照片的通用大型基础模型</w:t>
      </w:r>
    </w:p>
    <w:p>
      <w:r>
        <w:rPr>
          <w:rFonts w:ascii="Times New Roman" w:hAnsi="Times New Roman" w:eastAsia="宋体"/>
          <w:b/>
          <w:color w:val="003264"/>
          <w:sz w:val="24"/>
        </w:rPr>
        <w:t>A generalizable large-scale foundation model for musculoskeletal radiographs</w:t>
      </w:r>
    </w:p>
    <w:p>
      <w:r>
        <w:rPr>
          <w:rFonts w:ascii="Times New Roman" w:hAnsi="Times New Roman" w:eastAsia="宋体"/>
          <w:sz w:val="21"/>
        </w:rPr>
        <w:t>作者: Sunghoon Kwon</w:t>
        <w:br/>
      </w:r>
      <w:r>
        <w:rPr>
          <w:rFonts w:ascii="Times New Roman" w:hAnsi="Times New Roman" w:eastAsia="宋体"/>
          <w:sz w:val="21"/>
        </w:rPr>
        <w:t xml:space="preserve">时间: 2026-02-03T04:04:45Z | </w:t>
      </w:r>
      <w:r>
        <w:t xml:space="preserve">链接: </w:t>
      </w:r>
      <w:hyperlink r:id="rId89">
        <w:r>
          <w:rPr>
            <w:rFonts w:ascii="Times New Roman" w:hAnsi="Times New Roman" w:eastAsia="宋体"/>
            <w:color w:val="0000FF"/>
            <w:sz w:val="21"/>
            <w:u w:val="single"/>
          </w:rPr>
          <w:t>https://arxiv.org/abs/2602.03076v1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 (AI) 在通过放射线照片检测和表征肌肉骨骼疾病方面显示出了良好的前景。然而，大多数现有模型仍然是特定于任务的、依赖于注释的，并且在跨疾病和解剖区域的通用性方面受到限制。尽管临床上需要在大规模肌肉骨骼放射照片上训练的通用基础模型，但公开可用的数据集的大小仍然有限，并且缺乏足够的多样性来支持广泛的肌肉骨骼条件和解剖部位的训练。在这里，我们展示了 SKELEX，这是一种用于肌肉骨骼放射线照片的大型基础模型，使用自我监督学习对 120 万张不同的、条件丰富的图像进行训练。该模型在 12 项下游诊断任务上进行了评估，在骨折检测、骨关节炎分级和骨肿瘤分类方面总体优于基线。此外，SKELEX 展示了零样本异常定位，生成错误图，无需特定任务训练即可识别病理区域。在此功能的基础上，我们开发了一种可解释的、区域引导的模型来预测骨肿瘤，该模型在独立的外部数据集上保持了稳健的性能，并部署为可公开访问的 Web 应用程序。总体而言，SKELEX 为肌肉骨骼成像提供了一个可扩展、标签高效且可泛化的人工智能框架，为肌肉骨骼放射学的临床转化和数据高效研究奠定了基础。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 has shown promise in detecting and characterizing musculoskeletal diseases from radiographs. However, most existing models remain task-specific, annotation-dependent, and limited in generalizability across diseases and anatomical regions. Although a generalizable foundation model trained on large-scale musculoskeletal radiographs is clinically needed, publicly available datasets remain limited in size and lack sufficient diversity to enable training across a wide range of musculoskeletal conditions and anatomical sites. Here, we present SKELEX, a large-scale foundation model for musculoskeletal radiographs, trained using self-supervised learning on 1.2 million diverse, condition-rich images. The model was evaluated on 12 downstream diagnostic tasks and generally outperformed baselines in fracture detection, osteoarthritis grading, and bone tumor classification. Furthermore, SKELEX demonstrated zero-shot abnormality localization, producing error maps that identified pathologic regions without task-specific training. Building on this capability, we developed an interpretable, region-guided model for predicting bone tumors, which maintained robust performance on independent external datasets and was deployed as a publicly accessible web application. Overall, SKELEX provides a scalable, label-efficient, and generalizable AI framework for musculoskeletal imaging, establishing a foundation for both clinical translation and data-efficient research in musculoskeletal radiology.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Gromov Wasserstein 语义对应的最优传输</w:t>
      </w:r>
    </w:p>
    <w:p>
      <w:r>
        <w:rPr>
          <w:rFonts w:ascii="Times New Roman" w:hAnsi="Times New Roman" w:eastAsia="宋体"/>
          <w:b/>
          <w:color w:val="003264"/>
          <w:sz w:val="24"/>
        </w:rPr>
        <w:t>Gromov Wasserstein Optimal Transport for Semantic Correspondences</w:t>
      </w:r>
    </w:p>
    <w:p>
      <w:r>
        <w:rPr>
          <w:rFonts w:ascii="Times New Roman" w:hAnsi="Times New Roman" w:eastAsia="宋体"/>
          <w:sz w:val="21"/>
        </w:rPr>
        <w:t>作者: Akshay Asthana</w:t>
        <w:br/>
      </w:r>
      <w:r>
        <w:rPr>
          <w:rFonts w:ascii="Times New Roman" w:hAnsi="Times New Roman" w:eastAsia="宋体"/>
          <w:sz w:val="21"/>
        </w:rPr>
        <w:t xml:space="preserve">时间: 2026-02-03T04:59:28Z | </w:t>
      </w:r>
      <w:r>
        <w:t xml:space="preserve">链接: </w:t>
      </w:r>
      <w:hyperlink r:id="rId90">
        <w:r>
          <w:rPr>
            <w:rFonts w:ascii="Times New Roman" w:hAnsi="Times New Roman" w:eastAsia="宋体"/>
            <w:color w:val="0000FF"/>
            <w:sz w:val="21"/>
            <w:u w:val="single"/>
          </w:rPr>
          <w:t>https://arxiv.org/abs/2602.03105v1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图像对之间的对应关系是计算机视觉中长期研究的问题。随着最近的大规模基础模型在分类和分割等下游任务上显示出强大的零样本性能，人们对使用这些模型的内部特征图进行语义对应任务产生了兴趣。最近的工作观察到 DINOv2 和稳定扩散 (SD) 的特征是互补的，前者产生准确但稀疏的对应，而后者产生空间一致的对应。因此，当前最先进的语义对应方法涉及将两个模型的特征组合到一个集合中。虽然这些方法的性能令人印象深刻，但它们的计算成本很高，需要评估大规模基础模型的特征图。在这项工作中，我们采用了不同的方法，用一种具有理想的空间一致性特性的高级匹配算法代替 SD 特征。具体来说，我们用包含 Gromov Wasserstein 空间平滑先验的最佳传输算法替换标准最近邻匹配。我们证明，我们可以显着提高 DINOv2 基线的性能，并且具有竞争力，有时甚至超越使用稳定扩散功能的最先进方法，同时效率提高 5--10 倍。我们在 https://github.com/fsnelgar/semantic_matching_gwot 提供代码。</w:t>
      </w:r>
    </w:p>
    <w:p>
      <w:pPr>
        <w:spacing w:before="120"/>
      </w:pPr>
      <w:r>
        <w:rPr>
          <w:rFonts w:ascii="Times New Roman" w:hAnsi="Times New Roman" w:eastAsia="宋体"/>
          <w:b/>
          <w:sz w:val="21"/>
        </w:rPr>
        <w:t>English Abstract:</w:t>
      </w:r>
    </w:p>
    <w:p>
      <w:r>
        <w:rPr>
          <w:rFonts w:ascii="Times New Roman" w:hAnsi="Times New Roman" w:eastAsia="宋体"/>
          <w:sz w:val="21"/>
        </w:rPr>
        <w:t>Establishing correspondences between image pairs is a long studied problem in computer vision. With recent large-scale foundation models showing strong zero-shot performance on downstream tasks including classification and segmentation, there has been interest in using the internal feature maps of these models for the semantic correspondence task. Recent works observe that features from DINOv2 and Stable Diffusion (SD) are complementary, the former producing accurate but sparse correspondences, while the latter produces spatially consistent correspondences. As a result, current state-of-the-art methods for semantic correspondence involve combining features from both models in an ensemble. While the performance of these methods is impressive, they are computationally expensive, requiring evaluating feature maps from large-scale foundation models. In this work we take a different approach, instead replacing SD features with a superior matching algorithm which is imbued with the desirable spatial consistency property. Specifically, we replace the standard nearest neighbours matching with an optimal transport algorithm that includes a Gromov Wasserstein spatial smoothness prior. We show that we can significantly boost the performance of the DINOv2 baseline, and be competitive and sometimes surpassing state-of-the-art methods using Stable Diffusion features, while being 5--10x more efficient. We make code available at https://github.com/fsnelgar/semantic_matching_gwot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超越裁剪和旋转：使用生成模型自动进化强大的特定任务增强功能</w:t>
      </w:r>
    </w:p>
    <w:p>
      <w:r>
        <w:rPr>
          <w:rFonts w:ascii="Times New Roman" w:hAnsi="Times New Roman" w:eastAsia="宋体"/>
          <w:b/>
          <w:color w:val="003264"/>
          <w:sz w:val="24"/>
        </w:rPr>
        <w:t>Beyond Cropping and Rotation: Automated Evolution of Powerful Task-Specific Augmentations with Generative Models</w:t>
      </w:r>
    </w:p>
    <w:p>
      <w:r>
        <w:rPr>
          <w:rFonts w:ascii="Times New Roman" w:hAnsi="Times New Roman" w:eastAsia="宋体"/>
          <w:sz w:val="21"/>
        </w:rPr>
        <w:t>作者: Hod Lipson</w:t>
        <w:br/>
      </w:r>
      <w:r>
        <w:rPr>
          <w:rFonts w:ascii="Times New Roman" w:hAnsi="Times New Roman" w:eastAsia="宋体"/>
          <w:sz w:val="21"/>
        </w:rPr>
        <w:t xml:space="preserve">时间: 2026-02-03T05:29:26Z | </w:t>
      </w:r>
      <w:r>
        <w:t xml:space="preserve">链接: </w:t>
      </w:r>
      <w:hyperlink r:id="rId91">
        <w:r>
          <w:rPr>
            <w:rFonts w:ascii="Times New Roman" w:hAnsi="Times New Roman" w:eastAsia="宋体"/>
            <w:color w:val="0000FF"/>
            <w:sz w:val="21"/>
            <w:u w:val="single"/>
          </w:rPr>
          <w:t>https://arxiv.org/abs/2602.03123v1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长期以来，数据增强一直是减少视觉模型过度拟合的基石，AutoAugment 等方法可以自动设计特定于任务的增强。生成模型的最新进展，例如条件扩散和少样本 NeRF，通过合成具有显着更大多样性和真实性的数据，为数据增强提供了新的范例。然而，与裁剪或旋转等传统增强不同，这些方法引入了实质性的变化，增强了鲁棒性，但如果增强与任务不匹配，也可能导致性能下降。在这项工作中，我们提出了 EvoAug，一种自动增强学习管道，它利用这些生成模型以及高效的进化算法来学习最佳的特定于任务的增强。我们的管道引入了一种新颖的图像增强方法，该方法可以学习分层组成增强的随机增强树，从而实现更加结构化和自适应的转换。我们在细粒度分类和小样本学习任务中展示了强大的性能。值得注意的是，我们的管道发现了与领域知识相一致的增强，即使在低数据环境中也是如此。这些结果凸显了学习生成增强的潜力，为稳健的模型训练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has long been a cornerstone for reducing overfitting in vision models, with methods like AutoAugment automating the design of task-specific augmentations. Recent advances in generative models, such as conditional diffusion and few-shot NeRFs, offer a new paradigm for data augmentation by synthesizing data with significantly greater diversity and realism. However, unlike traditional augmentations like cropping or rotation, these methods introduce substantial changes that enhance robustness but also risk degrading performance if the augmentations are poorly matched to the task. In this work, we present EvoAug, an automated augmentation learning pipeline, which leverages these generative models alongside an efficient evolutionary algorithm to learn optimal task-specific augmentations. Our pipeline introduces a novel approach to image augmentation that learns stochastic augmentation trees that hierarchically compose augmentations, enabling more structured and adaptive transformations. We demonstrate strong performance across fine-grained classification and few-shot learning tasks. Notably, our pipeline discovers augmentations that align with domain knowledge, even in low-data settings. These results highlight the potential of learned generative augmentations, unlocking new possibilities for robust model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使用扩散模型进行概率人体姿势估计的灵活几何指导</w:t>
      </w:r>
    </w:p>
    <w:p>
      <w:r>
        <w:rPr>
          <w:rFonts w:ascii="Times New Roman" w:hAnsi="Times New Roman" w:eastAsia="宋体"/>
          <w:b/>
          <w:color w:val="003264"/>
          <w:sz w:val="24"/>
        </w:rPr>
        <w:t>Flexible Geometric Guidance for Probabilistic Human Pose Estimation with Diffusion Models</w:t>
      </w:r>
    </w:p>
    <w:p>
      <w:r>
        <w:rPr>
          <w:rFonts w:ascii="Times New Roman" w:hAnsi="Times New Roman" w:eastAsia="宋体"/>
          <w:sz w:val="21"/>
        </w:rPr>
        <w:t>作者: Akshay Asthana</w:t>
        <w:br/>
      </w:r>
      <w:r>
        <w:rPr>
          <w:rFonts w:ascii="Times New Roman" w:hAnsi="Times New Roman" w:eastAsia="宋体"/>
          <w:sz w:val="21"/>
        </w:rPr>
        <w:t xml:space="preserve">时间: 2026-02-03T05:35:37Z | </w:t>
      </w:r>
      <w:r>
        <w:t xml:space="preserve">链接: </w:t>
      </w:r>
      <w:hyperlink r:id="rId92">
        <w:r>
          <w:rPr>
            <w:rFonts w:ascii="Times New Roman" w:hAnsi="Times New Roman" w:eastAsia="宋体"/>
            <w:color w:val="0000FF"/>
            <w:sz w:val="21"/>
            <w:u w:val="single"/>
          </w:rPr>
          <w:t>https://arxiv.org/abs/2602.03126v1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由于深度模糊和遮挡，从 2D 图像进行 3D 人体姿态估计是一个具有挑战性的问题。由于这些挑战，任务是不确定的，在给定图像的情况下，存在多个（可能是无限的）看似合理的姿势。尽管如此，许多先前的工作都假设存在确定性映射并估计给定图像的单个姿势。此外，基于机器学习的方法需要大量配对的 2D-3D 数据进行训练，并且存在对未见过的场景的泛化问题。为了解决这两个问题，我们提出了一个使用扩散模型进行姿势估计的框架，该框架可以从与 2D 图像一致的合理姿势的概率分布中进行采样。我们的方法属于条件生成的指导框架，并使用 2D 关键点检测器的热图梯度引导来自无条件扩散模型的样本，仅在 3D 数据上进行训练。我们在 best-of-$m$ 多重假设评估下在人类 3.6M 数据集上评估我们的方法，显示了不需要配对 2D-3D 数据进行训练的方法中最先进的性能。我们还使用 MPI-INF-3DHP 和 3DPW 数据集评估泛化能力，并展示竞争性能。最后，我们通过将框架用于姿势生成和姿势完成等新任务来展示框架的灵活性，而无需训练定制的条件模型。我们在 https://github.com/fsnelgar/diffusion_pose 提供代码。</w:t>
      </w:r>
    </w:p>
    <w:p>
      <w:pPr>
        <w:spacing w:before="120"/>
      </w:pPr>
      <w:r>
        <w:rPr>
          <w:rFonts w:ascii="Times New Roman" w:hAnsi="Times New Roman" w:eastAsia="宋体"/>
          <w:b/>
          <w:sz w:val="21"/>
        </w:rPr>
        <w:t>English Abstract:</w:t>
      </w:r>
    </w:p>
    <w:p>
      <w:r>
        <w:rPr>
          <w:rFonts w:ascii="Times New Roman" w:hAnsi="Times New Roman" w:eastAsia="宋体"/>
          <w:sz w:val="21"/>
        </w:rPr>
        <w:t>3D human pose estimation from 2D images is a challenging problem due to depth ambiguity and occlusion. Because of these challenges the task is underdetermined, where there exists multiple -- possibly infinite -- poses that are plausible given the image. Despite this, many prior works assume the existence of a deterministic mapping and estimate a single pose given an image. Furthermore, methods based on machine learning require a large amount of paired 2D-3D data to train and suffer from generalization issues to unseen scenarios. To address both of these issues, we propose a framework for pose estimation using diffusion models, which enables sampling from a probability distribution over plausible poses which are consistent with a 2D image. Our approach falls under the guidance framework for conditional generation, and guides samples from an unconditional diffusion model, trained only on 3D data, using the gradients of the heatmaps from a 2D keypoint detector. We evaluate our method on the Human 3.6M dataset under best-of-$m$ multiple hypothesis evaluation, showing state-of-the-art performance among methods which do not require paired 2D-3D data for training. We additionally evaluate the generalization ability using the MPI-INF-3DHP and 3DPW datasets and demonstrate competitive performance. Finally, we demonstrate the flexibility of our framework by using it for novel tasks including pose generation and pose completion, without the need to train bespoke conditional models. We make code available at https://github.com/fsnelgar/diffusion_pose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FinMTM：财务推理和代理评估的多轮多模式基准</w:t>
      </w:r>
    </w:p>
    <w:p>
      <w:r>
        <w:rPr>
          <w:rFonts w:ascii="Times New Roman" w:hAnsi="Times New Roman" w:eastAsia="宋体"/>
          <w:b/>
          <w:color w:val="003264"/>
          <w:sz w:val="24"/>
        </w:rPr>
        <w:t>FinMTM: A Multi-Turn Multimodal Benchmark for Financial Reasoning and Agent Evaluation</w:t>
      </w:r>
    </w:p>
    <w:p>
      <w:r>
        <w:rPr>
          <w:rFonts w:ascii="Times New Roman" w:hAnsi="Times New Roman" w:eastAsia="宋体"/>
          <w:sz w:val="21"/>
        </w:rPr>
        <w:t>作者: Rongjunchen Zhang</w:t>
        <w:br/>
      </w:r>
      <w:r>
        <w:rPr>
          <w:rFonts w:ascii="Times New Roman" w:hAnsi="Times New Roman" w:eastAsia="宋体"/>
          <w:sz w:val="21"/>
        </w:rPr>
        <w:t xml:space="preserve">时间: 2026-02-03T05:38:24Z | </w:t>
      </w:r>
      <w:r>
        <w:t xml:space="preserve">链接: </w:t>
      </w:r>
      <w:hyperlink r:id="rId93">
        <w:r>
          <w:rPr>
            <w:rFonts w:ascii="Times New Roman" w:hAnsi="Times New Roman" w:eastAsia="宋体"/>
            <w:color w:val="0000FF"/>
            <w:sz w:val="21"/>
            <w:u w:val="single"/>
          </w:rPr>
          <w:t>https://arxiv.org/abs/2602.03130v1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由于专门的图表格式和知识密集型推理要求，金融领域对视觉语言模型 (VLM) 提出了巨大的挑战。然而，现有的金融基准大多是单轮的，并且依赖于狭窄的问题格式，限制了在实际应用场景中的综合评估。为了解决这一差距，我们提出了 FinMTM，这是一种多轮多模态基准，可以沿数据和任务维度扩展多样性。在数据方面，我们根据金融视觉效果整理和注释了 11{,}133 个双语（中文和英文）金融 QA 对，包括烛台图、统计图和报告数据。在任务方面，FinMTM 涵盖单选题和多项选择题、多轮开放式对话以及基于代理的任务。我们进一步设计了特定于任务的评估协议，包括多项选择问题的集合重叠评分规则、多轮对话的回合级和会话级分数的加权组合，以及将规划质量与代理任务的最终结果相结合的综合指标。对 22 个 VLM 的广泛实验评估揭示了它们在细粒度视觉感知、长上下文推理和复杂代理工作流程方面的局限性。</w:t>
      </w:r>
    </w:p>
    <w:p>
      <w:pPr>
        <w:spacing w:before="120"/>
      </w:pPr>
      <w:r>
        <w:rPr>
          <w:rFonts w:ascii="Times New Roman" w:hAnsi="Times New Roman" w:eastAsia="宋体"/>
          <w:b/>
          <w:sz w:val="21"/>
        </w:rPr>
        <w:t>English Abstract:</w:t>
      </w:r>
    </w:p>
    <w:p>
      <w:r>
        <w:rPr>
          <w:rFonts w:ascii="Times New Roman" w:hAnsi="Times New Roman" w:eastAsia="宋体"/>
          <w:sz w:val="21"/>
        </w:rPr>
        <w:t>The financial domain poses substantial challenges for vision-language models (VLMs) due to specialized chart formats and knowledge-intensive reasoning requirements. However, existing financial benchmarks are largely single-turn and rely on a narrow set of question formats, limiting comprehensive evaluation in realistic application scenarios. To address this gap, we propose FinMTM, a multi-turn multimodal benchmark that expands diversity along both data and task dimensions. On the data side, we curate and annotate 11{,}133 bilingual (Chinese and English) financial QA pairs grounded in financial visuals, including candlestick charts, statistical plots, and report figures. On the task side, FinMTM covers single- and multiple-choice questions, multi-turn open-ended dialogues, and agent-based tasks. We further design task-specific evaluation protocols, including a set-overlap scoring rule for multiple-choice questions, a weighted combination of turn-level and session-level scores for multi-turn dialogues, and a composite metric that integrates planning quality with final outcomes for agent tasks. Extensive experimental evaluation of 22 VLMs reveal their limitations in fine-grained visual perception, long-context reasoning, and complex agent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用于快速视觉合成的多样性保留分布匹配蒸馏</w:t>
      </w:r>
    </w:p>
    <w:p>
      <w:r>
        <w:rPr>
          <w:rFonts w:ascii="Times New Roman" w:hAnsi="Times New Roman" w:eastAsia="宋体"/>
          <w:b/>
          <w:color w:val="003264"/>
          <w:sz w:val="24"/>
        </w:rPr>
        <w:t>Diversity-Preserved Distribution Matching Distillation for Fast Visual Synthesis</w:t>
      </w:r>
    </w:p>
    <w:p>
      <w:r>
        <w:rPr>
          <w:rFonts w:ascii="Times New Roman" w:hAnsi="Times New Roman" w:eastAsia="宋体"/>
          <w:sz w:val="21"/>
        </w:rPr>
        <w:t>作者: Kede Ma</w:t>
        <w:br/>
      </w:r>
      <w:r>
        <w:rPr>
          <w:rFonts w:ascii="Times New Roman" w:hAnsi="Times New Roman" w:eastAsia="宋体"/>
          <w:sz w:val="21"/>
        </w:rPr>
        <w:t xml:space="preserve">时间: 2026-02-03T05:45:25Z | </w:t>
      </w:r>
      <w:r>
        <w:t xml:space="preserve">链接: </w:t>
      </w:r>
      <w:hyperlink r:id="rId94">
        <w:r>
          <w:rPr>
            <w:rFonts w:ascii="Times New Roman" w:hAnsi="Times New Roman" w:eastAsia="宋体"/>
            <w:color w:val="0000FF"/>
            <w:sz w:val="21"/>
            <w:u w:val="single"/>
          </w:rPr>
          <w:t>https://arxiv.org/abs/2602.03139v1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 (DMD) 将多步生成器与其对应的少步生成器对齐，以在低推理成本下实现高质量生成。然而，DMD 往往会遭受模式崩溃的困扰，因为其反向 KL 公式本质上会鼓励模式搜索行为，而现有的补救措施通常依赖于感知或对抗性正则化，从而产生大量的计算开销和训练不稳定。在这项工作中，我们提出了一个角色分离的蒸馏框架，明确地分解了蒸馏步骤的作用：第一步致力于通过目标预测（例如，v-预测）目标来保留样本多样性，而后续步骤则专注于标准 DMD 损失下的质量细化，其中来自第一步的 DMD 目标的梯度被阻止。我们将这种方法称为多样性保留 DMD (DP-DMD)，尽管它很简单——没有感知主干，没有鉴别器，没有辅助网络，也没有额外的真实图像——但在广泛的文本到图像实验中保持了与最先进的方法相同的视觉质量，同时保留了样本多样性。</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aligns a multi-step generator with its few-step counterpart to enable high-quality generation under low inference cost. However, DMD tends to suffer from mode collapse, as its reverse-KL formulation inherently encourages mode-seeking behavior, for which existing remedies typically rely on perceptual or adversarial regularization, thereby incurring substantial computational overhead and training instability. In this work, we propose a role-separated distillation framework that explicitly disentangles the roles of distilled steps: the first step is dedicated to preserving sample diversity via a target-prediction (e.g., v-prediction) objective, while subsequent steps focus on quality refinement under the standard DMD loss, with gradients from the DMD objective blocked at the first step. We term this approach Diversity-Preserved DMD (DP-DMD), which, despite its simplicity -- no perceptual backbone, no discriminator, no auxiliary networks, and no additional ground-truth images -- preserves sample diversity while maintaining visual quality on par with state-of-the-art methods in extensive text-to-image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医学图像分割中的完全柯尔莫哥洛夫-阿诺德深度模型</w:t>
      </w:r>
    </w:p>
    <w:p>
      <w:r>
        <w:rPr>
          <w:rFonts w:ascii="Times New Roman" w:hAnsi="Times New Roman" w:eastAsia="宋体"/>
          <w:b/>
          <w:color w:val="003264"/>
          <w:sz w:val="24"/>
        </w:rPr>
        <w:t>Fully Kolmogorov-Arnold Deep Model in Medical Image Segmentation</w:t>
      </w:r>
    </w:p>
    <w:p>
      <w:r>
        <w:rPr>
          <w:rFonts w:ascii="Times New Roman" w:hAnsi="Times New Roman" w:eastAsia="宋体"/>
          <w:sz w:val="21"/>
        </w:rPr>
        <w:t>作者: Shuo Li</w:t>
        <w:br/>
      </w:r>
      <w:r>
        <w:rPr>
          <w:rFonts w:ascii="Times New Roman" w:hAnsi="Times New Roman" w:eastAsia="宋体"/>
          <w:sz w:val="21"/>
        </w:rPr>
        <w:t xml:space="preserve">时间: 2026-02-03T06:14:04Z | </w:t>
      </w:r>
      <w:r>
        <w:t xml:space="preserve">链接: </w:t>
      </w:r>
      <w:hyperlink r:id="rId95">
        <w:r>
          <w:rPr>
            <w:rFonts w:ascii="Times New Roman" w:hAnsi="Times New Roman" w:eastAsia="宋体"/>
            <w:color w:val="0000FF"/>
            <w:sz w:val="21"/>
            <w:u w:val="single"/>
          </w:rPr>
          <w:t>https://arxiv.org/abs/2602.03156v1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由于高训练难度和大量内存需求，深度堆叠的 KAN 实际上是不可能的。因此，现有的研究只能包含很少的 KAN 层，阻碍了对 KAN 的全面探索。这项研究克服了这些限制，并引入了第一个完全基于 KA 的深度模型，证明基于 KA 的层可以完全取代深度学习中的传统架构并实现卓越的学习能力。具体来说，（1）所提出的共享激活KAN（SaKAN）重新表述了Kolmogorov-Arnold表示定理的Sprecher变体，由于其简化的参数化和更密集的训练样本而实现了更好的优化，以减轻训练难度，（2）本文指出样条梯度对训练的贡献可以忽略不计，同时消耗大量的GPU内存，因此提出了Grad-Free Spline以显着减少内存使用和计算开销。 (3) 基于这两项创新，我们的 ALL U-KAN 是第一个完全基于 KA 的深度模型的代表性实现，其中提出的 KA 和 KAonv 层完全取代了 FC 和 Conv 层。对三个医学图像分割任务的广泛评估证实了完全基于 KA 的架构相对于部分基于 KA 的架构和传统架构的优越性，实现了更高的分割精度。与直接深度堆叠的KAN相比，ALL U-KAN实现了参数数量减少10倍，内存消耗减少20倍以上，开启了对深度KAN架构的新探索。</w:t>
      </w:r>
    </w:p>
    <w:p>
      <w:pPr>
        <w:spacing w:before="120"/>
      </w:pPr>
      <w:r>
        <w:rPr>
          <w:rFonts w:ascii="Times New Roman" w:hAnsi="Times New Roman" w:eastAsia="宋体"/>
          <w:b/>
          <w:sz w:val="21"/>
        </w:rPr>
        <w:t>English Abstract:</w:t>
      </w:r>
    </w:p>
    <w:p>
      <w:r>
        <w:rPr>
          <w:rFonts w:ascii="Times New Roman" w:hAnsi="Times New Roman" w:eastAsia="宋体"/>
          <w:sz w:val="21"/>
        </w:rPr>
        <w:t>Deeply stacked KANs are practically impossible due to high training difficulties and substantial memory requirements. Consequently, existing studies can only incorporate few KAN layers, hindering the comprehensive exploration of KANs. This study overcomes these limitations and introduces the first fully KA-based deep model, demonstrating that KA-based layers can entirely replace traditional architectures in deep learning and achieve superior learning capacity. Specifically, (1) the proposed Share-activation KAN (SaKAN) reformulates Sprecher's variant of Kolmogorov-Arnold representation theorem, which achieves better optimization due to its simplified parameterization and denser training samples, to ease training difficulty, (2) this paper indicates that spline gradients contribute negligibly to training while consuming huge GPU memory, thus proposes the Grad-Free Spline to significantly reduce memory usage and computational overhead. (3) Building on these two innovations, our ALL U-KAN is the first representative implementation of fully KA-based deep model, where the proposed KA and KAonv layers completely replace FC and Conv layers. Extensive evaluations on three medical image segmentation tasks confirm the superiority of the full KA-based architecture compared to partial KA-based and traditional architectures, achieving all higher segmentation accuracy. Compared to directly deeply stacked KAN, ALL U-KAN achieves 10 times reduction in parameter count and reduces memory consumption by more than 20 times, unlocking the new explorations into deep KAN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BinaryDemoire：用于图像 Demoiréing 的莫尔条纹感知二值化</w:t>
      </w:r>
    </w:p>
    <w:p>
      <w:r>
        <w:rPr>
          <w:rFonts w:ascii="Times New Roman" w:hAnsi="Times New Roman" w:eastAsia="宋体"/>
          <w:b/>
          <w:color w:val="003264"/>
          <w:sz w:val="24"/>
        </w:rPr>
        <w:t>BinaryDemoire: Moiré-Aware Binarization for Image Demoiréing</w:t>
      </w:r>
    </w:p>
    <w:p>
      <w:r>
        <w:rPr>
          <w:rFonts w:ascii="Times New Roman" w:hAnsi="Times New Roman" w:eastAsia="宋体"/>
          <w:sz w:val="21"/>
        </w:rPr>
        <w:t>作者: Yulun Zhang</w:t>
        <w:br/>
      </w:r>
      <w:r>
        <w:rPr>
          <w:rFonts w:ascii="Times New Roman" w:hAnsi="Times New Roman" w:eastAsia="宋体"/>
          <w:sz w:val="21"/>
        </w:rPr>
        <w:t xml:space="preserve">时间: 2026-02-03T06:45:10Z | </w:t>
      </w:r>
      <w:r>
        <w:t xml:space="preserve">链接: </w:t>
      </w:r>
      <w:hyperlink r:id="rId96">
        <w:r>
          <w:rPr>
            <w:rFonts w:ascii="Times New Roman" w:hAnsi="Times New Roman" w:eastAsia="宋体"/>
            <w:color w:val="0000FF"/>
            <w:sz w:val="21"/>
            <w:u w:val="single"/>
          </w:rPr>
          <w:t>https://arxiv.org/abs/2602.03176v1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波纹旨在消除重新捕获的图像中的结构化莫尔伪影，其中的退化与频率高度相关，并且随尺度和方向的不同而变化。虽然最近的深度网络实现了高质量的恢复，但其全精度设计的部署成本仍然很高。二值化通过将激活和权重量化为 1 位来提供极端的压缩机制。然而，人们很少对它进行去纹研究，并且在天真应用时表现不佳。在这项工作中，我们提出了 BinaryDemoire，一种二值化的去波纹框架，它明确地适应莫尔条纹退化的频率结构。首先，我们引入了一种莫尔感知二元门（MABG），它可以提取轻量级频率描述符和激活统计数据。它预测通道门控系数以调节二进制卷积响应的聚合。其次，我们设计了一个执行结构化稀疏快捷对齐的随机分组残差适配器（SGRA）。它进一步集成了交错混合，以促进不同通道分区之间的信息交换。对四个基准的大量实验表明，所提出的 BinaryDemoire 超越了当前的二值化方法。代码：https://github.com/zhengchen1999/BinaryDemoire。</w:t>
      </w:r>
    </w:p>
    <w:p>
      <w:pPr>
        <w:spacing w:before="120"/>
      </w:pPr>
      <w:r>
        <w:rPr>
          <w:rFonts w:ascii="Times New Roman" w:hAnsi="Times New Roman" w:eastAsia="宋体"/>
          <w:b/>
          <w:sz w:val="21"/>
        </w:rPr>
        <w:t>English Abstract:</w:t>
      </w:r>
    </w:p>
    <w:p>
      <w:r>
        <w:rPr>
          <w:rFonts w:ascii="Times New Roman" w:hAnsi="Times New Roman" w:eastAsia="宋体"/>
          <w:sz w:val="21"/>
        </w:rPr>
        <w:t>Image demoiréing aims to remove structured moiré artifacts in recaptured imagery, where degradations are highly frequency-dependent and vary across scales and directions. While recent deep networks achieve high-quality restoration, their full-precision designs remain costly for deployment. Binarization offers an extreme compression regime by quantizing both activations and weights to 1-bit. Yet, it has been rarely studied for demoiréing and performs poorly when naively applied. In this work, we propose BinaryDemoire, a binarized demoiréing framework that explicitly accommodates the frequency structure of moiré degradations. First, we introduce a moiré-aware binary gate (MABG) that extracts lightweight frequency descriptors together with activation statistics. It predicts channel-wise gating coefficients to condition the aggregation of binary convolution responses. Second, we design a shuffle-grouped residual adapter (SGRA) that performs structured sparse shortcut alignment. It further integrates interleaved mixing to promote information exchange across different channel partitions. Extensive experiments on four benchmarks demonstrate that the proposed BinaryDemoire surpasses current binarization methods. Code: https://github.com/zhengchen1999/BinaryDemoire.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VIRAL：通过扩散变压器中的类比进行视觉上下文推理</w:t>
      </w:r>
    </w:p>
    <w:p>
      <w:r>
        <w:rPr>
          <w:rFonts w:ascii="Times New Roman" w:hAnsi="Times New Roman" w:eastAsia="宋体"/>
          <w:b/>
          <w:color w:val="003264"/>
          <w:sz w:val="24"/>
        </w:rPr>
        <w:t>VIRAL: Visual In-Context Reasoning via Analogy in Diffusion Transformers</w:t>
      </w:r>
    </w:p>
    <w:p>
      <w:r>
        <w:rPr>
          <w:rFonts w:ascii="Times New Roman" w:hAnsi="Times New Roman" w:eastAsia="宋体"/>
          <w:sz w:val="21"/>
        </w:rPr>
        <w:t>作者: Yingda Chen</w:t>
        <w:br/>
      </w:r>
      <w:r>
        <w:rPr>
          <w:rFonts w:ascii="Times New Roman" w:hAnsi="Times New Roman" w:eastAsia="宋体"/>
          <w:sz w:val="21"/>
        </w:rPr>
        <w:t xml:space="preserve">时间: 2026-02-03T07:27:23Z | </w:t>
      </w:r>
      <w:r>
        <w:t xml:space="preserve">链接: </w:t>
      </w:r>
      <w:hyperlink r:id="rId97">
        <w:r>
          <w:rPr>
            <w:rFonts w:ascii="Times New Roman" w:hAnsi="Times New Roman" w:eastAsia="宋体"/>
            <w:color w:val="0000FF"/>
            <w:sz w:val="21"/>
            <w:u w:val="single"/>
          </w:rPr>
          <w:t>https://arxiv.org/abs/2602.03210v1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由于任务异构性，在计算机视觉中复制上下文学习（ICL）仍然具有挑战性。我们提出了 \textbf{VIRAL}，这是一个框架，通过视觉类比将 ICL 制定为条件生成（$x_s : x_t :: x_q : y_q$），从预先训练的图像编辑模型中引发视觉推理。我们使用角色感知多图像调节来适应冻结的扩散变压器 (DiT)，并引入专家混合 LoRA 来减轻不同任务之间的梯度干扰。此外，为了弥补当前视觉上下文数据集的差距，我们策划了一个涵盖感知、恢复和编辑的大规模数据集。实验表明，VIRAL 优于现有方法，验证了统一的 V-ICL 范例可以处理大多数视觉任务，包括开放域编辑。我们的代码位于 https://anonymous.4open.science/r/VIRAL-744A</w:t>
      </w:r>
    </w:p>
    <w:p>
      <w:pPr>
        <w:spacing w:before="120"/>
      </w:pPr>
      <w:r>
        <w:rPr>
          <w:rFonts w:ascii="Times New Roman" w:hAnsi="Times New Roman" w:eastAsia="宋体"/>
          <w:b/>
          <w:sz w:val="21"/>
        </w:rPr>
        <w:t>English Abstract:</w:t>
      </w:r>
    </w:p>
    <w:p>
      <w:r>
        <w:rPr>
          <w:rFonts w:ascii="Times New Roman" w:hAnsi="Times New Roman" w:eastAsia="宋体"/>
          <w:sz w:val="21"/>
        </w:rPr>
        <w:t>Replicating In-Context Learning (ICL) in computer vision remains challenging due to task heterogeneity. We propose \textbf{VIRAL}, a framework that elicits visual reasoning from a pre-trained image editing model by formulating ICL as conditional generation via visual analogy ($x_s : x_t :: x_q : y_q$). We adapt a frozen Diffusion Transformer (DiT) using role-aware multi-image conditioning and introduce a Mixture-of-Experts LoRA to mitigate gradient interference across diverse tasks. Additionally, to bridge the gaps in current visual context datasets, we curate a large-scale dataset spanning perception, restoration, and editing. Experiments demonstrate that VIRAL outperforms existing methods, validating that a unified V-ICL paradigm can handle the majority of visual tasks, including open-domain editing. Our code is available at https://anonymous.4open.science/r/VIRAL-744A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PokeFusion 注意：增强无参考样式条件生成</w:t>
      </w:r>
    </w:p>
    <w:p>
      <w:r>
        <w:rPr>
          <w:rFonts w:ascii="Times New Roman" w:hAnsi="Times New Roman" w:eastAsia="宋体"/>
          <w:b/>
          <w:color w:val="003264"/>
          <w:sz w:val="24"/>
        </w:rPr>
        <w:t>PokeFusion Attention: Enhancing Reference-Free Style-Conditioned Generation</w:t>
      </w:r>
    </w:p>
    <w:p>
      <w:r>
        <w:rPr>
          <w:rFonts w:ascii="Times New Roman" w:hAnsi="Times New Roman" w:eastAsia="宋体"/>
          <w:sz w:val="21"/>
        </w:rPr>
        <w:t>作者: Jingbang Tang</w:t>
        <w:br/>
      </w:r>
      <w:r>
        <w:rPr>
          <w:rFonts w:ascii="Times New Roman" w:hAnsi="Times New Roman" w:eastAsia="宋体"/>
          <w:sz w:val="21"/>
        </w:rPr>
        <w:t xml:space="preserve">时间: 2026-02-03T07:44:01Z | </w:t>
      </w:r>
      <w:r>
        <w:t xml:space="preserve">链接: </w:t>
      </w:r>
      <w:hyperlink r:id="rId98">
        <w:r>
          <w:rPr>
            <w:rFonts w:ascii="Times New Roman" w:hAnsi="Times New Roman" w:eastAsia="宋体"/>
            <w:color w:val="0000FF"/>
            <w:sz w:val="21"/>
            <w:u w:val="single"/>
          </w:rPr>
          <w:t>https://arxiv.org/abs/2602.03220v1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文本到图像扩散模型中的无参考样式条件字符生成，其中高质量合成需要稳定的字符结构和跨不同提示的一致、细粒度的样式表达。现有的方法主要依赖于纯文本提示，这种提示通常对视觉风格指定不足，往往会产生明显的风格漂移和几何不一致，或者引入在推理时依赖于外部图像的基于参考的适配器，增加架构复杂性并限制部署灵活性。我们提出了 PokeFusion Attention，一种轻量级解码器级交叉注意机制，它将文本语义与直接在扩散解码器内部学习的风格嵌入融合在一起。通过在注意力级别解耦文本和风格条件，我们的方法可以实现有效的无参考风格化生成，同时保持预训练的扩散主干完全冻结。PokeFusion Attention 仅训练解码器交叉注意力层和紧凑风格投影模块，从而产生参数高效且即插即用的控制组件，可以轻松集成到现有扩散管道中并跨不同主干传输。风格化字符生成基准（Pokemon 风格）的实验表明，我们的方法持续改进风格与代表性的基于适配器的基线相比，保真度、语义对齐和字符形状一致性，同时保持低参数开销和推理时间简单性。</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reference-free style-conditioned character generation in text-to-image diffusion models, where high-quality synthesis requires both stable character structure and consistent, fine-grained style expression across diverse prompts. Existing approaches primarily rely on text-only prompting, which is often under-specified for visual style and tends to produce noticeable style drift and geometric inconsistency, or introduce reference-based adapters that depend on external images at inference time, increasing architectural complexity and limiting deployment flexibility.We propose PokeFusion Attention, a lightweight decoder-level cross-attention mechanism that fuses textual semantics with learned style embeddings directly inside the diffusion decoder. By decoupling text and style conditioning at the attention level, our method enables effective reference-free stylized generation while keeping the pretrained diffusion backbone fully frozen.PokeFusion Attention trains only decoder cross-attention layers together with a compact style projection module, resulting in a parameter-efficient and plug-and-play control component that can be easily integrated into existing diffusion pipelines and transferred across different backbones.Experiments on a stylized character generation benchmark (Pokemon-style) demonstrate that our method consistently improves style fidelity, semantic alignment, and character shape consistency compared with representative adapter-based baselines, while maintaining low parameter overhead and inference-time simplicity.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螺旋绳：在 2D 平面中旋转旋转位置嵌入</w:t>
      </w:r>
    </w:p>
    <w:p>
      <w:r>
        <w:rPr>
          <w:rFonts w:ascii="Times New Roman" w:hAnsi="Times New Roman" w:eastAsia="宋体"/>
          <w:b/>
          <w:color w:val="003264"/>
          <w:sz w:val="24"/>
        </w:rPr>
        <w:t>Spiral RoPE: Rotate Your Rotary Positional Embeddings in the 2D Plane</w:t>
      </w:r>
    </w:p>
    <w:p>
      <w:r>
        <w:rPr>
          <w:rFonts w:ascii="Times New Roman" w:hAnsi="Times New Roman" w:eastAsia="宋体"/>
          <w:sz w:val="21"/>
        </w:rPr>
        <w:t>作者: Feng Wang</w:t>
        <w:br/>
      </w:r>
      <w:r>
        <w:rPr>
          <w:rFonts w:ascii="Times New Roman" w:hAnsi="Times New Roman" w:eastAsia="宋体"/>
          <w:sz w:val="21"/>
        </w:rPr>
        <w:t xml:space="preserve">时间: 2026-02-03T07:56:58Z | </w:t>
      </w:r>
      <w:r>
        <w:t xml:space="preserve">链接: </w:t>
      </w:r>
      <w:hyperlink r:id="rId99">
        <w:r>
          <w:rPr>
            <w:rFonts w:ascii="Times New Roman" w:hAnsi="Times New Roman" w:eastAsia="宋体"/>
            <w:color w:val="0000FF"/>
            <w:sz w:val="21"/>
            <w:u w:val="single"/>
          </w:rPr>
          <w:t>https://arxiv.org/abs/2602.03227v1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旋转位置嵌入 (RoPE) 是大型语言模型中事实上的位置编码，因为它能够编码相对位置并支持长度外推。当适应视觉变换器时，标准轴向公式将二维空间位置分解为水平和垂直分量，隐式地将位置编码限制为轴对齐方向。我们认为这种方向约束是标准轴向 2D RoPE 的基本限制，它阻碍了自然图像中自然存在的倾斜空间关系的建模。为了克服这一限制，我们提出了 Spiral RoPE，这是一种简单而有效的扩展，通过将嵌入通道划分为与均匀分布方向相关的多个组来实现多方向位置编码。每组根据块位置在其相应方向上的投影进行旋转，从而允许在水平轴和垂直轴之外对空间关系进行编码。在分类、分割和生成等广泛的视觉任务中，Spiral RoPE 不断提高性能。对注意力图的定性分析进一步表明，Spiral RoPE 对语义相关的对象表现出更集中的激活，并且更好地尊重局部对象边界，凸显了视觉变换器中多方向位置编码的重要性。</w:t>
      </w:r>
    </w:p>
    <w:p>
      <w:pPr>
        <w:spacing w:before="120"/>
      </w:pPr>
      <w:r>
        <w:rPr>
          <w:rFonts w:ascii="Times New Roman" w:hAnsi="Times New Roman" w:eastAsia="宋体"/>
          <w:b/>
          <w:sz w:val="21"/>
        </w:rPr>
        <w:t>English Abstract:</w:t>
      </w:r>
    </w:p>
    <w:p>
      <w:r>
        <w:rPr>
          <w:rFonts w:ascii="Times New Roman" w:hAnsi="Times New Roman" w:eastAsia="宋体"/>
          <w:sz w:val="21"/>
        </w:rPr>
        <w:t>Rotary Position Embedding (RoPE) is the de facto positional encoding in large language models due to its ability to encode relative positions and support length extrapolation. When adapted to vision transformers, the standard axial formulation decomposes two-dimensional spatial positions into horizontal and vertical components, implicitly restricting positional encoding to axis-aligned directions. We identify this directional constraint as a fundamental limitation of the standard axial 2D RoPE, which hinders the modeling of oblique spatial relationships that naturally exist in natural images. To overcome this limitation, we propose Spiral RoPE, a simple yet effective extension that enables multi-directional positional encoding by partitioning embedding channels into multiple groups associated with uniformly distributed directions. Each group is rotated according to the projection of the patch position onto its corresponding direction, allowing spatial relationships to be encoded beyond the horizontal and vertical axes. Across a wide range of vision tasks including classification, segmentation, and generation, Spiral RoPE consistently improves performance. Qualitative analysis of attention maps further show that Spiral RoPE exhibits more concentrated activations on semantically relevant objects and better respects local object boundaries, highlighting the importance of multi-directional positional encoding in vision transformers.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EventFlash：实现基于事件的视觉的高效 MLLM</w:t>
      </w:r>
    </w:p>
    <w:p>
      <w:r>
        <w:rPr>
          <w:rFonts w:ascii="Times New Roman" w:hAnsi="Times New Roman" w:eastAsia="宋体"/>
          <w:b/>
          <w:color w:val="003264"/>
          <w:sz w:val="24"/>
        </w:rPr>
        <w:t>EventFlash: Towards Efficient MLLMs for Event-Based Vision</w:t>
      </w:r>
    </w:p>
    <w:p>
      <w:r>
        <w:rPr>
          <w:rFonts w:ascii="Times New Roman" w:hAnsi="Times New Roman" w:eastAsia="宋体"/>
          <w:sz w:val="21"/>
        </w:rPr>
        <w:t>作者: Xiangyang Ji</w:t>
        <w:br/>
      </w:r>
      <w:r>
        <w:rPr>
          <w:rFonts w:ascii="Times New Roman" w:hAnsi="Times New Roman" w:eastAsia="宋体"/>
          <w:sz w:val="21"/>
        </w:rPr>
        <w:t xml:space="preserve">时间: 2026-02-03T08:06:45Z | </w:t>
      </w:r>
      <w:r>
        <w:t xml:space="preserve">链接: </w:t>
      </w:r>
      <w:hyperlink r:id="rId100">
        <w:r>
          <w:rPr>
            <w:rFonts w:ascii="Times New Roman" w:hAnsi="Times New Roman" w:eastAsia="宋体"/>
            <w:color w:val="0000FF"/>
            <w:sz w:val="21"/>
            <w:u w:val="single"/>
          </w:rPr>
          <w:t>https://arxiv.org/abs/2602.03230v1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基于事件的多模态大语言模型 (MLLM) 可在高速和弱光场景下实现稳健的感知，解决基于帧的 MLLM 的关键限制。然而，当前基于事件的 MLLM 通常依赖于密集的类图像处理范例，忽视了事件流的时空稀疏性，导致计算成本较高。在本文中，我们提出了 EventFlash，这是一种新颖且高效的 MLLM，用于探索时空令牌稀疏化，以减少数据冗余并加速推理。从技术上讲，我们构建了 EventMind，这是一个具有超过 500k 指令集的大规模且场景多样化的数据集，提供短事件流序列和长事件流序列来支持我们的课程培训策略。然后，我们提出了一种用于高效时间采样的自适应时间窗口聚合模块，该模块自适应地压缩时间标记，同时保留关键时间线索。最后，设计了一个稀疏密度引导的注意模块，通过选择信息丰富的区域并抑制空白或稀疏区域来提高空间标记效率。实验结果表明，EventFlash 的吞吐量比基准 (EventFlash-Zero) 提高了 12.4 倍，同时保持了相当的性能。它支持多达 1,000 个 bin 的远程事件流处理，显着优于 EventGPT 的 5 个 bin 限制。我们相信 EventFlash 是基于事件的视觉的有效基础模型。</w:t>
      </w:r>
    </w:p>
    <w:p>
      <w:pPr>
        <w:spacing w:before="120"/>
      </w:pPr>
      <w:r>
        <w:rPr>
          <w:rFonts w:ascii="Times New Roman" w:hAnsi="Times New Roman" w:eastAsia="宋体"/>
          <w:b/>
          <w:sz w:val="21"/>
        </w:rPr>
        <w:t>English Abstract:</w:t>
      </w:r>
    </w:p>
    <w:p>
      <w:r>
        <w:rPr>
          <w:rFonts w:ascii="Times New Roman" w:hAnsi="Times New Roman" w:eastAsia="宋体"/>
          <w:sz w:val="21"/>
        </w:rPr>
        <w:t>Event-based multimodal large language models (MLLMs) enable robust perception in high-speed and low-light scenarios, addressing key limitations of frame-based MLLMs. However, current event-based MLLMs often rely on dense image-like processing paradigms, overlooking the spatiotemporal sparsity of event streams and resulting in high computational cost. In this paper, we propose EventFlash, a novel and efficient MLLM to explore spatiotemporal token sparsification for reducing data redundancy and accelerating inference. Technically, we build EventMind, a large-scale and scene-diverse dataset with over 500k instruction sets, providing both short and long event stream sequences to support our curriculum training strategy. We then present an adaptive temporal window aggregation module for efficient temporal sampling, which adaptively compresses temporal tokens while retaining key temporal cues. Finally, a sparse density-guided attention module is designed to improve spatial token efficiency by selecting informative regions and suppressing empty or sparse areas. Experimental results show that EventFlash achieves a $12.4\times$ throughput improvement over the baseline (EventFlash-Zero) while maintaining comparable performance. It supports long-range event stream processing with up to 1,000 bins, significantly outperforming the 5-bin limit of EventGPT. We believe EventFlash serves as an efficient foundation model for event-based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Shaoting Zhang</w:t>
        <w:br/>
      </w:r>
      <w:r>
        <w:rPr>
          <w:rFonts w:ascii="Times New Roman" w:hAnsi="Times New Roman" w:eastAsia="宋体"/>
          <w:sz w:val="21"/>
        </w:rPr>
        <w:t xml:space="preserve">时间: 2026-02-03T09:18:11Z | </w:t>
      </w:r>
      <w:r>
        <w:t xml:space="preserve">链接: </w:t>
      </w:r>
      <w:hyperlink r:id="rId101">
        <w:r>
          <w:rPr>
            <w:rFonts w:ascii="Times New Roman" w:hAnsi="Times New Roman" w:eastAsia="宋体"/>
            <w:color w:val="0000FF"/>
            <w:sz w:val="21"/>
            <w:u w:val="single"/>
          </w:rPr>
          <w:t>https://arxiv.org/abs/2602.03292v1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\textbf{A3-TTA}，这是一个通过锚引导监督构建可靠伪标签的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\textbf{A3-TTA},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PQTNet：用于通过增材制造估算聚乳酸零件缺陷深度的像素式定量热成像神经网络</w:t>
      </w:r>
    </w:p>
    <w:p>
      <w:r>
        <w:rPr>
          <w:rFonts w:ascii="Times New Roman" w:hAnsi="Times New Roman" w:eastAsia="宋体"/>
          <w:b/>
          <w:color w:val="003264"/>
          <w:sz w:val="24"/>
        </w:rPr>
        <w:t>PQTNet: Pixel-wise Quantitative Thermography Neural Network for Estimating Defect Depth in Polylactic Acid Parts by Additive Manufacturing</w:t>
      </w:r>
    </w:p>
    <w:p>
      <w:r>
        <w:rPr>
          <w:rFonts w:ascii="Times New Roman" w:hAnsi="Times New Roman" w:eastAsia="宋体"/>
          <w:sz w:val="21"/>
        </w:rPr>
        <w:t>作者: Yue Ma</w:t>
        <w:br/>
      </w:r>
      <w:r>
        <w:rPr>
          <w:rFonts w:ascii="Times New Roman" w:hAnsi="Times New Roman" w:eastAsia="宋体"/>
          <w:sz w:val="21"/>
        </w:rPr>
        <w:t xml:space="preserve">时间: 2026-02-03T09:43:15Z | </w:t>
      </w:r>
      <w:r>
        <w:t xml:space="preserve">链接: </w:t>
      </w:r>
      <w:hyperlink r:id="rId102">
        <w:r>
          <w:rPr>
            <w:rFonts w:ascii="Times New Roman" w:hAnsi="Times New Roman" w:eastAsia="宋体"/>
            <w:color w:val="0000FF"/>
            <w:sz w:val="21"/>
            <w:u w:val="single"/>
          </w:rPr>
          <w:t>https://arxiv.org/abs/2602.03314v1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部件中的缺陷深度量化仍然是无损检测 (NDT) 的重大挑战。本研究提出了一种逐像素定量热成像神经网络 (PQT-Net) 来解决聚乳酸 (PLA) 部件的这一挑战。一项关键创新是一种新颖的数据增强策略，该策略将热序列数据重建为二维条纹图像，保留每个像素热扩散的完整时间演化。 PQT-Net 架构结合了预训练的 EfficientNetV2-S 主干和自定义残差回归头 (RRH)，其具有可学习参数以优化输出。对比实验证明了 PQT-Net 相对于其他深度学习模型的优越性，实现了最小平均绝对误差（MAE）为 0.0094 mm，决定系数（R）超过 99%。 PQT-Net 的高精度凸显了其在增材制造中稳健的定量缺陷表征的潜力。</w:t>
      </w:r>
    </w:p>
    <w:p>
      <w:pPr>
        <w:spacing w:before="120"/>
      </w:pPr>
      <w:r>
        <w:rPr>
          <w:rFonts w:ascii="Times New Roman" w:hAnsi="Times New Roman" w:eastAsia="宋体"/>
          <w:b/>
          <w:sz w:val="21"/>
        </w:rPr>
        <w:t>English Abstract:</w:t>
      </w:r>
    </w:p>
    <w:p>
      <w:r>
        <w:rPr>
          <w:rFonts w:ascii="Times New Roman" w:hAnsi="Times New Roman" w:eastAsia="宋体"/>
          <w:sz w:val="21"/>
        </w:rPr>
        <w:t>Defect depth quantification in additively manufactured (AM) components remains a significant challenge for non-destructive testing (NDT). This study proposes a Pixel-wise Quantitative Thermography Neural Network (PQT-Net) to address this challenge for polylactic acid (PLA) parts. A key innovation is a novel data augmentation strategy that reconstructs thermal sequence data into two-dimensional stripe images, preserving the complete temporal evolution of heat diffusion for each pixel. The PQT-Net architecture incorporates a pre-trained EfficientNetV2-S backbone and a custom Residual Regression Head (RRH) with learnable parameters to refine outputs. Comparative experiments demonstrate the superiority of PQT-Net over other deep learning models, achieving a minimum Mean Absolute Error (MAE) of 0.0094 mm and a coefficient of determination (R) exceeding 99%. The high precision of PQT-Net underscores its potential for robust quantitative defect characterization in 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用于生成数据增强的隐形清洁标签后门攻击</w:t>
      </w:r>
    </w:p>
    <w:p>
      <w:r>
        <w:rPr>
          <w:rFonts w:ascii="Times New Roman" w:hAnsi="Times New Roman" w:eastAsia="宋体"/>
          <w:b/>
          <w:color w:val="003264"/>
          <w:sz w:val="24"/>
        </w:rPr>
        <w:t>Invisible Clean-Label Backdoor Attacks for Generative Data Augmentation</w:t>
      </w:r>
    </w:p>
    <w:p>
      <w:r>
        <w:rPr>
          <w:rFonts w:ascii="Times New Roman" w:hAnsi="Times New Roman" w:eastAsia="宋体"/>
          <w:sz w:val="21"/>
        </w:rPr>
        <w:t>作者: Zhuo Tang</w:t>
        <w:br/>
      </w:r>
      <w:r>
        <w:rPr>
          <w:rFonts w:ascii="Times New Roman" w:hAnsi="Times New Roman" w:eastAsia="宋体"/>
          <w:sz w:val="21"/>
        </w:rPr>
        <w:t xml:space="preserve">时间: 2026-02-03T09:46:37Z | </w:t>
      </w:r>
      <w:r>
        <w:t xml:space="preserve">链接: </w:t>
      </w:r>
      <w:hyperlink r:id="rId103">
        <w:r>
          <w:rPr>
            <w:rFonts w:ascii="Times New Roman" w:hAnsi="Times New Roman" w:eastAsia="宋体"/>
            <w:color w:val="0000FF"/>
            <w:sz w:val="21"/>
            <w:u w:val="single"/>
          </w:rPr>
          <w:t>https://arxiv.org/abs/2602.03316v1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图像生成模型的快速发展，生成数据增强已成为丰富训练图像的有效方法，特别是当只有小规模数据集可用时。与此同时，在实际应用中，生成数据增强可能容易受到旨在绕过人类检查的清洁标签后门攻击。然而，基于理论分析和初步实验，我们观察到直接将现有的像素级清洁标签后门攻击方法（例如COMBAT）应用于生成的图像会导致攻击成功率较低。这促使我们超越像素级触发器，转而关注潜在的特征级别。为此，我们提出了 InvLBA，这是一种通过潜在扰动来增强生成数据的隐形清洁标签后门攻击方法。我们从理论上证明了InvLBA的干净准确率和攻击成功率的泛化是可以保证的。在多个数据集上的实验表明，我们的方法平均将攻击成功率提高了 46.43%，并且干净精度几乎没有降低，并且对 SOTA 防御方法具有很高的鲁棒性。</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image generative models, generative data augmentation has become an effective way to enrich training images, especially when only small-scale datasets are available. At the same time, in practical applications, generative data augmentation can be vulnerable to clean-label backdoor attacks, which aim to bypass human inspection. However, based on theoretical analysis and preliminary experiments, we observe that directly applying existing pixel-level clean-label backdoor attack methods (e.g., COMBAT) to generated images results in low attack success rates. This motivates us to move beyond pixel-level triggers and focus instead on the latent feature level. To this end, we propose InvLBA, an invisible clean-label backdoor attack method for generative data augmentation by latent perturbation. We theoretically prove that the generalization of the clean accuracy and attack success rates of InvLBA can be guaranteed. Experiments on multiple datasets show that our method improves the attack success rate by 46.43% on average, with almost no reduction in clean accuracy and high robustness against SOTA defense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MedSAM-Agent：通过多轮代理强化学习增强交互式医学图像分割</w:t>
      </w:r>
    </w:p>
    <w:p>
      <w:r>
        <w:rPr>
          <w:rFonts w:ascii="Times New Roman" w:hAnsi="Times New Roman" w:eastAsia="宋体"/>
          <w:b/>
          <w:color w:val="003264"/>
          <w:sz w:val="24"/>
        </w:rPr>
        <w:t>MedSAM-Agent: Empowering Interactive Medical Image Segmentation with Multi-turn Agentic Reinforcement Learning</w:t>
      </w:r>
    </w:p>
    <w:p>
      <w:r>
        <w:rPr>
          <w:rFonts w:ascii="Times New Roman" w:hAnsi="Times New Roman" w:eastAsia="宋体"/>
          <w:sz w:val="21"/>
        </w:rPr>
        <w:t>作者: Yixuan Yuan</w:t>
        <w:br/>
      </w:r>
      <w:r>
        <w:rPr>
          <w:rFonts w:ascii="Times New Roman" w:hAnsi="Times New Roman" w:eastAsia="宋体"/>
          <w:sz w:val="21"/>
        </w:rPr>
        <w:t xml:space="preserve">时间: 2026-02-03T09:47:49Z | </w:t>
      </w:r>
      <w:r>
        <w:t xml:space="preserve">链接: </w:t>
      </w:r>
      <w:hyperlink r:id="rId104">
        <w:r>
          <w:rPr>
            <w:rFonts w:ascii="Times New Roman" w:hAnsi="Times New Roman" w:eastAsia="宋体"/>
            <w:color w:val="0000FF"/>
            <w:sz w:val="21"/>
            <w:u w:val="single"/>
          </w:rPr>
          <w:t>https://arxiv.org/abs/2602.03320v1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医学图像分割正在从特定于任务的模型发展到通用框架。最近的研究利用多模态大型语言模型 (MLLM) 作为自主代理，采用具有可验证奖励的强化学习 (RLVR) 来编排分段任意模型 (SAM) 等专用工具。然而，这些方法往往依赖于单轮、僵化的交互策略，并且在训练过程中缺乏过程级监督，这阻碍了它们充分利用交互工具的动态潜力的能力，并导致冗余动作。为了弥补这一差距，我们提出了 MedSAM-Agent，这是一个将交互式细分重新表述为多步骤自主决策过程的框架。首先，我们引入了一种用于专家策划的轨迹生成的混合提示策略，使模型能够内化类人决策启发法和自适应细化策略。此外，我们开发了一个两阶段的训练管道，将多轮、端到端结果验证与临床保真度过程奖励设计相结合，以促进交互简约性和决策效率。跨越 6 种医疗模式和 21 个数据集的广泛实验表明，MedSAM-Agent 实现了最先进的性能，有效地将自主医疗推理与稳健的迭代优化相结合。代码可在 \href{https://github.com/CUHK-AIM-Group/MedSAM-Agent}{here} 获取。</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evolving from task-specific models toward generalizable frameworks. Recent research leverages Multi-modal Large Language Models (MLLMs) as autonomous agents, employing reinforcement learning with verifiable reward (RLVR) to orchestrate specialized tools like the Segment Anything Model (SAM). However, these approaches often rely on single-turn, rigid interaction strategies and lack process-level supervision during training, which hinders their ability to fully exploit the dynamic potential of interactive tools and leads to redundant actions. To bridge this gap, we propose MedSAM-Agent, a framework that reformulates interactive segmentation as a multi-step autonomous decision-making process. First, we introduce a hybrid prompting strategy for expert-curated trajectory generation, enabling the model to internalize human-like decision heuristics and adaptive refinement strategies. Furthermore, we develop a two-stage training pipeline that integrates multi-turn, end-to-end outcome verification with a clinical-fidelity process reward design to promote interaction parsimony and decision efficiency. Extensive experiments across 6 medical modalities and 21 datasets demonstrate that MedSAM-Agent achieves state-of-the-art performance, effectively unifying autonomous medical reasoning with robust, iterative optimization. Code is available \href{https://github.com/CUHK-AIM-Group/MedSAM-Agent}{here}.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Pi-GS：具有密集 π^3 初始化的稀疏视图高斯泼溅</w:t>
      </w:r>
    </w:p>
    <w:p>
      <w:r>
        <w:rPr>
          <w:rFonts w:ascii="Times New Roman" w:hAnsi="Times New Roman" w:eastAsia="宋体"/>
          <w:b/>
          <w:color w:val="003264"/>
          <w:sz w:val="24"/>
        </w:rPr>
        <w:t>Pi-GS: Sparse-View Gaussian Splatting with Dense π^3 Initialization</w:t>
      </w:r>
    </w:p>
    <w:p>
      <w:r>
        <w:rPr>
          <w:rFonts w:ascii="Times New Roman" w:hAnsi="Times New Roman" w:eastAsia="宋体"/>
          <w:sz w:val="21"/>
        </w:rPr>
        <w:t>作者: Thomas Köhler</w:t>
        <w:br/>
      </w:r>
      <w:r>
        <w:rPr>
          <w:rFonts w:ascii="Times New Roman" w:hAnsi="Times New Roman" w:eastAsia="宋体"/>
          <w:sz w:val="21"/>
        </w:rPr>
        <w:t xml:space="preserve">时间: 2026-02-03T09:55:03Z | </w:t>
      </w:r>
      <w:r>
        <w:t xml:space="preserve">链接: </w:t>
      </w:r>
      <w:hyperlink r:id="rId105">
        <w:r>
          <w:rPr>
            <w:rFonts w:ascii="Times New Roman" w:hAnsi="Times New Roman" w:eastAsia="宋体"/>
            <w:color w:val="0000FF"/>
            <w:sz w:val="21"/>
            <w:u w:val="single"/>
          </w:rPr>
          <w:t>https://arxiv.org/abs/2602.03327v1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新颖的视图合成发展迅速，从神经辐射场发展到 3D 高斯分布 (3DGS)，它提供实时渲染和快速训练，而不影响视觉保真度。然而，3DGS 严重依赖于准确的相机位姿和高质量的点云初始化，这在稀疏视图场景中很难获得。虽然传统的运动结构 (SfM) 管道在这些设置中经常失败，但现有的基于学习的点估计替代方案通常需要可靠的参考视图，并且对姿态或深度错误保持敏感。在这项工作中，我们提出了一种利用 π^3（一种无参考点云估计网络）的鲁棒方法。我们将 π^3 的密集初始化与旨在减轻几何误差的正则化方案相结合。具体来说，我们采用不确定性引导的深度监督、正态一致性损失和深度扭曲。实验结果表明，我们的方法在 Tanks 和 Temples、LLFF、DTU 和 MipNeRF360 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has evolved rapidly, advancing from Neural Radiance Fields to 3D Gaussian Splatting (3DGS), which offers real-time rendering and rapid training without compromising visual fidelity. However, 3DGS relies heavily on accurate camera poses and high-quality point cloud initialization, which are difficult to obtain in sparse-view scenarios. While traditional Structure from Motion (SfM) pipelines often fail in these settings, existing learning-based point estimation alternatives typically require reliable reference views and remain sensitive to pose or depth errors. In this work, we propose a robust method utilizing π^3, a reference-free point cloud estimation network. We integrate dense initialization from π^3 with a regularization scheme designed to mitigate geometric inaccuracies. Specifically, we employ uncertainty-guided depth supervision, normal consistency loss, and depth warping. Experimental results demonstrate that our approach achieves state-of-the-art performance on the Tanks and Temples, LLFF, DTU, and MipNeRF360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具有无生成器的可学习性诊断的可组合视觉分词器</w:t>
      </w:r>
    </w:p>
    <w:p>
      <w:r>
        <w:rPr>
          <w:rFonts w:ascii="Times New Roman" w:hAnsi="Times New Roman" w:eastAsia="宋体"/>
          <w:b/>
          <w:color w:val="003264"/>
          <w:sz w:val="24"/>
        </w:rPr>
        <w:t>Composable Visual Tokenizers with Generator-Free Diagnostics of Learnability</w:t>
      </w:r>
    </w:p>
    <w:p>
      <w:r>
        <w:rPr>
          <w:rFonts w:ascii="Times New Roman" w:hAnsi="Times New Roman" w:eastAsia="宋体"/>
          <w:sz w:val="21"/>
        </w:rPr>
        <w:t>作者: Yu Tian</w:t>
        <w:br/>
      </w:r>
      <w:r>
        <w:rPr>
          <w:rFonts w:ascii="Times New Roman" w:hAnsi="Times New Roman" w:eastAsia="宋体"/>
          <w:sz w:val="21"/>
        </w:rPr>
        <w:t xml:space="preserve">时间: 2026-02-03T10:02:51Z | </w:t>
      </w:r>
      <w:r>
        <w:t xml:space="preserve">链接: </w:t>
      </w:r>
      <w:hyperlink r:id="rId106">
        <w:r>
          <w:rPr>
            <w:rFonts w:ascii="Times New Roman" w:hAnsi="Times New Roman" w:eastAsia="宋体"/>
            <w:color w:val="0000FF"/>
            <w:sz w:val="21"/>
            <w:u w:val="single"/>
          </w:rPr>
          <w:t>https://arxiv.org/abs/2602.03339v1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 CompTok，这是一个用于学习视觉标记器的训练框架，其标记的组合性得到了增强。 CompTok 使用令牌条件扩散解码器。通过采用 InfoGAN 风格的目标，我们训练一个识别模型来预测用于使用解码图像调节扩散解码器的标记，我们强制解码器不忽略任何标记。为了促进构图控制，除了原始图像之外，CompTok 还对通过在图像之间交换 token 子集形成的 token 进行训练，从而在解码器上实现对 token 的更多构图控制。由于图像之间交换的标记没有地面真实图像目标，因此我们通过对抗流正则化器应用流形约束，以在自然图像分布上保持不成对的交换生成。由此产生的标记生成器不仅在图像类条件生成方面实现了最先进的性能，而且还演示了诸如在图像之间交换标记以实现图像的高级语义编辑等属性。此外，我们提出了两个衡量令牌空间景观的指标，它们不仅可用于描述令牌的组成性，还可用于描述在该空间上训练的生成器学习景观的容易程度。我们在实验中表明，CompTok 可以改进这两个指标，并支持最先进的生成器进行类条件生成。</w:t>
      </w:r>
    </w:p>
    <w:p>
      <w:pPr>
        <w:spacing w:before="120"/>
      </w:pPr>
      <w:r>
        <w:rPr>
          <w:rFonts w:ascii="Times New Roman" w:hAnsi="Times New Roman" w:eastAsia="宋体"/>
          <w:b/>
          <w:sz w:val="21"/>
        </w:rPr>
        <w:t>English Abstract:</w:t>
      </w:r>
    </w:p>
    <w:p>
      <w:r>
        <w:rPr>
          <w:rFonts w:ascii="Times New Roman" w:hAnsi="Times New Roman" w:eastAsia="宋体"/>
          <w:sz w:val="21"/>
        </w:rPr>
        <w:t>We introduce CompTok, a training framework for learning visual tokenizers whose tokens are enhanced for compositionality. CompTok uses a token-conditioned diffusion decoder. By employing an InfoGAN-style objective, where we train a recognition model to predict the tokens used to condition the diffusion decoder using the decoded images, we enforce the decoder to not ignore any of the tokens. To promote compositional control, besides the original images, CompTok also trains on tokens formed by swapping token subsets between images, enabling more compositional control of the token over the decoder. As the swapped tokens between images do not have ground truth image targets, we apply a manifold constraint via an adversarial flow regularizer to keep unpaired swap generations on the natural-image distribution. The resulting tokenizer not only achieves state-of-the-art performance on image class-conditioned generation, but also demonstrates properties such as swapping tokens between images to achieve high level semantic editing of an image. Additionally, we propose two metrics that measures the landscape of the token space that can be useful to describe not only the compositionality of the tokens, but also how easy to learn the landscape is for a generator to be trained on this space. We show in experiments that CompTok can improve on both of the metrics as well as supporting state-of-the-art generators for class 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平铺提示：克服图像和视频超分辨率中的提示规格不足</w:t>
      </w:r>
    </w:p>
    <w:p>
      <w:r>
        <w:rPr>
          <w:rFonts w:ascii="Times New Roman" w:hAnsi="Times New Roman" w:eastAsia="宋体"/>
          <w:b/>
          <w:color w:val="003264"/>
          <w:sz w:val="24"/>
        </w:rPr>
        <w:t>Tiled Prompts: Overcoming Prompt Underspecification in Image and Video Super-Resolution</w:t>
      </w:r>
    </w:p>
    <w:p>
      <w:r>
        <w:rPr>
          <w:rFonts w:ascii="Times New Roman" w:hAnsi="Times New Roman" w:eastAsia="宋体"/>
          <w:sz w:val="21"/>
        </w:rPr>
        <w:t>作者: Jong Chul Ye</w:t>
        <w:br/>
      </w:r>
      <w:r>
        <w:rPr>
          <w:rFonts w:ascii="Times New Roman" w:hAnsi="Times New Roman" w:eastAsia="宋体"/>
          <w:sz w:val="21"/>
        </w:rPr>
        <w:t xml:space="preserve">时间: 2026-02-03T10:09:27Z | </w:t>
      </w:r>
      <w:r>
        <w:t xml:space="preserve">链接: </w:t>
      </w:r>
      <w:hyperlink r:id="rId107">
        <w:r>
          <w:rPr>
            <w:rFonts w:ascii="Times New Roman" w:hAnsi="Times New Roman" w:eastAsia="宋体"/>
            <w:color w:val="0000FF"/>
            <w:sz w:val="21"/>
            <w:u w:val="single"/>
          </w:rPr>
          <w:t>https://arxiv.org/abs/2602.03342v1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条件扩散模型通过使用提示作为语义先验来具有先进的图像和视频超分辨率，但现代超分辨率管道通常依赖于潜在平铺来缩放到高分辨率，其中单个全局标题会导致提示规格不足。粗略的全局提示通常会错过局部细节（提示稀疏性），并提供局部不相关的指导（提示误导），这些指导可以通过无分类器的指导来放大。我们提出了 Tiled Prompts，这是一个用于图像和视频超分辨率的统一框架，它为每个潜在图块生成特定于图块的提示，并在本地文本条件后验下执行超分辨率，提供高信息指导，以最小的开销解决提示不足的问题。对高分辨率现实世界图像和视频的实验表明，相对于全局提示基线，感知质量和文本对齐方面取得了一致的进步，同时减少了幻觉和图块级伪影。</w:t>
      </w:r>
    </w:p>
    <w:p>
      <w:pPr>
        <w:spacing w:before="120"/>
      </w:pPr>
      <w:r>
        <w:rPr>
          <w:rFonts w:ascii="Times New Roman" w:hAnsi="Times New Roman" w:eastAsia="宋体"/>
          <w:b/>
          <w:sz w:val="21"/>
        </w:rPr>
        <w:t>English Abstract:</w:t>
      </w:r>
    </w:p>
    <w:p>
      <w:r>
        <w:rPr>
          <w:rFonts w:ascii="Times New Roman" w:hAnsi="Times New Roman" w:eastAsia="宋体"/>
          <w:sz w:val="21"/>
        </w:rPr>
        <w:t>Text-conditioned diffusion models have advanced image and video super-resolution by using prompts as semantic priors, but modern super-resolution pipelines typically rely on latent tiling to scale to high resolutions, where a single global caption causes prompt underspecification. A coarse global prompt often misses localized details (prompt sparsity) and provides locally irrelevant guidance (prompt misguidance) that can be amplified by classifier-free guidance. We propose Tiled Prompts, a unified framework for image and video super-resolution that generates a tile-specific prompt for each latent tile and performs super-resolution under locally text-conditioned posteriors, providing high-information guidance that resolves prompt underspecification with minimal overhead. Experiments on high resolution real-world images and videos show consistent gains in perceptual quality and text alignment, while reducing hallucinations and tile-level artifacts relative to global-prompt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Z3D：来自图像的零射击 3D 视觉基础</w:t>
      </w:r>
    </w:p>
    <w:p>
      <w:r>
        <w:rPr>
          <w:rFonts w:ascii="Times New Roman" w:hAnsi="Times New Roman" w:eastAsia="宋体"/>
          <w:b/>
          <w:color w:val="003264"/>
          <w:sz w:val="24"/>
        </w:rPr>
        <w:t>Z3D: Zero-Shot 3D Visual Grounding from Images</w:t>
      </w:r>
    </w:p>
    <w:p>
      <w:r>
        <w:rPr>
          <w:rFonts w:ascii="Times New Roman" w:hAnsi="Times New Roman" w:eastAsia="宋体"/>
          <w:sz w:val="21"/>
        </w:rPr>
        <w:t>作者: Maksim Kolodiazhnyi</w:t>
        <w:br/>
      </w:r>
      <w:r>
        <w:rPr>
          <w:rFonts w:ascii="Times New Roman" w:hAnsi="Times New Roman" w:eastAsia="宋体"/>
          <w:sz w:val="21"/>
        </w:rPr>
        <w:t xml:space="preserve">时间: 2026-02-03T10:35:18Z | </w:t>
      </w:r>
      <w:r>
        <w:t xml:space="preserve">链接: </w:t>
      </w:r>
      <w:hyperlink r:id="rId108">
        <w:r>
          <w:rPr>
            <w:rFonts w:ascii="Times New Roman" w:hAnsi="Times New Roman" w:eastAsia="宋体"/>
            <w:color w:val="0000FF"/>
            <w:sz w:val="21"/>
            <w:u w:val="single"/>
          </w:rPr>
          <w:t>https://arxiv.org/abs/2602.03361v1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视觉基础 (3DVG) 旨在基于自然语言查询定位 3D 场景中的对象。在这项工作中，我们仅从多视图图像中探索零样本 3DVG，而不需要任何几何监督或对象先验。我们引入了 Z3D，这是一种通用基础管道，可以灵活地处理多视图图像，同时可以选择合并相机姿势和深度图。我们确定了先前零样本方法中导致性能显着下降的关键瓶颈，并通过（i）最先进的零样本 3D 实例分割方法来生成高质量的 3D 边界框建议和（ii）通过基于提示的分割进行高级推理来解决这些瓶颈，该方法利用了现代 VLM 的全部功能。 ScanRefer 和 Nr3D 基准测试的大量实验表明，我们的方法在零样本方法中实现了最先进的性能。代码可在 https://github.com/col14m/z3d 获取。</w:t>
      </w:r>
    </w:p>
    <w:p>
      <w:pPr>
        <w:spacing w:before="120"/>
      </w:pPr>
      <w:r>
        <w:rPr>
          <w:rFonts w:ascii="Times New Roman" w:hAnsi="Times New Roman" w:eastAsia="宋体"/>
          <w:b/>
          <w:sz w:val="21"/>
        </w:rPr>
        <w:t>English Abstract:</w:t>
      </w:r>
    </w:p>
    <w:p>
      <w:r>
        <w:rPr>
          <w:rFonts w:ascii="Times New Roman" w:hAnsi="Times New Roman" w:eastAsia="宋体"/>
          <w:sz w:val="21"/>
        </w:rPr>
        <w:t>3D visual grounding (3DVG) aims to localize objects in a 3D scene based on natural language queries. In this work, we explore zero-shot 3DVG from multi-view images alone, without requiring any geometric supervision or object priors. We introduce Z3D, a universal grounding pipeline that flexibly operates on multi-view images while optionally incorporating camera poses and depth maps. We identify key bottlenecks in prior zero-shot methods causing significant performance degradation and address them with (i) a state-of-the-art zero-shot 3D instance segmentation method to generate high-quality 3D bounding box proposals and (ii) advanced reasoning via prompt-based segmentation, which utilizes full capabilities of modern VLMs. Extensive experiments on the ScanRefer and Nr3D benchmarks demonstrate that our approach achieves state-of-the-art performance among zero-shot methods. Code is available at https://github.com/col14m/z3d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Yuxin Peng</w:t>
        <w:br/>
      </w:r>
      <w:r>
        <w:rPr>
          <w:rFonts w:ascii="Times New Roman" w:hAnsi="Times New Roman" w:eastAsia="宋体"/>
          <w:sz w:val="21"/>
        </w:rPr>
        <w:t xml:space="preserve">时间: 2026-02-03T10:46:51Z | </w:t>
      </w:r>
      <w:r>
        <w:t xml:space="preserve">链接: </w:t>
      </w:r>
      <w:hyperlink r:id="rId109">
        <w:r>
          <w:rPr>
            <w:rFonts w:ascii="Times New Roman" w:hAnsi="Times New Roman" w:eastAsia="宋体"/>
            <w:color w:val="0000FF"/>
            <w:sz w:val="21"/>
            <w:u w:val="single"/>
          </w:rPr>
          <w:t>https://arxiv.org/abs/2602.03371v1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 \textit{多分辨率对齐（MRA）} 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\textit{Multi-Resolution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SLIM-Diff：数据稀缺癫痫 FLAIR MRI 的共享潜像掩模扩散与 Lp 损失</w:t>
      </w:r>
    </w:p>
    <w:p>
      <w:r>
        <w:rPr>
          <w:rFonts w:ascii="Times New Roman" w:hAnsi="Times New Roman" w:eastAsia="宋体"/>
          <w:b/>
          <w:color w:val="003264"/>
          <w:sz w:val="24"/>
        </w:rPr>
        <w:t>SLIM-Diff: Shared Latent Image-Mask Diffusion with Lp loss for Data-Scarce Epilepsy FLAIR MRI</w:t>
      </w:r>
    </w:p>
    <w:p>
      <w:r>
        <w:rPr>
          <w:rFonts w:ascii="Times New Roman" w:hAnsi="Times New Roman" w:eastAsia="宋体"/>
          <w:sz w:val="21"/>
        </w:rPr>
        <w:t>作者: Ezequiel López-Rubio</w:t>
        <w:br/>
      </w:r>
      <w:r>
        <w:rPr>
          <w:rFonts w:ascii="Times New Roman" w:hAnsi="Times New Roman" w:eastAsia="宋体"/>
          <w:sz w:val="21"/>
        </w:rPr>
        <w:t xml:space="preserve">时间: 2026-02-03T10:48:57Z | </w:t>
      </w:r>
      <w:r>
        <w:t xml:space="preserve">链接: </w:t>
      </w:r>
      <w:hyperlink r:id="rId110">
        <w:r>
          <w:rPr>
            <w:rFonts w:ascii="Times New Roman" w:hAnsi="Times New Roman" w:eastAsia="宋体"/>
            <w:color w:val="0000FF"/>
            <w:sz w:val="21"/>
            <w:u w:val="single"/>
          </w:rPr>
          <w:t>https://arxiv.org/abs/2602.03372v1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癫痫 FLAIR MRI 中的局灶性皮质发育不良 (FCD) 病变微妙且稀缺，使得联合图像掩模生成模型容易不稳定和记忆。我们提出了 SLIM-Diff，一种紧凑的联合扩散模型，其主要贡献是（i）单个共享瓶颈 U-Net，通过 2 通道图像+掩模表示强制解剖结构和病变几何结构之间的紧密耦合，以及（ii）通过可调 $L_p$ 目标进行损失几何调整。作为内部基线，我们包括规范的 DDPM 式目标（具有 $L_2$ 损失的 $ε$ 预测），并在匹配的设置下隔离预测参数化和 $L_p$ 几何的影响。实验表明，$x_0$ 预测始终是联合合成的最强选择，分数次二次惩罚 ($L_{1.5}$) 提高了图像保真度，而 $L_2$ 更好地保留了病变掩模形态。我们的代码和模型权重可在 https://github.com/MarioPasc/slim-diff 中找到</w:t>
      </w:r>
    </w:p>
    <w:p>
      <w:pPr>
        <w:spacing w:before="120"/>
      </w:pPr>
      <w:r>
        <w:rPr>
          <w:rFonts w:ascii="Times New Roman" w:hAnsi="Times New Roman" w:eastAsia="宋体"/>
          <w:b/>
          <w:sz w:val="21"/>
        </w:rPr>
        <w:t>English Abstract:</w:t>
      </w:r>
    </w:p>
    <w:p>
      <w:r>
        <w:rPr>
          <w:rFonts w:ascii="Times New Roman" w:hAnsi="Times New Roman" w:eastAsia="宋体"/>
          <w:sz w:val="21"/>
        </w:rPr>
        <w:t>Focal cortical dysplasia (FCD) lesions in epilepsy FLAIR MRI are subtle and scarce, making joint image--mask generative modeling prone to instability and memorization. We propose SLIM-Diff, a compact joint diffusion model whose main contributions are (i) a single shared-bottleneck U-Net that enforces tight coupling between anatomy and lesion geometry from a 2-channel image+mask representation, and (ii) loss-geometry tuning via a tunable $L_p$ objective. As an internal baseline, we include the canonical DDPM-style objective ($ε$-prediction with $L_2$ loss) and isolate the effect of prediction parameterization and $L_p$ geometry under a matched setup. Experiments show that $x_0$-prediction is consistently the strongest choice for joint synthesis, and that fractional sub-quadratic penalties ($L_{1.5}$) improve image fidelity while $L_2$ better preserves lesion mask morphology. Our code and model weights are available in https://github.com/MarioPasc/slim-diff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UnHype：用于动态 LoRA 遗忘的 CLIP 引导超网络</w:t>
      </w:r>
    </w:p>
    <w:p>
      <w:r>
        <w:rPr>
          <w:rFonts w:ascii="Times New Roman" w:hAnsi="Times New Roman" w:eastAsia="宋体"/>
          <w:b/>
          <w:color w:val="003264"/>
          <w:sz w:val="24"/>
        </w:rPr>
        <w:t>UnHype: CLIP-Guided Hypernetworks for Dynamic LoRA Unlearning</w:t>
      </w:r>
    </w:p>
    <w:p>
      <w:r>
        <w:rPr>
          <w:rFonts w:ascii="Times New Roman" w:hAnsi="Times New Roman" w:eastAsia="宋体"/>
          <w:sz w:val="21"/>
        </w:rPr>
        <w:t>作者: Maciej Zieba</w:t>
        <w:br/>
      </w:r>
      <w:r>
        <w:rPr>
          <w:rFonts w:ascii="Times New Roman" w:hAnsi="Times New Roman" w:eastAsia="宋体"/>
          <w:sz w:val="21"/>
        </w:rPr>
        <w:t xml:space="preserve">时间: 2026-02-03T11:37:08Z | </w:t>
      </w:r>
      <w:r>
        <w:t xml:space="preserve">链接: </w:t>
      </w:r>
      <w:hyperlink r:id="rId111">
        <w:r>
          <w:rPr>
            <w:rFonts w:ascii="Times New Roman" w:hAnsi="Times New Roman" w:eastAsia="宋体"/>
            <w:color w:val="0000FF"/>
            <w:sz w:val="21"/>
            <w:u w:val="single"/>
          </w:rPr>
          <w:t>https://arxiv.org/abs/2602.03410v1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传播模型的最新进展加剧了人们对其潜在滥用的担忧，特别是在生成现实但有害或具有社会破坏性的内容方面。这一挑战激发了人们对有效机器取消学习的兴趣日益增长，即有选择地从模型中删除特定知识或概念而不损害其整体生成能力的过程。在各种方法中，低秩适应（LoRA）已成为一种有效且高效的方法，用于微调模型以实现有针对性的忘却。然而，基于 LoRA 的方法通常对概念语义的适应性有限，并且难以在删除密切相关的概念与保持更广泛含义的泛化之间取得平衡。此外，当必须同时删除多个概念时，这些方法面临可扩展性挑战。为了解决这些限制，我们引入了 UnHype，这是一个将超网络纳入单概念和多概念 LoRA 训练的框架。所提出的架构可以直接插入稳定扩散以及现代基于流的文本到图像模型，其中它展示了稳定的训练行为和有效的概念控制。在推理过程中，超网络基于 CLIP 嵌入动态生成自适应 LoRA 权重，从而实现更多上下文感知、可扩展的取消学习。我们在多项具有挑战性的任务中评估了 UnHype，包括对象擦除、名人擦除和显式内容删除，证明了其有效性和多功能性。存储库：https://github.com/gmum/UnHype。</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large-scale diffusion models have intensified concerns about their potential misuse, particularly in generating realistic yet harmful or socially disruptive content. This challenge has spurred growing interest in effective machine unlearning, the process of selectively removing specific knowledge or concepts from a model without compromising its overall generative capabilities. Among various approaches, Low-Rank Adaptation (LoRA) has emerged as an effective and efficient method for fine-tuning models toward targeted unlearning. However, LoRA-based methods often exhibit limited adaptability to concept semantics and struggle to balance removing closely related concepts with maintaining generalization across broader meanings. Moreover, these methods face scalability challenges when multiple concepts must be erased simultaneously. To address these limitations, we introduce UnHype, a framework that incorporates hypernetworks into single- and multi-concept LoRA training. The proposed architecture can be directly plugged into Stable Diffusion as well as modern flow-based text-to-image models, where it demonstrates stable training behavior and effective concept control. During inference, the hypernetwork dynamically generates adaptive LoRA weights based on the CLIP embedding, enabling more context-aware, scalable unlearning. We evaluate UnHype across several challenging tasks, including object erasure, celebrity erasure, and explicit content removal, demonstrating its effectiveness and versatility. Repository: https://github.com/gmum/UnHype.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Socratic-Geo：通过多智能体交互进行合成数据生成和几何推理</w:t>
      </w:r>
    </w:p>
    <w:p>
      <w:r>
        <w:rPr>
          <w:rFonts w:ascii="Times New Roman" w:hAnsi="Times New Roman" w:eastAsia="宋体"/>
          <w:b/>
          <w:color w:val="003264"/>
          <w:sz w:val="24"/>
        </w:rPr>
        <w:t>Socratic-Geo: Synthetic Data Generation and Geometric Reasoning via Multi-Agent Interaction</w:t>
      </w:r>
    </w:p>
    <w:p>
      <w:r>
        <w:rPr>
          <w:rFonts w:ascii="Times New Roman" w:hAnsi="Times New Roman" w:eastAsia="宋体"/>
          <w:sz w:val="21"/>
        </w:rPr>
        <w:t>作者: Linfeng Zhang</w:t>
        <w:br/>
      </w:r>
      <w:r>
        <w:rPr>
          <w:rFonts w:ascii="Times New Roman" w:hAnsi="Times New Roman" w:eastAsia="宋体"/>
          <w:sz w:val="21"/>
        </w:rPr>
        <w:t xml:space="preserve">时间: 2026-02-03T11:42:25Z | </w:t>
      </w:r>
      <w:r>
        <w:t xml:space="preserve">链接: </w:t>
      </w:r>
      <w:hyperlink r:id="rId112">
        <w:r>
          <w:rPr>
            <w:rFonts w:ascii="Times New Roman" w:hAnsi="Times New Roman" w:eastAsia="宋体"/>
            <w:color w:val="0000FF"/>
            <w:sz w:val="21"/>
            <w:u w:val="single"/>
          </w:rPr>
          <w:t>https://arxiv.org/abs/2602.03414v1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具有显着先进的视觉语言理解能力。然而，即使是最先进的模型也难以进行几何推理，揭示了一个关键瓶颈：高质量图像文本对的极度稀缺。人工注释成本高昂，而自动化方法无法确保保真度和训练有效性。现有的方法要么被动地适应可用图像，要么采用低效的随机探索和过滤，将生成与学习需求脱钩。我们提出了 Socratic-Geo，一个完全自主的框架，通过多智能体交互动态地将数据合成与模型学习结合起来。教师代理生成带有反射反馈的参数化 Python 脚本（Reflect 用于解决可解性，RePI 用于视觉有效性），确保图像-文本对的纯度。求解器代理通过偏好学习优化推理，并用失败路径指导教师的有针对性的增强。生成器独立地学习累积的“图像-代码-指令”三元组的图像生成功能，将程序化绘图智能提炼为视觉生成。从仅 108 个种子问题开始，Socratic-Solver 使用四分之一的基线数据在 6 个基准测试中取得了 49.11 的成绩，比强基线高出 2.43 分。 Socratic-Generator 在 GenExam 上取得了 42.4% 的成绩，为开源模型建立了新的最先进水平，超过了 Seedream-4.0 (39.8%) 并接近 Gemini-2.5-Flash-Image (43.1%)。</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significantly advanced vision-language understanding. However, even state-of-the-art models struggle with geometric reasoning, revealing a critical bottleneck: the extreme scarcity of high-quality image-text pairs. Human annotation is prohibitively expensive, while automated methods fail to ensure fidelity and training effectiveness. Existing approaches either passively adapt to available images or employ inefficient random exploration with filtering, decoupling generation from learning needs. We propose Socratic-Geo, a fully autonomous framework that dynamically couples data synthesis with model learning through multi-agent interaction. The Teacher agent generates parameterized Python scripts with reflective feedback (Reflect for solvability, RePI for visual validity), ensuring image-text pair purity. The Solver agent optimizes reasoning through preference learning, with failure paths guiding Teacher's targeted augmentation. Independently, the Generator learns image generation capabilities on accumulated "image-code-instruction" triplets, distilling programmatic drawing intelligence into visual generation. Starting from only 108 seed problems, Socratic-Solver achieves 49.11 on six benchmarks using one-quarter of baseline data, surpassing strong baselines by 2.43 points. Socratic-Generator achieves 42.4% on GenExam, establishing new state-of-the-art for open-source models, surpassing Seedream-4.0 (39.8%) and approaching Gemini-2.5-Flash-Image (43.1%).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Origin Lens：用于加密图像来源和人工智能检测的隐私第一移动框架</w:t>
      </w:r>
    </w:p>
    <w:p>
      <w:r>
        <w:rPr>
          <w:rFonts w:ascii="Times New Roman" w:hAnsi="Times New Roman" w:eastAsia="宋体"/>
          <w:b/>
          <w:color w:val="003264"/>
          <w:sz w:val="24"/>
        </w:rPr>
        <w:t>Origin Lens: A Privacy-First Mobile Framework for Cryptographic Image Provenance and AI Detection</w:t>
      </w:r>
    </w:p>
    <w:p>
      <w:r>
        <w:rPr>
          <w:rFonts w:ascii="Times New Roman" w:hAnsi="Times New Roman" w:eastAsia="宋体"/>
          <w:sz w:val="21"/>
        </w:rPr>
        <w:t>作者: Marc-Oliver Pahl</w:t>
        <w:br/>
      </w:r>
      <w:r>
        <w:rPr>
          <w:rFonts w:ascii="Times New Roman" w:hAnsi="Times New Roman" w:eastAsia="宋体"/>
          <w:sz w:val="21"/>
        </w:rPr>
        <w:t xml:space="preserve">时间: 2026-02-03T11:49:00Z | </w:t>
      </w:r>
      <w:r>
        <w:t xml:space="preserve">链接: </w:t>
      </w:r>
      <w:hyperlink r:id="rId113">
        <w:r>
          <w:rPr>
            <w:rFonts w:ascii="Times New Roman" w:hAnsi="Times New Roman" w:eastAsia="宋体"/>
            <w:color w:val="0000FF"/>
            <w:sz w:val="21"/>
            <w:u w:val="single"/>
          </w:rPr>
          <w:t>https://arxiv.org/abs/2602.03423v1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生成式人工智能的激增给信息完整性保证带来了挑战，需要将模型治理与最终用户验证连接起来的系统。我们推出 Origin Lens，这是一个隐私优先的移动框架，通过分层验证架构针对视觉虚假信息。与服务器端检测系统不同，Origin Lens 通过 Rust/Flutter 混合架构在设备上本地执行加密图像来源验证和 AI 检测。我们的系统集成了多种信号——包括密码来源、生成模型指纹和可选的检索增强验证——在消费时为用户提供分级置信度指标。我们讨论了该框架与监管要求（欧盟人工智能法案、DSA）的一致性及其在补充平台级机制的验证基础设施中的作用。</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generative AI poses challenges for information integrity assurance, requiring systems that connect model governance with end-user verification. We present Origin Lens, a privacy-first mobile framework that targets visual disinformation through a layered verification architecture. Unlike server-side detection systems, Origin Lens performs cryptographic image provenance verification and AI detection locally on the device via a Rust/Flutter hybrid architecture. Our system integrates multiple signals - including cryptographic provenance, generative model fingerprints, and optional retrieval-augmented verification - to provide users with graded confidence indicators at the point of consumption. We discuss the framework's alignment with regulatory requirements (EU AI Act, DSA) and its role in verification infrastructure that complements platform-level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多主体图像生成的分层概念到外观指导</w:t>
      </w:r>
    </w:p>
    <w:p>
      <w:r>
        <w:rPr>
          <w:rFonts w:ascii="Times New Roman" w:hAnsi="Times New Roman" w:eastAsia="宋体"/>
          <w:b/>
          <w:color w:val="003264"/>
          <w:sz w:val="24"/>
        </w:rPr>
        <w:t>Hierarchical Concept-to-Appearance Guidance for Multi-Subject Image Generation</w:t>
      </w:r>
    </w:p>
    <w:p>
      <w:r>
        <w:rPr>
          <w:rFonts w:ascii="Times New Roman" w:hAnsi="Times New Roman" w:eastAsia="宋体"/>
          <w:sz w:val="21"/>
        </w:rPr>
        <w:t>作者: Jinshi Cui</w:t>
        <w:br/>
      </w:r>
      <w:r>
        <w:rPr>
          <w:rFonts w:ascii="Times New Roman" w:hAnsi="Times New Roman" w:eastAsia="宋体"/>
          <w:sz w:val="21"/>
        </w:rPr>
        <w:t xml:space="preserve">时间: 2026-02-03T12:13:29Z | </w:t>
      </w:r>
      <w:r>
        <w:t xml:space="preserve">链接: </w:t>
      </w:r>
      <w:hyperlink r:id="rId114">
        <w:r>
          <w:rPr>
            <w:rFonts w:ascii="Times New Roman" w:hAnsi="Times New Roman" w:eastAsia="宋体"/>
            <w:color w:val="0000FF"/>
            <w:sz w:val="21"/>
            <w:u w:val="single"/>
          </w:rPr>
          <w:t>https://arxiv.org/abs/2602.03448v1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主体图像生成旨在合成图像，在遵循文本指令的同时忠实地保留多个参考主体的身份。然而，现有方法经常遭受身份不一致和有限的构图控制，因为它们依赖扩散模型来隐式地将文本提示与参考图像关联起来。在这项工作中，我们提出了分层概念到外观指导（CAG），这是一个提供从高级概念到细粒度外观的明确、结构化监督的框架。在概念层面，我们引入了一种 VAE dropout 训练策略，该策略随机省略参考 VAE 特征，鼓励模型更多地依赖来自视觉语言模型（VLM）的强大语义信号，从而在缺乏完整外观线索的情况下促进一致的概念级生成。在外观层面，我们将 VLM 派生的对应关系集成到扩散变压器 (DiT) 内的对应感知屏蔽注意模块中。该模块限制每个文本标记仅关注其匹配的参考区域，确保精确的属性绑定和可靠的多主题组合。大量的实验表明，我们的方法在多主体图像生成方面实现了最先进的性能，显着提高了及时跟踪和主体一致性。</w:t>
      </w:r>
    </w:p>
    <w:p>
      <w:pPr>
        <w:spacing w:before="120"/>
      </w:pPr>
      <w:r>
        <w:rPr>
          <w:rFonts w:ascii="Times New Roman" w:hAnsi="Times New Roman" w:eastAsia="宋体"/>
          <w:b/>
          <w:sz w:val="21"/>
        </w:rPr>
        <w:t>English Abstract:</w:t>
      </w:r>
    </w:p>
    <w:p>
      <w:r>
        <w:rPr>
          <w:rFonts w:ascii="Times New Roman" w:hAnsi="Times New Roman" w:eastAsia="宋体"/>
          <w:sz w:val="21"/>
        </w:rPr>
        <w:t>Multi-subject image generation aims to synthesize images that faithfully preserve the identities of multiple reference subjects while following textual instructions. However, existing methods often suffer from identity inconsistency and limited compositional control, as they rely on diffusion models to implicitly associate text prompts with reference images. In this work, we propose Hierarchical Concept-to-Appearance Guidance (CAG), a framework that provides explicit, structured supervision from high-level concepts to fine-grained appearances. At the conceptual level, we introduce a VAE dropout training strategy that randomly omits reference VAE features, encouraging the model to rely more on robust semantic signals from a Visual Language Model (VLM) and thereby promoting consistent concept-level generation in the absence of complete appearance cues. At the appearance level, we integrate the VLM-derived correspondences into a correspondence-aware masked attention module within the Diffusion Transformer (DiT). This module restricts each text token to attend only to its matched reference regions, ensuring precise attribute binding and reliable multi-subject composition. Extensive experiments demonstrate that our method achieves state-of-the-art performance on the multi-subject image generation, substantially improving prompt following and subject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视觉语言模型中的情境化视觉个性化</w:t>
      </w:r>
    </w:p>
    <w:p>
      <w:r>
        <w:rPr>
          <w:rFonts w:ascii="Times New Roman" w:hAnsi="Times New Roman" w:eastAsia="宋体"/>
          <w:b/>
          <w:color w:val="003264"/>
          <w:sz w:val="24"/>
        </w:rPr>
        <w:t>Contextualized Visual Personalization in Vision-Language Models</w:t>
      </w:r>
    </w:p>
    <w:p>
      <w:r>
        <w:rPr>
          <w:rFonts w:ascii="Times New Roman" w:hAnsi="Times New Roman" w:eastAsia="宋体"/>
          <w:sz w:val="21"/>
        </w:rPr>
        <w:t>作者: Sungroh Yoon</w:t>
        <w:br/>
      </w:r>
      <w:r>
        <w:rPr>
          <w:rFonts w:ascii="Times New Roman" w:hAnsi="Times New Roman" w:eastAsia="宋体"/>
          <w:sz w:val="21"/>
        </w:rPr>
        <w:t xml:space="preserve">时间: 2026-02-03T12:21:26Z | </w:t>
      </w:r>
      <w:r>
        <w:t xml:space="preserve">链接: </w:t>
      </w:r>
      <w:hyperlink r:id="rId115">
        <w:r>
          <w:rPr>
            <w:rFonts w:ascii="Times New Roman" w:hAnsi="Times New Roman" w:eastAsia="宋体"/>
            <w:color w:val="0000FF"/>
            <w:sz w:val="21"/>
            <w:u w:val="single"/>
          </w:rPr>
          <w:t>https://arxiv.org/abs/2602.03454v1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语言模型（VLM）最近取得了进展，但现有方法通常无法根据用户的特定体验生成个性化响应，因为它们缺乏将视觉输入与用户积累的视觉文本上下文相关联的能力。我们将这一挑战新形式化为情境化视觉个性化，这需要 VLM 在解释新图像时对个性化视觉体验进行视觉识别和文本检索。为了解决这个问题，我们提出了 CoViP，一个统一的框架，将个性化图像字幕视为上下文视觉个性化的核心任务，并通过基于强化学习的后训练和字幕增强生成来提高这种能力。我们进一步引入诊断评估，明确排除文本快捷方式解决方案，并验证 VLM 是否真正利用视觉上下文。大量实验表明，现有的开源和专有 VLM 表现出很大的局限性，而 CoViP 不仅改进了个性化图像字幕，而且还为下游个性化任务带来了整体收益。这些结果凸显了 CoViP 是实现稳健且可推广的情境化视觉个性化的关键阶段。</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vision-language models (VLMs), existing approaches often fail to generate personalized responses based on the user's specific experiences, as they lack the ability to associate visual inputs with a user's accumulated visual-textual context. We newly formalize this challenge as contextualized visual personalization, which requires the visual recognition and textual retrieval of personalized visual experiences by VLMs when interpreting new images. To address this issue, we propose CoViP, a unified framework that treats personalized image captioning as a core task for contextualized visual personalization and improves this capability through reinforcement-learning-based post-training and caption-augmented generation. We further introduce diagnostic evaluations that explicitly rule out textual shortcut solutions and verify whether VLMs truly leverage visual context. Extensive experiments demonstrate that existing open-source and proprietary VLMs exhibit substantial limitations, while CoViP not only improves personalized image captioning but also yields holistic gains across downstream personalization tasks. These results highlight CoViP as a crucial stage for enabling robust and generalizable contextualized visual personalization.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目标检测模型的以内点为中心的训练后量化</w:t>
      </w:r>
    </w:p>
    <w:p>
      <w:r>
        <w:rPr>
          <w:rFonts w:ascii="Times New Roman" w:hAnsi="Times New Roman" w:eastAsia="宋体"/>
          <w:b/>
          <w:color w:val="003264"/>
          <w:sz w:val="24"/>
        </w:rPr>
        <w:t>Inlier-Centric Post-Training Quantization for Object Detection Models</w:t>
      </w:r>
    </w:p>
    <w:p>
      <w:r>
        <w:rPr>
          <w:rFonts w:ascii="Times New Roman" w:hAnsi="Times New Roman" w:eastAsia="宋体"/>
          <w:sz w:val="21"/>
        </w:rPr>
        <w:t>作者: Junmo Kim</w:t>
        <w:br/>
      </w:r>
      <w:r>
        <w:rPr>
          <w:rFonts w:ascii="Times New Roman" w:hAnsi="Times New Roman" w:eastAsia="宋体"/>
          <w:sz w:val="21"/>
        </w:rPr>
        <w:t xml:space="preserve">时间: 2026-02-03T12:44:37Z | </w:t>
      </w:r>
      <w:r>
        <w:t xml:space="preserve">链接: </w:t>
      </w:r>
      <w:hyperlink r:id="rId116">
        <w:r>
          <w:rPr>
            <w:rFonts w:ascii="Times New Roman" w:hAnsi="Times New Roman" w:eastAsia="宋体"/>
            <w:color w:val="0000FF"/>
            <w:sz w:val="21"/>
            <w:u w:val="single"/>
          </w:rPr>
          <w:t>https://arxiv.org/abs/2602.03472v1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标检测在计算机视觉中至关重要，但其巨大的计算需求使得部署缓慢且耗电，从而促进了量化。然而，与任务无关的形态（例如背景杂乱和传感器噪声）会引起冗余激活（或异常）。这些异常扩大了激活范围，并使激活分布偏向与任务无关的响应，使位分配复杂化并削弱了信息特征的保存。如果没有明确的标准来区分异常，抑制异常可能会无意中丢弃有用的信息。为了解决这个问题，我们提出了 InlierQ，一种以内点为中心的训练后量化方法，可将异常与信息丰富的内点分开。 InlierQ 计算梯度感知体积显着性分数，将每个体积分类为内点或异常，并使用期望最大化 (EM) 算法拟合这些分数的后验分布。这种设计可以抑制异常，同时保留信息特征。 InlierQ 是无标记的、直接插入的，并且仅需要 64 个校准样本。 COCO 和 nuScenes 基准测试表明，基于相机（2D 和 3D）和基于 LiDAR（3D）的物体检测的量化误差持续减少。</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pivotal in computer vision, yet its immense computational demands make deployment slow and power-hungry, motivating quantization. However, task-irrelevant morphologies such as background clutter and sensor noise induce redundant activations (or anomalies). These anomalies expand activation ranges and skew activation distributions toward task-irrelevant responses, complicating bit allocation and weakening the preservation of informative features. Without a clear criterion to distinguish anomalies, suppressing them can inadvertently discard useful information. To address this, we present InlierQ, an inlier-centric post-training quantization approach that separates anomalies from informative inliers. InlierQ computes gradient-aware volume saliency scores, classifies each volume as an inlier or anomaly, and fits a posterior distribution over these scores using the Expectation-Maximization (EM) algorithm. This design suppresses anomalies while preserving informative features. InlierQ is label-free, drop-in, and requires only 64 calibration samples. Experiments on the COCO and nuScenes benchmarks show consistent reductions in quantization error for camera-based (2D and 3D) and LiDAR-based (3D)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解耦骨架和肉体：具有解耦对齐和结构感知指导的高效多模态表推理</w:t>
      </w:r>
    </w:p>
    <w:p>
      <w:r>
        <w:rPr>
          <w:rFonts w:ascii="Times New Roman" w:hAnsi="Times New Roman" w:eastAsia="宋体"/>
          <w:b/>
          <w:color w:val="003264"/>
          <w:sz w:val="24"/>
        </w:rPr>
        <w:t>Decoupling Skeleton and Flesh: Efficient Multimodal Table Reasoning with Disentangled Alignment and Structure-aware Guidance</w:t>
      </w:r>
    </w:p>
    <w:p>
      <w:r>
        <w:rPr>
          <w:rFonts w:ascii="Times New Roman" w:hAnsi="Times New Roman" w:eastAsia="宋体"/>
          <w:sz w:val="21"/>
        </w:rPr>
        <w:t>作者: Min Zhang</w:t>
        <w:br/>
      </w:r>
      <w:r>
        <w:rPr>
          <w:rFonts w:ascii="Times New Roman" w:hAnsi="Times New Roman" w:eastAsia="宋体"/>
          <w:sz w:val="21"/>
        </w:rPr>
        <w:t xml:space="preserve">时间: 2026-02-03T13:08:31Z | </w:t>
      </w:r>
      <w:r>
        <w:t xml:space="preserve">链接: </w:t>
      </w:r>
      <w:hyperlink r:id="rId117">
        <w:r>
          <w:rPr>
            <w:rFonts w:ascii="Times New Roman" w:hAnsi="Times New Roman" w:eastAsia="宋体"/>
            <w:color w:val="0000FF"/>
            <w:sz w:val="21"/>
            <w:u w:val="single"/>
          </w:rPr>
          <w:t>https://arxiv.org/abs/2602.03491v1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布局和紧密耦合的结构内容信息，对于大型视觉语言模型（LVLM）来说，表格图像的推理仍然具有挑战性。现有的解决方案通常依赖于昂贵的监督训练、强化学习或外部工具，限制了效率和可扩展性。这项工作解决了一个关键问题：如何在没有外部工具的情况下使用最少的注释使 LVLM 适应表推理？具体来说，我们首先介绍 DiSCo，一个解开的结构-内容对齐框架，它在多模态对齐期间显式地将结构抽象与语义基础分开，从而有效地使 LVLM 适应表结构。在 DiSCo 的基础上，我们进一步提出了 Table-GLS，这是一种全局到局部结构引导的推理框架，通过结构化探索和基于证据的推理来执行表格推理。跨不同基准的大量实验表明，我们的框架有效增强了 LVLM 的表理解和推理能力，特别是泛化到不可见的表结构。</w:t>
      </w:r>
    </w:p>
    <w:p>
      <w:pPr>
        <w:spacing w:before="120"/>
      </w:pPr>
      <w:r>
        <w:rPr>
          <w:rFonts w:ascii="Times New Roman" w:hAnsi="Times New Roman" w:eastAsia="宋体"/>
          <w:b/>
          <w:sz w:val="21"/>
        </w:rPr>
        <w:t>English Abstract:</w:t>
      </w:r>
    </w:p>
    <w:p>
      <w:r>
        <w:rPr>
          <w:rFonts w:ascii="Times New Roman" w:hAnsi="Times New Roman" w:eastAsia="宋体"/>
          <w:sz w:val="21"/>
        </w:rPr>
        <w:t>Reasoning over table images remains challenging for Large Vision-Language Models (LVLMs) due to complex layouts and tightly coupled structure-content information. Existing solutions often depend on expensive supervised training, reinforcement learning, or external tools, limiting efficiency and scalability. This work addresses a key question: how to adapt LVLMs to table reasoning with minimal annotation and no external tools? Specifically, we first introduce DiSCo, a Disentangled Structure-Content alignment framework that explicitly separates structural abstraction from semantic grounding during multimodal alignment, efficiently adapting LVLMs to tables structures. Building on DiSCo, we further present Table-GLS, a Global-to-Local Structure-guided reasoning framework that performs table reasoning via structured exploration and evidence-grounded inference. Extensive experiments across diverse benchmarks demonstrate that our framework efficiently enhances LVLM's table understanding and reasoning capabilities, particularly generalizing to unseen table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语义路由：探索扩散变压器的多层 LLM 特征加权</w:t>
      </w:r>
    </w:p>
    <w:p>
      <w:r>
        <w:rPr>
          <w:rFonts w:ascii="Times New Roman" w:hAnsi="Times New Roman" w:eastAsia="宋体"/>
          <w:b/>
          <w:color w:val="003264"/>
          <w:sz w:val="24"/>
        </w:rPr>
        <w:t>Semantic Routing: Exploring Multi-Layer LLM Feature Weighting for Diffusion Transformers</w:t>
      </w:r>
    </w:p>
    <w:p>
      <w:r>
        <w:rPr>
          <w:rFonts w:ascii="Times New Roman" w:hAnsi="Times New Roman" w:eastAsia="宋体"/>
          <w:sz w:val="21"/>
        </w:rPr>
        <w:t>作者: Wentao Zhang</w:t>
        <w:br/>
      </w:r>
      <w:r>
        <w:rPr>
          <w:rFonts w:ascii="Times New Roman" w:hAnsi="Times New Roman" w:eastAsia="宋体"/>
          <w:sz w:val="21"/>
        </w:rPr>
        <w:t xml:space="preserve">时间: 2026-02-03T13:30:13Z | </w:t>
      </w:r>
      <w:r>
        <w:t xml:space="preserve">链接: </w:t>
      </w:r>
      <w:hyperlink r:id="rId118">
        <w:r>
          <w:rPr>
            <w:rFonts w:ascii="Times New Roman" w:hAnsi="Times New Roman" w:eastAsia="宋体"/>
            <w:color w:val="0000FF"/>
            <w:sz w:val="21"/>
            <w:u w:val="single"/>
          </w:rPr>
          <w:t>https://arxiv.org/abs/2602.03510v1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 DiT 的文本到图像模型越来越多地采用 LLM 作为文本编码器，但文本调节在很大程度上仍然是静态的，并且通常仅使用单个 LLM 层，尽管跨 LLM 层的语义层次结构明显，并且在扩散时间和网络深度上都具有非平稳的去噪动态。为了更好地匹配DiT生成的动态过程，从而增强扩散模型的生成能力，我们引入了一个配备轻量级门的统一归一化凸融合框架，通过时间、深度和联合融合系统地组织多层LLM隐藏状态。实验将深度语义路由确立为卓越的调节策略，持续改进文本图像对齐和组合生成（例如，在 GenAI-Bench 计数任务上为 +9.97）。相反，我们发现纯粹的时间融合会矛盾地降低视觉生成保真度。我们将此归因于训练推理轨迹不匹配：在无分类器指导下，标称时间步长无法跟踪有效 SNR，导致推理过程中语义上的特征注入不及时。总体而言，我们的结果将深度路由定位为强大而有效的基线，并强调了对轨迹感知信号以实现强大的时间相关调节的迫切需求。</w:t>
      </w:r>
    </w:p>
    <w:p>
      <w:pPr>
        <w:spacing w:before="120"/>
      </w:pPr>
      <w:r>
        <w:rPr>
          <w:rFonts w:ascii="Times New Roman" w:hAnsi="Times New Roman" w:eastAsia="宋体"/>
          <w:b/>
          <w:sz w:val="21"/>
        </w:rPr>
        <w:t>English Abstract:</w:t>
      </w:r>
    </w:p>
    <w:p>
      <w:r>
        <w:rPr>
          <w:rFonts w:ascii="Times New Roman" w:hAnsi="Times New Roman" w:eastAsia="宋体"/>
          <w:sz w:val="21"/>
        </w:rPr>
        <w:t>Recent DiT-based text-to-image models increasingly adopt LLMs as text encoders, yet text conditioning remains largely static and often utilizes only a single LLM layer, despite pronounced semantic hierarchy across LLM layers and non-stationary denoising dynamics over both diffusion time and network depth. To better match the dynamic process of DiT generation and thereby enhance the diffusion model's generative capability, we introduce a unified normalized convex fusion framework equipped with lightweight gates to systematically organize multi-layer LLM hidden states via time-wise, depth-wise, and joint fusion. Experiments establish Depth-wise Semantic Routing as the superior conditioning strategy, consistently improving text-image alignment and compositional generation (e.g., +9.97 on the GenAI-Bench Counting task). Conversely, we find that purely time-wise fusion can paradoxically degrade visual generation fidelity. We attribute this to a train-inference trajectory mismatch: under classifier-free guidance, nominal timesteps fail to track the effective SNR, causing semantically mistimed feature injection during inference. Overall, our results position depth-wise routing as a strong and effective baseline and highlight the critical need for trajectory-aware signals to enable robust time-dependent conditioning.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通过约束分解和指令微调进行可解释的逻辑异常分类</w:t>
      </w:r>
    </w:p>
    <w:p>
      <w:r>
        <w:rPr>
          <w:rFonts w:ascii="Times New Roman" w:hAnsi="Times New Roman" w:eastAsia="宋体"/>
          <w:b/>
          <w:color w:val="003264"/>
          <w:sz w:val="24"/>
        </w:rPr>
        <w:t>Interpretable Logical Anomaly Classification via Constraint Decomposition and Instruction Fine-Tuning</w:t>
      </w:r>
    </w:p>
    <w:p>
      <w:r>
        <w:rPr>
          <w:rFonts w:ascii="Times New Roman" w:hAnsi="Times New Roman" w:eastAsia="宋体"/>
          <w:sz w:val="21"/>
        </w:rPr>
        <w:t>作者: Jianxiong Wang</w:t>
        <w:br/>
      </w:r>
      <w:r>
        <w:rPr>
          <w:rFonts w:ascii="Times New Roman" w:hAnsi="Times New Roman" w:eastAsia="宋体"/>
          <w:sz w:val="21"/>
        </w:rPr>
        <w:t xml:space="preserve">时间: 2026-02-03T13:48:09Z | </w:t>
      </w:r>
      <w:r>
        <w:t xml:space="preserve">链接: </w:t>
      </w:r>
      <w:hyperlink r:id="rId119">
        <w:r>
          <w:rPr>
            <w:rFonts w:ascii="Times New Roman" w:hAnsi="Times New Roman" w:eastAsia="宋体"/>
            <w:color w:val="0000FF"/>
            <w:sz w:val="21"/>
            <w:u w:val="single"/>
          </w:rPr>
          <w:t>https://arxiv.org/abs/2602.03530v1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逻辑异常是指违反工业图像中对象数量、空间布局和构图关系的预定义约束。虽然先前的工作主要将异常检测视为二元决策，但此类表述无法表明哪个逻辑规则被破坏，因此为质量保证提供的价值有限。我们引入了逻辑异常分类（LAC），这是一项在单个推理步骤中统一异常检测和细粒度违规分类的任务。为了解决 LAC 问题，我们提出了 LogiCls，这是一种视觉语言框架，可将复杂的逻辑约束分解为一系列可验证的子查询。我们进一步提出了一个以数据为中心的指令合成管道，它为这些子查询生成思想链（CoT）监督，将精确的基础注释与不同的图像文本增强相结合，以使视觉语言模型（VLM）适应逻辑敏感推理。通过难度感知重采样策略来稳定训练，该策略强调具有挑战性的子查询和长尾约束类型。大量实验表明，LogiCls 可提供稳健、可解释且准确的工业逻辑异常分类，提供预测的违规类别及其证据线索。</w:t>
      </w:r>
    </w:p>
    <w:p>
      <w:pPr>
        <w:spacing w:before="120"/>
      </w:pPr>
      <w:r>
        <w:rPr>
          <w:rFonts w:ascii="Times New Roman" w:hAnsi="Times New Roman" w:eastAsia="宋体"/>
          <w:b/>
          <w:sz w:val="21"/>
        </w:rPr>
        <w:t>English Abstract:</w:t>
      </w:r>
    </w:p>
    <w:p>
      <w:r>
        <w:rPr>
          <w:rFonts w:ascii="Times New Roman" w:hAnsi="Times New Roman" w:eastAsia="宋体"/>
          <w:sz w:val="21"/>
        </w:rPr>
        <w:t>Logical anomalies are violations of predefined constraints on object quantity, spatial layout, and compositional relationships in industrial images. While prior work largely treats anomaly detection as a binary decision, such formulations cannot indicate which logical rule is broken and therefore offer limited value for quality assurance. We introduce Logical Anomaly Classification (LAC), a task that unifies anomaly detection and fine-grained violation classification in a single inference step. To tackle LAC, we propose LogiCls, a vision-language framework that decomposes complex logical constraints into a sequence of verifiable subqueries. We further present a data-centric instruction synthesis pipeline that generates chain-of-thought (CoT) supervision for these subqueries, coupling precise grounding annotations with diverse image-text augmentations to adapt vision language models (VLMs) to logic-sensitive reasoning. Training is stabilized by a difficulty-aware resampling strategy that emphasizes challenging subqueries and long tail constraint types. Extensive experiments demonstrate that LogiCls delivers robust, interpretable, and accurate industrial logical anomaly classification, providing both the predicted violation categories and their evidence trails.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掩码自动编码器中的鲁棒表示学习</w:t>
      </w:r>
    </w:p>
    <w:p>
      <w:r>
        <w:rPr>
          <w:rFonts w:ascii="Times New Roman" w:hAnsi="Times New Roman" w:eastAsia="宋体"/>
          <w:b/>
          <w:color w:val="003264"/>
          <w:sz w:val="24"/>
        </w:rPr>
        <w:t>Robust Representation Learning in Masked Autoencoders</w:t>
      </w:r>
    </w:p>
    <w:p>
      <w:r>
        <w:rPr>
          <w:rFonts w:ascii="Times New Roman" w:hAnsi="Times New Roman" w:eastAsia="宋体"/>
          <w:sz w:val="21"/>
        </w:rPr>
        <w:t>作者: Samar Agnihotri</w:t>
        <w:br/>
      </w:r>
      <w:r>
        <w:rPr>
          <w:rFonts w:ascii="Times New Roman" w:hAnsi="Times New Roman" w:eastAsia="宋体"/>
          <w:sz w:val="21"/>
        </w:rPr>
        <w:t xml:space="preserve">时间: 2026-02-03T13:48:34Z | </w:t>
      </w:r>
      <w:r>
        <w:t xml:space="preserve">链接: </w:t>
      </w:r>
      <w:hyperlink r:id="rId120">
        <w:r>
          <w:rPr>
            <w:rFonts w:ascii="Times New Roman" w:hAnsi="Times New Roman" w:eastAsia="宋体"/>
            <w:color w:val="0000FF"/>
            <w:sz w:val="21"/>
            <w:u w:val="single"/>
          </w:rPr>
          <w:t>https://arxiv.org/abs/2602.03531v1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掩码自动编码器 (MAE) 在图像分类任务中取得了令人印象深刻的性能，但它们学习的内部表示仍然知之甚少。这项工作最初是为了了解 MAE 强大的下游分类性能。在此过程中，我们发现通过预训练和微调学习到的表示非常稳健——在存在退化（例如模糊和遮挡）的情况下表现出良好的分类性能。通过对 token 嵌入的分层分析，我们表明预训练的 MAE 在网络深度上以类感知的方式逐步构建其潜在空间：来自不同类的嵌入位于变得越来越可分离的子空间中。我们进一步观察到，与标准视觉变压器 (ViT) 相比，MAE 在编码器层中表现出早期且持续的全局关注。为了量化特征的鲁棒性，我们引入了两个敏感度指标：干净嵌入和扰动嵌入之间的方向对齐，以及退化下活动特征的头部保留。这些研究有助于建立 MAE 稳健的分类性能。</w:t>
      </w:r>
    </w:p>
    <w:p>
      <w:pPr>
        <w:spacing w:before="120"/>
      </w:pPr>
      <w:r>
        <w:rPr>
          <w:rFonts w:ascii="Times New Roman" w:hAnsi="Times New Roman" w:eastAsia="宋体"/>
          <w:b/>
          <w:sz w:val="21"/>
        </w:rPr>
        <w:t>English Abstract:</w:t>
      </w:r>
    </w:p>
    <w:p>
      <w:r>
        <w:rPr>
          <w:rFonts w:ascii="Times New Roman" w:hAnsi="Times New Roman" w:eastAsia="宋体"/>
          <w:sz w:val="21"/>
        </w:rPr>
        <w:t>Masked Autoencoders (MAEs) achieve impressive performance in image classification tasks, yet the internal representations they learn remain less understood. This work started as an attempt to understand the strong downstream classification performance of MAE. In this process we discover that representations learned with the pretraining and fine-tuning, are quite robust - demonstrating a good classification performance in the presence of degradations, such as blur and occlusions. Through layer-wise analysis of token embeddings, we show that pretrained MAE progressively constructs its latent space in a class-aware manner across network depth: embeddings from different classes lie in subspaces that become increasingly separable. We further observe that MAE exhibits early and persistent global attention across encoder layers, in contrast to standard Vision Transformers (ViTs). To quantify feature robustness, we introduce two sensitivity indicators: directional alignment between clean and perturbed embeddings, and head-wise retention of active features under degradations. These studies help establish the robust classification performance of MAEs.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切入混合：在有限的器官分割数据集中，简单的数据增强优于复杂的数据增强</w:t>
      </w:r>
    </w:p>
    <w:p>
      <w:r>
        <w:rPr>
          <w:rFonts w:ascii="Times New Roman" w:hAnsi="Times New Roman" w:eastAsia="宋体"/>
          <w:b/>
          <w:color w:val="003264"/>
          <w:sz w:val="24"/>
        </w:rPr>
        <w:t>Cut to the Mix: Simple Data Augmentation Outperforms Elaborate Ones in Limited Organ Segmentation Datasets</w:t>
      </w:r>
    </w:p>
    <w:p>
      <w:r>
        <w:rPr>
          <w:rFonts w:ascii="Times New Roman" w:hAnsi="Times New Roman" w:eastAsia="宋体"/>
          <w:sz w:val="21"/>
        </w:rPr>
        <w:t>作者: Andreas Maier</w:t>
        <w:br/>
      </w:r>
      <w:r>
        <w:rPr>
          <w:rFonts w:ascii="Times New Roman" w:hAnsi="Times New Roman" w:eastAsia="宋体"/>
          <w:sz w:val="21"/>
        </w:rPr>
        <w:t xml:space="preserve">时间: 2026-02-03T14:03:59Z | </w:t>
      </w:r>
      <w:r>
        <w:t xml:space="preserve">链接: </w:t>
      </w:r>
      <w:hyperlink r:id="rId121">
        <w:r>
          <w:rPr>
            <w:rFonts w:ascii="Times New Roman" w:hAnsi="Times New Roman" w:eastAsia="宋体"/>
            <w:color w:val="0000FF"/>
            <w:sz w:val="21"/>
            <w:u w:val="single"/>
          </w:rPr>
          <w:t>https://arxiv.org/abs/2602.03555v1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器官分割是一种广泛应用的临床常规，自动化器官分割工具极大地改善了放射科医生的流程。最近，基于深度学习（DL）的分割模型已经显示出完成此类任务的能力。然而，分割网络的训练需要大量数据并进行手动注释，由于临床数据稀缺，这是一个主要问题。对于新型成像模式的研究来说，使用有限的数据仍然很常见。为了提高使用有限数据训练的深度学习模型的有效性，数据增强（DA）是一项至关重要的正则化技术。传统的 DA (TDA) 策略侧重于基本的图像内操作，即生成具有不同方向和强度分布的图像。相比之下，图像间和对象级 DA 操作能够从不同的个体创建新图像。然而，这种 DA 策略在多器官分割任务上尚未得到很好的探索。在本文中，我们在两个器官分割数据集上研究了四种可能的图像间 DA 策略：CutMix、CarveMix、ObjectAug 和 AnatoMix。结果表明，与没有 DA 策略的最先进的 nnUNet 相比，CutMix、CarveMix 和 AnatoMix 可以将平均骰子分数提高 4.9、2.0 和 1.9。通过添加 TDA 策略可以进一步改善这些结果。我们的实验表明，Cut-Mix 是一种强大而简单的 DA 策略，可以提高多器官分割的分割性能，即使 CutMix 产生直观的“错误”图像也是如此。我们的实施是公开的，可用于未来的基准测试。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Multi-organ segmentation is a widely applied clinical routine and automated organ segmentation tools dramatically improve the pipeline of the radiologists. Recently, deep learning (DL) based segmentation models have shown the capacity to accomplish such a task. However, the training of the segmentation networks requires large amount of data with manual annotations, which is a major concern due to the data scarcity from clinic. Working with limited data is still common for researches on novel imaging modalities. To enhance the effectiveness of DL models trained with limited data, data augmentation (DA) is a crucial regularization technique. Traditional DA (TDA) strategies focus on basic intra-image operations, i.e. generating images with different orientations and intensity distributions. In contrast, the interimage and object-level DA operations are able to create new images from separate individuals. However, such DA strategies are not well explored on the task of multi-organ segmentation. In this paper, we investigated four possible inter-image DA strategies: CutMix, CarveMix, ObjectAug and AnatoMix, on two organ segmentation datasets. The result shows that CutMix, CarveMix and AnatoMix can improve the average dice score by 4.9, 2.0 and 1.9, compared with the state-of-the-art nnUNet without DA strategies. These results can be further improved by adding TDA strategies. It is revealed in our experiments that Cut-Mix is a robust but simple DA strategy to drive up the segmentation performance for multi-organ segmentation, even when CutMix produces intuitively 'wrong' images. Our implementation is publicly available for future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ELIQ：用于不断演变的人工智能生成图像质量评估的无标签框架</w:t>
      </w:r>
    </w:p>
    <w:p>
      <w:r>
        <w:rPr>
          <w:rFonts w:ascii="Times New Roman" w:hAnsi="Times New Roman" w:eastAsia="宋体"/>
          <w:b/>
          <w:color w:val="003264"/>
          <w:sz w:val="24"/>
        </w:rPr>
        <w:t>ELIQ: A Label-Free Framework for Quality Assessment of Evolving AI-Generated Images</w:t>
      </w:r>
    </w:p>
    <w:p>
      <w:r>
        <w:rPr>
          <w:rFonts w:ascii="Times New Roman" w:hAnsi="Times New Roman" w:eastAsia="宋体"/>
          <w:sz w:val="21"/>
        </w:rPr>
        <w:t>作者: Guangtao Zhai</w:t>
        <w:br/>
      </w:r>
      <w:r>
        <w:rPr>
          <w:rFonts w:ascii="Times New Roman" w:hAnsi="Times New Roman" w:eastAsia="宋体"/>
          <w:sz w:val="21"/>
        </w:rPr>
        <w:t xml:space="preserve">时间: 2026-02-03T14:04:51Z | </w:t>
      </w:r>
      <w:r>
        <w:t xml:space="preserve">链接: </w:t>
      </w:r>
      <w:hyperlink r:id="rId122">
        <w:r>
          <w:rPr>
            <w:rFonts w:ascii="Times New Roman" w:hAnsi="Times New Roman" w:eastAsia="宋体"/>
            <w:color w:val="0000FF"/>
            <w:sz w:val="21"/>
            <w:u w:val="single"/>
          </w:rPr>
          <w:t>https://arxiv.org/abs/2602.03558v1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生成文本到图像的模型正在以前所未有的速度发展，不断改变感知质量上限，并使以前收集的标签对新一代来说变得不可靠。为了解决这个问题，我们提出了 ELIQ，一种用于对不断变化的人工智能生成图像进行质量评估的无标签框架。具体来说，ELIQ 专注于视觉质量和提示图像对齐，自动构建正对和特定方面的负对，以涵盖传统的失真和 AIGC 特定的失真模式，从而无需人工注释即可实现可转移的监督。在这些对的基础上，ELIQ 通过指令调整将预先训练的多模态模型调整为质量感知批评者，并使用轻量级门控融合和质量查询转换器来预测二维质量。跨多个基准的实验表明，ELIQ 始终优于现有的无标签方法，无需修改即可从人工智能生成内容 (AIGC) 推广到用户生成内容 (UGC) 场景，并为不断发展的生成模型下的可扩展和无标签质量评估铺平了道路。该代码将在发布后发布。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Generative text-to-image models are advancing at an unprecedented pace, continuously shifting the perceptual quality ceiling and rendering previously collected labels unreliable for newer generations. To address this, we present ELIQ, a Label-free Framework for Quality Assessment of Evolving AI-generated Images. Specifically, ELIQ focuses on visual quality and prompt-image alignment, automatically constructs positive and aspect-specific negative pairs to cover both conventional distortions and AIGC-specific distortion modes, enabling transferable supervision without human annotations. Building on these pairs, ELIQ adapts a pre-trained multimodal model into a quality-aware critic via instruction tuning and predicts two-dimensional quality using lightweight gated fusion and a Quality Query Transformer. Experiments across multiple benchmarks demonstrate that ELIQ consistently outperforms existing label-free methods, generalizes from AI-generated content (AIGC) to user-generated content (UGC) scenarios without modification, and paves the way for scalable and label-free quality assessment under continuously evolving generative models. The code will be released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技巧胜于技巧：有效零样本异常检测的简单提示</w:t>
      </w:r>
    </w:p>
    <w:p>
      <w:r>
        <w:rPr>
          <w:rFonts w:ascii="Times New Roman" w:hAnsi="Times New Roman" w:eastAsia="宋体"/>
          <w:b/>
          <w:color w:val="003264"/>
          <w:sz w:val="24"/>
        </w:rPr>
        <w:t>TIPS Over Tricks: Simple Prompts for Effective Zero-shot Anomaly Detection</w:t>
      </w:r>
    </w:p>
    <w:p>
      <w:r>
        <w:rPr>
          <w:rFonts w:ascii="Times New Roman" w:hAnsi="Times New Roman" w:eastAsia="宋体"/>
          <w:sz w:val="21"/>
        </w:rPr>
        <w:t>作者: Mohammad Sabokrou</w:t>
        <w:br/>
      </w:r>
      <w:r>
        <w:rPr>
          <w:rFonts w:ascii="Times New Roman" w:hAnsi="Times New Roman" w:eastAsia="宋体"/>
          <w:sz w:val="21"/>
        </w:rPr>
        <w:t xml:space="preserve">时间: 2026-02-03T14:48:11Z | </w:t>
      </w:r>
      <w:r>
        <w:t xml:space="preserve">链接: </w:t>
      </w:r>
      <w:hyperlink r:id="rId123">
        <w:r>
          <w:rPr>
            <w:rFonts w:ascii="Times New Roman" w:hAnsi="Times New Roman" w:eastAsia="宋体"/>
            <w:color w:val="0000FF"/>
            <w:sz w:val="21"/>
            <w:u w:val="single"/>
          </w:rPr>
          <w:t>https://arxiv.org/abs/2602.03594v1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异常检测可识别安全关键环境中与预期行为的偏差。当目标域正常数据不可用时，零样本异常检测 (ZSAD) 会利用视觉语言模型 (VLM)。然而，由于 (i) 空间错位和 (ii) 对细粒度异常的敏感性较弱，CLIP 的粗略图像文本对齐限制了定位和检测；先前的工作用复杂的辅助模块进行了补偿，但在很大程度上忽略了骨干网的选择。我们重新审视主干网并使用 TIPS——一种经过空间感知目标训练的 VLM。虽然 TIPS 缓解了 CLIP 的问题，但它暴露了全局特征和局部特征之间的分布差距。我们通过解耦提示来解决这个问题——针对图像级检测进行固定，并针对像素级定位进行学习——并将局部证据注入全局分数。在没有 CLIP 特定技巧的情况下，我们基于 TIPS 的管道在七个工业数据集中将图像级性能提高了 1.1-3.9%，将像素级性能提高了 1.5-6.9%，通过精益架构提供了强大的泛化能力。代码可在 github.com/AlirezaSalehy/Tipsomaly 获取。</w:t>
      </w:r>
    </w:p>
    <w:p>
      <w:pPr>
        <w:spacing w:before="120"/>
      </w:pPr>
      <w:r>
        <w:rPr>
          <w:rFonts w:ascii="Times New Roman" w:hAnsi="Times New Roman" w:eastAsia="宋体"/>
          <w:b/>
          <w:sz w:val="21"/>
        </w:rPr>
        <w:t>English Abstract:</w:t>
      </w:r>
    </w:p>
    <w:p>
      <w:r>
        <w:rPr>
          <w:rFonts w:ascii="Times New Roman" w:hAnsi="Times New Roman" w:eastAsia="宋体"/>
          <w:sz w:val="21"/>
        </w:rPr>
        <w:t>Anomaly detection identifies departures from expected behavior in safety-critical settings. When target-domain normal data are unavailable, zero-shot anomaly detection (ZSAD) leverages vision-language models (VLMs). However, CLIP's coarse image-text alignment limits both localization and detection due to (i) spatial misalignment and (ii) weak sensitivity to fine-grained anomalies; prior work compensates with complex auxiliary modules yet largely overlooks the choice of backbone. We revisit the backbone and use TIPS-a VLM trained with spatially aware objectives. While TIPS alleviates CLIP's issues, it exposes a distributional gap between global and local features. We address this with decoupled prompts-fixed for image-level detection and learnable for pixel-level localization-and by injecting local evidence into the global score. Without CLIP-specific tricks, our TIPS-based pipeline improves image-level performance by 1.1-3.9% and pixel-level by 1.5-6.9% across seven industrial datasets, delivering strong generalization with a lean architecture. Code is available at github.com/AlirezaSalehy/Tipsomaly.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用于基于能量的联合嵌入预测架构的轻量级库</w:t>
      </w:r>
    </w:p>
    <w:p>
      <w:r>
        <w:rPr>
          <w:rFonts w:ascii="Times New Roman" w:hAnsi="Times New Roman" w:eastAsia="宋体"/>
          <w:b/>
          <w:color w:val="003264"/>
          <w:sz w:val="24"/>
        </w:rPr>
        <w:t>A Lightweight Library for Energy-Based Joint-Embedding Predictive Architectures</w:t>
      </w:r>
    </w:p>
    <w:p>
      <w:r>
        <w:rPr>
          <w:rFonts w:ascii="Times New Roman" w:hAnsi="Times New Roman" w:eastAsia="宋体"/>
          <w:sz w:val="21"/>
        </w:rPr>
        <w:t>作者: Amir Bar</w:t>
        <w:br/>
      </w:r>
      <w:r>
        <w:rPr>
          <w:rFonts w:ascii="Times New Roman" w:hAnsi="Times New Roman" w:eastAsia="宋体"/>
          <w:sz w:val="21"/>
        </w:rPr>
        <w:t xml:space="preserve">时间: 2026-02-03T14:56:24Z | </w:t>
      </w:r>
      <w:r>
        <w:t xml:space="preserve">链接: </w:t>
      </w:r>
      <w:hyperlink r:id="rId124">
        <w:r>
          <w:rPr>
            <w:rFonts w:ascii="Times New Roman" w:hAnsi="Times New Roman" w:eastAsia="宋体"/>
            <w:color w:val="0000FF"/>
            <w:sz w:val="21"/>
            <w:u w:val="single"/>
          </w:rPr>
          <w:t>https://arxiv.org/abs/2602.03604v1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EB-JEPA，这是一个使用联合嵌入预测架构 (JEPA) 学习表示和世界模型的开源库。 JEPA 学习在表示空间而不是像素空间中进行预测，避免生成建模的陷阱，同时捕获适合下游任务的语义上有意义的特征。我们的库提供了模块化、独立的实现，说明了为图像级自监督学习开发的表示学习技术如何转移到视频（其中时间动态增加了复杂性），并最终转移到动作条件的世界模型（其中模型必须另外学习预测控制输入的效果）。每个示例都专为在几个小时内进行单 GPU 训练而设计，使基于能量的自我监督学习可用于研究和教育。我们在 CIFAR-10 上提供 JEA 组件的消融。探测这些表示的准确率达到 91%，这表明该模型学习了有用的特征。扩展到视频，我们在 Moving MNIST 上提供了一个多步骤预测示例，演示了相同的原理如何扩展到时间建模。最后，我们展示了这些表示如何驱动动作条件世界模型，从而在两室导航任务中实现 97% 的规划成功率。全面的消融揭示了每个正则化组件对于防止表示崩溃的至关重要性。代码可在 https://github.com/facebookresearch/eb_jepa 获取。</w:t>
      </w:r>
    </w:p>
    <w:p>
      <w:pPr>
        <w:spacing w:before="120"/>
      </w:pPr>
      <w:r>
        <w:rPr>
          <w:rFonts w:ascii="Times New Roman" w:hAnsi="Times New Roman" w:eastAsia="宋体"/>
          <w:b/>
          <w:sz w:val="21"/>
        </w:rPr>
        <w:t>English Abstract:</w:t>
      </w:r>
    </w:p>
    <w:p>
      <w:r>
        <w:rPr>
          <w:rFonts w:ascii="Times New Roman" w:hAnsi="Times New Roman" w:eastAsia="宋体"/>
          <w:sz w:val="21"/>
        </w:rPr>
        <w:t>We present EB-JEPA, an open-source library for learning representations and world models using Joint-Embedding Predictive Architectures (JEPAs). JEPAs learn to predict in representation space rather than pixel space, avoiding the pitfalls of generative modeling while capturing semantically meaningful features suitable for downstream tasks. Our library provides modular, self-contained implementations that illustrate how representation learning techniques developed for image-level self-supervised learning can transfer to video, where temporal dynamics add complexity, and ultimately to action-conditioned world models, where the model must additionally learn to predict the effects of control inputs. Each example is designed for single-GPU training within a few hours, making energy-based self-supervised learning accessible for research and education. We provide ablations of JEA components on CIFAR-10. Probing these representations yields 91% accuracy, indicating that the model learns useful features. Extending to video, we include a multi-step prediction example on Moving MNIST that demonstrates how the same principles scale to temporal modeling. Finally, we show how these representations can drive action-conditioned world models, achieving a 97% planning success rate on the Two Rooms navigation task. Comprehensive ablations reveal the critical importance of each regularization component for preventing representation collapse. Code is available at https://github.com/facebookresearch/eb_jepa.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KTV：高效免培训视频法学硕士的关键帧和关键令牌选择</w:t>
      </w:r>
    </w:p>
    <w:p>
      <w:r>
        <w:rPr>
          <w:rFonts w:ascii="Times New Roman" w:hAnsi="Times New Roman" w:eastAsia="宋体"/>
          <w:b/>
          <w:color w:val="003264"/>
          <w:sz w:val="24"/>
        </w:rPr>
        <w:t>KTV: Keyframes and Key Tokens Selection for Efficient Training-Free Video LLMs</w:t>
      </w:r>
    </w:p>
    <w:p>
      <w:r>
        <w:rPr>
          <w:rFonts w:ascii="Times New Roman" w:hAnsi="Times New Roman" w:eastAsia="宋体"/>
          <w:sz w:val="21"/>
        </w:rPr>
        <w:t>作者: Jianyuan Guo</w:t>
        <w:br/>
      </w:r>
      <w:r>
        <w:rPr>
          <w:rFonts w:ascii="Times New Roman" w:hAnsi="Times New Roman" w:eastAsia="宋体"/>
          <w:sz w:val="21"/>
        </w:rPr>
        <w:t xml:space="preserve">时间: 2026-02-03T15:08:30Z | </w:t>
      </w:r>
      <w:r>
        <w:t xml:space="preserve">链接: </w:t>
      </w:r>
      <w:hyperlink r:id="rId125">
        <w:r>
          <w:rPr>
            <w:rFonts w:ascii="Times New Roman" w:hAnsi="Times New Roman" w:eastAsia="宋体"/>
            <w:color w:val="0000FF"/>
            <w:sz w:val="21"/>
            <w:u w:val="single"/>
          </w:rPr>
          <w:t>https://arxiv.org/abs/2602.03615v1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免训练视频理解通过将视频视为静态帧序列，利用预训练视觉语言模型 (VLM) 强大的图像理解能力，从而无需进行昂贵的视频特定训练。然而，这种范例经常遭受严重的视觉冗余和高计算开销的困扰，特别是在处理长视频时。至关重要的是，现有的关键帧选择策略，尤其是基于 CLIP 相似性的策略，很容易出现偏差，并且可能会无意中忽略关键帧，从而导致视频理解不理想。为了解决这些重大挑战，我们提出了 \textbf{KTV}，这是一种新颖的两阶段框架，用于高效且有效的免训练视频理解。在第一阶段，KTV 通过对帧级视觉特征进行聚类来执行与问题无关的关键帧选择，产生紧凑、多样化且具有代表性的帧子集，从而减轻时间冗余。在第二阶段，KTV 应用关键视觉标记选择，根据标记重要性和冗余性从每个选定的关键帧中修剪冗余或信息量较少的标记，这显着减少了输入 LLM 的标记数量。对多项选择视频QA 任务的大量实验表明，KTV 的性能优于最先进的无训练基线，同时使用的视觉标记明显减少，\emph{例如}，对于 10800 帧的 60 分钟视频，仅使用 504 个视觉标记，在 MLVU-Test 基准测试中实现了 44.8\%$ 的准确率。特别是，KTV 在某些基准上还超过了几种基于培训的方法。</w:t>
      </w:r>
    </w:p>
    <w:p>
      <w:pPr>
        <w:spacing w:before="120"/>
      </w:pPr>
      <w:r>
        <w:rPr>
          <w:rFonts w:ascii="Times New Roman" w:hAnsi="Times New Roman" w:eastAsia="宋体"/>
          <w:b/>
          <w:sz w:val="21"/>
        </w:rPr>
        <w:t>English Abstract:</w:t>
      </w:r>
    </w:p>
    <w:p>
      <w:r>
        <w:rPr>
          <w:rFonts w:ascii="Times New Roman" w:hAnsi="Times New Roman" w:eastAsia="宋体"/>
          <w:sz w:val="21"/>
        </w:rPr>
        <w:t>Training-free video understanding leverages the strong image comprehension capabilities of pre-trained vision language models (VLMs) by treating a video as a sequence of static frames, thus obviating the need for costly video-specific training. However, this paradigm often suffers from severe visual redundancy and high computational overhead, especially when processing long videos. Crucially, existing keyframe selection strategies, especially those based on CLIP similarity, are prone to biases and may inadvertently overlook critical frames, resulting in suboptimal video comprehension. To address these significant challenges, we propose \textbf{KTV}, a novel two-stage framework for efficient and effective training-free video understanding. In the first stage, KTV performs question-agnostic keyframe selection by clustering frame-level visual features, yielding a compact, diverse, and representative subset of frames that mitigates temporal redundancy. In the second stage, KTV applies key visual token selection, pruning redundant or less informative tokens from each selected keyframe based on token importance and redundancy, which significantly reduces the number of tokens fed into the LLM. Extensive experiments on the Multiple-Choice VideoQA task demonstrate that KTV outperforms state-of-the-art training-free baselines while using significantly fewer visual tokens, \emph{e.g.}, only 504 visual tokens for a 60-min video with 10800 frames, achieving $44.8\%$ accuracy on the MLVU-Test benchmark. In particular, KTV also exceeds several training-based approaches on certain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基于准多模态的病理生理学特征学习用于视网膜疾病诊断</w:t>
      </w:r>
    </w:p>
    <w:p>
      <w:r>
        <w:rPr>
          <w:rFonts w:ascii="Times New Roman" w:hAnsi="Times New Roman" w:eastAsia="宋体"/>
          <w:b/>
          <w:color w:val="003264"/>
          <w:sz w:val="24"/>
        </w:rPr>
        <w:t>Quasi-multimodal-based pathophysiological feature learning for retinal disease diagnosis</w:t>
      </w:r>
    </w:p>
    <w:p>
      <w:r>
        <w:rPr>
          <w:rFonts w:ascii="Times New Roman" w:hAnsi="Times New Roman" w:eastAsia="宋体"/>
          <w:sz w:val="21"/>
        </w:rPr>
        <w:t>作者: Mengyu Jia</w:t>
        <w:br/>
      </w:r>
      <w:r>
        <w:rPr>
          <w:rFonts w:ascii="Times New Roman" w:hAnsi="Times New Roman" w:eastAsia="宋体"/>
          <w:sz w:val="21"/>
        </w:rPr>
        <w:t xml:space="preserve">时间: 2026-02-03T15:13:57Z | </w:t>
      </w:r>
      <w:r>
        <w:t xml:space="preserve">链接: </w:t>
      </w:r>
      <w:hyperlink r:id="rId126">
        <w:r>
          <w:rPr>
            <w:rFonts w:ascii="Times New Roman" w:hAnsi="Times New Roman" w:eastAsia="宋体"/>
            <w:color w:val="0000FF"/>
            <w:sz w:val="21"/>
            <w:u w:val="single"/>
          </w:rPr>
          <w:t>https://arxiv.org/abs/2602.03622v1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态数据的互补信号可以有效地识别和诊断广泛的视网膜疾病。然而，眼科实践中的多模态诊断通常面临数据异质性、潜在侵入性、配准复杂性等方面的挑战。因此，提出了一个集成多模态数据合成和融合的统一框架，用于视网膜疾病分类和分级。具体来说，合成的多模态数据结合了眼底荧光素血管造影（FFA）、多光谱成像（MSI）和强调潜在病变以及视盘/视杯区域的显着图。并行模型经过独立训练，可以学习捕获跨病理生理学特征的特定模态表示。然后，这些功能在模态内部和模态之间进行自适应校准，以根据下游任务执行信息修剪和灵活集成。所提出的学习系统通过图像和特征空间的可视化进行了彻底的解释。对两个公共数据集的广泛实验证明了我们的方法在多标签分类（F1 分数：0.683，AUC：0.953）和糖尿病视网膜病变分级（准确度：0.842，Kappa：0.861）任务中优于最先进的方法。这项工作不仅提高了视网膜疾病筛查的准确性和效率，而且还为跨各种医学成像模式的数据增强提供了可扩展的框架。</w:t>
      </w:r>
    </w:p>
    <w:p>
      <w:pPr>
        <w:spacing w:before="120"/>
      </w:pPr>
      <w:r>
        <w:rPr>
          <w:rFonts w:ascii="Times New Roman" w:hAnsi="Times New Roman" w:eastAsia="宋体"/>
          <w:b/>
          <w:sz w:val="21"/>
        </w:rPr>
        <w:t>English Abstract:</w:t>
      </w:r>
    </w:p>
    <w:p>
      <w:r>
        <w:rPr>
          <w:rFonts w:ascii="Times New Roman" w:hAnsi="Times New Roman" w:eastAsia="宋体"/>
          <w:sz w:val="21"/>
        </w:rPr>
        <w:t>Retinal diseases spanning a broad spectrum can be effectively identified and diagnosed using complementary signals from multimodal data. However, multimodal diagnosis in ophthalmic practice is typically challenged in terms of data heterogeneity, potential invasiveness, registration complexity, and so on. As such, a unified framework that integrates multimodal data synthesis and fusion is proposed for retinal disease classification and grading. Specifically, the synthesized multimodal data incorporates fundus fluorescein angiography (FFA), multispectral imaging (MSI), and saliency maps that emphasize latent lesions as well as optic disc/cup regions. Parallel models are independently trained to learn modality-specific representations that capture cross-pathophysiological signatures. These features are then adaptively calibrated within and across modalities to perform information pruning and flexible integration according to downstream tasks. The proposed learning system is thoroughly interpreted through visualizations in both image and feature spaces. Extensive experiments on two public datasets demonstrated the superiority of our approach over state-of-the-art ones in the tasks of multi-label classification (F1-score: 0.683, AUC: 0.953) and diabetic retinopathy grading (Accuracy:0.842, Kappa: 0.861). This work not only enhances the accuracy and efficiency of retinal disease screening but also offers a scalable framework for data augmentation across various medical imaging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合成到真实风格迁移的多目标优化</w:t>
      </w:r>
    </w:p>
    <w:p>
      <w:r>
        <w:rPr>
          <w:rFonts w:ascii="Times New Roman" w:hAnsi="Times New Roman" w:eastAsia="宋体"/>
          <w:b/>
          <w:color w:val="003264"/>
          <w:sz w:val="24"/>
        </w:rPr>
        <w:t>Multi-Objective Optimization for Synthetic-to-Real Style Transfer</w:t>
      </w:r>
    </w:p>
    <w:p>
      <w:r>
        <w:rPr>
          <w:rFonts w:ascii="Times New Roman" w:hAnsi="Times New Roman" w:eastAsia="宋体"/>
          <w:sz w:val="21"/>
        </w:rPr>
        <w:t>作者: Dennis Wilson</w:t>
        <w:br/>
      </w:r>
      <w:r>
        <w:rPr>
          <w:rFonts w:ascii="Times New Roman" w:hAnsi="Times New Roman" w:eastAsia="宋体"/>
          <w:sz w:val="21"/>
        </w:rPr>
        <w:t xml:space="preserve">时间: 2026-02-03T15:14:23Z | </w:t>
      </w:r>
      <w:r>
        <w:t xml:space="preserve">链接: </w:t>
      </w:r>
      <w:hyperlink r:id="rId127">
        <w:r>
          <w:rPr>
            <w:rFonts w:ascii="Times New Roman" w:hAnsi="Times New Roman" w:eastAsia="宋体"/>
            <w:color w:val="0000FF"/>
            <w:sz w:val="21"/>
            <w:u w:val="single"/>
          </w:rPr>
          <w:t>https://arxiv.org/abs/2602.03625v1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网络需要大量的像素级注释数据，而对于现实世界的图像来说，获取这些数据的成本很高。计算机图形引擎可以生成合成图像及其真实注释。然而，由于真实图像和合成图像之间的域差距，在此类图像上训练的模型可能在真实图像上表现不佳。风格迁移方法可以通过将逼真的风格应用于合成图像来减少这种差异。由于风格转移算子的组合搜索空间很大，选择有效的数据转换及其顺序很困难。使用多目标遗传算法，我们优化管道以平衡目标领域的结构一致性和风格相似性。我们研究在进化过程中对单个图像样本使用配对图像度量，以实现快速管道评估，而不是需要生成许多图像的标准分布度量。优化后，我们使用分布指标和分割性能评估生成的帕累托前沿。我们将这种方法应用于合成到真实域适应中的标准数据集：从视频游戏 GTA5 到真实图像数据集 Cityscapes 和 ACDC，重点关注不利条件。结果表明，进化算法可以提出适应不同目标的多种增强管道。这项工作的贡献是将风格迁移表述为适合进化优化的排序问题，以及研究在该空间中实现可行搜索的有效指标。源代码位于：https://github.com/echigot/MOOSS。</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networks require large amounts of pixel-level annotated data, which are costly to obtain for real-world images. Computer graphics engines can generate synthetic images alongside their ground-truth annotations. However, models trained on such images can perform poorly on real images due to the domain gap between real and synthetic images. Style transfer methods can reduce this difference by applying a realistic style to synthetic images. Choosing effective data transformations and their sequence is difficult due to the large combinatorial search space of style transfer operators. Using multi-objective genetic algorithms, we optimize pipelines to balance structural coherence and style similarity to target domains. We study the use of paired-image metrics on individual image samples during evolution to enable rapid pipeline evaluation, as opposed to standard distributional metrics that require the generation of many images. After optimization, we evaluate the resulting Pareto front using distributional metrics and segmentation performance. We apply this approach to standard datasets in synthetic-to-real domain adaptation: from the video game GTA5 to real image datasets Cityscapes and ACDC, focusing on adverse conditions. Results demonstrate that evolutionary algorithms can propose diverse augmentation pipelines adapted to different objectives. The contribution of this work is the formulation of style transfer as a sequencing problem suitable for evolutionary optimization and the study of efficient metrics that enable feasible search in this space. The source code is available at: https://github.com/echigot/MOOSS.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MM-SCALE：通过标量判断和列表对齐进行扎根多模态道德推理</w:t>
      </w:r>
    </w:p>
    <w:p>
      <w:r>
        <w:rPr>
          <w:rFonts w:ascii="Times New Roman" w:hAnsi="Times New Roman" w:eastAsia="宋体"/>
          <w:b/>
          <w:color w:val="003264"/>
          <w:sz w:val="24"/>
        </w:rPr>
        <w:t>MM-SCALE: Grounded Multimodal Moral Reasoning via Scalar Judgment and Listwise Alignment</w:t>
      </w:r>
    </w:p>
    <w:p>
      <w:r>
        <w:rPr>
          <w:rFonts w:ascii="Times New Roman" w:hAnsi="Times New Roman" w:eastAsia="宋体"/>
          <w:sz w:val="21"/>
        </w:rPr>
        <w:t>作者: Gunhee Kim</w:t>
        <w:br/>
      </w:r>
      <w:r>
        <w:rPr>
          <w:rFonts w:ascii="Times New Roman" w:hAnsi="Times New Roman" w:eastAsia="宋体"/>
          <w:sz w:val="21"/>
        </w:rPr>
        <w:t xml:space="preserve">时间: 2026-02-03T15:48:00Z | </w:t>
      </w:r>
      <w:r>
        <w:t xml:space="preserve">链接: </w:t>
      </w:r>
      <w:hyperlink r:id="rId128">
        <w:r>
          <w:rPr>
            <w:rFonts w:ascii="Times New Roman" w:hAnsi="Times New Roman" w:eastAsia="宋体"/>
            <w:color w:val="0000FF"/>
            <w:sz w:val="21"/>
            <w:u w:val="single"/>
          </w:rPr>
          <w:t>https://arxiv.org/abs/2602.03665v1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视觉语言模型（VLM）仍然难以在多模式和社会模糊的背景下做出道德上显着的判断。先前的工作通常依赖于二元或成对监督，这往往无法捕捉人类道德推理的连续性和多元性。我们提出了 MM-SCALE（多模态道德量表），这是一个大规模数据集，用于通过 5 点标量评级和明确的模态基础来使 VLM 与人类道德偏好保持一致。每个图像场景对都由人类使用我们为数据收集定制的界面来注释道德可接受性分数和接地推理标签，从而实现对排名场景集的列表偏好优化。通过从离散监督转向标量监督，我们的框架提供了更丰富的对齐信号和更精细的多模态道德推理校准。实验表明，与使用二进制信号训练的 VLM 相比，在 MM-SCALE 上进行微调的 VLM 可实现更高的排序保真度和更稳定的安全校准。</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continue to struggle to make morally salient judgments in multimodal and socially ambiguous contexts. Prior works typically rely on binary or pairwise supervision, which often fail to capture the continuous and pluralistic nature of human moral reasoning. We present MM-SCALE (Multimodal Moral Scale), a large-scale dataset for aligning VLMs with human moral preferences through 5-point scalar ratings and explicit modality grounding. Each image-scenario pair is annotated with moral acceptability scores and grounded reasoning labels by humans using an interface we tailored for data collection, enabling listwise preference optimization over ranked scenario sets. By moving from discrete to scalar supervision, our framework provides richer alignment signals and finer calibration of multimodal moral reasoning. Experiments show that VLMs fine-tuned on MM-SCALE achieve higher ranking fidelity and more stable safety calibration than those trained with binary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用于地下基础设施评估的边缘优化视觉语言模型</w:t>
      </w:r>
    </w:p>
    <w:p>
      <w:r>
        <w:rPr>
          <w:rFonts w:ascii="Times New Roman" w:hAnsi="Times New Roman" w:eastAsia="宋体"/>
          <w:b/>
          <w:color w:val="003264"/>
          <w:sz w:val="24"/>
        </w:rPr>
        <w:t>Edge-Optimized Vision-Language Models for Underground Infrastructure Assessment</w:t>
      </w:r>
    </w:p>
    <w:p>
      <w:r>
        <w:rPr>
          <w:rFonts w:ascii="Times New Roman" w:hAnsi="Times New Roman" w:eastAsia="宋体"/>
          <w:sz w:val="21"/>
        </w:rPr>
        <w:t>作者: Mahdi Abdelguerfi</w:t>
        <w:br/>
      </w:r>
      <w:r>
        <w:rPr>
          <w:rFonts w:ascii="Times New Roman" w:hAnsi="Times New Roman" w:eastAsia="宋体"/>
          <w:sz w:val="21"/>
        </w:rPr>
        <w:t xml:space="preserve">时间: 2026-02-03T17:03:46Z | </w:t>
      </w:r>
      <w:r>
        <w:t xml:space="preserve">链接: </w:t>
      </w:r>
      <w:hyperlink r:id="rId129">
        <w:r>
          <w:rPr>
            <w:rFonts w:ascii="Times New Roman" w:hAnsi="Times New Roman" w:eastAsia="宋体"/>
            <w:color w:val="0000FF"/>
            <w:sz w:val="21"/>
            <w:u w:val="single"/>
          </w:rPr>
          <w:t>https://arxiv.org/abs/2602.03742v1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水道和涵洞系统等地下基础设施的自主检查对于公共安全和城市可持续发展至关重要。尽管配备视觉传感器的机器人平台可以有效地检测结构缺陷，但从这些检测中自动生成人类可读的摘要仍然是一个重大挑战，特别是在资源有限的边缘设备上。本文提出了一种新颖的两级管道，用于对地下缺陷进行端到端总结，将我们的轻量级 RAPID-SCAN 分割模型与部署在边缘计算平台上的微调视觉语言模型（VLM）相结合。第一阶段采用 RAPID-SCAN（使用紧凑自适应网络的资源感知管道检查和缺陷分割），仅用 0.64M 参数即可实现 0.834 F1 分数，实现高效缺陷分割。第二阶段利用经过微调的 Phi-3.5 VLM，从分割输出中以自然语言生成简洁的、特定领域的摘要。我们引入了一个精选的检查图像数据集，其中包含用于 VLM 微调和评估的手动验证的描述。为了实现实时性能，我们采用训练后量化和特定于硬件的优化，在不影响摘要质量的情况下显着减少模型大小和推理延迟。我们在移动机器人平台上部署和评估我们的完整管道，展示其在实际检查场景中的有效性。我们的结果表明，可边缘部署的集成人工智能系统有潜力弥合自动缺陷检测和基础设施维护的可操作见解之间的差距，为更具可扩展性和自主性的检测解决方案铺平道路。</w:t>
      </w:r>
    </w:p>
    <w:p>
      <w:pPr>
        <w:spacing w:before="120"/>
      </w:pPr>
      <w:r>
        <w:rPr>
          <w:rFonts w:ascii="Times New Roman" w:hAnsi="Times New Roman" w:eastAsia="宋体"/>
          <w:b/>
          <w:sz w:val="21"/>
        </w:rPr>
        <w:t>English Abstract:</w:t>
      </w:r>
    </w:p>
    <w:p>
      <w:r>
        <w:rPr>
          <w:rFonts w:ascii="Times New Roman" w:hAnsi="Times New Roman" w:eastAsia="宋体"/>
          <w:sz w:val="21"/>
        </w:rPr>
        <w:t>Autonomous inspection of underground infrastructure, such as sewer and culvert systems, is critical to public safety and urban sustainability. Although robotic platforms equipped with visual sensors can efficiently detect structural deficiencies, the automated generation of human-readable summaries from these detections remains a significant challenge, especially on resource-constrained edge devices. This paper presents a novel two-stage pipeline for end-to-end summarization of underground deficiencies, combining our lightweight RAPID-SCAN segmentation model with a fine-tuned Vision-Language Model (VLM) deployed on an edge computing platform. The first stage employs RAPID-SCAN (Resource-Aware Pipeline Inspection and Defect Segmentation using Compact Adaptive Network), achieving 0.834 F1-score with only 0.64M parameters for efficient defect segmentation. The second stage utilizes a fine-tuned Phi-3.5 VLM that generates concise, domain-specific summaries in natural language from the segmentation outputs. We introduce a curated dataset of inspection images with manually verified descriptions for VLM fine-tuning and evaluation. To enable real-time performance, we employ post-training quantization with hardware-specific optimization, achieving significant reductions in model size and inference latency without compromising summarization quality. We deploy and evaluate our complete pipeline on a mobile robotic platform, demonstrating its effectiveness in real-world inspection scenarios. Our results show the potential of edge-deployable integrated AI systems to bridge the gap between automated defect detection and actionable insights for infrastructure maintenance, paving the way for more scalable and autonomous inspection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透视：动漫角色的单图像层分解</w:t>
      </w:r>
    </w:p>
    <w:p>
      <w:r>
        <w:rPr>
          <w:rFonts w:ascii="Times New Roman" w:hAnsi="Times New Roman" w:eastAsia="宋体"/>
          <w:b/>
          <w:color w:val="003264"/>
          <w:sz w:val="24"/>
        </w:rPr>
        <w:t>See-through: Single-image Layer Decomposition for Anime Characters</w:t>
      </w:r>
    </w:p>
    <w:p>
      <w:r>
        <w:rPr>
          <w:rFonts w:ascii="Times New Roman" w:hAnsi="Times New Roman" w:eastAsia="宋体"/>
          <w:sz w:val="21"/>
        </w:rPr>
        <w:t>作者: Xueting Liu</w:t>
        <w:br/>
      </w:r>
      <w:r>
        <w:rPr>
          <w:rFonts w:ascii="Times New Roman" w:hAnsi="Times New Roman" w:eastAsia="宋体"/>
          <w:sz w:val="21"/>
        </w:rPr>
        <w:t xml:space="preserve">时间: 2026-02-03T17:12:36Z | </w:t>
      </w:r>
      <w:r>
        <w:t xml:space="preserve">链接: </w:t>
      </w:r>
      <w:hyperlink r:id="rId130">
        <w:r>
          <w:rPr>
            <w:rFonts w:ascii="Times New Roman" w:hAnsi="Times New Roman" w:eastAsia="宋体"/>
            <w:color w:val="0000FF"/>
            <w:sz w:val="21"/>
            <w:u w:val="single"/>
          </w:rPr>
          <w:t>https://arxiv.org/abs/2602.03749v1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我们引入了一个框架，可以自动将静态动漫插图转换为可操作的 2.5D 模型。当前的专业工作流程需要繁琐的手动分割和遮挡区域的艺术“幻觉”才能实现运动。我们的方法通过将单个图像分解为完全修复的、语义上不同的层以及推断的绘制顺序来克服这个问题。为了解决训练数据的稀缺问题，我们引入了一个可扩展的引擎，该引擎可以从商业 Live2D 模型中引导高质量的监督，捕获像素完美的语义和隐藏的几何图形。我们的方法将基于扩散的身体部位一致性模块与像素级伪深度推理机制结合起来，该模块强制全局几何一致性。这种组合解决了动漫角色复杂的分层问题，例如交错的发丝，允许动态层重建。我们证明我们的方法可以产生适合专业实时动画应用的高保真、可操作模型。</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that automates the transformation of static anime illustrations into manipulatable 2.5D models. Current professional workflows require tedious manual segmentation and the artistic ``hallucination'' of occluded regions to enable motion. Our approach overcomes this by decomposing a single image into fully inpainted, semantically distinct layers with inferred drawing orders. To address the scarcity of training data, we introduce a scalable engine that bootstraps high-quality supervision from commercial Live2D models, capturing pixel-perfect semantics and hidden geometry. Our methodology couples a diffusion-based Body Part Consistency Module, which enforces global geometric coherence, with a pixel-level pseudo-depth inference mechanism. This combination resolves the intricate stratification of anime characters, e.g., interleaving hair strands, allowing for dynamic layer reconstruction. We demonstrate that our approach yields high-fidelity, manipulatable models suitable for professional, real-time animation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零样本大型视觉语言模型促进古放射学 X 射线档案中的自动骨骼识别</w:t>
      </w:r>
    </w:p>
    <w:p>
      <w:r>
        <w:rPr>
          <w:rFonts w:ascii="Times New Roman" w:hAnsi="Times New Roman" w:eastAsia="宋体"/>
          <w:b/>
          <w:color w:val="003264"/>
          <w:sz w:val="24"/>
        </w:rPr>
        <w:t>Zero-shot large vision-language model prompting for automated bone identification in paleoradiology x-ray archives</w:t>
      </w:r>
    </w:p>
    <w:p>
      <w:r>
        <w:rPr>
          <w:rFonts w:ascii="Times New Roman" w:hAnsi="Times New Roman" w:eastAsia="宋体"/>
          <w:sz w:val="21"/>
        </w:rPr>
        <w:t>作者: Katherine D. Van Schaik</w:t>
        <w:br/>
      </w:r>
      <w:r>
        <w:rPr>
          <w:rFonts w:ascii="Times New Roman" w:hAnsi="Times New Roman" w:eastAsia="宋体"/>
          <w:sz w:val="21"/>
        </w:rPr>
        <w:t xml:space="preserve">时间: 2026-02-03T17:14:23Z | </w:t>
      </w:r>
      <w:r>
        <w:t xml:space="preserve">链接: </w:t>
      </w:r>
      <w:hyperlink r:id="rId131">
        <w:r>
          <w:rPr>
            <w:rFonts w:ascii="Times New Roman" w:hAnsi="Times New Roman" w:eastAsia="宋体"/>
            <w:color w:val="0000FF"/>
            <w:sz w:val="21"/>
            <w:u w:val="single"/>
          </w:rPr>
          <w:t>https://arxiv.org/abs/2602.03750v1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放射学利用现代成像技术研究考古和人类学遗迹，为了解千禧年人类健康模式提供了新的窗口。不幸的是，在野外活动期间收集的射线照片是异构的：骨头是脱节的，定位是临时的，并且侧向标记通常不存在。此外，死亡年龄、骨龄、性别和成像设备等因素也会带来很大的变异性。因此，内容导航（例如识别具有特定投影视图的图像子集）可能既耗时又困难，使得高效分类成为专家分析的瓶颈。我们报告了一种零镜头提示策略，该策略利用最先进的大视觉语言模型（LVLM）来自动识别此类图像中的主骨骼、投影视图和侧向性。我们的管道将原始 DICOM 文件转换为骨窗口 PNG，通过精心设计的提示将它们提交给 LVLM，并接收结构化 JSON 输出，这些输出被提取并格式化到电子表格中以准备验证。在由专家委员会认证的古放射学家审查的 100 张图像的随机样本中，系统实现了 92% 的主骨准确性、80% 的投影视图准确性和 100% 的侧向准确性，对于不明确的情况具有低或中等置信度标记。这些结果表明，LVLM 可以大大加速大型古放射学数据集的码字开发，从而在未来的人类学工作流程中实现高效的内容导航。</w:t>
      </w:r>
    </w:p>
    <w:p>
      <w:pPr>
        <w:spacing w:before="120"/>
      </w:pPr>
      <w:r>
        <w:rPr>
          <w:rFonts w:ascii="Times New Roman" w:hAnsi="Times New Roman" w:eastAsia="宋体"/>
          <w:b/>
          <w:sz w:val="21"/>
        </w:rPr>
        <w:t>English Abstract:</w:t>
      </w:r>
    </w:p>
    <w:p>
      <w:r>
        <w:rPr>
          <w:rFonts w:ascii="Times New Roman" w:hAnsi="Times New Roman" w:eastAsia="宋体"/>
          <w:sz w:val="21"/>
        </w:rPr>
        <w:t>Paleoradiology, the use of modern imaging technologies to study archaeological and anthropological remains, offers new windows on millennial scale patterns of human health. Unfortunately, the radiographs collected during field campaigns are heterogeneous: bones are disarticulated, positioning is ad hoc, and laterality markers are often absent. Additionally, factors such as age at death, age of bone, sex, and imaging equipment introduce high variability. Thus, content navigation, such as identifying a subset of images with a specific projection view, can be time consuming and difficult, making efficient triaging a bottleneck for expert analysis. We report a zero shot prompting strategy that leverages a state of the art Large Vision Language Model (LVLM) to automatically identify the main bone, projection view, and laterality in such images. Our pipeline converts raw DICOM files to bone windowed PNGs, submits them to the LVLM with a carefully engineered prompt, and receives structured JSON outputs, which are extracted and formatted onto a spreadsheet in preparation for validation. On a random sample of 100 images reviewed by an expert board certified paleoradiologist, the system achieved 92% main bone accuracy, 80% projection view accuracy, and 100% laterality accuracy, with low or medium confidence flags for ambiguous cases. These results suggest that LVLMs can substantially accelerate code word development for large paleoradiology datasets, allowing for efficient content navigation in future anthropology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具有与表示对齐的视觉特征的测试时调节</w:t>
      </w:r>
    </w:p>
    <w:p>
      <w:r>
        <w:rPr>
          <w:rFonts w:ascii="Times New Roman" w:hAnsi="Times New Roman" w:eastAsia="宋体"/>
          <w:b/>
          <w:color w:val="003264"/>
          <w:sz w:val="24"/>
        </w:rPr>
        <w:t>Test-Time Conditioning with Representation-Aligned Visual Features</w:t>
      </w:r>
    </w:p>
    <w:p>
      <w:r>
        <w:rPr>
          <w:rFonts w:ascii="Times New Roman" w:hAnsi="Times New Roman" w:eastAsia="宋体"/>
          <w:sz w:val="21"/>
        </w:rPr>
        <w:t>作者: Nermin Samet</w:t>
        <w:br/>
      </w:r>
      <w:r>
        <w:rPr>
          <w:rFonts w:ascii="Times New Roman" w:hAnsi="Times New Roman" w:eastAsia="宋体"/>
          <w:sz w:val="21"/>
        </w:rPr>
        <w:t xml:space="preserve">时间: 2026-02-03T17:15:03Z | </w:t>
      </w:r>
      <w:r>
        <w:t xml:space="preserve">链接: </w:t>
      </w:r>
      <w:hyperlink r:id="rId132">
        <w:r>
          <w:rPr>
            <w:rFonts w:ascii="Times New Roman" w:hAnsi="Times New Roman" w:eastAsia="宋体"/>
            <w:color w:val="0000FF"/>
            <w:sz w:val="21"/>
            <w:u w:val="single"/>
          </w:rPr>
          <w:t>https://arxiv.org/abs/2602.03753v1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与自监督模型的表示对齐已被证明可以改善扩散模型训练，但其增强推理时间调节的潜力在很大程度上仍未得到探索。我们引入了表示对齐指导（REPA-G），这是一个利用这些对齐表示和丰富语义属性的框架，能够根据生成中的特征进行测试时调节。通过优化推理时的相似性目标（潜力），我们将去噪过程转向从预先训练的特征提取器中提取的条件表示。我们的方法提供了多种尺度的多功能控制，从通过单个补丁的细粒度纹理匹配到使用全局图像特征标记的广泛语义指导。我们进一步将其扩展到多概念组合，允许不同概念的忠实组合。 REPA-G 完全在推理时运行，为通常不明确的文本提示或粗略的类标签提供灵活而精确的替代方案。我们从理论上证明了该指导如何能够从势引起的倾斜分布中进行采样。 ImageNet 和 COCO 上的定量结果表明我们的方法实现了高质量、多样化的世代。代码可在 https://github.com/valeoai/REPA-G 获取。</w:t>
      </w:r>
    </w:p>
    <w:p>
      <w:pPr>
        <w:spacing w:before="120"/>
      </w:pPr>
      <w:r>
        <w:rPr>
          <w:rFonts w:ascii="Times New Roman" w:hAnsi="Times New Roman" w:eastAsia="宋体"/>
          <w:b/>
          <w:sz w:val="21"/>
        </w:rPr>
        <w:t>English Abstract:</w:t>
      </w:r>
    </w:p>
    <w:p>
      <w:r>
        <w:rPr>
          <w:rFonts w:ascii="Times New Roman" w:hAnsi="Times New Roman" w:eastAsia="宋体"/>
          <w:sz w:val="21"/>
        </w:rPr>
        <w:t>While representation alignment with self-supervised models has been shown to improve diffusion model training, its potential for enhancing inference-time conditioning remains largely unexplored. We introduce Representation-Aligned Guidance (REPA-G), a framework that leverages these aligned representations, with rich semantic properties, to enable test-time conditioning from features in generation. By optimizing a similarity objective (the potential) at inference, we steer the denoising process toward a conditioned representation extracted from a pre-trained feature extractor. Our method provides versatile control at multiple scales, ranging from fine-grained texture matching via single patches to broad semantic guidance using global image feature tokens. We further extend this to multi-concept composition, allowing for the faithful combination of distinct concepts. REPA-G operates entirely at inference time, offering a flexible and precise alternative to often ambiguous text prompts or coarse class labels. We theoretically justify how this guidance enables sampling from the potential-induced tilted distribution. Quantitative results on ImageNet and COCO demonstrate that our approach achieves high-quality, diverse generations. Code is available at https://github.com/valeoai/REPA-G.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RAWDet-7：量化 RAW 图像上的对象检测和描述的多场景基准</w:t>
      </w:r>
    </w:p>
    <w:p>
      <w:r>
        <w:rPr>
          <w:rFonts w:ascii="Times New Roman" w:hAnsi="Times New Roman" w:eastAsia="宋体"/>
          <w:b/>
          <w:color w:val="003264"/>
          <w:sz w:val="24"/>
        </w:rPr>
        <w:t>RAWDet-7: A Multi-Scenario Benchmark for Object Detection and Description on Quantized RAW Images</w:t>
      </w:r>
    </w:p>
    <w:p>
      <w:r>
        <w:rPr>
          <w:rFonts w:ascii="Times New Roman" w:hAnsi="Times New Roman" w:eastAsia="宋体"/>
          <w:sz w:val="21"/>
        </w:rPr>
        <w:t>作者: Margret Keuper</w:t>
        <w:br/>
      </w:r>
      <w:r>
        <w:rPr>
          <w:rFonts w:ascii="Times New Roman" w:hAnsi="Times New Roman" w:eastAsia="宋体"/>
          <w:sz w:val="21"/>
        </w:rPr>
        <w:t xml:space="preserve">时间: 2026-02-03T17:22:45Z | </w:t>
      </w:r>
      <w:r>
        <w:t xml:space="preserve">链接: </w:t>
      </w:r>
      <w:hyperlink r:id="rId133">
        <w:r>
          <w:rPr>
            <w:rFonts w:ascii="Times New Roman" w:hAnsi="Times New Roman" w:eastAsia="宋体"/>
            <w:color w:val="0000FF"/>
            <w:sz w:val="21"/>
            <w:u w:val="single"/>
          </w:rPr>
          <w:t>https://arxiv.org/abs/2602.03760v1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大多数视觉模型都是基于通过针对人类感知优化的 ISP 管道处理的 RGB 图像进行训练，这可能会丢弃对机器推理有用的传感器级信息。 RAW 图像保留未处理的场景数据，使模型能够利用更丰富的线索进行对象检测和对象描述，捕获处理图像中经常丢失的细粒度细节、空间关系和上下文信息。为了支持该领域的研究，我们引入了 RAWDet-7，这是一个包含约 25k 训练图像和 7.6k 测试 RAW 图像的大型数据集，这些图像通过不同的相机、照明条件和环境收集，并按照 MS-COCO 和 LVIS 约定对七个对象类别进行了密集注释。此外，我们还提供了从相应的高分辨率 sRGB 图像导出的对象级描述，有助于研究 RAW 图像处理和低位量化下的对象级信息保存。该数据集允许在模拟 4 位、6 位和 8 位量化下进行评估，反映真实的传感器约束，并为研究检测性能、描述质量和细节以及低位 RAW 图像处理中的泛化提供基准。接受后的数据集和代码。</w:t>
      </w:r>
    </w:p>
    <w:p>
      <w:pPr>
        <w:spacing w:before="120"/>
      </w:pPr>
      <w:r>
        <w:rPr>
          <w:rFonts w:ascii="Times New Roman" w:hAnsi="Times New Roman" w:eastAsia="宋体"/>
          <w:b/>
          <w:sz w:val="21"/>
        </w:rPr>
        <w:t>English Abstract:</w:t>
      </w:r>
    </w:p>
    <w:p>
      <w:r>
        <w:rPr>
          <w:rFonts w:ascii="Times New Roman" w:hAnsi="Times New Roman" w:eastAsia="宋体"/>
          <w:sz w:val="21"/>
        </w:rPr>
        <w:t>Most vision models are trained on RGB images processed through ISP pipelines optimized for human perception, which can discard sensor-level information useful for machine reasoning. RAW images preserve unprocessed scene data, enabling models to leverage richer cues for both object detection and object description, capturing fine-grained details, spatial relationships, and contextual information often lost in processed images. To support research in this domain, we introduce RAWDet-7, a large-scale dataset of ~25k training and 7.6k test RAW images collected across diverse cameras, lighting conditions, and environments, densely annotated for seven object categories following MS-COCO and LVIS conventions. In addition, we provide object-level descriptions derived from the corresponding high-resolution sRGB images, facilitating the study of object-level information preservation under RAW image processing and low-bit quantization. The dataset allows evaluation under simulated 4-bit, 6-bit, and 8-bit quantization, reflecting realistic sensor constraints, and provides a benchmark for studying detection performance, description quality &amp; detail, and generalization in low-bit RAW image processing. Dataset &amp; code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FOVI：用于深度视觉模型的受生物学启发的注视点界面</w:t>
      </w:r>
    </w:p>
    <w:p>
      <w:r>
        <w:rPr>
          <w:rFonts w:ascii="Times New Roman" w:hAnsi="Times New Roman" w:eastAsia="宋体"/>
          <w:b/>
          <w:color w:val="003264"/>
          <w:sz w:val="24"/>
        </w:rPr>
        <w:t>FOVI: A biologically-inspired foveated interface for deep vision models</w:t>
      </w:r>
    </w:p>
    <w:p>
      <w:r>
        <w:rPr>
          <w:rFonts w:ascii="Times New Roman" w:hAnsi="Times New Roman" w:eastAsia="宋体"/>
          <w:sz w:val="21"/>
        </w:rPr>
        <w:t>作者: Talia Konkle</w:t>
        <w:br/>
      </w:r>
      <w:r>
        <w:rPr>
          <w:rFonts w:ascii="Times New Roman" w:hAnsi="Times New Roman" w:eastAsia="宋体"/>
          <w:sz w:val="21"/>
        </w:rPr>
        <w:t xml:space="preserve">时间: 2026-02-03T17:26:54Z | </w:t>
      </w:r>
      <w:r>
        <w:t xml:space="preserve">链接: </w:t>
      </w:r>
      <w:hyperlink r:id="rId134">
        <w:r>
          <w:rPr>
            <w:rFonts w:ascii="Times New Roman" w:hAnsi="Times New Roman" w:eastAsia="宋体"/>
            <w:color w:val="0000FF"/>
            <w:sz w:val="21"/>
            <w:u w:val="single"/>
          </w:rPr>
          <w:t>https://arxiv.org/abs/2602.03766v1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是中心凹的，可变分辨率在大视野的中心达到峰值；这反映了主动传感的有效权衡，允许眼球运动将世界的不同部分与背景中的世界其他部分结合起来。相比之下，大多数计算机视觉系统以统一的分辨率对视觉世界进行编码，这给高效处理全场高分辨率图像带来了挑战。我们提出了一种基于人类视网膜和初级视觉皮层的中心凹视觉接口（FOVI），它将可变分辨率的类似视网膜的传感器阵列重新格式化为均匀密集的、类似 V1 的传感器流形。感受野被定义为传感器流形上的 k 最近邻 (kNN)，通过新颖的内核映射技术实现 kNN 卷积。我们演示了两个用例：(1) 端到端 kNN 卷积架构，以及 (2) 利用低秩适应 (LoRA) 对基础 DINOv3 ViT 模型进行中心点适应。这些模型以非中心凹基线计算成本的一小部分提供了具有竞争力的性能，为高分辨率自我中心视觉的高效且可扩展的主动传感开辟了途径。代码和预训练模型可在 https://github.com/nblauch/fovi 和 https://huggingface.co/fovi-pytorch 获取。</w:t>
      </w:r>
    </w:p>
    <w:p>
      <w:pPr>
        <w:spacing w:before="120"/>
      </w:pPr>
      <w:r>
        <w:rPr>
          <w:rFonts w:ascii="Times New Roman" w:hAnsi="Times New Roman" w:eastAsia="宋体"/>
          <w:b/>
          <w:sz w:val="21"/>
        </w:rPr>
        <w:t>English Abstract:</w:t>
      </w:r>
    </w:p>
    <w:p>
      <w:r>
        <w:rPr>
          <w:rFonts w:ascii="Times New Roman" w:hAnsi="Times New Roman" w:eastAsia="宋体"/>
          <w:sz w:val="21"/>
        </w:rPr>
        <w:t>Human vision is foveated, with variable resolution peaking at the center of a large field of view; this reflects an efficient trade-off for active sensing, allowing eye-movements to bring different parts of the world into focus with other parts of the world in context. In contrast, most computer vision systems encode the visual world at a uniform resolution, raising challenges for processing full-field high-resolution images efficiently. We propose a foveated vision interface (FOVI) based on the human retina and primary visual cortex, that reformats a variable-resolution retina-like sensor array into a uniformly dense, V1-like sensor manifold. Receptive fields are defined as k-nearest-neighborhoods (kNNs) on the sensor manifold, enabling kNN-convolution via a novel kernel mapping technique. We demonstrate two use cases: (1) an end-to-end kNN-convolutional architecture, and (2) a foveated adaptation of the foundational DINOv3 ViT model, leveraging low-rank adaptation (LoRA). These models provide competitive performance at a fraction of the computational cost of non-foveated baselines, opening pathways for efficient and scalable active sensing for high-resolution egocentric vision. Code and pre-trained models are available at https://github.com/nblauch/fovi and https://huggingface.co/fovi-pytorch.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从术前到术中 MRI：预测癫痫手术颞叶切除术中的脑移位</w:t>
      </w:r>
    </w:p>
    <w:p>
      <w:r>
        <w:rPr>
          <w:rFonts w:ascii="Times New Roman" w:hAnsi="Times New Roman" w:eastAsia="宋体"/>
          <w:b/>
          <w:color w:val="003264"/>
          <w:sz w:val="24"/>
        </w:rPr>
        <w:t>From Pre- to Intra-operative MRI: Predicting Brain Shift in Temporal Lobe Resection for Epilepsy Surgery</w:t>
      </w:r>
    </w:p>
    <w:p>
      <w:r>
        <w:rPr>
          <w:rFonts w:ascii="Times New Roman" w:hAnsi="Times New Roman" w:eastAsia="宋体"/>
          <w:sz w:val="21"/>
        </w:rPr>
        <w:t>作者: Alejandro Granados</w:t>
        <w:br/>
      </w:r>
      <w:r>
        <w:rPr>
          <w:rFonts w:ascii="Times New Roman" w:hAnsi="Times New Roman" w:eastAsia="宋体"/>
          <w:sz w:val="21"/>
        </w:rPr>
        <w:t xml:space="preserve">时间: 2026-02-03T17:45:11Z | </w:t>
      </w:r>
      <w:r>
        <w:t xml:space="preserve">链接: </w:t>
      </w:r>
      <w:hyperlink r:id="rId135">
        <w:r>
          <w:rPr>
            <w:rFonts w:ascii="Times New Roman" w:hAnsi="Times New Roman" w:eastAsia="宋体"/>
            <w:color w:val="0000FF"/>
            <w:sz w:val="21"/>
            <w:u w:val="single"/>
          </w:rPr>
          <w:t>https://arxiv.org/abs/2602.03785v1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简介：在神经外科领域，图像引导神经外科系统（IGNS）高度依赖术前脑部磁共振图像（MRI）来协助外科医生定位手术目标并确定手术路径。然而，脑移位使硬脑膜打开后术前 MRI 无效。具有脑移位补偿功能的更新的术中脑部 MRI 对于提高神经导航系统的精度和确保手术干预的最佳结果至关重要。方法：我们提出 NeuralShift，一种基于 U-Net 的模型，完全根据术前 MRI 预测接受颞叶切除术的患者的大脑移位。我们使用根据位于切除侧和沿中线的解剖标志计算的目标配准误差 (TRE) 以及将预测的术中面罩与术中 MRI 得出的面罩进行比较的 DICE 评分来评估我们的结果。结果：我们的实验结果表明，我们的模型可以预测大脑的整体变形（DICE 为 0.97），并具有精确的局部位移（实现低至 1.12 毫米的标志性 TRE），补偿颞叶切除神经外科手术期间的大大脑移位。结论：我们提出的模型能够仅使用术前图像来预测颞叶切除过程中大脑的整体变形，为手术团队提供潜在的机会，以提高神经外科手术的安全性和效率，并为患者提供更好的结果。我们的贡献将在 https://github.com/SurgicalDataScienceKCL/NeuralShift 被接受后公开发布。</w:t>
      </w:r>
    </w:p>
    <w:p>
      <w:pPr>
        <w:spacing w:before="120"/>
      </w:pPr>
      <w:r>
        <w:rPr>
          <w:rFonts w:ascii="Times New Roman" w:hAnsi="Times New Roman" w:eastAsia="宋体"/>
          <w:b/>
          <w:sz w:val="21"/>
        </w:rPr>
        <w:t>English Abstract:</w:t>
      </w:r>
    </w:p>
    <w:p>
      <w:r>
        <w:rPr>
          <w:rFonts w:ascii="Times New Roman" w:hAnsi="Times New Roman" w:eastAsia="宋体"/>
          <w:sz w:val="21"/>
        </w:rPr>
        <w:t>Introduction: In neurosurgery, image-guided Neurosurgery Systems (IGNS) highly rely on preoperative brain magnetic resonance images (MRI) to assist surgeons in locating surgical targets and determining surgical paths. However, brain shift invalidates the preoperative MRI after dural opening. Updated intraoperative brain MRI with brain shift compensation is crucial for enhancing the precision of neuronavigation systems and ensuring the optimal outcome of surgical interventions. Methodology: We propose NeuralShift, a U-Net-based model that predicts brain shift entirely from pre-operative MRI for patients undergoing temporal lobe resection. We evaluated our results using Target Registration Errors (TREs) computed on anatomical landmarks located on the resection side and along the midline, and DICE scores comparing predicted intraoperative masks with masks derived from intraoperative MRI. Results: Our experimental results show that our model can predict the global deformation of the brain (DICE of 0.97) with accurate local displacements (achieve landmark TRE as low as 1.12 mm), compensating for large brain shifts during temporal lobe removal neurosurgery. Conclusion: Our proposed model is capable of predicting the global deformation of the brain during temporal lobe resection using only preoperative images, providing potential opportunities to the surgical team to increase safety and efficiency of neurosurgery and better outcomes to patients. Our contributions will be publicly available after acceptance in https://github.com/SurgicalDataScienceKCL/NeuralShift.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BridgeV2W：通过体现掩模将视频生成模型桥接到具体世界模型</w:t>
      </w:r>
    </w:p>
    <w:p>
      <w:r>
        <w:rPr>
          <w:rFonts w:ascii="Times New Roman" w:hAnsi="Times New Roman" w:eastAsia="宋体"/>
          <w:b/>
          <w:color w:val="003264"/>
          <w:sz w:val="24"/>
        </w:rPr>
        <w:t>BridgeV2W: Bridging Video Generation Models to Embodied World Models via Embodiment Masks</w:t>
      </w:r>
    </w:p>
    <w:p>
      <w:r>
        <w:rPr>
          <w:rFonts w:ascii="Times New Roman" w:hAnsi="Times New Roman" w:eastAsia="宋体"/>
          <w:sz w:val="21"/>
        </w:rPr>
        <w:t>作者: Liang Wang</w:t>
        <w:br/>
      </w:r>
      <w:r>
        <w:rPr>
          <w:rFonts w:ascii="Times New Roman" w:hAnsi="Times New Roman" w:eastAsia="宋体"/>
          <w:sz w:val="21"/>
        </w:rPr>
        <w:t xml:space="preserve">时间: 2026-02-03T17:56:28Z | </w:t>
      </w:r>
      <w:r>
        <w:t xml:space="preserve">链接: </w:t>
      </w:r>
      <w:hyperlink r:id="rId136">
        <w:r>
          <w:rPr>
            <w:rFonts w:ascii="Times New Roman" w:hAnsi="Times New Roman" w:eastAsia="宋体"/>
            <w:color w:val="0000FF"/>
            <w:sz w:val="21"/>
            <w:u w:val="single"/>
          </w:rPr>
          <w:t>https://arxiv.org/abs/2602.03793v1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身世界模型已成为机器人技术中一个有前途的范例，其中大多数利用大规模互联网视频或预训练的视频生成模型来丰富视觉和运动先验。然而，它们仍然面临关键挑战：坐标空间动作和像素空间视频之间的不对准、对相机视点的敏感性以及跨实施例的非统一架构。为此，我们提出了 BridgeV2W，它将坐标空间动作转换为根据 URDF 和相机参数渲染的像素对齐的实施例掩模。然后，这些掩模通过 ControlNet 风格的路径注入到预训练的视频生成模型中，该路径将动作控制信号与预测视频对齐，添加特定于视图的调节以适应相机视点，并在各个实施例中生成统一的世界模型架构。为了减轻对静态背景的过度拟合，BridgeV2W 进一步引入了基于流的运动损失，专注于学习动态和任务相关区域。在单臂 (DROID) 和双臂 (AgiBot-G1) 数据集上进行的实验涵盖了具有未见过的视点和场景的多样化且具有挑战性的条件，结果表明，与之前最先进的方法相比，BridgeV2W 提高了视频生成质量。我们进一步展示了 BridgeV2W 在下游现实世界任务中的潜力，包括政策评估和目标条件规划。更多结果可以在我们的项目网站 https://BridgeV2W.github.io 上找到。</w:t>
      </w:r>
    </w:p>
    <w:p>
      <w:pPr>
        <w:spacing w:before="120"/>
      </w:pPr>
      <w:r>
        <w:rPr>
          <w:rFonts w:ascii="Times New Roman" w:hAnsi="Times New Roman" w:eastAsia="宋体"/>
          <w:b/>
          <w:sz w:val="21"/>
        </w:rPr>
        <w:t>English Abstract:</w:t>
      </w:r>
    </w:p>
    <w:p>
      <w:r>
        <w:rPr>
          <w:rFonts w:ascii="Times New Roman" w:hAnsi="Times New Roman" w:eastAsia="宋体"/>
          <w:sz w:val="21"/>
        </w:rPr>
        <w:t>Embodied world models have emerged as a promising paradigm in robotics, most of which leverage large-scale Internet videos or pretrained video generation models to enrich visual and motion priors. However, they still face key challenges: a misalignment between coordinate-space actions and pixel-space videos, sensitivity to camera viewpoint, and non-unified architectures across embodiments. To this end, we present BridgeV2W, which converts coordinate-space actions into pixel-aligned embodiment masks rendered from the URDF and camera parameters. These masks are then injected into a pretrained video generation model via a ControlNet-style pathway, which aligns the action control signals with predicted videos, adds view-specific conditioning to accommodate camera viewpoints, and yields a unified world model architecture across embodiments. To mitigate overfitting to static backgrounds, BridgeV2W further introduces a flow-based motion loss that focuses on learning dynamic and task-relevant regions. Experiments on single-arm (DROID) and dual-arm (AgiBot-G1) datasets, covering diverse and challenging conditions with unseen viewpoints and scenes, show that BridgeV2W improves video generation quality compared to prior state-of-the-art methods. We further demonstrate the potential of BridgeV2W on downstream real-world tasks, including policy evaluation and goal-conditioned planning. More results can be found on our project website at https://BridgeV2W.github.io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用于生成视图自适应人类视频的 3D 感知隐式运动控制</w:t>
      </w:r>
    </w:p>
    <w:p>
      <w:r>
        <w:rPr>
          <w:rFonts w:ascii="Times New Roman" w:hAnsi="Times New Roman" w:eastAsia="宋体"/>
          <w:b/>
          <w:color w:val="003264"/>
          <w:sz w:val="24"/>
        </w:rPr>
        <w:t>3D-Aware Implicit Motion Control for View-Adaptive Human Video Generation</w:t>
      </w:r>
    </w:p>
    <w:p>
      <w:r>
        <w:rPr>
          <w:rFonts w:ascii="Times New Roman" w:hAnsi="Times New Roman" w:eastAsia="宋体"/>
          <w:sz w:val="21"/>
        </w:rPr>
        <w:t>作者: Kun Gai</w:t>
        <w:br/>
      </w:r>
      <w:r>
        <w:rPr>
          <w:rFonts w:ascii="Times New Roman" w:hAnsi="Times New Roman" w:eastAsia="宋体"/>
          <w:sz w:val="21"/>
        </w:rPr>
        <w:t xml:space="preserve">时间: 2026-02-03T17:59:09Z | </w:t>
      </w:r>
      <w:r>
        <w:t xml:space="preserve">链接: </w:t>
      </w:r>
      <w:hyperlink r:id="rId137">
        <w:r>
          <w:rPr>
            <w:rFonts w:ascii="Times New Roman" w:hAnsi="Times New Roman" w:eastAsia="宋体"/>
            <w:color w:val="0000FF"/>
            <w:sz w:val="21"/>
            <w:u w:val="single"/>
          </w:rPr>
          <w:t>https://arxiv.org/abs/2602.03796v1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视频生成中现有的人体运动控制方法通常依赖 2D 姿势或显式 3D 参数模型（例如 SMPL）作为控制信号。然而，2D 将运动严格绑定到驾驶视点，从而妨碍了新颖的视图合成。显式 3D 模型虽然在结构上信息丰富，但存在固有的不准确性（例如，深度模糊性和不准确的动态），当用作强约束时，会覆盖大型视频生成器强大的内在 3D 感知能力。在这项工作中，我们从 3D 感知的角度重新审视运动控制，提倡一种隐式的、与视图无关的运动表示，它自然地与生成器的空间先验对齐，而不是依赖于外部重建的约束。我们引入了 3DiMo，它联合训练运动编码器和预先训练的视频生成器，将驱动帧提取为紧凑的、与视图无关的运动标记，并通过交叉注意力进行语义注入。为了培养 3D 意识，我们通过丰富视图的监督（即单视图、多视图和移动摄像机视频）进行训练，强制不同视点之间的运动一致性。此外，我们使用辅助几何监督，仅利用 SMPL 进行早期初始化，并退火至零，使模型能够从外部 3D 指导过渡到从数据和生成器先验中学习真正的 3D 空间运动理解。实验证实，3DiMo 通过灵活的文本驱动摄像头控制忠实地再现了驾驶动作，在运动保真度和视觉质量方面都显着超越了现有方法。</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human motion control in video generation typically rely on either 2D poses or explicit 3D parametric models (e.g., SMPL) as control signals. However, 2D poses rigidly bind motion to the driving viewpoint, precluding novel-view synthesis. Explicit 3D models, though structurally informative, suffer from inherent inaccuracies (e.g., depth ambiguity and inaccurate dynamics) which, when used as a strong constraint, override the powerful intrinsic 3D awareness of large-scale video generators. In this work, we revisit motion control from a 3D-aware perspective, advocating for an implicit, view-agnostic motion representation that naturally aligns with the generator's spatial priors rather than depending on externally reconstructed constraints. We introduce 3DiMo, which jointly trains a motion encoder with a pretrained video generator to distill driving frames into compact, view-agnostic motion tokens, injected semantically via cross-attention. To foster 3D awareness, we train with view-rich supervision (i.e., single-view, multi-view, and moving-camera videos), forcing motion consistency across diverse viewpoints. Additionally, we use auxiliary geometric supervision that leverages SMPL only for early initialization and is annealed to zero, enabling the model to transition from external 3D guidance to learning genuine 3D spatial motion understanding from the data and the generator's priors. Experiments confirm that 3DiMo faithfully reproduces driving motions with flexible, text-driven camera control, significantly surpassing existing methods in both motion fidelity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用于自回归多尺度图像生成的渐进棋盘格</w:t>
      </w:r>
    </w:p>
    <w:p>
      <w:r>
        <w:rPr>
          <w:rFonts w:ascii="Times New Roman" w:hAnsi="Times New Roman" w:eastAsia="宋体"/>
          <w:b/>
          <w:color w:val="003264"/>
          <w:sz w:val="24"/>
        </w:rPr>
        <w:t>Progressive Checkerboards for Autoregressive Multiscale Image Generation</w:t>
      </w:r>
    </w:p>
    <w:p>
      <w:r>
        <w:rPr>
          <w:rFonts w:ascii="Times New Roman" w:hAnsi="Times New Roman" w:eastAsia="宋体"/>
          <w:sz w:val="21"/>
        </w:rPr>
        <w:t>作者: David Eigen</w:t>
        <w:br/>
      </w:r>
      <w:r>
        <w:rPr>
          <w:rFonts w:ascii="Times New Roman" w:hAnsi="Times New Roman" w:eastAsia="宋体"/>
          <w:sz w:val="21"/>
        </w:rPr>
        <w:t xml:space="preserve">时间: 2026-02-03T18:15:27Z | </w:t>
      </w:r>
      <w:r>
        <w:t xml:space="preserve">链接: </w:t>
      </w:r>
      <w:hyperlink r:id="rId138">
        <w:r>
          <w:rPr>
            <w:rFonts w:ascii="Times New Roman" w:hAnsi="Times New Roman" w:eastAsia="宋体"/>
            <w:color w:val="0000FF"/>
            <w:sz w:val="21"/>
            <w:u w:val="single"/>
          </w:rPr>
          <w:t>https://arxiv.org/abs/2602.03811v1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图像生成的一个关键挑战是有效地并行采样独立位置，同时仍然通过串行条件对相互依赖关系进行建模。最近的一些工作通过在多尺度金字塔中的尺度之间进行调节来解决这个问题。其他人研究了使用常规分区或随机顺序并行化单个图像中的样本。在这项工作中，我们研究了一种基于渐进棋盘的灵活、固定排序，用于多尺度自回归图像生成。我们的排序从每个尺度的均匀间隔区域并行抽取样本，在每一步的四叉树细分的所有级别上保持完全平衡。这使得能够在尺度之间和尺度内进行有效调节。有趣的是，我们发现证据表明，在我们的平衡设置中，只要串行步骤的总数恒定，各种放大因素都会导致类似的结果。在类条件 ImageNet 上，与具有类似模型容量的最新最先进的自回归系统相比，我们的方法使用更少的采样步骤实现了具有竞争力的性能。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A key challenge in autoregressive image generation is to efficiently sample independent locations in parallel, while still modeling mutual dependencies with serial conditioning. Some recent works have addressed this by conditioning between scales in a multiscale pyramid. Others have looked at parallelizing samples in a single image using regular partitions or randomized orders. In this work we examine a flexible, fixed ordering based on progressive checkerboards for multiscale autoregressive image generation. Our ordering draws samples in parallel from evenly spaced regions at each scale, maintaining full balance in all levels of a quadtree subdivision at each step. This enables effective conditioning both between and within scales. Intriguingly, we find evidence that in our balanced setting, a wide range of scale-up factors lead to similar results, so long as the total number of serial steps is constant. On class-conditional ImageNet, our method achieves competitive performance compared to recent state-of-the-art autoregressive systems with like model capacity, using fewer sampling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通过自适应原点引导连续控制编辑模型</w:t>
      </w:r>
    </w:p>
    <w:p>
      <w:r>
        <w:rPr>
          <w:rFonts w:ascii="Times New Roman" w:hAnsi="Times New Roman" w:eastAsia="宋体"/>
          <w:b/>
          <w:color w:val="003264"/>
          <w:sz w:val="24"/>
        </w:rPr>
        <w:t>Continuous Control of Editing Models via Adaptive-Origin Guidance</w:t>
      </w:r>
    </w:p>
    <w:p>
      <w:r>
        <w:rPr>
          <w:rFonts w:ascii="Times New Roman" w:hAnsi="Times New Roman" w:eastAsia="宋体"/>
          <w:sz w:val="21"/>
        </w:rPr>
        <w:t>作者: Or Patashnik</w:t>
        <w:br/>
      </w:r>
      <w:r>
        <w:rPr>
          <w:rFonts w:ascii="Times New Roman" w:hAnsi="Times New Roman" w:eastAsia="宋体"/>
          <w:sz w:val="21"/>
        </w:rPr>
        <w:t xml:space="preserve">时间: 2026-02-03T18:33:39Z | </w:t>
      </w:r>
      <w:r>
        <w:t xml:space="preserve">链接: </w:t>
      </w:r>
      <w:hyperlink r:id="rId139">
        <w:r>
          <w:rPr>
            <w:rFonts w:ascii="Times New Roman" w:hAnsi="Times New Roman" w:eastAsia="宋体"/>
            <w:color w:val="0000FF"/>
            <w:sz w:val="21"/>
            <w:u w:val="single"/>
          </w:rPr>
          <w:t>https://arxiv.org/abs/2602.03826v1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基于扩散的编辑模型已成为语义图像和视频操作的强大工具。然而，现有模型缺乏平稳控制文本引导编辑强度的机制。在标准文本条件生成中，无分类器指导 (CFG) 会影响提示依从性，表明它是编辑模型中编辑强度的潜在控制。然而，我们表明在这些模型中缩放 CFG 不会在输入和编辑结果之间产生平滑过渡。我们将这种行为归因于无条件预测，它充当指导原点并在低指导尺度下主导生成，同时代表对输入内容的任意操纵。为了实现连续控制，我们引入了自适应原点引导（AdaOr），这是一种使用与身份操作相对应的身份指令，通过身份条件自适应原点调整此标准引导原点的方法。通过根据编辑强度将此身份预测与标准无条件预测进行插值，我们确保从输入到编辑结果的连续过渡。我们在图像和视频编辑任务上评估了我们的方法，证明与当前基于滑块的编辑方法相比，它提供了更平滑、更一致的控制。我们的方法将身份指令纳入标准训练框架，从而在推理时实现细粒度控制，无需每次编辑程序或依赖专门的数据集。</w:t>
      </w:r>
    </w:p>
    <w:p>
      <w:pPr>
        <w:spacing w:before="120"/>
      </w:pPr>
      <w:r>
        <w:rPr>
          <w:rFonts w:ascii="Times New Roman" w:hAnsi="Times New Roman" w:eastAsia="宋体"/>
          <w:b/>
          <w:sz w:val="21"/>
        </w:rPr>
        <w:t>English Abstract:</w:t>
      </w:r>
    </w:p>
    <w:p>
      <w:r>
        <w:rPr>
          <w:rFonts w:ascii="Times New Roman" w:hAnsi="Times New Roman" w:eastAsia="宋体"/>
          <w:sz w:val="21"/>
        </w:rPr>
        <w:t>Diffusion-based editing models have emerged as a powerful tool for semantic image and video manipulation. However, existing models lack a mechanism for smoothly controlling the intensity of text-guided edits. In standard text-conditioned generation, Classifier-Free Guidance (CFG) impacts prompt adherence, suggesting it as a potential control for edit intensity in editing models. However, we show that scaling CFG in these models does not produce a smooth transition between the input and the edited result. We attribute this behavior to the unconditional prediction, which serves as the guidance origin and dominates the generation at low guidance scales, while representing an arbitrary manipulation of the input content. To enable continuous control, we introduce Adaptive-Origin Guidance (AdaOr), a method that adjusts this standard guidance origin with an identity-conditioned adaptive origin, using an identity instruction corresponding to the identity manipulation. By interpolating this identity prediction with the standard unconditional prediction according to the edit strength, we ensure a continuous transition from the input to the edited result. We evaluate our method on image and video editing tasks, demonstrating that it provides smoother and more consistent control compared to current slider-based editing approaches. Our method incorporates an identity instruction into the standard training framework, enabling fine-grained control at inference time without per-edit procedure or reliance on specialized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PrevizWhiz：结合粗糙 3D 场景和 2D 视频来指导生成视频预可视化</w:t>
      </w:r>
    </w:p>
    <w:p>
      <w:r>
        <w:rPr>
          <w:rFonts w:ascii="Times New Roman" w:hAnsi="Times New Roman" w:eastAsia="宋体"/>
          <w:b/>
          <w:color w:val="003264"/>
          <w:sz w:val="24"/>
        </w:rPr>
        <w:t>PrevizWhiz: Combining Rough 3D Scenes and 2D Video to Guide Generative Video Previsualization</w:t>
      </w:r>
    </w:p>
    <w:p>
      <w:r>
        <w:rPr>
          <w:rFonts w:ascii="Times New Roman" w:hAnsi="Times New Roman" w:eastAsia="宋体"/>
          <w:sz w:val="21"/>
        </w:rPr>
        <w:t>作者: Fraser Anderson</w:t>
        <w:br/>
      </w:r>
      <w:r>
        <w:rPr>
          <w:rFonts w:ascii="Times New Roman" w:hAnsi="Times New Roman" w:eastAsia="宋体"/>
          <w:sz w:val="21"/>
        </w:rPr>
        <w:t xml:space="preserve">时间: 2026-02-03T18:56:40Z | </w:t>
      </w:r>
      <w:r>
        <w:t xml:space="preserve">链接: </w:t>
      </w:r>
      <w:hyperlink r:id="rId140">
        <w:r>
          <w:rPr>
            <w:rFonts w:ascii="Times New Roman" w:hAnsi="Times New Roman" w:eastAsia="宋体"/>
            <w:color w:val="0000FF"/>
            <w:sz w:val="21"/>
            <w:u w:val="single"/>
          </w:rPr>
          <w:t>https://arxiv.org/abs/2602.03838v1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在前期制作中，电影制作人和 3D 动画专家必须快速制作创意原型，以在全面制作之前探索电影的可能性，但传统方法涉及效率和表现力的权衡。手绘故事板通常缺乏复杂电影摄影所需的空间精度，而 3D 预可视化则需要专业知识和高质量的装备资产。为了解决这一差距，我们推出了 PrevizWhiz，这是一个利用粗糙 3D 场景与生成图像和视频模型相结合来创建风格化视频预览的系统。该工作流程将帧级图像重新设计与可调节相似度、通过运动路径或外部视频输入进行基于时间的编辑以及细化为高保真视频剪辑集成在一起。与电影制片人的一项研究表明，我们的系统降低了电影制片人的技术门槛，加速了创意迭代，有效弥合了沟通差距，同时也解决了人工智能辅助电影制作中的连续性、作者身份和道德考虑的挑战。</w:t>
      </w:r>
    </w:p>
    <w:p>
      <w:pPr>
        <w:spacing w:before="120"/>
      </w:pPr>
      <w:r>
        <w:rPr>
          <w:rFonts w:ascii="Times New Roman" w:hAnsi="Times New Roman" w:eastAsia="宋体"/>
          <w:b/>
          <w:sz w:val="21"/>
        </w:rPr>
        <w:t>English Abstract:</w:t>
      </w:r>
    </w:p>
    <w:p>
      <w:r>
        <w:rPr>
          <w:rFonts w:ascii="Times New Roman" w:hAnsi="Times New Roman" w:eastAsia="宋体"/>
          <w:sz w:val="21"/>
        </w:rPr>
        <w:t>In pre-production, filmmakers and 3D animation experts must rapidly prototype ideas to explore a film's possibilities before fullscale production, yet conventional approaches involve trade-offs in efficiency and expressiveness. Hand-drawn storyboards often lack spatial precision needed for complex cinematography, while 3D previsualization demands expertise and high-quality rigged assets. To address this gap, we present PrevizWhiz, a system that leverages rough 3D scenes in combination with generative image and video models to create stylized video previews. The workflow integrates frame-level image restyling with adjustable resemblance, time-based editing through motion paths or external video inputs, and refinement into high-fidelity video clips. A study with filmmakers demonstrates that our system lowers technical barriers for film-makers, accelerates creative iteration, and effectively bridges the communication gap, while also surfacing challenges of continuity, authorship, and ethical consideration in AI-assisted filmmaking.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EventNeuS：从单事件相机重建 3D 网格</w:t>
      </w:r>
    </w:p>
    <w:p>
      <w:r>
        <w:rPr>
          <w:rFonts w:ascii="Times New Roman" w:hAnsi="Times New Roman" w:eastAsia="宋体"/>
          <w:b/>
          <w:color w:val="003264"/>
          <w:sz w:val="24"/>
        </w:rPr>
        <w:t>EventNeuS: 3D Mesh Reconstruction from a Single Event Camera</w:t>
      </w:r>
    </w:p>
    <w:p>
      <w:r>
        <w:rPr>
          <w:rFonts w:ascii="Times New Roman" w:hAnsi="Times New Roman" w:eastAsia="宋体"/>
          <w:sz w:val="21"/>
        </w:rPr>
        <w:t>作者: Vladislav Golyanik</w:t>
        <w:br/>
      </w:r>
      <w:r>
        <w:rPr>
          <w:rFonts w:ascii="Times New Roman" w:hAnsi="Times New Roman" w:eastAsia="宋体"/>
          <w:sz w:val="21"/>
        </w:rPr>
        <w:t xml:space="preserve">时间: 2026-02-03T18:59:57Z | </w:t>
      </w:r>
      <w:r>
        <w:t xml:space="preserve">链接: </w:t>
      </w:r>
      <w:hyperlink r:id="rId141">
        <w:r>
          <w:rPr>
            <w:rFonts w:ascii="Times New Roman" w:hAnsi="Times New Roman" w:eastAsia="宋体"/>
            <w:color w:val="0000FF"/>
            <w:sz w:val="21"/>
            <w:u w:val="single"/>
          </w:rPr>
          <w:t>https://arxiv.org/abs/2602.03847v1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在许多场景中，事件摄像机为 RGB 摄像机提供了相当好的替代方案。虽然最近有基于事件的新颖视图合成的工作，但密集 3D 网格重建仍然很少被探索，并且现有的基于事件的技术在 3D 重建精度方面受到严重限制。为了解决这个限制，我们提出了 EventNeuS，这是一种自监督神经模型，用于从单目颜色事件流中学习 3D 表示。我们的方法首次将 3D 符号距离函数和密度场学习与基于事件的监督相结合。此外，我们将球谐编码引入到我们的模型中，以增强对视图相关效果的处理。 EventNeuS 的性能显着优于现有方法，与之前的最佳方法相比，倒角距离平均降低了 34%，平均绝对误差平均降低了 31%。</w:t>
      </w:r>
    </w:p>
    <w:p>
      <w:pPr>
        <w:spacing w:before="120"/>
      </w:pPr>
      <w:r>
        <w:rPr>
          <w:rFonts w:ascii="Times New Roman" w:hAnsi="Times New Roman" w:eastAsia="宋体"/>
          <w:b/>
          <w:sz w:val="21"/>
        </w:rPr>
        <w:t>English Abstract:</w:t>
      </w:r>
    </w:p>
    <w:p>
      <w:r>
        <w:rPr>
          <w:rFonts w:ascii="Times New Roman" w:hAnsi="Times New Roman" w:eastAsia="宋体"/>
          <w:sz w:val="21"/>
        </w:rPr>
        <w:t>Event cameras offer a considerable alternative to RGB cameras in many scenarios. While there are recent works on event-based novel-view synthesis, dense 3D mesh reconstruction remains scarcely explored and existing event-based techniques are severely limited in their 3D reconstruction accuracy. To address this limitation, we present EventNeuS, a self-supervised neural model for learning 3D representations from monocular colour event streams. Our approach, for the first time, combines 3D signed distance function and density field learning with event-based supervision. Furthermore, we introduce spherical harmonics encodings into our model for enhanced handling of view-dependent effects. EventNeuS outperforms existing approaches by a significant margin, achieving 34% lower Chamfer distance and 31% lower mean absolute error on average compared to the best previous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11:32 ---</w:t>
      </w:r>
    </w:p>
    <w:p>
      <w:pPr>
        <w:pStyle w:val="Heading1"/>
      </w:pPr>
      <w:r>
        <w:rPr>
          <w:rFonts w:ascii="Times New Roman" w:hAnsi="Times New Roman" w:eastAsia="宋体"/>
          <w:b/>
          <w:color w:val="000000"/>
          <w:sz w:val="32"/>
        </w:rPr>
        <w:t>Nature Communications</w:t>
      </w:r>
    </w:p>
    <w:p>
      <w:pPr>
        <w:jc w:val="center"/>
      </w:pPr>
      <w:r>
        <w:t>--- 更新: 12:38 ---</w:t>
      </w:r>
    </w:p>
    <w:p>
      <w:pPr>
        <w:pStyle w:val="Heading2"/>
      </w:pPr>
      <w:r/>
      <w:r>
        <w:rPr>
          <w:rFonts w:ascii="Times New Roman" w:hAnsi="Times New Roman" w:eastAsia="宋体"/>
          <w:b/>
          <w:color w:val="000000"/>
          <w:sz w:val="24"/>
        </w:rPr>
        <w:t>人脑中的定向皮质边缘对话</w:t>
      </w:r>
    </w:p>
    <w:p>
      <w:r>
        <w:rPr>
          <w:rFonts w:ascii="Times New Roman" w:hAnsi="Times New Roman" w:eastAsia="宋体"/>
          <w:b/>
          <w:color w:val="003264"/>
          <w:sz w:val="24"/>
        </w:rPr>
        <w:t>Directed cortico-limbic dialogue in the human brain</w:t>
      </w:r>
    </w:p>
    <w:p>
      <w:r>
        <w:rPr>
          <w:rFonts w:ascii="Times New Roman" w:hAnsi="Times New Roman" w:eastAsia="宋体"/>
          <w:sz w:val="21"/>
        </w:rPr>
        <w:t>作者: Ellen van Maren, Camille G. Mignardot, Roland Widmer, Cecilia Friedrichs-Maeder, Juan Ansó, Päivi Nevalainen, Markus Fuchs, Claudio Pollo, Athina Tzovara, Timothée Proix, Kaspar A. Schindler, Maxime O. Baud</w:t>
        <w:br/>
      </w:r>
      <w:r>
        <w:rPr>
          <w:rFonts w:ascii="Times New Roman" w:hAnsi="Times New Roman" w:eastAsia="宋体"/>
          <w:sz w:val="21"/>
        </w:rPr>
        <w:t xml:space="preserve">时间: 2026-02-02 | </w:t>
      </w:r>
      <w:r>
        <w:t xml:space="preserve">链接: </w:t>
      </w:r>
      <w:hyperlink r:id="rId142">
        <w:r>
          <w:rPr>
            <w:rFonts w:ascii="Times New Roman" w:hAnsi="Times New Roman" w:eastAsia="宋体"/>
            <w:color w:val="0000FF"/>
            <w:sz w:val="21"/>
            <w:u w:val="single"/>
          </w:rPr>
          <w:t>https://doi.org/10.1038/s41467-026-68701-z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如何在一堆神经纤维中追踪大脑有序的定向信号？由于人类很少能直接接触到实际的大脑信号，因此睡眠和清醒期间皮质边缘通信的精确接线图基本上仍未绘制出来，这阻碍了神经科学的进步。现在，人脑上独特的神经外科窗口允许在医院对皮层连接进行电映射，但迄今为止的研究依赖于平均信号，掩盖了跨大脑区域和警戒状态的信号流的动态性质。为了因果地估计信号流，我们在几天内用短暂的电脉冲反复探测皮质边缘网络，并在单次试验的基础上评估每个传输信号的可变命运。在所得的公开数据集中，我们描述了数天内数千个本地和远程皮质边缘连接的信号概率和方向性。挑战既定观点，我们发现边缘结构在清醒和睡眠状态下发送的信号是它们接收的信号的两倍。我们的研究结果为因果解释大脑信号流和制定脑网络疾病的治疗策略提供了一个基本框架。</w:t>
      </w:r>
    </w:p>
    <w:p>
      <w:pPr>
        <w:spacing w:before="120"/>
      </w:pPr>
      <w:r>
        <w:rPr>
          <w:rFonts w:ascii="Times New Roman" w:hAnsi="Times New Roman" w:eastAsia="宋体"/>
          <w:b/>
          <w:sz w:val="21"/>
        </w:rPr>
        <w:t>English Abstract:</w:t>
      </w:r>
    </w:p>
    <w:p>
      <w:r>
        <w:rPr>
          <w:rFonts w:ascii="Times New Roman" w:hAnsi="Times New Roman" w:eastAsia="宋体"/>
          <w:sz w:val="21"/>
        </w:rPr>
        <w:t>Abstract How can one trace the brain’s orderly directed signals amid a tangle of nerve fibers? Because direct access to actual brain signaling is rare in humans, the precise wiring diagrams for cortico-limbic communication during sleep and wake remain essentially unmapped, hampering progress in neuroscience. Now, a unique neurosurgical window on the human brain allows for electrically mapping cortical connections at the hospital, but studies so far have relied on average signals, masking the dynamic nature of signal flow across brain regions and vigilance states. To causally estimate signal flow, we repeatedly probed cortico-limbic networks with short-lived electrical pulses over days and assessed the variable fate of each transmitted signal on a single-trial basis. In the resulting openly available dataset, we characterized signaling probabilities and directionality across thousands of local and long-range cortico-limbic connections over days. Challenging established views, we found that limbic structures send twice as many signals as they receive, in both wakefulness and sleep. Our findings provide a fundamental framework for causally interpreting signal flow in the brain and formulating therapeutic strategies for brain network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昆虫级人工视觉嗅觉仿生复眼</w:t>
      </w:r>
    </w:p>
    <w:p>
      <w:r>
        <w:rPr>
          <w:rFonts w:ascii="Times New Roman" w:hAnsi="Times New Roman" w:eastAsia="宋体"/>
          <w:b/>
          <w:color w:val="003264"/>
          <w:sz w:val="24"/>
        </w:rPr>
        <w:t>An insect-scale artificial visual-olfactory bionic compound eye</w:t>
      </w:r>
    </w:p>
    <w:p>
      <w:r>
        <w:rPr>
          <w:rFonts w:ascii="Times New Roman" w:hAnsi="Times New Roman" w:eastAsia="宋体"/>
          <w:sz w:val="21"/>
        </w:rPr>
        <w:t>作者: Jiachuang Wang, Shuai Wei, Nan Qin, Tiger H. Tao</w:t>
        <w:br/>
      </w:r>
      <w:r>
        <w:rPr>
          <w:rFonts w:ascii="Times New Roman" w:hAnsi="Times New Roman" w:eastAsia="宋体"/>
          <w:sz w:val="21"/>
        </w:rPr>
        <w:t xml:space="preserve">时间: 2026-02-02 | </w:t>
      </w:r>
      <w:r>
        <w:t xml:space="preserve">链接: </w:t>
      </w:r>
      <w:hyperlink r:id="rId143">
        <w:r>
          <w:rPr>
            <w:rFonts w:ascii="Times New Roman" w:hAnsi="Times New Roman" w:eastAsia="宋体"/>
            <w:color w:val="0000FF"/>
            <w:sz w:val="21"/>
            <w:u w:val="single"/>
          </w:rPr>
          <w:t>https://doi.org/10.1038/s41467-026-68940-0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眼具有独特的光学结构和高效的图像处理能力。果蝇的视嗅神经系统具有重量轻、功耗低的特点。在人工复眼系统的设计和制造方面付出了巨大的努力。然而，在昆虫尺度上构建具有敏感光电响应和准确嗅觉感知、模仿生物多模态融合决策机制的仿生视觉嗅觉复眼微系统仍然具有挑战性。在此，我们通过飞秒激光双光子聚合将仿生微透镜阵列制造到柔性光电探测器上，在1.5×1.5 mm 2 上集成了1027个小眼，并通过喷墨打印进一步构建比色嗅觉传感器阵列，实现视觉和嗅觉的综合感知。仿生复眼（bio-CE）可实现宽视场成像（方位角180°）、自然眼间隔离、1 kHz闪烁融合频率以及对各种危险化学品的颜色响应，从而对移动物体具有高灵敏度，对环境气体具有快速响应。该微系统可作为广角近距离避障探测器和监测运动目标视觉和嗅觉信息的装置。昆虫尺度仿生并置复眼在无人平台导航和仿生机器人智能方面显示出巨大的潜在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Compound eyes feature unique optical structures and high-efficiency image processing. The opto-olfactory nervous system of Drosophila has the characteristics of lightweight and low power consumption. Significant efforts have been dedicated to the design and manufacturing of artificial compound eye system. However, it is still challenging to construct a bionic visual-olfactory compound eye microsystem with sensitive photoelectric response and accurate olfactory perception in insect-scale, mimicking the biological multimodal fusion decision-making mechanism. Here, we report a miniature apposition compound eye that integrates 1027 ommatidia on 1.5×1.5 mm 2 by manufacturing a bionic micro-lens array onto flexible photodetectors via femtosecond laser two-photon polymerization, further construct the colorimetric olfactory sensor array through inkjet printing to achieve integrated perception of vision and smell. The bionic compound eye (bio-CE) enables wide field-of-view imaging (azimuth angle 180°), natural interocular isolation, a 1 kHz flicker fusion frequency and color response to various hazardous chemicals, resulting in high sensitivity to moving objects and rapid response to environmental gases. The microsystem can serve as a wide-angle close-range obstacle avoidance detector and a device for monitoring visual and olfactory information of moving targets. The insect-scale bionic apposition compound eye shows great potential applications in unmanned platform navigation and bionic robot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在阳光下使用再生 PVC 回收聚烯烃</w:t>
      </w:r>
    </w:p>
    <w:p>
      <w:r>
        <w:rPr>
          <w:rFonts w:ascii="Times New Roman" w:hAnsi="Times New Roman" w:eastAsia="宋体"/>
          <w:b/>
          <w:color w:val="003264"/>
          <w:sz w:val="24"/>
        </w:rPr>
        <w:t>Recycling of polyolefins using recycled PVC under sunlight</w:t>
      </w:r>
    </w:p>
    <w:p>
      <w:r>
        <w:rPr>
          <w:rFonts w:ascii="Times New Roman" w:hAnsi="Times New Roman" w:eastAsia="宋体"/>
          <w:sz w:val="21"/>
        </w:rPr>
        <w:t>作者: Heng Liu, Ding-Wei Ji, Su-Yang Xu, Zhi-Hui Wang, Shi-Yu Guo, Qing-An Chen</w:t>
        <w:br/>
      </w:r>
      <w:r>
        <w:rPr>
          <w:rFonts w:ascii="Times New Roman" w:hAnsi="Times New Roman" w:eastAsia="宋体"/>
          <w:sz w:val="21"/>
        </w:rPr>
        <w:t xml:space="preserve">时间: 2026-02-02 | </w:t>
      </w:r>
      <w:r>
        <w:t xml:space="preserve">链接: </w:t>
      </w:r>
      <w:hyperlink r:id="rId144">
        <w:r>
          <w:rPr>
            <w:rFonts w:ascii="Times New Roman" w:hAnsi="Times New Roman" w:eastAsia="宋体"/>
            <w:color w:val="0000FF"/>
            <w:sz w:val="21"/>
            <w:u w:val="single"/>
          </w:rPr>
          <w:t>https://doi.org/10.1038/s41467-025-68032-5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解聚聚烯烃通常需要高温并且是能源密集型的。在这里，作者将 PVC 升级为光热剂，可以利用阳光将聚烯烃解聚成低分子量蜡或单体</w:t>
      </w:r>
    </w:p>
    <w:p>
      <w:pPr>
        <w:spacing w:before="120"/>
      </w:pPr>
      <w:r>
        <w:rPr>
          <w:rFonts w:ascii="Times New Roman" w:hAnsi="Times New Roman" w:eastAsia="宋体"/>
          <w:b/>
          <w:sz w:val="21"/>
        </w:rPr>
        <w:t>English Abstract:</w:t>
      </w:r>
    </w:p>
    <w:p>
      <w:r>
        <w:rPr>
          <w:rFonts w:ascii="Times New Roman" w:hAnsi="Times New Roman" w:eastAsia="宋体"/>
          <w:sz w:val="21"/>
        </w:rPr>
        <w:t>Depolymerising polyolefins typically requires high temperatures and is energy intensive. Here, the authors upcycle PVC into a photothermal agent which could depolymerise polyolefins using sunlight into low molecular weight waxes or monomers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通过对空气传播病毒传播模式的比较评估，推进雪貂甲型（H5N1）流感风险评估</w:t>
      </w:r>
    </w:p>
    <w:p>
      <w:r>
        <w:rPr>
          <w:rFonts w:ascii="Times New Roman" w:hAnsi="Times New Roman" w:eastAsia="宋体"/>
          <w:b/>
          <w:color w:val="003264"/>
          <w:sz w:val="24"/>
        </w:rPr>
        <w:t>Advancing A(H5N1) influenza risk assessment in ferrets through comparative evaluation of airborne virus shedding patterns</w:t>
      </w:r>
    </w:p>
    <w:p>
      <w:r>
        <w:rPr>
          <w:rFonts w:ascii="Times New Roman" w:hAnsi="Times New Roman" w:eastAsia="宋体"/>
          <w:sz w:val="21"/>
        </w:rPr>
        <w:t>作者: Joanna A. Pulit-Penaloza, Troy J. Kieran, Nicole Brock, Jessica A. Belser, Xiangjie Sun, Hui Zeng, Claudia Pappas, Juan A. De La Cruz, Yasuko Hatta, Han Di, C. Todd Davis, Terrence M. Tumpey, Taronna. R. Maines</w:t>
        <w:br/>
      </w:r>
      <w:r>
        <w:rPr>
          <w:rFonts w:ascii="Times New Roman" w:hAnsi="Times New Roman" w:eastAsia="宋体"/>
          <w:sz w:val="21"/>
        </w:rPr>
        <w:t xml:space="preserve">时间: 2026-02-02 | </w:t>
      </w:r>
      <w:r>
        <w:t xml:space="preserve">链接: </w:t>
      </w:r>
      <w:hyperlink r:id="rId145">
        <w:r>
          <w:rPr>
            <w:rFonts w:ascii="Times New Roman" w:hAnsi="Times New Roman" w:eastAsia="宋体"/>
            <w:color w:val="0000FF"/>
            <w:sz w:val="21"/>
            <w:u w:val="single"/>
          </w:rPr>
          <w:t>https://doi.org/10.1038/s41467-026-68931-1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最近在北美发生的与家禽和牛有关的 A(H5N1) 人畜共患病例凸显了评估新出现病毒株的大流行潜力的迫切需要。我们使用雄性雪貂评估了从人类中分离出的两种 B3.13 和两种 D1.1 基因型 A(H5N1) 病毒，并观察了致命疾病和不同的直接接触传播能力。为了加强大流行风险评估，我们使用旋风分离器 BC251 和基于水凝结捕获的 SPOT 采样器进行气溶胶采样，并进行比较分析，以包括具有已知传播能力特征的其他 A(H5N1)、A(H9N2)、A(H7N9) 和 A(H1N1)pdm09 菌株。尽管 A(H5N1) 毒株均不会通过空气传播，但与 D1.1 毒株相比，检测到的 B3.13 病毒的水平明显更高。在这里，我们展示了鼻腔冲洗液中的病毒载量、空气传播的病毒脱落和雪貂的传播性之间的密切相关性，强调了这些指标对于识别可能适应增加传播潜力的人畜共患流感病毒的价值。</w:t>
      </w:r>
    </w:p>
    <w:p>
      <w:pPr>
        <w:spacing w:before="120"/>
      </w:pPr>
      <w:r>
        <w:rPr>
          <w:rFonts w:ascii="Times New Roman" w:hAnsi="Times New Roman" w:eastAsia="宋体"/>
          <w:b/>
          <w:sz w:val="21"/>
        </w:rPr>
        <w:t>English Abstract:</w:t>
      </w:r>
    </w:p>
    <w:p>
      <w:r>
        <w:rPr>
          <w:rFonts w:ascii="Times New Roman" w:hAnsi="Times New Roman" w:eastAsia="宋体"/>
          <w:sz w:val="21"/>
        </w:rPr>
        <w:t>Abstract Recent A(H5N1) zoonotic cases linked to poultry and cattle in North America highlight the urgent need to assess the pandemic potential of emerging strains. Using male ferrets, we evaluate two B3.13 and two D1.1 genotype A(H5N1) viruses isolated from humans and observe fatal disease and varying capacities for direct contact transmission. To enhance pandemic risk assessment, we conduct aerosol sampling using cyclone BC251 and water condensation capture-based SPOT samplers and perform comparative analyses to include additional A(H5N1), A(H9N2), A(H7N9), and A(H1N1)pdm09 strains with known transmissibility profiles. Although none of the A(H5N1) strains transmit via the air, B3.13 viruses are detected at significantly higher levels compared to D1.1 strains. Here we show strong correlations between viral loads in nasal washes, airborne virus shedding, and transmissibility in ferrets, highlighting the value of these metrics for identifying zoonotic influenza viruses that may be adapting toward increased transmission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2D/2D磷烯/BiOI S型异质结用于真实阳光下亚分钟光催化水消毒</w:t>
      </w:r>
    </w:p>
    <w:p>
      <w:r>
        <w:rPr>
          <w:rFonts w:ascii="Times New Roman" w:hAnsi="Times New Roman" w:eastAsia="宋体"/>
          <w:b/>
          <w:color w:val="003264"/>
          <w:sz w:val="24"/>
        </w:rPr>
        <w:t>2D/2D phosphorene/BiOI S-scheme heterojunction for subminute photocatalytic water disinfection under real sunlight</w:t>
      </w:r>
    </w:p>
    <w:p>
      <w:r>
        <w:rPr>
          <w:rFonts w:ascii="Times New Roman" w:hAnsi="Times New Roman" w:eastAsia="宋体"/>
          <w:sz w:val="21"/>
        </w:rPr>
        <w:t>作者: Dongyang He, Kangning Zhang, Chuanhao Liu, Ya-nan Zhang, Hao Yang, Jingyuan Dong, Jiao Qu</w:t>
        <w:br/>
      </w:r>
      <w:r>
        <w:rPr>
          <w:rFonts w:ascii="Times New Roman" w:hAnsi="Times New Roman" w:eastAsia="宋体"/>
          <w:sz w:val="21"/>
        </w:rPr>
        <w:t xml:space="preserve">时间: 2026-02-02 | </w:t>
      </w:r>
      <w:r>
        <w:t xml:space="preserve">链接: </w:t>
      </w:r>
      <w:hyperlink r:id="rId146">
        <w:r>
          <w:rPr>
            <w:rFonts w:ascii="Times New Roman" w:hAnsi="Times New Roman" w:eastAsia="宋体"/>
            <w:color w:val="0000FF"/>
            <w:sz w:val="21"/>
            <w:u w:val="single"/>
          </w:rPr>
          <w:t>https://doi.org/10.1038/s41467-026-69101-z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该研究展示了磷烯/BiOI异质结可以实现亚分钟水消毒，为高效光催化抗菌材料的设计提供了见解。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study demonstrates a phosphorene/BiOI heterojunction that achieves sub-minute water disinfection, offering insights into the design of efficient photocatalytic antimicrobial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时空超级振荡</w:t>
      </w:r>
    </w:p>
    <w:p>
      <w:r>
        <w:rPr>
          <w:rFonts w:ascii="Times New Roman" w:hAnsi="Times New Roman" w:eastAsia="宋体"/>
          <w:b/>
          <w:color w:val="003264"/>
          <w:sz w:val="24"/>
        </w:rPr>
        <w:t>Space-time superoscillations</w:t>
      </w:r>
    </w:p>
    <w:p>
      <w:r>
        <w:rPr>
          <w:rFonts w:ascii="Times New Roman" w:hAnsi="Times New Roman" w:eastAsia="宋体"/>
          <w:sz w:val="21"/>
        </w:rPr>
        <w:t>作者: Yijie Shen, Nikitas Papasimakis, Nikolay I. Zheludev</w:t>
        <w:br/>
      </w:r>
      <w:r>
        <w:rPr>
          <w:rFonts w:ascii="Times New Roman" w:hAnsi="Times New Roman" w:eastAsia="宋体"/>
          <w:sz w:val="21"/>
        </w:rPr>
        <w:t xml:space="preserve">时间: 2026-02-02 | </w:t>
      </w:r>
      <w:r>
        <w:t xml:space="preserve">链接: </w:t>
      </w:r>
      <w:hyperlink r:id="rId147">
        <w:r>
          <w:rPr>
            <w:rFonts w:ascii="Times New Roman" w:hAnsi="Times New Roman" w:eastAsia="宋体"/>
            <w:color w:val="0000FF"/>
            <w:sz w:val="21"/>
            <w:u w:val="single"/>
          </w:rPr>
          <w:t>https://doi.org/10.1038/s41467-025-68260-9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超级振荡使波能够更快地振荡，超越经典极限。在这里，作者展示了结构光脉冲中同时的空间和时间超振荡，实现了时空的极端亚波长和超快聚焦。</w:t>
      </w:r>
    </w:p>
    <w:p>
      <w:pPr>
        <w:spacing w:before="120"/>
      </w:pPr>
      <w:r>
        <w:rPr>
          <w:rFonts w:ascii="Times New Roman" w:hAnsi="Times New Roman" w:eastAsia="宋体"/>
          <w:b/>
          <w:sz w:val="21"/>
        </w:rPr>
        <w:t>English Abstract:</w:t>
      </w:r>
    </w:p>
    <w:p>
      <w:r>
        <w:rPr>
          <w:rFonts w:ascii="Times New Roman" w:hAnsi="Times New Roman" w:eastAsia="宋体"/>
          <w:sz w:val="21"/>
        </w:rPr>
        <w:t>Superoscillations enable waves to oscillate faster beyond classical limits. Here, the authors demonstrate simultaneous spatial and temporal superoscillations in structured light pulses, achieving extreme both subwavelength and ultrafast focusing in space-time.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在元耦合人类世中促进全球可持续发展</w:t>
      </w:r>
    </w:p>
    <w:p>
      <w:r>
        <w:rPr>
          <w:rFonts w:ascii="Times New Roman" w:hAnsi="Times New Roman" w:eastAsia="宋体"/>
          <w:b/>
          <w:color w:val="003264"/>
          <w:sz w:val="24"/>
        </w:rPr>
        <w:t>Promoting sustainable development worldwide in the metacoupled anthropocene</w:t>
      </w:r>
    </w:p>
    <w:p>
      <w:r>
        <w:rPr>
          <w:rFonts w:ascii="Times New Roman" w:hAnsi="Times New Roman" w:eastAsia="宋体"/>
          <w:sz w:val="21"/>
        </w:rPr>
        <w:t>作者: Qutu Jiang, Zhenci Xu, Nishan Bhattarai, Yinyi Lin, Huijuan Xiao, Jingzheng Ren, Markus Pahlow, Zhimeng Jiang, Yali Liu, Xutong Wu, Guanqiong Ye, Hongsheng Zhang, Jinbao Li, Peng Zhu, Shunlin Liang, Yuanzheng Cui, Chuan Liao, Liang Dong, Jianguo Liu</w:t>
        <w:br/>
      </w:r>
      <w:r>
        <w:rPr>
          <w:rFonts w:ascii="Times New Roman" w:hAnsi="Times New Roman" w:eastAsia="宋体"/>
          <w:sz w:val="21"/>
        </w:rPr>
        <w:t xml:space="preserve">时间: 2026-02-02 | </w:t>
      </w:r>
      <w:r>
        <w:t xml:space="preserve">链接: </w:t>
      </w:r>
      <w:hyperlink r:id="rId148">
        <w:r>
          <w:rPr>
            <w:rFonts w:ascii="Times New Roman" w:hAnsi="Times New Roman" w:eastAsia="宋体"/>
            <w:color w:val="0000FF"/>
            <w:sz w:val="21"/>
            <w:u w:val="single"/>
          </w:rPr>
          <w:t>https://doi.org/10.1038/s41467-026-68653-4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全球可持续发展需要在综合框架下跨互联系统开展协作。在这里，我们将集成元耦合框架说明为一个整体透镜，用于分析系统内部和系统之间的人与自然相互作用，以推进综合可持续性分析。我们提出了六个相互关联的步骤来实施可持续发展目标的相互作用分析、进展评估和路径建模框架，有助于整合2030年议程的知识并强调“不让任何人掉队”。我们证明，该框架为跨学科研究人员提供了实用的工具包，并支持政策制定者制定协同的跨系统战略，以实现地方到全球范围内的可持续发展。</w:t>
      </w:r>
    </w:p>
    <w:p>
      <w:pPr>
        <w:spacing w:before="120"/>
      </w:pPr>
      <w:r>
        <w:rPr>
          <w:rFonts w:ascii="Times New Roman" w:hAnsi="Times New Roman" w:eastAsia="宋体"/>
          <w:b/>
          <w:sz w:val="21"/>
        </w:rPr>
        <w:t>English Abstract:</w:t>
      </w:r>
    </w:p>
    <w:p>
      <w:r>
        <w:rPr>
          <w:rFonts w:ascii="Times New Roman" w:hAnsi="Times New Roman" w:eastAsia="宋体"/>
          <w:sz w:val="21"/>
        </w:rPr>
        <w:t>Promoting sustainable development worldwide requires collaborative efforts across interconnected systems under integrated frameworks. Here, we illustrate the integrated metacoupling framework as a holistic lens for analyzing human-nature interactions within and between systems to advance integrated sustainability analysis. We propose six interrelated steps to operationalize the framework for Sustainable Development Goals’ interaction analysis, progress assessment, and pathway modeling, contributing to the integration of knowledge for the 2030 Agenda and emphasizing “Leave No One Behind”. We demonstrate that the framework offers interdisciplinary researchers a practical toolkit and supports policymakers in developing synergistic cross-system strategies for sustainable development across local to global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 NTD 综合行动：解构传播、解决知识差距并倡导单一健康策略</w:t>
      </w:r>
    </w:p>
    <w:p>
      <w:r>
        <w:rPr>
          <w:rFonts w:ascii="Times New Roman" w:hAnsi="Times New Roman" w:eastAsia="宋体"/>
          <w:b/>
          <w:color w:val="003264"/>
          <w:sz w:val="24"/>
        </w:rPr>
        <w:t>Integrated action for skin NTDs: Deconstructing transmission, addressing knowledge gaps, and championing one health strategies</w:t>
      </w:r>
    </w:p>
    <w:p>
      <w:r>
        <w:rPr>
          <w:rFonts w:ascii="Times New Roman" w:hAnsi="Times New Roman" w:eastAsia="宋体"/>
          <w:sz w:val="21"/>
        </w:rPr>
        <w:t>作者: Lydia Mosi, Bishwanath Acharya, Kingsley Asiedu, Adeola Bamisaiye, M. Eric Benbow, Dziedzom De Souza, Lynne Elson, Ahmed Fahal, Roderick Hay, Ruth Nyangacha, Charles Quaye, Aisha Shitu Sa’id, Dallas J. Smith, Heather Jordan</w:t>
        <w:br/>
      </w:r>
      <w:r>
        <w:rPr>
          <w:rFonts w:ascii="Times New Roman" w:hAnsi="Times New Roman" w:eastAsia="宋体"/>
          <w:sz w:val="21"/>
        </w:rPr>
        <w:t xml:space="preserve">时间: 2026-02-03 | </w:t>
      </w:r>
      <w:r>
        <w:t xml:space="preserve">链接: </w:t>
      </w:r>
      <w:hyperlink r:id="rId149">
        <w:r>
          <w:rPr>
            <w:rFonts w:ascii="Times New Roman" w:hAnsi="Times New Roman" w:eastAsia="宋体"/>
            <w:color w:val="0000FF"/>
            <w:sz w:val="21"/>
            <w:u w:val="single"/>
          </w:rPr>
          <w:t>https://doi.org/10.1038/s41467-026-69065-0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本次审查呼吁采取综合皮肤 NTD 行动，利用 One Health 来分析复杂的人类、动物和环境传播。它强调了知识差距，并敦促扩大、标准化诊断和系统地收集有关社会/财务障碍的数据，以实现以患者为中心的控制。</w:t>
      </w:r>
    </w:p>
    <w:p>
      <w:pPr>
        <w:spacing w:before="120"/>
      </w:pPr>
      <w:r>
        <w:rPr>
          <w:rFonts w:ascii="Times New Roman" w:hAnsi="Times New Roman" w:eastAsia="宋体"/>
          <w:b/>
          <w:sz w:val="21"/>
        </w:rPr>
        <w:t>English Abstract:</w:t>
      </w:r>
    </w:p>
    <w:p>
      <w:r>
        <w:rPr>
          <w:rFonts w:ascii="Times New Roman" w:hAnsi="Times New Roman" w:eastAsia="宋体"/>
          <w:sz w:val="21"/>
        </w:rPr>
        <w:t>This review calls for integrated Skin NTD action, using One Health to analyze complex human, animal, and environmental transmission. It highlights knowledge gaps and urges expanded, standardized diagnostics and systematic data collection on social/financial barriers for patient-centered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Daratumumab 治疗系统性红斑狼疮：单组 2 期试验</w:t>
      </w:r>
    </w:p>
    <w:p>
      <w:r>
        <w:rPr>
          <w:rFonts w:ascii="Times New Roman" w:hAnsi="Times New Roman" w:eastAsia="宋体"/>
          <w:b/>
          <w:color w:val="003264"/>
          <w:sz w:val="24"/>
        </w:rPr>
        <w:t>Daratumumab in systemic lupus erythematosus: a single-arm phase 2 trial</w:t>
      </w:r>
    </w:p>
    <w:p>
      <w:r>
        <w:rPr>
          <w:rFonts w:ascii="Times New Roman" w:hAnsi="Times New Roman" w:eastAsia="宋体"/>
          <w:sz w:val="21"/>
        </w:rPr>
        <w:t>作者: Lennard Ostendorf, Jan Zernicke, Jens Klotsche, Robin Kempkens, Anne E. Beenken, Robert Biesen, Qingyu Cheng, Laleh Khodadadi, Gabriela Maria Guerra, Frederik Heinrich, Pawel Durek, Gerd-Rüdiger Burmester, Gerhard Krönke, Falk Hiepe, Mir-Farzin Mashreghi, Tobias Alexander</w:t>
        <w:br/>
      </w:r>
      <w:r>
        <w:rPr>
          <w:rFonts w:ascii="Times New Roman" w:hAnsi="Times New Roman" w:eastAsia="宋体"/>
          <w:sz w:val="21"/>
        </w:rPr>
        <w:t xml:space="preserve">时间: 2026-02-03 | </w:t>
      </w:r>
      <w:r>
        <w:t xml:space="preserve">链接: </w:t>
      </w:r>
      <w:hyperlink r:id="rId150">
        <w:r>
          <w:rPr>
            <w:rFonts w:ascii="Times New Roman" w:hAnsi="Times New Roman" w:eastAsia="宋体"/>
            <w:color w:val="0000FF"/>
            <w:sz w:val="21"/>
            <w:u w:val="single"/>
          </w:rPr>
          <w:t>https://doi.org/10.1038/s41467-026-69112-w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抗体分泌细胞（ASC）在系统性红斑狼疮（SLE）的病理生理学中发挥着核心作用。这项单组、开放标签、2 期临床试验旨在评估 ASC 消耗型抗 CD38 单克隆抗体 daratumumab 在 SLE 患者中的安全性和有效性 (NCT04810754)。主要终点是第 12 周时血清抗双链 DNA（抗 dsDNA）抗体水平的降低。关键的次要终点包括安全性、临床疗效和免疫学变化。 10 名患有活动性疾病且对至少两种免疫抑制药物反应不足的女性患者每周接受 8 次皮下注射 1800 mg daratumumab，并使用地塞米松作为术前用药（前两次注射 20 mg，然后 10 mg）。到第 12 周，抗 dsDNA 抗体水平中位数降低了 109.6 IU/ml (95% CI 38.1 – 274.5)。该治疗使所有患者和器官领域的临床得到快速、持续的改善，第 12 周时 SRI-4（系统性红斑狼疮反应指数 4）反应率为 100%。5/10 的患者出现低丙种球蛋白血症，需要免疫球蛋白替代。达雷妥尤单抗治疗耗尽了循环 ASC，降低了 I 型干扰素活性，并深刻调节了 T 细胞反应。这些发现强调了 ASC 在 SLE 发病机制中的关键作用，并支持达雷妥尤单抗作为 SLE 的治疗选择。</w:t>
      </w:r>
    </w:p>
    <w:p>
      <w:pPr>
        <w:spacing w:before="120"/>
      </w:pPr>
      <w:r>
        <w:rPr>
          <w:rFonts w:ascii="Times New Roman" w:hAnsi="Times New Roman" w:eastAsia="宋体"/>
          <w:b/>
          <w:sz w:val="21"/>
        </w:rPr>
        <w:t>English Abstract:</w:t>
      </w:r>
    </w:p>
    <w:p>
      <w:r>
        <w:rPr>
          <w:rFonts w:ascii="Times New Roman" w:hAnsi="Times New Roman" w:eastAsia="宋体"/>
          <w:sz w:val="21"/>
        </w:rPr>
        <w:t>Abstract Antibody-secreting cells (ASCs) play a central role in the pathophysiology of systemic lupus erythematosus (SLE). This single-arm, open-label, phase 2 clinical trial aims to evaluate the safety and efficacy of the ASC-depleting anti-CD38 monoclonal antibody daratumumab in patients with SLE (NCT04810754). The primary endpoint is the reduction in serum anti-double-stranded DNA (anti-dsDNA) antibody levels at week 12. Key secondary end points include safety, clinical efficacy, and immunologic changes. Ten female patients with active disease and inadequate responses to at least two immunosuppressive drugs have received eight subcutaneous injections of 1800 mg daratumumab weekly, with dexamethasone as premedication (20 mg for first two injections, then 10 mg). By week 12, anti-dsDNA antibody levels have been reduced by a median of 109.6 IU/ml (95% CI 38.1 – 274.5). The treatment resulted in rapid and sustained clinical improvements across all patients and organ domains, reflected by a 100% SRI-4 (Systemic Lupus Erythematosus Responder Index-4) response rate at week 12. Hypogammaglobulinemia occurred in 5/10 patients, requiring immunoglobulin substitution. Daratumumab treatment has depleted circulating ASCs, reduced type I interferon activity, and profoundly modulated the T-cell responses. These findings highlight the pivotal role of ASCs in SLE pathogenesis and support daratumumab as therapeutic option for SLE.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阿波罗 17 号火山玻璃在月球表面的长时间冷却和脱气</w:t>
      </w:r>
    </w:p>
    <w:p>
      <w:r>
        <w:rPr>
          <w:rFonts w:ascii="Times New Roman" w:hAnsi="Times New Roman" w:eastAsia="宋体"/>
          <w:b/>
          <w:color w:val="003264"/>
          <w:sz w:val="24"/>
        </w:rPr>
        <w:t>Prolonged cooling and degassing of Apollo 17 volcanic glasses on the lunar surface</w:t>
      </w:r>
    </w:p>
    <w:p>
      <w:r>
        <w:rPr>
          <w:rFonts w:ascii="Times New Roman" w:hAnsi="Times New Roman" w:eastAsia="宋体"/>
          <w:sz w:val="21"/>
        </w:rPr>
        <w:t>作者: Peng Ni, Yan Zhan</w:t>
        <w:br/>
      </w:r>
      <w:r>
        <w:rPr>
          <w:rFonts w:ascii="Times New Roman" w:hAnsi="Times New Roman" w:eastAsia="宋体"/>
          <w:sz w:val="21"/>
        </w:rPr>
        <w:t xml:space="preserve">时间: 2026-02-03 | </w:t>
      </w:r>
      <w:r>
        <w:t xml:space="preserve">链接: </w:t>
      </w:r>
      <w:hyperlink r:id="rId151">
        <w:r>
          <w:rPr>
            <w:rFonts w:ascii="Times New Roman" w:hAnsi="Times New Roman" w:eastAsia="宋体"/>
            <w:color w:val="0000FF"/>
            <w:sz w:val="21"/>
            <w:u w:val="single"/>
          </w:rPr>
          <w:t>https://doi.org/10.1038/s41467-026-69087-8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研究月球火山碎屑火山活动为了解月幔的热化学演化和月球的不稳定预算提供了重要的见解。火山碎屑矿床虽然与海海玄武岩相比体积较小，但源自更深、更原始且富含挥发性物质的地幔源。在这里，我们合成了阿波罗 17 号样本 74220 记录的挥发性脱气，这是研究最多的火山碎屑沉积物之一。通过对橄榄石熔体包裹体、熔体海湾和玻璃珠的挥发性脱气进行建模，我们表明这些样品的挥发性损耗不能仅通过自由飞行过程中的脱气来解释，正如之前提出的那样。相反，这些数据需要更长的热历史，珠子在月球表面经历多年的缓慢冷却和长时间脱气，热模型进一步支持了这种情况。我们的研究结果表明，火山碎屑沉积物在喷发之后仍然是活跃的挥发性来源，这对于维持局部短暂的月球大气和月球的长期挥发性循环具有潜在的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Studying lunar pyroclastic volcanism provides key insights into the thermo-chemical evolution of the lunar mantle and the Moon’s volatile budget. Pyroclastic deposits, although volumetrically minor compared to mare basalts, are derived from deeper, more primitive, and volatile-rich mantle sources. Here we synthesize volatile degassing recorded by Apollo 17 sample 74220, one of most studied pyroclastic deposits. By modeling the volatile degassing of olivine-hosted melt inclusions, melt embayments, and glass beads, we show that volatile depletion of these samples cannot be explained solely by degassing during free-flight, as previously proposed. Instead, the data require extended thermal histories, with beads undergoing slow cooling and prolonged degassing on the lunar surface for years, a scenario further supported by thermal modeling. Our findings suggest that pyroclastic deposits remained active volatile sources well beyond eruption, which is potentially important for sustaining a local transient lunar atmosphere and the long-term volatile cycle of the Moon.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空间色彩编码美瞳可增强自然眼球追踪</w:t>
      </w:r>
    </w:p>
    <w:p>
      <w:r>
        <w:rPr>
          <w:rFonts w:ascii="Times New Roman" w:hAnsi="Times New Roman" w:eastAsia="宋体"/>
          <w:b/>
          <w:color w:val="003264"/>
          <w:sz w:val="24"/>
        </w:rPr>
        <w:t>Spatial-chromatic encoding cosmetic contact lenses for enhanced natural eye tracking</w:t>
      </w:r>
    </w:p>
    <w:p>
      <w:r>
        <w:rPr>
          <w:rFonts w:ascii="Times New Roman" w:hAnsi="Times New Roman" w:eastAsia="宋体"/>
          <w:sz w:val="21"/>
        </w:rPr>
        <w:t>作者: Hengtian Zhu, Heyu Huang, Huan Yang, Zixu Li, Zhenning Qi, Yuan Fang, Yining Xu, Yifeng Xiong, Ye Chen, Songtao Yuan, Fei Xu</w:t>
        <w:br/>
      </w:r>
      <w:r>
        <w:rPr>
          <w:rFonts w:ascii="Times New Roman" w:hAnsi="Times New Roman" w:eastAsia="宋体"/>
          <w:sz w:val="21"/>
        </w:rPr>
        <w:t xml:space="preserve">时间: 2026-02-03 | </w:t>
      </w:r>
      <w:r>
        <w:t xml:space="preserve">链接: </w:t>
      </w:r>
      <w:hyperlink r:id="rId152">
        <w:r>
          <w:rPr>
            <w:rFonts w:ascii="Times New Roman" w:hAnsi="Times New Roman" w:eastAsia="宋体"/>
            <w:color w:val="0000FF"/>
            <w:sz w:val="21"/>
            <w:u w:val="single"/>
          </w:rPr>
          <w:t>https://doi.org/10.1038/s41467-026-68918-y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眼球追踪依赖于眼睛特征，这些特征容易受到光线和个体差异的干扰。在这里，朱等人。等人。目前的眼球运动功能增强了美容隐形眼镜，可实现准确、自然和均匀的眼球追踪。</w:t>
      </w:r>
    </w:p>
    <w:p>
      <w:pPr>
        <w:spacing w:before="120"/>
      </w:pPr>
      <w:r>
        <w:rPr>
          <w:rFonts w:ascii="Times New Roman" w:hAnsi="Times New Roman" w:eastAsia="宋体"/>
          <w:b/>
          <w:sz w:val="21"/>
        </w:rPr>
        <w:t>English Abstract:</w:t>
      </w:r>
    </w:p>
    <w:p>
      <w:r>
        <w:rPr>
          <w:rFonts w:ascii="Times New Roman" w:hAnsi="Times New Roman" w:eastAsia="宋体"/>
          <w:sz w:val="21"/>
        </w:rPr>
        <w:t>Eye tracking relies on ocular features, that are susceptible to interference from light and individual variations. Here, Zhu et. al. present eye movement feature enhanced cosmetic contact lenses, enabling accurate, natural, and homogenized eye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用于光电探测、光声和热弹性气体传感的多功能铌酸锂平台</w:t>
      </w:r>
    </w:p>
    <w:p>
      <w:r>
        <w:rPr>
          <w:rFonts w:ascii="Times New Roman" w:hAnsi="Times New Roman" w:eastAsia="宋体"/>
          <w:b/>
          <w:color w:val="003264"/>
          <w:sz w:val="24"/>
        </w:rPr>
        <w:t>Multifunctional lithium niobate platform for photodetection and photoacoustic and thermoelastic gas sensing</w:t>
      </w:r>
    </w:p>
    <w:p>
      <w:r>
        <w:rPr>
          <w:rFonts w:ascii="Times New Roman" w:hAnsi="Times New Roman" w:eastAsia="宋体"/>
          <w:sz w:val="21"/>
        </w:rPr>
        <w:t>作者: Haoyang Lin, Huadan Zheng, Wenguo Zhu, Yongchun Zhong, Jianhui Yu, Hongpeng Wu, Zhiwei Jia, Jinchuan Zhang, Angelo Sampaolo, Pietro Patimisco, Huihui Lu, Xiaojun Jia, Vincenzo Spagnolo, Lei Dong</w:t>
        <w:br/>
      </w:r>
      <w:r>
        <w:rPr>
          <w:rFonts w:ascii="Times New Roman" w:hAnsi="Times New Roman" w:eastAsia="宋体"/>
          <w:sz w:val="21"/>
        </w:rPr>
        <w:t xml:space="preserve">时间: 2026-02-03 | </w:t>
      </w:r>
      <w:r>
        <w:t xml:space="preserve">链接: </w:t>
      </w:r>
      <w:hyperlink r:id="rId153">
        <w:r>
          <w:rPr>
            <w:rFonts w:ascii="Times New Roman" w:hAnsi="Times New Roman" w:eastAsia="宋体"/>
            <w:color w:val="0000FF"/>
            <w:sz w:val="21"/>
            <w:u w:val="single"/>
          </w:rPr>
          <w:t>https://doi.org/10.1038/s41467-026-69042-7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摘要：利用铁电铌酸锂固有的多物理性质，我们提出了一个多功能平台（LN-MFP），它将光声光谱、光致热弹性光谱和光电检测无缝集成到单个片上器件中。拟议的 LN-MFP 在从可见光到中红外的广泛光谱范围内工作。我们通过实验演示了二氧化氮、水蒸气、乙炔、二氧化碳、甲烷和氨的痕量气体检测，达到了十亿分之一的检测限。我们实施了定制封装解决方案，其中 LN-MFP 芯片和 4.6 µm 量子级联激光芯片与跨阻放大一起安装在印刷电路板上，展示了系统级集成。使用这个共同封装的模块，我们通过二次谐波测量演示一氧化碳检测，概述了完全集成片上实现的清晰路线。与传统台式系统相比，这种紧凑、混合、多功能架构显着降低了系统复杂性和占地面积，并且与快速发展的铌酸锂集成光子生态系统本质上兼容。 LN-MFP 为未来用于环境监测、现场诊断和现场化学​​分析的全铌酸锂光谱芯片提供了核心传感构建模块。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Leveraging the intrinsic multi physics nature of ferroelectric lithium niobate, we present a multi-functional platform (LN-MFP) that seamlessly integrates photoacoustic spectroscopy, light-induced thermoelastic spectroscopy and photodetection into a single on-chip device. The proposed LN-MFP operates over a broad spectral range spanning from the visible to the mid infrared. We experimentally demonstrate trace gas detection of nitrogen dioxide, water vapor, acetylene, carbon dioxide, methane and ammonia, achieving parts-per-billion detection limits. We implement a custom packaging solution where the LN-MFP chip and a 4.6 µm quantum cascade laser chip are mounted on a printed circuit board together with transimpedance amplification, demonstrating system-level integration. Using this co-packaged module, we demonstrate carbon monoxide detection via second-harmonic measurements, outlining a clear route towards fully integrated on-chip implementations. This compact, hybrid, multi-functional architecture markedly reduces system complexity and footprint compared with conventional benchtop systems and is intrinsically compatible with the rapidly developing lithium niobate integrated photonics ecosystem. The LN-MFP provides a core sensing building block for future all-lithium-niobate spectroscopic chips for environmental monitoring, point-of-care diagnostics and on-site chemical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 细胞激活的改变有助于儿童关节炎相关葡萄膜炎的免疫发病机制</w:t>
      </w:r>
    </w:p>
    <w:p>
      <w:r>
        <w:rPr>
          <w:rFonts w:ascii="Times New Roman" w:hAnsi="Times New Roman" w:eastAsia="宋体"/>
          <w:b/>
          <w:color w:val="003264"/>
          <w:sz w:val="24"/>
        </w:rPr>
        <w:t>Altered B cell activation contributes to the immunopathogenesis of childhood arthritis-associated uveitis</w:t>
      </w:r>
    </w:p>
    <w:p>
      <w:r>
        <w:rPr>
          <w:rFonts w:ascii="Times New Roman" w:hAnsi="Times New Roman" w:eastAsia="宋体"/>
          <w:sz w:val="21"/>
        </w:rPr>
        <w:t>作者: Bethany R. Jebson, Benjamin Ingledow, Vicky Alexiou, Jakub Kubiak, Persephone Jenkins, Yuxuan Meng, Melissa Kartawinata, Restuadi Restuadi, Wei-Yu Lin, Chris Wallace, Colin J. Chu, Ameenat Lola Solebo, Lucy R. Wedderburn, Elizabeth C. Rosser, Lucy R. Wedderburn, Zoe Wanstall, Fatjon Dekaj, Aline Kimonyo, Eileen Hahn, Genevieve Gottschalk, Freya Luling Feilding, Alyssia McNeece, Fatema Merali, Elizabeth Ralph, Emily Robinson, Emma Sumner, Andrew Dick, Michael W. Beresford, Emil Carlsson, Joanna Fairlie, Jenna F. Gritzfeld, Oliver McClurg, Karen Rafferty, Athimalaipet V. Ramanan, Teresa Duerr, Michael Barnes, Sandra Ng, Kimme Hyrich, Stephen Eyre, Soumya Raychaudhuri, Wendy Thomson, John Bowes, Jeronee Jennycloss, Saskia Lawson-Tovey, Paul Martin, Andrew Morris, Stephanie Shoop-Worrall, Samantha Smith, Michael Stadler, Damian Tarasek, Melissa Tordoff, Annie Yarwood, Wei-Yu Lin, Prof Nophar Geifman, Sarah Clarke</w:t>
        <w:br/>
      </w:r>
      <w:r>
        <w:rPr>
          <w:rFonts w:ascii="Times New Roman" w:hAnsi="Times New Roman" w:eastAsia="宋体"/>
          <w:sz w:val="21"/>
        </w:rPr>
        <w:t xml:space="preserve">时间: 2026-02-03 | </w:t>
      </w:r>
      <w:r>
        <w:t xml:space="preserve">链接: </w:t>
      </w:r>
      <w:hyperlink r:id="rId154">
        <w:r>
          <w:rPr>
            <w:rFonts w:ascii="Times New Roman" w:hAnsi="Times New Roman" w:eastAsia="宋体"/>
            <w:color w:val="0000FF"/>
            <w:sz w:val="21"/>
            <w:u w:val="single"/>
          </w:rPr>
          <w:t>https://doi.org/10.1038/s41467-025-68264-5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幼年特发性关节炎 (JIA) 是最常见的儿童风湿病，许多患者还患有葡萄膜炎 (JIA-葡萄膜炎)，面临终生视力丧失的风险。驱动幼年特发性关节炎葡萄膜炎发展的机制仍有待研究。在此，我们证明，与无眼部疾病 (JIA) 的 JIA 患者相比，JIA 葡萄膜炎患者的外周血 CD19 + IgD - CD27 - 双阴性 1 型 (DN1) B 细胞升高。在 JIA 葡萄膜炎中，B 细胞受体 (BCR) 库也更具克隆性和体细胞高度突变，并且抗原激活的 B 细胞浸润慢性发炎的 JIA 葡萄膜炎眼睛。实验性自身免疫性葡萄膜视网膜炎 (EAU) 重现了 B 细胞活化增强的特征，使用单克隆抗体破坏 B 细胞和 T 细胞相互作用，转基因小鼠可抑制葡萄膜炎。总之，这些发现支持了一种概念转变，即葡萄膜炎是一种主要由 T 细胞驱动的疾病，并为潜在的新治疗策略提供了证据，这些策略也将 B 细胞视为疾病病理学的驱动因素。</w:t>
      </w:r>
    </w:p>
    <w:p>
      <w:pPr>
        <w:spacing w:before="120"/>
      </w:pPr>
      <w:r>
        <w:rPr>
          <w:rFonts w:ascii="Times New Roman" w:hAnsi="Times New Roman" w:eastAsia="宋体"/>
          <w:b/>
          <w:sz w:val="21"/>
        </w:rPr>
        <w:t>English Abstract:</w:t>
      </w:r>
    </w:p>
    <w:p>
      <w:r>
        <w:rPr>
          <w:rFonts w:ascii="Times New Roman" w:hAnsi="Times New Roman" w:eastAsia="宋体"/>
          <w:sz w:val="21"/>
        </w:rPr>
        <w:t>Abstract In Juvenile Idiopathic Arthritis (JIA), the most common childhood rheumatic disease, many patients also develop uveitis (JIA-uveitis), risking life-long vision loss. The mechanisms driving uveitis development in JIA remain understudied. Here, we demonstrate that peripheral blood CD19 + IgD - CD27 - double negative type 1 (DN1) B cells are elevated in JIA-uveitis compared to JIA patients without eye disease (JIA). The B cell receptor (BCR) repertoire was also more clonal and somatically hypermutated in JIA-uveitis and antigen-activated B cells infiltrated chronically inflamed JIA-uveitis eyes. Features of heightened B cell activation were recapitulated in experimental autoimmune uveoretinitis (EAU) and disrupting B and T cell interactions using monoclonal antibodies and transgenic mice suppresses uveitis. Together, these findings support a conceptual shift that uveitis is a primarily T cell driven disease and provide evidence for potential new therapeutic strategies that also consider B cells as drivers 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破解多层薄膜的密码，促进一次性塑料包装的循环利用</w:t>
      </w:r>
    </w:p>
    <w:p>
      <w:r>
        <w:rPr>
          <w:rFonts w:ascii="Times New Roman" w:hAnsi="Times New Roman" w:eastAsia="宋体"/>
          <w:b/>
          <w:color w:val="003264"/>
          <w:sz w:val="24"/>
        </w:rPr>
        <w:t>Cracking the code of multi-layer films to promote circularity in single-use plastic packaging</w:t>
      </w:r>
    </w:p>
    <w:p>
      <w:r>
        <w:rPr>
          <w:rFonts w:ascii="Times New Roman" w:hAnsi="Times New Roman" w:eastAsia="宋体"/>
          <w:sz w:val="21"/>
        </w:rPr>
        <w:t>作者: Ethan C. Quinn, Levi J. Hamernik, Jeffrey N. Law, Ryan W. Clarke, Maya Milrod, Shivani Kozarekar, Rebecca M. Mick, Margaret J. Sobkowicz, Linda J. Broadbelt, Brandon C. Knott, Katrina M. Knauer</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https://doi.org/10.1038/s41467-026-68936-w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层薄膜包装通过结合不同的材料层来优化阻隔性能、机械强度和保质期，彻底改变了食品保存，但由于其结构复杂性，它们带来了重大的回收挑战。该视角研究了控制阻隔性能的关键结构-性能关系，并强调了材料设计的创新。</w:t>
      </w:r>
    </w:p>
    <w:p>
      <w:pPr>
        <w:spacing w:before="120"/>
      </w:pPr>
      <w:r>
        <w:rPr>
          <w:rFonts w:ascii="Times New Roman" w:hAnsi="Times New Roman" w:eastAsia="宋体"/>
          <w:b/>
          <w:sz w:val="21"/>
        </w:rPr>
        <w:t>English Abstract:</w:t>
      </w:r>
    </w:p>
    <w:p>
      <w:r>
        <w:rPr>
          <w:rFonts w:ascii="Times New Roman" w:hAnsi="Times New Roman" w:eastAsia="宋体"/>
          <w:sz w:val="21"/>
        </w:rPr>
        <w:t>Multi-layer film packaging revolutionized food preservation by combining diverse material layers to optimize barrier properties, mechanical strength, and shelf-life but they pose significant recycling challenges due to their structural complexity. This perspective examines key structure-property relationships governing barrier performance and highlights innovations in material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12:39 ---</w:t>
      </w:r>
    </w:p>
    <w:p>
      <w:pPr>
        <w:pStyle w:val="Heading2"/>
      </w:pPr>
      <w:r/>
      <w:r>
        <w:rPr>
          <w:rFonts w:ascii="Times New Roman" w:hAnsi="Times New Roman" w:eastAsia="宋体"/>
          <w:b/>
          <w:color w:val="000000"/>
          <w:sz w:val="24"/>
        </w:rPr>
        <w:t>COBRA-k：桥接基于约束和动力学代谢建模的强大框架</w:t>
      </w:r>
    </w:p>
    <w:p>
      <w:r>
        <w:rPr>
          <w:rFonts w:ascii="Times New Roman" w:hAnsi="Times New Roman" w:eastAsia="宋体"/>
          <w:b/>
          <w:color w:val="003264"/>
          <w:sz w:val="24"/>
        </w:rPr>
        <w:t>COBRA-k: A powerful framework bridging constraint-based and kinetic metabolic modeling</w:t>
      </w:r>
    </w:p>
    <w:p>
      <w:r>
        <w:rPr>
          <w:rFonts w:ascii="Times New Roman" w:hAnsi="Times New Roman" w:eastAsia="宋体"/>
          <w:sz w:val="21"/>
        </w:rPr>
        <w:t>作者: Pavlos Stephanos Bekiaris, Steffen Klamt</w:t>
        <w:br/>
      </w:r>
      <w:r>
        <w:rPr>
          <w:rFonts w:ascii="Times New Roman" w:hAnsi="Times New Roman" w:eastAsia="宋体"/>
          <w:sz w:val="21"/>
        </w:rPr>
        <w:t xml:space="preserve">时间: 2026-01-23 | </w:t>
      </w:r>
      <w:r>
        <w:t xml:space="preserve">链接: </w:t>
      </w:r>
      <w:hyperlink r:id="rId156">
        <w:r>
          <w:rPr>
            <w:rFonts w:ascii="Times New Roman" w:hAnsi="Times New Roman" w:eastAsia="宋体"/>
            <w:color w:val="0000FF"/>
            <w:sz w:val="21"/>
            <w:u w:val="single"/>
          </w:rPr>
          <w:t>https://doi.org/10.1126/sciadv.aeb3022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数学建模是理解细胞代谢的关键。两种常见的方法是动力学建模和基于约束的重建和分析（COBRA）。 COBRA 模型使用线性约束分析稳态通量，但缺乏动力学细节。动力学模型通过微分方程提供机械描述，但需要（通常未知）动力学参数和酶浓度。为了弥补这一差距，我们引入了 COBRA-k，这是一个将非线性动力学速率定律集成到 COBRA 模型中的框架，以一致地限制代谢通量、酶丰度和代谢物浓度。 COBRA-k 可以通过优化技术灵活探索代谢稳态，即使参数化不完整。 COBRA-k 模型需要解决计算要求高的混合整数非线性程序。因此，我们开发了一种专用迭代算法，在开源 Python 包中实现。我们将 COBRA-k 应用于大规模大肠杆菌模型，证明了其有效性并揭示了整体代谢见解。例如，它准确地预测和解释了细胞内谷氨酸浓度高的现象。 COBRA-k 将 COBRA 的灵活性与动力学精度相结合，为预测代谢建模和工程提供了强大的工具。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Mathematical modeling is key to understanding cellular metabolism. Two common approaches are kinetic modeling and constraint-based reconstruction and analysis (COBRA). COBRA models analyze steady-state fluxes using linear constraints but lack kinetic detail. Kinetic models offer mechanistic descriptions via differential equations but require (often unknown) kinetic parameters and enzyme concentrations. To bridge this gap, we introduce COBRA-k, a framework integrating nonlinear kinetic rate laws into COBRA models to consistently constrain metabolic fluxes, enzyme abundances, and metabolite concentrations. COBRA-k enables flexible exploration of metabolic steady states with optimization techniques, even with incomplete parametrization. COBRA-k models require solving computationally demanding mixed-integer nonlinear programs. We therefore developed a dedicated iterative algorithm, implemented in an open-source Python package. We applied COBRA-k to a large-scale Escherichia coli model, demonstrating its effectiveness and revealing holistic metabolic insights. For example, it accurately predicts and explains the phenomenon of high intracellular glutamate concentration. COBRA-k combines the flexibility of COBRA with kinetic precision, offering a powerful tool for predictive metabolic modeling 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视网膜缺血性损伤的愈合</w:t>
      </w:r>
    </w:p>
    <w:p>
      <w:r>
        <w:rPr>
          <w:rFonts w:ascii="Times New Roman" w:hAnsi="Times New Roman" w:eastAsia="宋体"/>
          <w:b/>
          <w:color w:val="003264"/>
          <w:sz w:val="24"/>
        </w:rPr>
        <w:t>Healing of ischemic injury in the retina</w:t>
      </w:r>
    </w:p>
    <w:p>
      <w:r>
        <w:rPr>
          <w:rFonts w:ascii="Times New Roman" w:hAnsi="Times New Roman" w:eastAsia="宋体"/>
          <w:sz w:val="21"/>
        </w:rPr>
        <w:t>作者: Silke Becker, Zia L’Ecuyer Morison, Jordan Allen, Sama Saeid, Lee Sturgis, Austin Adderley, Ari Koskelainen, Frans Vinberg</w:t>
        <w:br/>
      </w:r>
      <w:r>
        <w:rPr>
          <w:rFonts w:ascii="Times New Roman" w:hAnsi="Times New Roman" w:eastAsia="宋体"/>
          <w:sz w:val="21"/>
        </w:rPr>
        <w:t xml:space="preserve">时间: 2026-01-23 | </w:t>
      </w:r>
      <w:r>
        <w:t xml:space="preserve">链接: </w:t>
      </w:r>
      <w:hyperlink r:id="rId157">
        <w:r>
          <w:rPr>
            <w:rFonts w:ascii="Times New Roman" w:hAnsi="Times New Roman" w:eastAsia="宋体"/>
            <w:color w:val="0000FF"/>
            <w:sz w:val="21"/>
            <w:u w:val="single"/>
          </w:rPr>
          <w:t>https://doi.org/10.1126/sciadv.adx7204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和视网膜退行性疾病，包括阿尔茨海默病、中风、年龄相关性黄斑变性和视网膜中央动脉阻塞，剥夺了数百万人的独立性。由于死亡后神经元活动迅速丧失，研究人类视网膜中的这些疾病受到了阻碍。虽然一些中枢神经系统活动在死后已恢复，但超过 30 分钟的同步神经元传输仍然难以捉摸。我们通过恢复和维持人类视网膜中的光信号传输来克服这一障碍，光信号传输在死亡后 4 小时内恢复并保存长达 48 小时。我们还引入了用于精确采样的基于红外的离体成像、用于药物测试的封闭灌注系统以及小鼠和人类视网膜的离体缺血再灌注模型。该平台能够测试针对氧化应激和谷氨酸兴奋毒性的药物的神经保护和神经毒性作用。我们的进展质疑缺血性损伤的不可逆性，支持视力恢复的临床前研究，提供治疗中枢神经系统缺血的见解，并为人类供体眼移植铺平道路。</w:t>
      </w:r>
    </w:p>
    <w:p>
      <w:pPr>
        <w:spacing w:before="120"/>
      </w:pPr>
      <w:r>
        <w:rPr>
          <w:rFonts w:ascii="Times New Roman" w:hAnsi="Times New Roman" w:eastAsia="宋体"/>
          <w:b/>
          <w:sz w:val="21"/>
        </w:rPr>
        <w:t>English Abstract:</w:t>
      </w:r>
    </w:p>
    <w:p>
      <w:r>
        <w:rPr>
          <w:rFonts w:ascii="Times New Roman" w:hAnsi="Times New Roman" w:eastAsia="宋体"/>
          <w:sz w:val="21"/>
        </w:rPr>
        <w:t>Neuro- and retinal degenerative diseases, including Alzheimer’s, stroke, age-related macular degeneration, and central retinal artery occlusion, rob millions of their independence. Studying these diseases in human retinas has been hindered by the rapid loss of neuronal activity after death. While some CNS activity has been restored postmortem, synchronized neuronal transmission beyond 30 min has remained elusive. We overcome this barrier by reviving and sustaining light signal transmission in human retinas recovered up to 4 hours after death and stored for up to 48 hours. We also introduce infrared-based ex vivo imaging for precise sampling, a closed perfusion system for drug testing, and an ex vivo ischemia-reperfusion model in mouse and human retina. This platform enables testing of neuroprotective and neurotoxic effects of drugs targeting oxidative stress and glutamate excitotoxicity. Our advances question the irreversibility of ischemic injury, support preclinical studies in vision restoration, offer insights into treating CNS ischemia, and pave the way for human donor eye transplantation.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TDRD3 是一种包含 Tudor 结构域的蛋白质，可调节 Klf2 依赖性 T reg 分化和调节免疫耐受的功能</w:t>
      </w:r>
    </w:p>
    <w:p>
      <w:r>
        <w:rPr>
          <w:rFonts w:ascii="Times New Roman" w:hAnsi="Times New Roman" w:eastAsia="宋体"/>
          <w:b/>
          <w:color w:val="003264"/>
          <w:sz w:val="24"/>
        </w:rPr>
        <w:t>TDRD3, a Tudor domain-containing protein, regulates Klf2 -dependent T reg differentiation and function to modulate immune tolerance</w:t>
      </w:r>
    </w:p>
    <w:p>
      <w:r>
        <w:rPr>
          <w:rFonts w:ascii="Times New Roman" w:hAnsi="Times New Roman" w:eastAsia="宋体"/>
          <w:sz w:val="21"/>
        </w:rPr>
        <w:t>作者: Yun Shi, Xiaoqun Tao, Lei Shen, Yate-Ching Yuan, Guanpeng Wang, Ethan Eurmsirilerd, Rendell Chang, Zhenyu Jia, Weirong Shang, Yanzhong Yang, Zuoming Sun</w:t>
        <w:br/>
      </w:r>
      <w:r>
        <w:rPr>
          <w:rFonts w:ascii="Times New Roman" w:hAnsi="Times New Roman" w:eastAsia="宋体"/>
          <w:sz w:val="21"/>
        </w:rPr>
        <w:t xml:space="preserve">时间: 2026-01-23 | </w:t>
      </w:r>
      <w:r>
        <w:t xml:space="preserve">链接: </w:t>
      </w:r>
      <w:hyperlink r:id="rId158">
        <w:r>
          <w:rPr>
            <w:rFonts w:ascii="Times New Roman" w:hAnsi="Times New Roman" w:eastAsia="宋体"/>
            <w:color w:val="0000FF"/>
            <w:sz w:val="21"/>
            <w:u w:val="single"/>
          </w:rPr>
          <w:t>https://doi.org/10.1126/sciadv.aea3960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含 Tudor 结构域的蛋白 3 (TDRD3) 充当甲基精氨酸读取器，将翻译后精氨酸甲基化信号传递给转录机制，从而通过调节基因表达来调节细胞功能。调节性 T 细胞 (T regs) 对于建立和维持免疫耐受至关重要。在这项研究中，我们证明 T reg 特异性缺失 Tdrd3 的小鼠表现出严重受损的 iT reg 分化，但胸腺 T reg 分化却没有。此外，源自这些小鼠的 iT regs（而非胸腺 T regs）在过继转移模型中未能抑制结肠炎，表明抑制能力受损。老年 Tdrd3 缺陷小鼠也表现出自发性自身炎症。从机制上讲，TDRD3 被转录因子 FOXO1 招募（可能以甲基化依赖性方式）来激活 Klf2 表达，这对于 T reg 分化至关重要。值得注意的是，Klf2 在 Tdrd3 缺陷的 CD4 + T 细胞中的强制表达可以挽救 iT reg 的发育和抑制功能。总的来说，我们的研究结果确定 TDRD3 是 iT reg 分化和免疫稳态的中央转录调节因子，强调它是调节免疫耐受的潜在治疗靶点。</w:t>
      </w:r>
    </w:p>
    <w:p>
      <w:pPr>
        <w:spacing w:before="120"/>
      </w:pPr>
      <w:r>
        <w:rPr>
          <w:rFonts w:ascii="Times New Roman" w:hAnsi="Times New Roman" w:eastAsia="宋体"/>
          <w:b/>
          <w:sz w:val="21"/>
        </w:rPr>
        <w:t>English Abstract:</w:t>
      </w:r>
    </w:p>
    <w:p>
      <w:r>
        <w:rPr>
          <w:rFonts w:ascii="Times New Roman" w:hAnsi="Times New Roman" w:eastAsia="宋体"/>
          <w:sz w:val="21"/>
        </w:rPr>
        <w:t>Tudor domain-containing protein 3 (TDRD3) functions as a methylarginine reader that relays posttranslational arginine methylation signals to the transcriptional machinery, thereby regulating cellular functions through modulation of gene expression. Regulatory T cells (T regs ) are pivotal for establishing and maintaining immune tolerance. In this study, we demonstrate that mice with T reg -specific deletion of Tdrd3 exhibit severely impaired iT reg , but not thymic T reg , differentiation. Moreover, iT regs , but not thymic T regs , derived from these mice fail to suppress colitis in adoptive transfer models, indicating compromised inhibitory capacity. Aged Tdrd3 -deficient mice also show spontaneous autoinflammation. Mechanistically, TDRD3 is recruited by the transcription factor FOXO1, presumably in a methylation-dependent manner, to activate Klf2 expression, which is essential for T reg differentiation. Notably, the enforced expression of Klf2 in Tdrd3 -deficient CD4 + T cells rescue both iT reg development and suppressive function. Collectively, our findings identify TDRD3 as a central transcriptional regulator of iT reg differentiation and immune homeostasis, highlighting it as a potential therapeutic target for modulating immune tolerance.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Lrrn介导的视网膜神经节细胞靶向驱动视觉电路组装以进行亮度和对比度检测</w:t>
      </w:r>
    </w:p>
    <w:p>
      <w:r>
        <w:rPr>
          <w:rFonts w:ascii="Times New Roman" w:hAnsi="Times New Roman" w:eastAsia="宋体"/>
          <w:b/>
          <w:color w:val="003264"/>
          <w:sz w:val="24"/>
        </w:rPr>
        <w:t>Lrrn-mediated retinal ganglion cell targeting drives visual circuit assembly for brightness and contrast detection</w:t>
      </w:r>
    </w:p>
    <w:p>
      <w:r>
        <w:rPr>
          <w:rFonts w:ascii="Times New Roman" w:hAnsi="Times New Roman" w:eastAsia="宋体"/>
          <w:sz w:val="21"/>
        </w:rPr>
        <w:t>作者: Elena Putti, Giulia Faini, Julie Thanh-Mai Dang, Jay H. Savaliya, Fanny Eggeler, Karine Duroure, Juliette Vougny, Gonzalo Ortiz-Álvarez, Cristina Pujades, Armin Bahl, Jeff W. Lichtman, Florian Engert, Jonathan Boulanger-Weill, Filippo Del Bene, Shahad Albadri</w:t>
        <w:br/>
      </w:r>
      <w:r>
        <w:rPr>
          <w:rFonts w:ascii="Times New Roman" w:hAnsi="Times New Roman" w:eastAsia="宋体"/>
          <w:sz w:val="21"/>
        </w:rPr>
        <w:t xml:space="preserve">时间: 2026-01-23 | </w:t>
      </w:r>
      <w:r>
        <w:t xml:space="preserve">链接: </w:t>
      </w:r>
      <w:hyperlink r:id="rId159">
        <w:r>
          <w:rPr>
            <w:rFonts w:ascii="Times New Roman" w:hAnsi="Times New Roman" w:eastAsia="宋体"/>
            <w:color w:val="0000FF"/>
            <w:sz w:val="21"/>
            <w:u w:val="single"/>
          </w:rPr>
          <w:t>https://doi.org/10.1126/sciadv.adz4585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亮度和对比度是视觉的基本特征，对于物体检测、环境导航和进食至关重要。在这里，我们确定了斑马鱼视觉系统中的亮度和对比度处理电路，并揭示了富含亮氨酸的重复神经元 (Lrrn) 细胞粘附分子 (CAM) 在调节其组装中的作用。我们发现，深部投射的视网膜神经节细胞是大脑的第一个突触中继，需要 Lrrn2 和 Lrrn3a 来精确定位视顶盖内的轴突。使用新的报告线，我们实现了这种先前未充分表征的脊椎动物视觉回路的高分辨率图谱。 Lrrn CAM 的基因破坏会导致电路混乱以及亮度和对比敏感度受损，从而导致视觉引导行为的缺陷。此外，超微结构电路重建和功能成像分析识别了其突触伙伴，并揭示了其在亮度处理中的关键作用。这些研究定义了核心视觉处理途径，并将 Lrrn CAM 确立为其组装的重要分子驱动因素。</w:t>
      </w:r>
    </w:p>
    <w:p>
      <w:pPr>
        <w:spacing w:before="120"/>
      </w:pPr>
      <w:r>
        <w:rPr>
          <w:rFonts w:ascii="Times New Roman" w:hAnsi="Times New Roman" w:eastAsia="宋体"/>
          <w:b/>
          <w:sz w:val="21"/>
        </w:rPr>
        <w:t>English Abstract:</w:t>
      </w:r>
    </w:p>
    <w:p>
      <w:r>
        <w:rPr>
          <w:rFonts w:ascii="Times New Roman" w:hAnsi="Times New Roman" w:eastAsia="宋体"/>
          <w:sz w:val="21"/>
        </w:rPr>
        <w:t>Brightness and contrast are fundamental features of vision, crucial for object detection, environmental navigation, and feeding. Here, we identify a brightness- and contrast-processing circuit in the zebrafish visual system and uncover the role of leucine-rich repeat neuronal (Lrrn) cell adhesion molecules (CAMs) in regulating its assembly. We show that deep-projecting retinal ganglion cells serve as the first synaptic relay to the brain, requiring Lrrn2 and Lrrn3a for precise axonal targeting within the optic tectum. Using a new reporter line, we achieved high-resolution mapping of this previously undercharacterized vertebrate visual circuit. Genetic disruption of Lrrn CAMs leads to disorganization of the circuit and impairments in brightness and contrast sensitivity, resulting in deficits in visually guided behavior. Additionally, ultrastructural circuit reconstruction and functional imaging analysis identified both its synaptic partners and revealed its critical role in luminance processing. These studies define a core visual processing pathway and establish Lrrn CAMs as essential molecular drivers of its assembly.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常驻CD49a + CD103 + NKG2C + NK细胞限制人类淋巴组织外植体中的HIV感染</w:t>
      </w:r>
    </w:p>
    <w:p>
      <w:r>
        <w:rPr>
          <w:rFonts w:ascii="Times New Roman" w:hAnsi="Times New Roman" w:eastAsia="宋体"/>
          <w:b/>
          <w:color w:val="003264"/>
          <w:sz w:val="24"/>
        </w:rPr>
        <w:t>Resident CD49a + CD103 + NKG2C + NK cells restrict HIV infection in human lymphoid tissue explants</w:t>
      </w:r>
    </w:p>
    <w:p>
      <w:r>
        <w:rPr>
          <w:rFonts w:ascii="Times New Roman" w:hAnsi="Times New Roman" w:eastAsia="宋体"/>
          <w:sz w:val="21"/>
        </w:rPr>
        <w:t>作者: David Perea, Alba Gonzalez, Ana Gallego-Cortés, Nerea Sanchez-Gaona, Felix Pumarola, Nuria Ortiz, Ines Llano, Juan Lorente, Vicenç Falcó, Meritxell Genescà, Maria J. Buzon</w:t>
        <w:br/>
      </w:r>
      <w:r>
        <w:rPr>
          <w:rFonts w:ascii="Times New Roman" w:hAnsi="Times New Roman" w:eastAsia="宋体"/>
          <w:sz w:val="21"/>
        </w:rPr>
        <w:t xml:space="preserve">时间: 2026-01-23 | </w:t>
      </w:r>
      <w:r>
        <w:t xml:space="preserve">链接: </w:t>
      </w:r>
      <w:hyperlink r:id="rId160">
        <w:r>
          <w:rPr>
            <w:rFonts w:ascii="Times New Roman" w:hAnsi="Times New Roman" w:eastAsia="宋体"/>
            <w:color w:val="0000FF"/>
            <w:sz w:val="21"/>
            <w:u w:val="single"/>
          </w:rPr>
          <w:t>https://doi.org/10.1126/sciadv.adz1565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自然杀伤 (NK) 细胞是抗病毒免疫的关键效应细胞，但其在急性 HIV 感染期间的组织特异性作用仍不清楚。使用离体人类扁桃体组织模型，我们分析了 NK 细胞对早期 HIV 感染的反应，并发现了具有特殊功能的不同亚群。我们发现了一个先前未表征的记忆样 NK 群体（CD16 +/- CD69 + CD49a + CD103 + NKG2C + ）与病毒负荷减少相关，并富含细胞毒性介质（GNLY、PRF1 和 GZMB）、凋亡配体（FASLG 和 TRAIL）、细胞因子受体（IL2RA、IL2RB、IL2RG、IL12RB2 和IL18R1) 和运输分子（CCL3-5、CCR7 和 SELL）。尽管在功能上能够在组织模拟环境中清除 HIV 感染的 CD4 + T 细胞，但它们在感染后表现出细胞毒性受损和转录衰竭迹象。相反，HIV 驱动未成熟的 CD16 - CD69 + NK 细胞重编程为更具细胞毒性和迁移效应表型。这些发现揭示了早期 HIV 感染期间淋巴组织中 NK 细胞的动态适应，并强调组织驻留 NK 细胞作为免疫治疗干预的有希望的目标。</w:t>
      </w:r>
    </w:p>
    <w:p>
      <w:pPr>
        <w:spacing w:before="120"/>
      </w:pPr>
      <w:r>
        <w:rPr>
          <w:rFonts w:ascii="Times New Roman" w:hAnsi="Times New Roman" w:eastAsia="宋体"/>
          <w:b/>
          <w:sz w:val="21"/>
        </w:rPr>
        <w:t>English Abstract:</w:t>
      </w:r>
    </w:p>
    <w:p>
      <w:r>
        <w:rPr>
          <w:rFonts w:ascii="Times New Roman" w:hAnsi="Times New Roman" w:eastAsia="宋体"/>
          <w:sz w:val="21"/>
        </w:rPr>
        <w:t>Natural killer (NK) cells are pivotal effectors in antiviral immunity, yet their tissue-specific roles during acute HIV infection remain poorly defined. Using an ex vivo human tonsillar tissue model, we profile NK cell responses to early HIV infection and uncover distinct subsets with specialized functions. We identify a previously uncharacterized memory-like NK population (CD16 +/− CD69 + CD49a + CD103 + NKG2C + ) associated with reduced viral burden and enriched in cytotoxic mediators (GNLY, PRF1, and GZMB), apoptotic ligands (FASLG and TRAIL), cytokine receptors (IL2RA, IL2RB, IL2RG, IL12RB2, and IL18R1) and trafficking molecules (CCL3–5, CCR7, and SELL). Although functionally capable of clearing HIV-infected CD4 + T cells in a tissue-mimetic environment, they show impaired cytotoxicity and transcriptional signs of exhaustion after infection. Conversely, HIV drives the reprogramming of immature CD16 − CD69 + NK cells toward a more cytotoxic and migratory effector phenotype. These findings reveal dynamic NK cell adaptations in lymphoid tissue during early HIV infection and highlight tissue-resident NK cells as promising targets for immunotherapeutic intervention.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具有仿骨连杆的仿生可生长人形机器人，可实现多功能移动</w:t>
      </w:r>
    </w:p>
    <w:p>
      <w:r>
        <w:rPr>
          <w:rFonts w:ascii="Times New Roman" w:hAnsi="Times New Roman" w:eastAsia="宋体"/>
          <w:b/>
          <w:color w:val="003264"/>
          <w:sz w:val="24"/>
        </w:rPr>
        <w:t>Bioinspired growable humanoid robot with bone-mimetic linkages for versatile mobility</w:t>
      </w:r>
    </w:p>
    <w:p>
      <w:r>
        <w:rPr>
          <w:rFonts w:ascii="Times New Roman" w:hAnsi="Times New Roman" w:eastAsia="宋体"/>
          <w:sz w:val="21"/>
        </w:rPr>
        <w:t>作者: Hao Liu, Yanda Yang, Ting Wang, Jintao Yin, Hongqiang Wang</w:t>
        <w:br/>
      </w:r>
      <w:r>
        <w:rPr>
          <w:rFonts w:ascii="Times New Roman" w:hAnsi="Times New Roman" w:eastAsia="宋体"/>
          <w:sz w:val="21"/>
        </w:rPr>
        <w:t xml:space="preserve">时间: 2026-01-23 | </w:t>
      </w:r>
      <w:r>
        <w:t xml:space="preserve">链接: </w:t>
      </w:r>
      <w:hyperlink r:id="rId161">
        <w:r>
          <w:rPr>
            <w:rFonts w:ascii="Times New Roman" w:hAnsi="Times New Roman" w:eastAsia="宋体"/>
            <w:color w:val="0000FF"/>
            <w:sz w:val="21"/>
            <w:u w:val="single"/>
          </w:rPr>
          <w:t>https://doi.org/10.1126/sciadv.aea2831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人类生物力学的启发，人形机器人通常被设计为模仿人类运动学，但通常缺乏骨骼发育的关键特征，例如可生长性、轻质而坚硬的结构以及冲击吸收的顺应性。这项工作引入了一种受骨骼启发的连杆结构，具有高达 315% 的延展性，重量仅为 350 克，同时保持高负载能力、顺应性和稳定性。这些可生长的连杆集成到软人形机器人中，可实现动态形状适应，将高度减少至 36%，宽度减少至 61%，以穿越狭小的空间。通过将可增长的连杆致动与伺服电机相结合，机器人切换到爬行模式，并且移动速度比单独使用电机或软致动器快 1122 倍。 GrowHR 仅重 4.5 公斤，可以漂浮、游泳、水上行走和飞行。其柔软的身体确保了安全的人际互动，允许拥抱、跌倒和举起而不会受伤。可变形的腿在外部负载下表现出弹性能量存储和释放，允许运动超越刚性结构的限制。这项工作开创了一种适用于动态、复杂环境的可扩展、多功能机器人设计方法。</w:t>
      </w:r>
    </w:p>
    <w:p>
      <w:pPr>
        <w:spacing w:before="120"/>
      </w:pPr>
      <w:r>
        <w:rPr>
          <w:rFonts w:ascii="Times New Roman" w:hAnsi="Times New Roman" w:eastAsia="宋体"/>
          <w:b/>
          <w:sz w:val="21"/>
        </w:rPr>
        <w:t>English Abstract:</w:t>
      </w:r>
    </w:p>
    <w:p>
      <w:r>
        <w:rPr>
          <w:rFonts w:ascii="Times New Roman" w:hAnsi="Times New Roman" w:eastAsia="宋体"/>
          <w:sz w:val="21"/>
        </w:rPr>
        <w:t>Inspired by human biomechanics, humanoid robots are often designed to mimic human kinematics but typically lack key traits of developing bones, such as growability, lightweight yet stiff construction, and compliance for impact absorption. This work introduces a bone-inspired linkage structure with up to 315% extensibility, weighing only 350 grams while maintaining high load capacity, compliance, and stability. Integrated into a soft humanoid robot, these growable linkages enable dynamic shape adaptation, reducing height to 36% and width to 61%, to traverse tight spaces. By combining growable link actuation with servomotors, the robot switches to crawling mode and moves 1122 times faster than using motors or soft actuators alone. At just 4.5 kilograms, GrowHR can float, swim, walk on water, and fly. Its soft body ensures safe human interaction, allowing hugging, falling, and lifting without injury. Deformable legs demonstrate elastic energy storage and release under external loading, allowing motions beyond the limits of rigid structures. This work pioneers a growable, multifunctional robotic design approach for dynamic,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宏观植物投影成像 (MAPPI)：一个开放、可扩展的全植物荧光实时成像平台</w:t>
      </w:r>
    </w:p>
    <w:p>
      <w:r>
        <w:rPr>
          <w:rFonts w:ascii="Times New Roman" w:hAnsi="Times New Roman" w:eastAsia="宋体"/>
          <w:b/>
          <w:color w:val="003264"/>
          <w:sz w:val="24"/>
        </w:rPr>
        <w:t>MAcro Plant Projection Imaging (MAPPI): An open, scalable platform for whole-plant fluorescence real-time imaging</w:t>
      </w:r>
    </w:p>
    <w:p>
      <w:r>
        <w:rPr>
          <w:rFonts w:ascii="Times New Roman" w:hAnsi="Times New Roman" w:eastAsia="宋体"/>
          <w:sz w:val="21"/>
        </w:rPr>
        <w:t>作者: Giorgia Tortora, Bianca Maria Orlando Marchesano, Stefano Buratti, Laura Luoni, Matteo Grenzi, Keiko Yoshioka, Valeria Contartese, Alessia Candeo, Alex Costa, Andrea Bassi</w:t>
        <w:br/>
      </w:r>
      <w:r>
        <w:rPr>
          <w:rFonts w:ascii="Times New Roman" w:hAnsi="Times New Roman" w:eastAsia="宋体"/>
          <w:sz w:val="21"/>
        </w:rPr>
        <w:t xml:space="preserve">时间: 2026-01-23 | </w:t>
      </w:r>
      <w:r>
        <w:t xml:space="preserve">链接: </w:t>
      </w:r>
      <w:hyperlink r:id="rId162">
        <w:r>
          <w:rPr>
            <w:rFonts w:ascii="Times New Roman" w:hAnsi="Times New Roman" w:eastAsia="宋体"/>
            <w:color w:val="0000FF"/>
            <w:sz w:val="21"/>
            <w:u w:val="single"/>
          </w:rPr>
          <w:t>https://doi.org/10.1126/sciadv.aea4466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植物如何感知和响应环境和发育线索需要能够实时监测体内整个组织分子信号的工具。基因编码的荧光指示剂与荧光显微镜相结合，已经改变了植物生物学，但它们的应用仍然主要局限于小型模型生物和专门的显微镜仪器。在这里，我们展示了宏观植物投影成像 (MAPPI)，这是一种开源、低成本、模块化荧光成像平台，适用于模型生物或幼苗阶段以外的土壤生长植物。 MAPPI 可实现荧光报告基因的宽视场、双投影成像，支持在接近生理条件下系统信号的实时可视化。我们通过跟踪成年烟草中的钙和 L-谷氨酸动态来验证 MAPPI，揭示由受伤、燃烧或淹没触发的发育调节的长距离钙波，包括双向芽到根和根到芽信号传导。通过实现全植物功能成像的民主化，MAPPI 提供了一种可扩展的工具，用于剖析模型和非模型物种的信号传播、应激适应和系统通信。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plants perceive and respond to environmental and developmental cues requires tools capable of monitoring molecular signals in vivo, across whole tissues, and in real time. Genetically encoded fluorescent indicators, coupled with fluorescence microscopy, have transformed plant biology, but their application remains largely confined to small model organisms and specialized microscopy instrumentation. Here, we present MAcro Plant Projection Imaging (MAPPI), an open-source, low-cost, and modular fluorescence imaging platform for soil-grown plants beyond the model organism or seedling stage. MAPPI enables wide field-of-view, dual-projection imaging of fluorescent reporters, supporting real-time visualization of systemic signals under near-physiological conditions. We validate MAPPI by tracking calcium and l -glutamate dynamics in adult Nicotiana benthamiana plants, revealing developmentally regulated long-distance calcium waves triggered by wounding, burning, or submergence, including bidirectional shoot-to-root and root-to-shoot signaling. By democratizing access to whole-plant functional imaging, MAPPI provides a scalable tool for dissecting signal propagation, stress adaptation, and systemic communication in both model and nonmodel species.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具有独立来源的量子网络中的随机性证明</w:t>
      </w:r>
    </w:p>
    <w:p>
      <w:r>
        <w:rPr>
          <w:rFonts w:ascii="Times New Roman" w:hAnsi="Times New Roman" w:eastAsia="宋体"/>
          <w:b/>
          <w:color w:val="003264"/>
          <w:sz w:val="24"/>
        </w:rPr>
        <w:t>Randomness certification in a quantum network with independent sources</w:t>
      </w:r>
    </w:p>
    <w:p>
      <w:r>
        <w:rPr>
          <w:rFonts w:ascii="Times New Roman" w:hAnsi="Times New Roman" w:eastAsia="宋体"/>
          <w:sz w:val="21"/>
        </w:rPr>
        <w:t>作者: Giorgio Minati, Giovanni Rodari, Emanuele Polino, Francesco Andreoli, Davide Poderini, Rafael Chaves, Gonzalo Carvacho, Fabio Sciarrino</w:t>
        <w:br/>
      </w:r>
      <w:r>
        <w:rPr>
          <w:rFonts w:ascii="Times New Roman" w:hAnsi="Times New Roman" w:eastAsia="宋体"/>
          <w:sz w:val="21"/>
        </w:rPr>
        <w:t xml:space="preserve">时间: 2026-01-23 | </w:t>
      </w:r>
      <w:r>
        <w:t xml:space="preserve">链接: </w:t>
      </w:r>
      <w:hyperlink r:id="rId163">
        <w:r>
          <w:rPr>
            <w:rFonts w:ascii="Times New Roman" w:hAnsi="Times New Roman" w:eastAsia="宋体"/>
            <w:color w:val="0000FF"/>
            <w:sz w:val="21"/>
            <w:u w:val="single"/>
          </w:rPr>
          <w:t>https://doi.org/10.1126/sciadv.aea8571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性认证是量子信息科学的基础和实践方面，对于保护量子通信协议至关重要。传统上，这些协议是通过单个纠缠源来实现和验证的，就像典型的贝尔场景一样。然而，改进这些协议以支持涉及多个纠缠源的更复杂的配置是构建鲁棒架构和实现大规模量子网络的关键。在这里，我们展示了如何在纠缠隐形传态实验中证明随机性，这是显示两个独立纠缠源的量子中继器的构建块。使用标量扩展方法，我们解决了相关集的非凸性带来的挑战，为窃听者对共享秘密位的了解提供了有效的界限。我们的理论模型描述了网络内可证明的随机性，并通过对光子量子网络的实验数据的分析进行了验证。</w:t>
      </w:r>
    </w:p>
    <w:p>
      <w:pPr>
        <w:spacing w:before="120"/>
      </w:pPr>
      <w:r>
        <w:rPr>
          <w:rFonts w:ascii="Times New Roman" w:hAnsi="Times New Roman" w:eastAsia="宋体"/>
          <w:b/>
          <w:sz w:val="21"/>
        </w:rPr>
        <w:t>English Abstract:</w:t>
      </w:r>
    </w:p>
    <w:p>
      <w:r>
        <w:rPr>
          <w:rFonts w:ascii="Times New Roman" w:hAnsi="Times New Roman" w:eastAsia="宋体"/>
          <w:sz w:val="21"/>
        </w:rPr>
        <w:t>Randomness certification is a foundational and practical aspect of quantum information science, essential for securing quantum communication protocols. Traditionally, these protocols have been implemented and validated with a single entanglement source, as in the paradigmatic Bell scenario. However, advancing these protocols to support more complex configurations involving multiple entanglement sources is key to building robust architectures and realizing large-scale quantum networks. Here, we show how to certify randomness in an entanglement-teleportation experiment, the building block of a quantum repeater displaying two independent sources of entanglement. Using the scalar extension method, we address the challenge posed by the nonconvexity of the correlation set, providing effective bounds on an eavesdropper’s knowledge of the shared secret bits. Our theoretical model characterizes the certifiable randomness within the network and is validated through the analysis of experimental data from a photonic quantum network.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类固醇依赖性代谢重连揭示了胶质母细胞瘤的新治疗和成像方法</w:t>
      </w:r>
    </w:p>
    <w:p>
      <w:r>
        <w:rPr>
          <w:rFonts w:ascii="Times New Roman" w:hAnsi="Times New Roman" w:eastAsia="宋体"/>
          <w:b/>
          <w:color w:val="003264"/>
          <w:sz w:val="24"/>
        </w:rPr>
        <w:t>Steroid-dependent metabolic rewiring reveals novel therapeutic and imaging approaches for glioblastoma</w:t>
      </w:r>
    </w:p>
    <w:p>
      <w:r>
        <w:rPr>
          <w:rFonts w:ascii="Times New Roman" w:hAnsi="Times New Roman" w:eastAsia="宋体"/>
          <w:sz w:val="21"/>
        </w:rPr>
        <w:t>作者: Maria Francesca Allega, Ruhi Deshmukh, Theresa Hillinger, Alena Akhmetshina, Anaïs Oudin, Robert Bielik, Dmitry Soloviev, Victor H. Villar, Tobias Ackermann, Guillaume Bourmeau, Sandeep K. Chahal, Katrina H. Stevenson, Colin Nixon, Robin Shaw, Gillian M. Morrison, Anthony J. Chalmers, Steven M. Pollard, Morten Lund-Johansen, Rolf Bjerkvig, Giorgio Seano, Simone P. Niclou, Einar O. Vik-Mo, David Y. Lewis, David Sumpton, Saverio Tardito</w:t>
        <w:br/>
      </w:r>
      <w:r>
        <w:rPr>
          <w:rFonts w:ascii="Times New Roman" w:hAnsi="Times New Roman" w:eastAsia="宋体"/>
          <w:sz w:val="21"/>
        </w:rPr>
        <w:t xml:space="preserve">时间: 2026-01-23 | </w:t>
      </w:r>
      <w:r>
        <w:t xml:space="preserve">链接: </w:t>
      </w:r>
      <w:hyperlink r:id="rId164">
        <w:r>
          <w:rPr>
            <w:rFonts w:ascii="Times New Roman" w:hAnsi="Times New Roman" w:eastAsia="宋体"/>
            <w:color w:val="0000FF"/>
            <w:sz w:val="21"/>
            <w:u w:val="single"/>
          </w:rPr>
          <w:t>https://doi.org/10.1126/sciadv.adx6539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类固醇抗炎药，如地塞米松，通常用于治疗脑肿瘤相关的水肿，但其对脑肿瘤代谢的影响仍未得到充分研究。在这里，对用地塞米松处理的幼稚胶质母细胞瘤细胞进行的代谢组学筛选显示，N 1 -甲基烟酰胺（一种烟酰胺 N -甲基转移酶 (NNMT) 产物）通过糖皮质激素受体激活而积累。在胶质母细胞瘤患者中使用稳定同位素辅助代谢组学，我们发现烟酰胺转化为 N 1 -甲基烟酰胺的转化超过转化为 NAD + 的转化，导致肿瘤中 N 1 -甲基烟酰胺的积累是周围脑组织的约 7 倍。在原位模型中，地塞米松在胶质母细胞瘤肿瘤中选择性增强 NNMT 活性，但在对侧大脑中则不然。利用 NNMT 的肿瘤特异性活性，我们开发了一种基于 11 C-烟酰胺的新型正电子发射断层扫描 (PET) 方法来可视化胶质母细胞瘤肿瘤。此外，我们的研究结果表明，当与限制蛋氨酸的饮食相结合时，地塞米松诱导的蛋氨酸依赖性烟酰胺甲基化对胶质母细胞瘤有害。这些结果表明，类固醇可以重新连接蛋氨酸和烟酰胺代谢，从而能够开发出针对胶质母细胞瘤的创新 PET 成像和代谢疗法。</w:t>
      </w:r>
    </w:p>
    <w:p>
      <w:pPr>
        <w:spacing w:before="120"/>
      </w:pPr>
      <w:r>
        <w:rPr>
          <w:rFonts w:ascii="Times New Roman" w:hAnsi="Times New Roman" w:eastAsia="宋体"/>
          <w:b/>
          <w:sz w:val="21"/>
        </w:rPr>
        <w:t>English Abstract:</w:t>
      </w:r>
    </w:p>
    <w:p>
      <w:r>
        <w:rPr>
          <w:rFonts w:ascii="Times New Roman" w:hAnsi="Times New Roman" w:eastAsia="宋体"/>
          <w:sz w:val="21"/>
        </w:rPr>
        <w:t>Steroid anti-inflammatory drugs, such as dexamethasone, are routinely used to manage brain tumor–associated edema, yet their impact on brain tumor metabolism remains understudied. Here, a metabolomic screen in naïve glioblastoma cells treated with dexamethasone revealed the accumulation of N 1 -methylnicotinamide, a nicotinamide N -methyltransferase (NNMT) product, through glucocorticoid receptor activation. Using stable isotope-assisted metabolomics in patients with glioblastoma, we showed that nicotinamide conversion into N 1 -methylnicotinamide exceeds that into NAD + , leading to a ~7-fold accumulation of N 1 -methylnicotinamide in tumor compared to surrounding brain tissue. In orthotopic models, NNMT activity was enhanced by dexamethasone selectively in glioblastoma tumors but not in contralateral brain. Leveraging the tumor-specific activity of NNMT, we developed a novel 11 C-nicotinamide–based positron emission tomography (PET) approach to visualizing glioblastoma tumors. Furthermore, our findings demonstrate that the dexamethasone-induced methionine-dependent nicotinamide methylation becomes detrimental for glioblastoma when combined with a methionine-restricted diet. These results show that steroids rewire methionine and nicotinamide metabolism, enabling the development of innovative PET imaging and metabolic therapies for glioblastoma.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NEP-聚合酶复合物结构揭示甲型流感病毒聚合酶的监管热点</w:t>
      </w:r>
    </w:p>
    <w:p>
      <w:r>
        <w:rPr>
          <w:rFonts w:ascii="Times New Roman" w:hAnsi="Times New Roman" w:eastAsia="宋体"/>
          <w:b/>
          <w:color w:val="003264"/>
          <w:sz w:val="24"/>
        </w:rPr>
        <w:t>Regulatory hotspot on the influenza A virus polymerase revealed through the structure of the NEP-polymerase complex</w:t>
      </w:r>
    </w:p>
    <w:p>
      <w:r>
        <w:rPr>
          <w:rFonts w:ascii="Times New Roman" w:hAnsi="Times New Roman" w:eastAsia="宋体"/>
          <w:sz w:val="21"/>
        </w:rPr>
        <w:t>作者: Alison Rep, Fangzheng Wang, Kuang-Yu Chen, Loïc Carrique, Jane Sharps, Jonathan M. Grimes, Ervin Fodor</w:t>
        <w:br/>
      </w:r>
      <w:r>
        <w:rPr>
          <w:rFonts w:ascii="Times New Roman" w:hAnsi="Times New Roman" w:eastAsia="宋体"/>
          <w:sz w:val="21"/>
        </w:rPr>
        <w:t xml:space="preserve">时间: 2026-01-23 | </w:t>
      </w:r>
      <w:r>
        <w:t xml:space="preserve">链接: </w:t>
      </w:r>
      <w:hyperlink r:id="rId165">
        <w:r>
          <w:rPr>
            <w:rFonts w:ascii="Times New Roman" w:hAnsi="Times New Roman" w:eastAsia="宋体"/>
            <w:color w:val="0000FF"/>
            <w:sz w:val="21"/>
            <w:u w:val="single"/>
          </w:rPr>
          <w:t>https://doi.org/10.1126/sciadv.aeb4073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甲型流感病毒 (IAV) 在病毒核糖核蛋白 (vRNP) 内的宿主细胞核中转录和复制其分段的 RNA 基因组，这些基因组被输出用于病毒粒子组装。核输出蛋白 (NEP) 对此过程至关重要，并且还调节病毒 RNA 合成，意味着与病毒 RNA 聚合酶的直接相互作用。在这里，我们展示了与 IAV 聚合酶结合的 NEP 的 2.5-Å 低温电子显微镜结构，并证明单独的 NEP 足以促进 vRNP 输出，而病毒基质蛋白 1 则增强输出效率。 NEP 形成四螺旋束，结合在聚合酶的 PA C 端结构域和 PB1 N 端的界面上。该界面上的 NEP 结合位点与宿主 ANP32 和 RNA 聚合酶 II 的 C 端结构域的结合位点重叠，表明它作为调节热点协调病毒聚合酶在 RNA 合成和核输出之间的转换，揭示了 IAV 复制周期中的关键控制层。</w:t>
      </w:r>
    </w:p>
    <w:p>
      <w:pPr>
        <w:spacing w:before="120"/>
      </w:pPr>
      <w:r>
        <w:rPr>
          <w:rFonts w:ascii="Times New Roman" w:hAnsi="Times New Roman" w:eastAsia="宋体"/>
          <w:b/>
          <w:sz w:val="21"/>
        </w:rPr>
        <w:t>English Abstract:</w:t>
      </w:r>
    </w:p>
    <w:p>
      <w:r>
        <w:rPr>
          <w:rFonts w:ascii="Times New Roman" w:hAnsi="Times New Roman" w:eastAsia="宋体"/>
          <w:sz w:val="21"/>
        </w:rPr>
        <w:t>Influenza A virus (IAV) transcribes and replicates its segmented RNA genome in the host nucleus within viral ribonucleoproteins (vRNPs), which are exported for virion assembly. The nuclear export protein (NEP) is essential for this process and also regulates viral RNA synthesis, implicating a direct interaction with the viral RNA polymerase. Here, we present a 2.5-Å cryogenic electron microscopy structure of NEP bound to the IAV polymerase and demonstrate that NEP alone is sufficient to promote vRNP export, with the viral matrix protein 1 enhancing export efficiency. NEP forms a four-helix bundle that binds at the interface of the PA C-terminal domain and PB1 N terminus of the polymerase. The NEP binding site at this interface overlaps with those for the host ANP32 and the C-terminal domain of RNA polymerase II, indicating that it functions as a regulatory hotspot coordinating transitions of the viral polymerase between RNA synthesis and nuclear export, revealing a critical layer of control in the IAV replication cycle.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美国本土 PM 2.5 成分导致的心血管死亡率存在空间和种族/民族差异</w:t>
      </w:r>
    </w:p>
    <w:p>
      <w:r>
        <w:rPr>
          <w:rFonts w:ascii="Times New Roman" w:hAnsi="Times New Roman" w:eastAsia="宋体"/>
          <w:b/>
          <w:color w:val="003264"/>
          <w:sz w:val="24"/>
        </w:rPr>
        <w:t>Spatial and racial/ethnic disparities in cardiovascular mortality attributable to PM 2.5 components in the contiguous United States</w:t>
      </w:r>
    </w:p>
    <w:p>
      <w:r>
        <w:rPr>
          <w:rFonts w:ascii="Times New Roman" w:hAnsi="Times New Roman" w:eastAsia="宋体"/>
          <w:sz w:val="21"/>
        </w:rPr>
        <w:t>作者: Ying Hu, Lingzhi Chu, Stefano Renzetti, Emma Zang, Ijeoma Opara, Yuan Lu, Erica S. Spatz, Harlan M. Krumholz, Kai Chen</w:t>
        <w:br/>
      </w:r>
      <w:r>
        <w:rPr>
          <w:rFonts w:ascii="Times New Roman" w:hAnsi="Times New Roman" w:eastAsia="宋体"/>
          <w:sz w:val="21"/>
        </w:rPr>
        <w:t xml:space="preserve">时间: 2026-01-30 | </w:t>
      </w:r>
      <w:r>
        <w:t xml:space="preserve">链接: </w:t>
      </w:r>
      <w:hyperlink r:id="rId166">
        <w:r>
          <w:rPr>
            <w:rFonts w:ascii="Times New Roman" w:hAnsi="Times New Roman" w:eastAsia="宋体"/>
            <w:color w:val="0000FF"/>
            <w:sz w:val="21"/>
            <w:u w:val="single"/>
          </w:rPr>
          <w:t>https://doi.org/10.1126/sciadv.adx2075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长期接触细颗粒物 (PM 2.5 ) 是心血管疾病 (CVD) 死亡的一个公认的危险因素，但其组成部分的贡献仍不清楚，特别是在不同地理区域和种族/族裔群体中。我们通过合并双向固定效应 (gWQS-feglm) 扩展了广义加权分位数和回归模型，以量化美国本土 PM 2.5 成分可归因的 CVD 死亡。由于铵 (NH 4 + ) 和硫酸盐 (SO 4 2− ) 减少，PM 2.5 成分导致的 CVD 死亡人数从 2001 年的 42,200 人 (28,200,57,600 人) 下降到 2020 年的 23,500 人 (15,700,32,100 人)。 2020 年，高死亡率地区依然存在，PM 2.5 成分的区域差异也很明显，加利福尼亚州和中东北部以 NH 4 + 为主，南部以 SO 4 2− 为主，大西洋中部以黑碳和 SO 4 2− 为主。种族/民族差异依然存在，与非西班牙裔白人相比，非西班牙裔黑人和西班牙裔的归因死亡率下降速度较慢。我们的研究结果强调了基于组成部分的有针对性的干预措施的重要性，以解决 PM 2.5 归因负担的差异。</w:t>
      </w:r>
    </w:p>
    <w:p>
      <w:pPr>
        <w:spacing w:before="120"/>
      </w:pPr>
      <w:r>
        <w:rPr>
          <w:rFonts w:ascii="Times New Roman" w:hAnsi="Times New Roman" w:eastAsia="宋体"/>
          <w:b/>
          <w:sz w:val="21"/>
        </w:rPr>
        <w:t>English Abstract:</w:t>
      </w:r>
    </w:p>
    <w:p>
      <w:r>
        <w:rPr>
          <w:rFonts w:ascii="Times New Roman" w:hAnsi="Times New Roman" w:eastAsia="宋体"/>
          <w:sz w:val="21"/>
        </w:rPr>
        <w:t>Long-term exposure to fine particulate matter (PM 2.5 ) is a well-established risk factor for cardiovascular disease (CVD) mortality, yet the contributions of its components remain unclear, particularly across geographic regions and racial/ethnic groups. We extended the generalized weighted quantile sum regression model by incorporating two-way fixed effects (gWQS-feglm) to quantify PM 2.5 component–attributable CVD deaths across the contiguous United States. PM 2.5 component–attributable CVD deaths declined from 42,200 (28,200,57,600) in 2001 to 23,500 (15,700,32,100) in 2020, driven by ammonium (NH 4 + ) and sulfate (SO 4 2− ) reductions. In 2020, high-attributable-mortality regions remained and regional disparities in PM 2.5 composition pronounced, with NH 4 + dominant in California and the East North Central, SO 4 2− in the South, and black carbon and SO 4 2− in the Middle Atlantic. Racial/ethnic disparities persisted, with non-Hispanic Blacks and Hispanics experiencing slower attributable-mortality declines compared with non-Hispanic whites. Our findings highlight the importance of targeted interventions based on components to address disparities in PM 2.5 -attributable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α-突触核蛋白表达是体细胞树突多巴胺释放和早期基因诱导所必需的</w:t>
      </w:r>
    </w:p>
    <w:p>
      <w:r>
        <w:rPr>
          <w:rFonts w:ascii="Times New Roman" w:hAnsi="Times New Roman" w:eastAsia="宋体"/>
          <w:b/>
          <w:color w:val="003264"/>
          <w:sz w:val="24"/>
        </w:rPr>
        <w:t>α-Synuclein expression is required for somatodendritic dopamine release and immediate early gene induction</w:t>
      </w:r>
    </w:p>
    <w:p>
      <w:r>
        <w:rPr>
          <w:rFonts w:ascii="Times New Roman" w:hAnsi="Times New Roman" w:eastAsia="宋体"/>
          <w:sz w:val="21"/>
        </w:rPr>
        <w:t>作者: Se Joon Choi, Anika Frank, Manu Ben-Johny, Guomei Tang, Jonas Bendig, Stavros Fanourakis, Benjamin D. Hobson, Nagendran Ramalingam, Ulf Dettmer, Ellen Kanter, David Sulzer, Eugene V. Mosharov</w:t>
        <w:br/>
      </w:r>
      <w:r>
        <w:rPr>
          <w:rFonts w:ascii="Times New Roman" w:hAnsi="Times New Roman" w:eastAsia="宋体"/>
          <w:sz w:val="21"/>
        </w:rPr>
        <w:t xml:space="preserve">时间: 2026-01-30 | </w:t>
      </w:r>
      <w:r>
        <w:t xml:space="preserve">链接: </w:t>
      </w:r>
      <w:hyperlink r:id="rId167">
        <w:r>
          <w:rPr>
            <w:rFonts w:ascii="Times New Roman" w:hAnsi="Times New Roman" w:eastAsia="宋体"/>
            <w:color w:val="0000FF"/>
            <w:sz w:val="21"/>
            <w:u w:val="single"/>
          </w:rPr>
          <w:t>https://doi.org/10.1126/sciadv.ady6978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α-突触核蛋白 (αSyn) 是一种生理功能尚未确定的突触前蛋白，在帕金森病神经病理学中发挥着核心作用。迄今为止，αSyn 表达对轴突突触小泡胞吐作用和膜循环动力学的影响相对较小。相比之下，我们报告 αSyn 是黑质体树突多巴胺释放的主要调节剂，这是一种知之甚少的神经传递形式，是感觉运动和基底神经节回路的核心。这种调节是由于 αSyn 在控制 L 型钙离子通道 (LTCC) 活性方面​​的先前未知作用所致，LTCC 也与帕金森病的发病机制有关。 αSyn 缺陷的神经元进一步表现出尖峰频率适应能力下降、海马 LTCC 依赖性长期增强以及立即早期基因诱导，这些功能对于突触适应和神经元可塑性至关重要。</w:t>
      </w:r>
    </w:p>
    <w:p>
      <w:pPr>
        <w:spacing w:before="120"/>
      </w:pPr>
      <w:r>
        <w:rPr>
          <w:rFonts w:ascii="Times New Roman" w:hAnsi="Times New Roman" w:eastAsia="宋体"/>
          <w:b/>
          <w:sz w:val="21"/>
        </w:rPr>
        <w:t>English Abstract:</w:t>
      </w:r>
    </w:p>
    <w:p>
      <w:r>
        <w:rPr>
          <w:rFonts w:ascii="Times New Roman" w:hAnsi="Times New Roman" w:eastAsia="宋体"/>
          <w:sz w:val="21"/>
        </w:rPr>
        <w:t>α-Synuclein (αSyn) is a presynaptic protein of unestablished physiological function that plays a central role in Parkinson’s disease neuropathology. To date, the reported effects of αSyn expression on the kinetics of axonal synaptic vesicle exocytosis and membrane cycling have been relatively small. In contrast, we report that αSyn is the major modulator of substantia nigra somatodendritic dopamine release, a little-understood form of neurotransmission that is central to sensorimotor and basal ganglia circuitry. This regulation is due to a previously unknown role for αSyn in controlling the activity of the L-type calcium ion channels (LTCC), which are also implicated in Parkinson’s pathogenesis. αSyn-deficient neurons further display decreased spike frequency adaptation, hippocampal LTCC-dependent long-term potentiation, and immediate early gene induction, functions that are essential for synaptic adaptation and neuronal plasticity.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Set2与FACT协调转录偶联H3K36三甲基化的结构基础</w:t>
      </w:r>
    </w:p>
    <w:p>
      <w:r>
        <w:rPr>
          <w:rFonts w:ascii="Times New Roman" w:hAnsi="Times New Roman" w:eastAsia="宋体"/>
          <w:b/>
          <w:color w:val="003264"/>
          <w:sz w:val="24"/>
        </w:rPr>
        <w:t>Structural basis of transcription-coupled H3K36 trimethylation by Set2 in coordination with FACT</w:t>
      </w:r>
    </w:p>
    <w:p>
      <w:r>
        <w:rPr>
          <w:rFonts w:ascii="Times New Roman" w:hAnsi="Times New Roman" w:eastAsia="宋体"/>
          <w:sz w:val="21"/>
        </w:rPr>
        <w:t>作者: Tomoya Kujirai, Haruhiko Ehara, Tomoko Ito, Masami Henmi, Eriko Oya, Takehiko Kobayashi, Shun-ichi Sekine, Hitoshi Kurumizaka</w:t>
        <w:br/>
      </w:r>
      <w:r>
        <w:rPr>
          <w:rFonts w:ascii="Times New Roman" w:hAnsi="Times New Roman" w:eastAsia="宋体"/>
          <w:sz w:val="21"/>
        </w:rPr>
        <w:t xml:space="preserve">时间: 2026-01-30 | </w:t>
      </w:r>
      <w:r>
        <w:t xml:space="preserve">链接: </w:t>
      </w:r>
      <w:hyperlink r:id="rId168">
        <w:r>
          <w:rPr>
            <w:rFonts w:ascii="Times New Roman" w:hAnsi="Times New Roman" w:eastAsia="宋体"/>
            <w:color w:val="0000FF"/>
            <w:sz w:val="21"/>
            <w:u w:val="single"/>
          </w:rPr>
          <w:t>https://doi.org/10.1126/sciadv.aed1952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 H3K36 残基 (H3K36me3) 的三甲基化通过抑制染色质中不需要的隐性转录，在确保转录保真度方面发挥着不可或缺的作用。 H3K36me3 修饰是在 RNA 聚合酶 II 延伸复合物 (EC) 转录延伸过程中由 Set2/SETD2 完成的。在这里，我们发现 Set2 介导的 H3K36me3 沉积发生在 EC 后面的核小体重新组装上。组蛋白伴侣 FACT 抑制 H3K36me3 在下游核小体上的沉积，从而确保 Set2 专门针对重组上游核小体。与 Set2 复合的核小体转录 EC 的冷冻电镜结构显示，Set2 由 EC 的 Spt6 亚基锚定，在核小体重组过程中逐步捕获两个 H3 N 末端尾部。 Set2-EC 相互作用的废除会导致转录偶联 H3K36me3 沉积缺陷。这些见解阐明了转录偶联 H3K36me3 在染色质中沉积的基于结构的机制。</w:t>
      </w:r>
    </w:p>
    <w:p>
      <w:pPr>
        <w:spacing w:before="120"/>
      </w:pPr>
      <w:r>
        <w:rPr>
          <w:rFonts w:ascii="Times New Roman" w:hAnsi="Times New Roman" w:eastAsia="宋体"/>
          <w:b/>
          <w:sz w:val="21"/>
        </w:rPr>
        <w:t>English Abstract:</w:t>
      </w:r>
    </w:p>
    <w:p>
      <w:r>
        <w:rPr>
          <w:rFonts w:ascii="Times New Roman" w:hAnsi="Times New Roman" w:eastAsia="宋体"/>
          <w:sz w:val="21"/>
        </w:rPr>
        <w:t>Trimethylation of the histone H3K36 residue (H3K36me3) plays an indispensable role in ensuring transcription fidelity by suppressing undesired cryptic transcription in chromatin. H3K36me3 modification is accomplished by Set2/SETD2 during transcription elongation by the RNA polymerase II elongation complex (EC). Here, we found that Set2-mediated H3K36me3 deposition occurs on the nucleosome reassembling behind the EC. The histone chaperone FACT suppresses H3K36me3 deposition on the downstream nucleosome, thereby ensuring that Set2 targets specifically on the reassembling upstream nucleosome. Cryo–electron microscopy structures of the nucleosome-transcribing EC complexed with Set2 revealed that Set2 is anchored by the Spt6 subunit of the EC to capture both of the H3 N-terminal tails in a stepwise manner during the nucleosome reassembly process. Abrogation of the Set2-EC interaction leads to defective transcription-coupled H3K36me3 deposition. These insights elucidate the structure-based mechanism of transcription-coupled H3K36me3 deposition in chromatin.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从光到声音：在健康和疾病中看到和听到胎盘</w:t>
      </w:r>
    </w:p>
    <w:p>
      <w:r>
        <w:rPr>
          <w:rFonts w:ascii="Times New Roman" w:hAnsi="Times New Roman" w:eastAsia="宋体"/>
          <w:b/>
          <w:color w:val="003264"/>
          <w:sz w:val="24"/>
        </w:rPr>
        <w:t>From light to sound: Seeing and hearing the placenta in health and disease</w:t>
      </w:r>
    </w:p>
    <w:p>
      <w:r>
        <w:rPr>
          <w:rFonts w:ascii="Times New Roman" w:hAnsi="Times New Roman" w:eastAsia="宋体"/>
          <w:sz w:val="21"/>
        </w:rPr>
        <w:t>作者: Donghyun Lee, Jiwoong Kim, Jinseok Heo, Hyunseo Jeon, Shiyang Chang, Wonseok Choi, Chulhong Kim, Zhifen Yang</w:t>
        <w:br/>
      </w:r>
      <w:r>
        <w:rPr>
          <w:rFonts w:ascii="Times New Roman" w:hAnsi="Times New Roman" w:eastAsia="宋体"/>
          <w:sz w:val="21"/>
        </w:rPr>
        <w:t xml:space="preserve">时间: 2026-01-30 | </w:t>
      </w:r>
      <w:r>
        <w:t xml:space="preserve">链接: </w:t>
      </w:r>
      <w:hyperlink r:id="rId169">
        <w:r>
          <w:rPr>
            <w:rFonts w:ascii="Times New Roman" w:hAnsi="Times New Roman" w:eastAsia="宋体"/>
            <w:color w:val="0000FF"/>
            <w:sz w:val="21"/>
            <w:u w:val="single"/>
          </w:rPr>
          <w:t>https://doi.org/10.1126/sciadv.aed2184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胎盘是妊娠特有的器官，充当母胎界面并介导交换、保护和内分泌调节等重要过程。胎盘异常影响主要围产期疾病的病理生理学、发病、进展和预后，因此能够检测和监测这些疾病的成像方式至关重要。超声 (US) 成像是胎盘成像的主要方式，通过 B 模式提供结构评估，通过多普勒模式提供血流评估。此外，3D 能量多普勒、定量超声和剪切波弹性成像等先进技术扩展了胎盘超声成像的能力。光声 (PA) 成像能够以高空间分辨率观察内源性发色团（例如血红蛋白）的光学特性，并测量血氧饱和度（胎盘功能障碍的关键因素），为胎盘成像提供了巨大的价值。在这篇综述中，我们介绍了用于胎盘成像的 US/PA 成像技术，包括临床前和临床研究。此外，通过考虑当前的局限性和潜在的解决方案，我们提出了 US/PA 成像在该领域的未来发展轨迹。</w:t>
      </w:r>
    </w:p>
    <w:p>
      <w:pPr>
        <w:spacing w:before="120"/>
      </w:pPr>
      <w:r>
        <w:rPr>
          <w:rFonts w:ascii="Times New Roman" w:hAnsi="Times New Roman" w:eastAsia="宋体"/>
          <w:b/>
          <w:sz w:val="21"/>
        </w:rPr>
        <w:t>English Abstract:</w:t>
      </w:r>
    </w:p>
    <w:p>
      <w:r>
        <w:rPr>
          <w:rFonts w:ascii="Times New Roman" w:hAnsi="Times New Roman" w:eastAsia="宋体"/>
          <w:sz w:val="21"/>
        </w:rPr>
        <w:t>The placenta is a pregnancy-specific organ, functioning as the maternal-fetal interface and mediating essential processes including exchange, protection, and endocrine regulation. Placental abnormalities contribute to the pathophysiology, onset, progression, and prognosis of major perinatal disorders, making imaging modalities that enable their detection and monitoring crucial. Ultrasound (US) imaging is the principal modality for placental imaging, providing structural assessment with B-mode and blood flow evaluation with Doppler mode. Furthermore, advanced techniques such as 3D power Doppler, quantitative US, and shear-wave elastography expand the capabilities of placental US imaging. Photoacoustic (PA) imaging enables observation of the optical properties of endogenous chromophores (e.g., hemoglobin) with high spatial resolution and measures blood oxygenation, a key factor in placental dysfunction, offering substantial value for placental imaging. In this review, we cover US/PA imaging techniques for placental imaging, including preclinical and clinical studies. In addition, by considering current limitations and potential solutions, we suggest future trajectories for the advancement of US/PA imaging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外排泵通过限制细菌中的重新结合来控制细胞内药物靶标动力学</w:t>
      </w:r>
    </w:p>
    <w:p>
      <w:r>
        <w:rPr>
          <w:rFonts w:ascii="Times New Roman" w:hAnsi="Times New Roman" w:eastAsia="宋体"/>
          <w:b/>
          <w:color w:val="003264"/>
          <w:sz w:val="24"/>
        </w:rPr>
        <w:t>Efflux pumps control intracellular drug-target kinetics by limiting rebinding in bacteria</w:t>
      </w:r>
    </w:p>
    <w:p>
      <w:r>
        <w:rPr>
          <w:rFonts w:ascii="Times New Roman" w:hAnsi="Times New Roman" w:eastAsia="宋体"/>
          <w:sz w:val="21"/>
        </w:rPr>
        <w:t>作者: Subrata Dev, Keiran Stevenson, Dai Le, Minsu Kim</w:t>
        <w:br/>
      </w:r>
      <w:r>
        <w:rPr>
          <w:rFonts w:ascii="Times New Roman" w:hAnsi="Times New Roman" w:eastAsia="宋体"/>
          <w:sz w:val="21"/>
        </w:rPr>
        <w:t xml:space="preserve">时间: 2026-01-30 | </w:t>
      </w:r>
      <w:r>
        <w:t xml:space="preserve">链接: </w:t>
      </w:r>
      <w:hyperlink r:id="rId170">
        <w:r>
          <w:rPr>
            <w:rFonts w:ascii="Times New Roman" w:hAnsi="Times New Roman" w:eastAsia="宋体"/>
            <w:color w:val="0000FF"/>
            <w:sz w:val="21"/>
            <w:u w:val="single"/>
          </w:rPr>
          <w:t>https://doi.org/10.1126/sciadv.aea7983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细菌外排泵是多重耐药性的主要原因，通常被描述为减少药物进入的“看门人”。在这里，我们揭示了外排泵的进入后机制，揭示了它们在细胞内药物-靶标相互作用的深层功能。通过定量活细胞成像，我们使用 DNA 结合抑制剂 Hoechst 33342 (HCT) 监测了大肠杆菌和铜绿假单胞菌中主要外排系统的活性。我们发现，外排的失活（大肠杆菌中的 Δ tolC 和铜绿假单胞菌中的 Δ6）增加了表观 HCT-DNA 亲和力，这是由表观解结合率降低介导的，而内在速率保持不变。统计物理模型和实验测试表明，与在稀释的体外条件下不同，在细胞内环境中与其靶标解除结合的药物分子会经历连续的重新结合，从而延长了与靶标结合的药物的总寿命。然而，外排泵通过抑制重新结合来抵消这种效应，从而在动力学上破坏药物-靶点相互作用的稳定性。这种生物物理机制与典型的守门效应相乘，以扩大和放大耐药性。</w:t>
      </w:r>
    </w:p>
    <w:p>
      <w:pPr>
        <w:spacing w:before="120"/>
      </w:pPr>
      <w:r>
        <w:rPr>
          <w:rFonts w:ascii="Times New Roman" w:hAnsi="Times New Roman" w:eastAsia="宋体"/>
          <w:b/>
          <w:sz w:val="21"/>
        </w:rPr>
        <w:t>English Abstract:</w:t>
      </w:r>
    </w:p>
    <w:p>
      <w:r>
        <w:rPr>
          <w:rFonts w:ascii="Times New Roman" w:hAnsi="Times New Roman" w:eastAsia="宋体"/>
          <w:sz w:val="21"/>
        </w:rPr>
        <w:t>Bacterial efflux pumps are major contributors to multidrug resistance, classically described as “gatekeepers” that reduce drug entry. Here, we uncover a post–entry mechanism of efflux pumps, revealing their function deep into intracellular drug-target interactions. Using quantitative live-cell imaging, we monitored the activity of major efflux systems in Escherichia coli and Pseudomonas aeruginosa with Hoechst 33342 (HCT), a DNA binding inhibitor. We found that inactivation of efflux (Δ tolC in E. coli and Δ6 in P. aeruginosa ) increased the apparent HCT-DNA affinity, mediated by a decreased apparent unbinding rate, whereas the intrinsic rate remained unchanged. Statistical physics modeling and experimental testing show that, unlike under dilute in vitro conditions, drug molecules that unbind from their targets in intracellular environments undergo successive rebinding, prolonging the total lifetime of the drug bound to the target. However, efflux pumps counteract this effect by suppressing rebinding, thereby kinetically destabilizing drug-target interactions. This biophysical mechanism acts multiplicatively with the canonical gatekeeping effect to broaden and amplify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AI集成类肤可穿戴“眼电子”一站式斜视数字化诊断</w:t>
      </w:r>
    </w:p>
    <w:p>
      <w:r>
        <w:rPr>
          <w:rFonts w:ascii="Times New Roman" w:hAnsi="Times New Roman" w:eastAsia="宋体"/>
          <w:b/>
          <w:color w:val="003264"/>
          <w:sz w:val="24"/>
        </w:rPr>
        <w:t>One-stop strabismus digital diagnosis via AI-integrated skin-like and wearable “Eyelectronics”</w:t>
      </w:r>
    </w:p>
    <w:p>
      <w:r>
        <w:rPr>
          <w:rFonts w:ascii="Times New Roman" w:hAnsi="Times New Roman" w:eastAsia="宋体"/>
          <w:sz w:val="21"/>
        </w:rPr>
        <w:t>作者: Yong Yang, Xin Liu, Jiankai Tang, Hengyi Guo, Jinsong Zhang, Yuntao Wang, Yonghong Jiao, Yihao Chen, Xue Feng</w:t>
        <w:br/>
      </w:r>
      <w:r>
        <w:rPr>
          <w:rFonts w:ascii="Times New Roman" w:hAnsi="Times New Roman" w:eastAsia="宋体"/>
          <w:sz w:val="21"/>
        </w:rPr>
        <w:t xml:space="preserve">时间: 2026-01-30 | </w:t>
      </w:r>
      <w:r>
        <w:t xml:space="preserve">链接: </w:t>
      </w:r>
      <w:hyperlink r:id="rId171">
        <w:r>
          <w:rPr>
            <w:rFonts w:ascii="Times New Roman" w:hAnsi="Times New Roman" w:eastAsia="宋体"/>
            <w:color w:val="0000FF"/>
            <w:sz w:val="21"/>
            <w:u w:val="single"/>
          </w:rPr>
          <w:t>https://doi.org/10.1126/sciadv.aeb7242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斜视影响约 4% 的儿童，损害视力和心理健康。但临床诊断需要多种仪器，逐步检查眼位、眼外肌功能、偏角等。它受到诊断客观性低、儿科依从性差和成本高的限制。在这里，我们提出了一种通过人工智能（AI）进行一站式斜视数字诊断的策略——集成的、类皮肤的、可穿戴的“电子电子设备”。这款超轻、难以察觉的眼戴系统具有超薄（厚度约 60 微米）、透气、多向（0°/45°/90°）应变传感阵列，可保形地适应敏感的眼睑。它可以在眼球运动过程中对眼睑变形进行无线、轻度限​​制的测量。通过经眼部磁共振成像模拟验证的生物力学模型，我们建立了眼睑变形和眼球运动之间的先验相关性。 Ey electronics 由我们的生理学知识驱动的端到端 AI 算法提供支持，实现了斜视角度的同步测量和麻痹肌肉的识别。它在眼球运动检查中提供 96.6% 的四向分类准确率和 1.2° 的测量准确度。针对临床标准（Hess 筛选测试）的临床基准测试证实了诊断一致性（组内相关性 = 0.978）。该系统将定量生物力学传感与数字诊断联系起来，为未来斜视治疗树立了典范。</w:t>
      </w:r>
    </w:p>
    <w:p>
      <w:pPr>
        <w:spacing w:before="120"/>
      </w:pPr>
      <w:r>
        <w:rPr>
          <w:rFonts w:ascii="Times New Roman" w:hAnsi="Times New Roman" w:eastAsia="宋体"/>
          <w:b/>
          <w:sz w:val="21"/>
        </w:rPr>
        <w:t>English Abstract:</w:t>
      </w:r>
    </w:p>
    <w:p>
      <w:r>
        <w:rPr>
          <w:rFonts w:ascii="Times New Roman" w:hAnsi="Times New Roman" w:eastAsia="宋体"/>
          <w:sz w:val="21"/>
        </w:rPr>
        <w:t>Strabismus, affecting ~4% of children, impairs vision and psychosocial health. However, clinical diagnosis requires multiple instruments and stepwise examinations of ocular alignment, extraocular muscle function, and deviation angle. It is limited by low diagnostic objectivity, poor pediatric compliance, and high cost. Here, we propose a strategy for one-stop strabismus digital diagnosis via artificial intelligence (AI)–integrated, skin-like, and wearable “Eyelectronics.” The ultralightweight, imperceptible eye-wearable system features an ultrathin (~60 micrometers in thickness), breathable, and multidirectional (0°/45°/90°) strain-sensing array conformally adapted to the sensitive eyelid. It enables wireless, mild-restricted measurement of eyelid deformation during eye movements. Through biomechanical modeling validated by ocular magnetic resonance imaging simulations, we establish a prior correlation between eyelid deformation and eye movements. The Eyelectronics, powered by our physiology knowledge-driven end-to-end AI algorithm, achieves simultaneous measurement of strabismus angle and identification of paretic muscle. It delivers a 96.6% four-direction classification accuracy and a 1.2° measurement accuracy in ocular motility examinations. Clinical benchmarking against the clinical standard (Hess screen test) confirmed diagnostic agreement (intraclass correlation = 0.978). This system bridges quantitative biomechanical sensing with digital diagnosis, promoting a paradigm for future strabismus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单粒子表面增强相干反斯托克斯拉曼散射：纳米粒子设计和机制</w:t>
      </w:r>
    </w:p>
    <w:p>
      <w:r>
        <w:rPr>
          <w:rFonts w:ascii="Times New Roman" w:hAnsi="Times New Roman" w:eastAsia="宋体"/>
          <w:b/>
          <w:color w:val="003264"/>
          <w:sz w:val="24"/>
        </w:rPr>
        <w:t>Single-particle surface-enhanced coherent anti–Stokes Raman scattering: Nanoparticle design and mechanism</w:t>
      </w:r>
    </w:p>
    <w:p>
      <w:r>
        <w:rPr>
          <w:rFonts w:ascii="Times New Roman" w:hAnsi="Times New Roman" w:eastAsia="宋体"/>
          <w:sz w:val="21"/>
        </w:rPr>
        <w:t>作者: Sanjun Fan, Ran Cheng, Haonan Lin, Zhewen Luo, Abigail E. Smith, Chih-Feng Wang, Jinna He, Brian T. Scarpitti, Deben N. Shoup, Hannah C. Schorr, Erjun Liang, Jian Ye, Ji-Xin Cheng, Zachary D. Schultz</w:t>
        <w:br/>
      </w:r>
      <w:r>
        <w:rPr>
          <w:rFonts w:ascii="Times New Roman" w:hAnsi="Times New Roman" w:eastAsia="宋体"/>
          <w:sz w:val="21"/>
        </w:rPr>
        <w:t xml:space="preserve">时间: 2026-01-30 | </w:t>
      </w:r>
      <w:r>
        <w:t xml:space="preserve">链接: </w:t>
      </w:r>
      <w:hyperlink r:id="rId172">
        <w:r>
          <w:rPr>
            <w:rFonts w:ascii="Times New Roman" w:hAnsi="Times New Roman" w:eastAsia="宋体"/>
            <w:color w:val="0000FF"/>
            <w:sz w:val="21"/>
            <w:u w:val="single"/>
          </w:rPr>
          <w:t>https://doi.org/10.1126/sciadv.ady0545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表面增强相干反斯托克斯拉曼散射（SECARS）被认为通过结合局域表面等离子体共振和相干拉曼增强来增加信号强度和灵敏度。然而，SECARS 的实现比表面增强拉曼散射 (SERS) 更复杂，并且仍然具有挑战性。与 SERS 不同，非线性 CARS 过程需要三个不同场的相干相互作用。单粒子 SECARS 的电场和纳米粒子 (NP) 形态之间的相互作用仍未被探索，并且产生 SECARS 信号的潜在机制尚未完全了解。在这里，使用 CARS 显微镜合成并筛选了 27 种不同的纳米颗粒。其中，只有星核核卫星纳米颗粒表现出单颗粒SECARS信号，该信号受到激光偏振、双光子发光背景、光致热效应、颗粒尺寸和颗粒形貌的影响。纳米颗粒特性对 SECARS 增强的影响为单颗粒 SECARS 纳米颗粒的设计和合成提供了指导，并为生物成像和化学传感提供了机会。</w:t>
      </w:r>
    </w:p>
    <w:p>
      <w:pPr>
        <w:spacing w:before="120"/>
      </w:pPr>
      <w:r>
        <w:rPr>
          <w:rFonts w:ascii="Times New Roman" w:hAnsi="Times New Roman" w:eastAsia="宋体"/>
          <w:b/>
          <w:sz w:val="21"/>
        </w:rPr>
        <w:t>English Abstract:</w:t>
      </w:r>
    </w:p>
    <w:p>
      <w:r>
        <w:rPr>
          <w:rFonts w:ascii="Times New Roman" w:hAnsi="Times New Roman" w:eastAsia="宋体"/>
          <w:sz w:val="21"/>
        </w:rPr>
        <w:t>Surface-enhanced coherent anti–Stokes Raman scattering (SECARS) is believed to increase the signal intensity and sensitivity by combining the localized surface plasmon resonance and coherent Raman enhancement. However, the realization of SECARS is more complex than for surface-enhanced Raman scattering (SERS) and remains challenging. Unlike SERS, the nonlinear CARS process requires the coherent interaction of three distinct fields. The interactions between the electric fields and nanoparticle (NP) morphology for single-particle SECARS remain unexplored, and the underlying mechanisms generating the SECARS signal are not fully understood. Here, 27 distinct NPs were synthesized and screened using a CARS microscope. Among them, only star-core core-satellite NPs show single-particle SECARS signals, which were affected by laser polarization, two-photon luminescence background, photoinduced heating effects, particle size, and particle morphology. The influence of NP properties on SECARS enhancement offers guidance for the design and synthesis of NPs for single-particle SECARS and opportunities in biological imaging and chemical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穿过混沌的导波：目标模式传输的通用界限</w:t>
      </w:r>
    </w:p>
    <w:p>
      <w:r>
        <w:rPr>
          <w:rFonts w:ascii="Times New Roman" w:hAnsi="Times New Roman" w:eastAsia="宋体"/>
          <w:b/>
          <w:color w:val="003264"/>
          <w:sz w:val="24"/>
        </w:rPr>
        <w:t>Guiding waves through chaos: Universal bounds for targeted mode transport</w:t>
      </w:r>
    </w:p>
    <w:p>
      <w:r>
        <w:rPr>
          <w:rFonts w:ascii="Times New Roman" w:hAnsi="Times New Roman" w:eastAsia="宋体"/>
          <w:sz w:val="21"/>
        </w:rPr>
        <w:t>作者: Cheng-Zhen Wang, John Guillamon, Ulrich Kuhl, Matthieu Davy, Mattis Reisner, Arthur Goetschy, Tsampikos Kottos</w:t>
        <w:br/>
      </w:r>
      <w:r>
        <w:rPr>
          <w:rFonts w:ascii="Times New Roman" w:hAnsi="Times New Roman" w:eastAsia="宋体"/>
          <w:sz w:val="21"/>
        </w:rPr>
        <w:t xml:space="preserve">时间: 2026-01-30 | </w:t>
      </w:r>
      <w:r>
        <w:t xml:space="preserve">链接: </w:t>
      </w:r>
      <w:hyperlink r:id="rId173">
        <w:r>
          <w:rPr>
            <w:rFonts w:ascii="Times New Roman" w:hAnsi="Times New Roman" w:eastAsia="宋体"/>
            <w:color w:val="0000FF"/>
            <w:sz w:val="21"/>
            <w:u w:val="single"/>
          </w:rPr>
          <w:t>https://doi.org/10.1126/sciadv.aeb1158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复杂环境中的波传播是无线通信、成像和声学领域的一个核心挑战，其中多重散射和干扰掩盖了直接传输路径。相干波前整形可以实现精确的能量传输，但通常需要对介质有充分的了解。在这里，我们引入了一种针对目标模式传输（TMT）的通用统计框架，该框架规避了这一限制，并在包括微波网络、二维混沌腔和三维混响室在内的各种平台上对其进行了验证。 TMT 量化了多模波混沌系统中指定输入和输出通道之间能量传输的效率。我们开发了一种图解理论，可以预测 TMT 算子的特征值分布，并识别控制性能的宏观参数（耦合强度、吸收和通道控制）。该理论为最佳 TMT 波前提供了明确的界限，并捕获了统计传输间隙和无反射状态等现象。这些发现确立了复杂环境中能量传输和信息传输的设计原则，对自适应信号处理和基于波的技术具有广泛的影响。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Controlling wave propagation in complex environments is a central challenge across wireless communications, imaging, and acoustics, where multiple scattering and interference obscure direct transmission paths. Coherent wavefront shaping enables precise energy delivery but typically requires full knowledge of the medium. Here, we introduce a universal statistical framework for targeted mode transport (TMT) that circumvents this limitation and validate it on various platforms including microwave networks, two-dimensional chaotic cavities, and three-dimensional reverberation chambers. TMT quantifies the efficiency of transferring energy between specified input and output channels in multimode wave-chaotic systems. We develop a diagrammatic theory that predicts the eigenvalue distribution of the TMT operator and identifies the macroscopic parameters—coupling strength, absorption, and channel control—that govern performance. The theory provides explicit bounds for optimal TMT wavefronts and captures phenomena like statistical transmission gaps and reflectionless states. These findings establish design principles for energy delivery and information transfer in complex environments, with broad implications for adaptive signal processing and wave-based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原位锚定 MXene 上的 2D 六角形 Zn-MOF 以实现坚固的无阳极 5 V 级锂金属电池</w:t>
      </w:r>
    </w:p>
    <w:p>
      <w:r>
        <w:rPr>
          <w:rFonts w:ascii="Times New Roman" w:hAnsi="Times New Roman" w:eastAsia="宋体"/>
          <w:b/>
          <w:color w:val="003264"/>
          <w:sz w:val="24"/>
        </w:rPr>
        <w:t>In situ anchoring 2D hexagonal Zn-MOF on MXene toward robust anode-less 5 V–class Li metal batteries</w:t>
      </w:r>
    </w:p>
    <w:p>
      <w:r>
        <w:rPr>
          <w:rFonts w:ascii="Times New Roman" w:hAnsi="Times New Roman" w:eastAsia="宋体"/>
          <w:sz w:val="21"/>
        </w:rPr>
        <w:t>作者: Yuan Tian, Zhihao Pei, Deyan Luan, Xiong Wen (David) Lou</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https://doi.org/10.1126/sciadv.aeb1378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无阳极 5 V 级锂金属电池 (LMB) 有望实现高能量密度和安全性，但在实践中，面临着严峻的挑战，包括枝晶生长、界面不稳定、与“死”锂积累相关的粉化，以及使用重铜集流体导致的能量密度妥协。在这里，我们展示了锚定在导电碳化钛 (Ti 3 C 2 T x ) MXene 片 (MX/2D-Zn-MOF) 上的二维六方含锌金属有机框架的精心设计，作为无阳极 5 V 级 LMB 的三维轻质主体。丰富的氮/氟/富锌亲锂位点有效降低锂成核能垒，确保均匀的锂沉积，并稳定固体电解质界面。互连的三维框架通过空间均匀化锂离子通量和降低局部电流密度进一步引导均匀的锂沉积，并提供足够的空间来减轻结构变化，从而提供结构完整性以防止粉化。因此，MX/2D-Zn-MOF主体表现出均匀的锂沉积、可逆的锂沉积和剥离行为以及稳定的循环性能（在1.0毫安/平方厘米和5.0毫安/平方厘米时约1800小时）。令人印象深刻的是，组装好的无阳极 5 V 级锂金属软包电池具有稳定的循环性能和高能量密度。</w:t>
      </w:r>
    </w:p>
    <w:p>
      <w:pPr>
        <w:spacing w:before="120"/>
      </w:pPr>
      <w:r>
        <w:rPr>
          <w:rFonts w:ascii="Times New Roman" w:hAnsi="Times New Roman" w:eastAsia="宋体"/>
          <w:b/>
          <w:sz w:val="21"/>
        </w:rPr>
        <w:t>English Abstract:</w:t>
      </w:r>
    </w:p>
    <w:p>
      <w:r>
        <w:rPr>
          <w:rFonts w:ascii="Times New Roman" w:hAnsi="Times New Roman" w:eastAsia="宋体"/>
          <w:sz w:val="21"/>
        </w:rPr>
        <w:t>Anode-less 5 V–class lithium metal batteries (LMBs) promise high energy density and safety yet, in practice, face critical challenges including dendrite growth, interfacial instability, pulverization associated with “dead” lithium accumulation, and energy density compromise from the use of heavy copper collector. Here, we demonstrate an elaborate design of two-dimensional hexagonal zinc-containing metal-organic framework anchored on conductive titanium carbide (Ti 3 C 2 T x ) MXene sheets (MX/2D-Zn-MOF) as a three-dimensional lightweight host for anode-less 5 V–class LMBs. The abundant nitrogen/fluorine/zinc-rich lithiophilic sites effectively decrease lithium nucleation energy barriers, ensure uniform lithium deposition, and stabilize solid electrolyte interphase. The interconnected three-dimensional framework further guides uniform lithium deposition by spatially homogenizing lithium ion flux and reducing local current density as well as offers sufficient space to alleviate structural change, thus affording structural integrity against pulverization. As a result, the MX/2D-Zn-MOF host demonstrates uniform lithium deposition, reversible lithium plating and stripping behavior, and stable cycling performance (~1800 hours at 1.0 milliamperes per square centimeter and 5.0 milliampere hours per square centimeter). Impressively, the assembled anode-less 5 V–class lithium metal pouch cell delivers stable cycling performance and high energy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推进量子成像：多功能液晶实现电可调谐性</w:t>
      </w:r>
    </w:p>
    <w:p>
      <w:r>
        <w:rPr>
          <w:rFonts w:ascii="Times New Roman" w:hAnsi="Times New Roman" w:eastAsia="宋体"/>
          <w:b/>
          <w:color w:val="003264"/>
          <w:sz w:val="24"/>
        </w:rPr>
        <w:t>Advancing quantum imaging: Electrical tunability enabled by versatile liquid crystals</w:t>
      </w:r>
    </w:p>
    <w:p>
      <w:r>
        <w:rPr>
          <w:rFonts w:ascii="Times New Roman" w:hAnsi="Times New Roman" w:eastAsia="宋体"/>
          <w:sz w:val="21"/>
        </w:rPr>
        <w:t>作者: Dong Zhu, Shi-Hui Ding, Rui Sun, Zhi-Xiang Li, Wen Chen, Yi-Heng Zhang, Si-Jia Liu, Yi-Ming Wang, Fang-Tianyu Chen, Peng Chen, Yan-Qing Lu</w:t>
        <w:br/>
      </w:r>
      <w:r>
        <w:rPr>
          <w:rFonts w:ascii="Times New Roman" w:hAnsi="Times New Roman" w:eastAsia="宋体"/>
          <w:sz w:val="21"/>
        </w:rPr>
        <w:t xml:space="preserve">时间: 2026-01-30 | </w:t>
      </w:r>
      <w:r>
        <w:t xml:space="preserve">链接: </w:t>
      </w:r>
      <w:hyperlink r:id="rId175">
        <w:r>
          <w:rPr>
            <w:rFonts w:ascii="Times New Roman" w:hAnsi="Times New Roman" w:eastAsia="宋体"/>
            <w:color w:val="0000FF"/>
            <w:sz w:val="21"/>
            <w:u w:val="single"/>
          </w:rPr>
          <w:t>https://doi.org/10.1126/sciadv.adz8962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检测等光学图像处理技术在各种应用中表现出独特的优势。与预示的量子成像协同结合，它们在最小照明下识别光敏样品方面具有显着的潜力。然而，现有的方案通常缺乏动态控制量子成像功能的能力。在这里，我们引入了多功能液晶来实现单光子成像和电可调多模切换。基于双手性胆甾型液晶调制器，可以高信噪比提取目标的不同形貌信息，包括整个形状及其精细轮廓。向列液晶利用其电可调特性，探索选择预示单光子的特定偏振，从而实现三模量子成像中的动态远程切换。为了进一步提高时间效率，基于有吸引力的铁电液晶提出了超快速远程切换。这项工作为光子受限场景提供了独特的成像平台，并揭示了软物质在量子信息处理中前所未有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image processing techniques like edge detection demonstrate unique superiority in various applications. Synergistically combined with heralded quantum imaging, they have notable potential for identifying light-sensitive samples under minimal illumination. However, present schemes usually lack the capability to control the quantum imaging function dynamically. Here, we introduce versatile liquid crystals to realize heralded single-photon imaging and electrically tunable multimode switching. On the basis of the bichiral cholesteric liquid crystal modulator, different morphology information of the target can be extracted with a high signal-to-noise ratio, including the entire shape and its fine outline. The nematic liquid crystal, leveraging its electrically tunable properties, is explored to select specific polarizations of heralded single photons, enabling dynamic remote switching in trimode quantum imaging. To further improve the time efficiency, an ultrafast remote switching is presented on the basis of the appealing ferroelectric liquid crystals. This work supplies a unique imaging platform for photon-limited scenarios and reveals the unprecedented possibilities of soft matters in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用于休眠肿瘤细胞簇 MRI 检测的亲电工程磁传感器</w:t>
      </w:r>
    </w:p>
    <w:p>
      <w:r>
        <w:rPr>
          <w:rFonts w:ascii="Times New Roman" w:hAnsi="Times New Roman" w:eastAsia="宋体"/>
          <w:b/>
          <w:color w:val="003264"/>
          <w:sz w:val="24"/>
        </w:rPr>
        <w:t>An electrophilicity-engineered magnetic sensor for MRI detection of dormant tumor cell clusters</w:t>
      </w:r>
    </w:p>
    <w:p>
      <w:r>
        <w:rPr>
          <w:rFonts w:ascii="Times New Roman" w:hAnsi="Times New Roman" w:eastAsia="宋体"/>
          <w:sz w:val="21"/>
        </w:rPr>
        <w:t>作者: Zeyu Liang, Bo Zhang, Xun Liu, Lin Xiao, Shangzhi Xie, Hui Du, Qiyue Wang, Fangyuan Li, Daishun Ling</w:t>
        <w:br/>
      </w:r>
      <w:r>
        <w:rPr>
          <w:rFonts w:ascii="Times New Roman" w:hAnsi="Times New Roman" w:eastAsia="宋体"/>
          <w:sz w:val="21"/>
        </w:rPr>
        <w:t xml:space="preserve">时间: 2026-01-30 | </w:t>
      </w:r>
      <w:r>
        <w:t xml:space="preserve">链接: </w:t>
      </w:r>
      <w:hyperlink r:id="rId176">
        <w:r>
          <w:rPr>
            <w:rFonts w:ascii="Times New Roman" w:hAnsi="Times New Roman" w:eastAsia="宋体"/>
            <w:color w:val="0000FF"/>
            <w:sz w:val="21"/>
            <w:u w:val="single"/>
          </w:rPr>
          <w:t>https://doi.org/10.1126/sciadv.aea5236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在磁共振成像 (MRI) 中，顺磁性金属中心和水分子之间的直接偶极-偶极相互作用控制造影剂的 T 1 弛豫。具有多个不成对电子的金属螯合物长期以来一直主导着 MRI 造影剂。尽管理论上每个探针提供更多的顺磁中心，但基于纳米颗粒的造影剂由于与水的直接偶极相互作用不足而一直举步维艰，阻碍了其临床应用。在这里，我们提出了一种亲电工程磁传感器（EEMS），它利用高电负性金属原子来增强纳米传感器中顺磁中心的亲电性，从而实现与水的直接亲电催化偶极相互作用（ECD）以增强 MRI。 EEMS 表现出强大的 T 1 对比度，在 9 特斯拉时纵向弛豫率为 23.2 每毫摩尔每秒，可视化体内肿瘤细胞簇小至 68.5 微米。 ECD-MRI 可以检测并精确切除含有休眠肿瘤细胞簇的腋窝淋巴结，实现小鼠术后 100 天 100% 的存活率。 EEMS 增强的 ECD-MRI 提出了一种变革性成像原理，用于对以前无法检测到的生物实体进行无创可视化。</w:t>
      </w:r>
    </w:p>
    <w:p>
      <w:pPr>
        <w:spacing w:before="120"/>
      </w:pPr>
      <w:r>
        <w:rPr>
          <w:rFonts w:ascii="Times New Roman" w:hAnsi="Times New Roman" w:eastAsia="宋体"/>
          <w:b/>
          <w:sz w:val="21"/>
        </w:rPr>
        <w:t>English Abstract:</w:t>
      </w:r>
    </w:p>
    <w:p>
      <w:r>
        <w:rPr>
          <w:rFonts w:ascii="Times New Roman" w:hAnsi="Times New Roman" w:eastAsia="宋体"/>
          <w:sz w:val="21"/>
        </w:rPr>
        <w:t>In magnetic resonance imaging (MRI), direct dipole-dipole interactions between paramagnetic metal centers and water molecules govern the T 1 relaxation of contrast agents. Metal chelates featuring multiple unpaired electrons have long dominated MRI contrast agents. Despite theoretically offering more paramagnetic centers per probe, nanoparticle-based contrast agents have struggled because of the insufficient direct dipolar interactions with water, impeding their clinical adoption. Here, we present an electrophilicity-engineered magnetic sensor (EEMS), which leverages high-electronegativity metal atoms to enhance the electrophilicity of paramagnetic centers in nanosensors, enabling direct electrophilic catalytic dipolar interactions (ECD) with water for enhanced MRI. EEMS demonstrates robust T 1 contrast with a longitudinal relaxivity of 23.2 per millimolar per second at 9 tesla, visualizing tumor cell clusters as small as 68.5 micrometer in vivo. ECD-MRI allows detecting and precise resection of axillary lymph nodes containing dormant tumor cell clusters, achieving 100% survival in mice 100 days postsurgery. EEMS-enhanced ECD-MRI presents a transformative imaging principle for noninvasive visualization of previously undetectable biological 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粘连蛋白聚类修饰因子的遗传筛选确定了基因组折叠的调节因子</w:t>
      </w:r>
    </w:p>
    <w:p>
      <w:r>
        <w:rPr>
          <w:rFonts w:ascii="Times New Roman" w:hAnsi="Times New Roman" w:eastAsia="宋体"/>
          <w:b/>
          <w:color w:val="003264"/>
          <w:sz w:val="24"/>
        </w:rPr>
        <w:t>A genetic screen for modifiers of cohesin clustering identifies regulators of genome folding</w:t>
      </w:r>
    </w:p>
    <w:p>
      <w:r>
        <w:rPr>
          <w:rFonts w:ascii="Times New Roman" w:hAnsi="Times New Roman" w:eastAsia="宋体"/>
          <w:sz w:val="21"/>
        </w:rPr>
        <w:t>作者: Wonho Kim, Daniel S. Park, Son C. Nguyen, Rachel Yang, Eric F. Joyce, Rajan Jain</w:t>
        <w:br/>
      </w:r>
      <w:r>
        <w:rPr>
          <w:rFonts w:ascii="Times New Roman" w:hAnsi="Times New Roman" w:eastAsia="宋体"/>
          <w:sz w:val="21"/>
        </w:rPr>
        <w:t xml:space="preserve">时间: 2026-01-30 | </w:t>
      </w:r>
      <w:r>
        <w:t xml:space="preserve">链接: </w:t>
      </w:r>
      <w:hyperlink r:id="rId177">
        <w:r>
          <w:rPr>
            <w:rFonts w:ascii="Times New Roman" w:hAnsi="Times New Roman" w:eastAsia="宋体"/>
            <w:color w:val="0000FF"/>
            <w:sz w:val="21"/>
            <w:u w:val="single"/>
          </w:rPr>
          <w:t>https://doi.org/10.1126/sciadv.adx5130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粘连蛋白复合物通过多个步骤协调 3D 基因组结构，包括加载到染色质上、DNA 环挤出、挤出停止和从染色质上卸载。然而，调节这些步骤的上游监管因素在很大程度上仍未被探索。先前的研究表明，粘连蛋白聚类与其染色质停留时间和环挤出活性相关。在这里，我们开发、优化并进行了基于成像的遗传筛选，利用粘连蛋白聚类的调节来识别粘连蛋白调节剂。使用粘连蛋白卸载器 WAPL 部分降解的敏化背景，我们筛选了可成药基因组对粘连蛋白聚类的影响。通过多轮筛选和实验，我们鉴定了7个粘连蛋白聚类的增强子和10个抑制子。有几个因素控制多个基因座的基因组折叠和粘连蛋白负载。值得注意的是，我们的筛选确定了线粒体功能和表观遗传沉默的因素，表明这些过程与粘连蛋白活性的调节有关。这项研究提供了识别粘连蛋白调节因子的宝贵资源，并提供了对控制基因组折叠的上游机制的见解。</w:t>
      </w:r>
    </w:p>
    <w:p>
      <w:pPr>
        <w:spacing w:before="120"/>
      </w:pPr>
      <w:r>
        <w:rPr>
          <w:rFonts w:ascii="Times New Roman" w:hAnsi="Times New Roman" w:eastAsia="宋体"/>
          <w:b/>
          <w:sz w:val="21"/>
        </w:rPr>
        <w:t>English Abstract:</w:t>
      </w:r>
    </w:p>
    <w:p>
      <w:r>
        <w:rPr>
          <w:rFonts w:ascii="Times New Roman" w:hAnsi="Times New Roman" w:eastAsia="宋体"/>
          <w:sz w:val="21"/>
        </w:rPr>
        <w:t>The cohesin complex orchestrates 3D genome architecture through multiple steps including loading onto chromatin, DNA loop extrusion, stalling of extrusion, and unloading off chromatin. However, the upstream regulatory factors modulating these steps remain largely unexplored. Previous studies suggest that cohesin clustering correlates with its chromatin residence time and loop extrusion activity. Here, we developed, optimized, and performed an imaging-based genetic screen leveraging modulation of cohesin clustering to identify cohesin regulators. Using a sensitized background in which the cohesin unloader WAPL is partially degraded, we screened the druggable genome for effects on cohesin clustering. Through multiple rounds of screening and experimentation, we identified 7 enhancers and 10 suppressors of cohesin clustering. Several factors control genome folding at multiple loci and cohesin loading. Notably, our screen identified factors in mitochondrial function and epigenetic silencing, implicating these processes in the regulation of cohesin activity. This study offers a valuable resource identifying cohesin regulators and provides insights into upstream mechanisms governing genome folding.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微藻中 β-1,3-葡聚糖诱导集体行为</w:t>
      </w:r>
    </w:p>
    <w:p>
      <w:r>
        <w:rPr>
          <w:rFonts w:ascii="Times New Roman" w:hAnsi="Times New Roman" w:eastAsia="宋体"/>
          <w:b/>
          <w:color w:val="003264"/>
          <w:sz w:val="24"/>
        </w:rPr>
        <w:t>Induction of collective behavior by β-1,3-glucans in microalgae</w:t>
      </w:r>
    </w:p>
    <w:p>
      <w:r>
        <w:rPr>
          <w:rFonts w:ascii="Times New Roman" w:hAnsi="Times New Roman" w:eastAsia="宋体"/>
          <w:sz w:val="21"/>
        </w:rPr>
        <w:t>作者: Lou Lambert, Richard G. Dorrell, Antoine Danon</w:t>
        <w:br/>
      </w:r>
      <w:r>
        <w:rPr>
          <w:rFonts w:ascii="Times New Roman" w:hAnsi="Times New Roman" w:eastAsia="宋体"/>
          <w:sz w:val="21"/>
        </w:rPr>
        <w:t xml:space="preserve">时间: 2026-01-30 | </w:t>
      </w:r>
      <w:r>
        <w:t xml:space="preserve">链接: </w:t>
      </w:r>
      <w:hyperlink r:id="rId178">
        <w:r>
          <w:rPr>
            <w:rFonts w:ascii="Times New Roman" w:hAnsi="Times New Roman" w:eastAsia="宋体"/>
            <w:color w:val="0000FF"/>
            <w:sz w:val="21"/>
            <w:u w:val="single"/>
          </w:rPr>
          <w:t>https://doi.org/10.1126/sciadv.aea5313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β-1,3-葡聚糖是多方面的分子，在水生生态系统中发挥着关键作用，它们储存大气中的CO 2 ，​​并且在人类健康中发挥着关键作用，它们有助于对抗病原体并具有抗癌特性。到目前为止，藻类中的 β-1,3-葡聚糖除了储存糖分之外没有其他作用。我们在此表明​​，在莱茵衣藻中，β-1,3-葡聚糖控制聚集，这是一种应对压力的集体行为。我们已经确定了在聚集过程中专门参与 β-1,3-葡聚糖合成和降解的酶。 β-1,3-葡聚糖诱导聚集的转录组揭示了该激发子的早期效应。比较基因组分析使我们能够设想 β-1,3-葡聚糖在团藻目向多细胞性转变中的潜在作用。 β-1,3-葡聚糖在单细胞模式生物衣藻的应激反应中的功能的发现揭示了它们的作用模式。考虑到它们在对抗植物和动物中的病原真菌方面的潜在作用，这一点尤其重要。</w:t>
      </w:r>
    </w:p>
    <w:p>
      <w:pPr>
        <w:spacing w:before="120"/>
      </w:pPr>
      <w:r>
        <w:rPr>
          <w:rFonts w:ascii="Times New Roman" w:hAnsi="Times New Roman" w:eastAsia="宋体"/>
          <w:b/>
          <w:sz w:val="21"/>
        </w:rPr>
        <w:t>English Abstract:</w:t>
      </w:r>
    </w:p>
    <w:p>
      <w:r>
        <w:rPr>
          <w:rFonts w:ascii="Times New Roman" w:hAnsi="Times New Roman" w:eastAsia="宋体"/>
          <w:sz w:val="21"/>
        </w:rPr>
        <w:t>β-1,3-glucans are multifaceted molecules, playing a key role in aquatic ecosystems where they store atmospheric CO 2 , as well as in human health, where they help fight pathogens and have anticancer properties. Until now, no role other than sugar storage had been attributed to β-1,3-glucans in algae. We show here that in Chlamydomonas reinhardtii , β-1,3-glucans control aggregation, a collective behavior in response to stress. We have identified the enzymes specifically involved in β-1,3-glucan synthesis and degradation during aggregation. The transcriptome of β-1,3-glucan–induced aggregation revealed an early effect of this elicitor. A comparative genomic analysis allowed us to envisage a potential role for β-1,3-glucans in the transition to multicellularity in Volvocales. The finding of the function of β-1,3-glucans in the stress response of the unicellular model organism Chlamydomonas sheds light into their mode of action. This is particularly relevant given their potential roles combatting pathogenic fungi in plants and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使用生成扩散模型进行千米级对流模型仿真</w:t>
      </w:r>
    </w:p>
    <w:p>
      <w:r>
        <w:rPr>
          <w:rFonts w:ascii="Times New Roman" w:hAnsi="Times New Roman" w:eastAsia="宋体"/>
          <w:b/>
          <w:color w:val="003264"/>
          <w:sz w:val="24"/>
        </w:rPr>
        <w:t>Kilometer-scale convection-allowing model emulation using generative diffusion modeling</w:t>
      </w:r>
    </w:p>
    <w:p>
      <w:r>
        <w:rPr>
          <w:rFonts w:ascii="Times New Roman" w:hAnsi="Times New Roman" w:eastAsia="宋体"/>
          <w:sz w:val="21"/>
        </w:rPr>
        <w:t>作者: Jaideep Pathak, Yair Cohen, Piyush Garg, Peter Harrington, Noah Brenowitz, Dale Durran, Morteza Mardani, Arash Vahdat, Shaoming Xu, Karthik Kashinath, Michael Pritchard</w:t>
        <w:br/>
      </w:r>
      <w:r>
        <w:rPr>
          <w:rFonts w:ascii="Times New Roman" w:hAnsi="Times New Roman" w:eastAsia="宋体"/>
          <w:sz w:val="21"/>
        </w:rPr>
        <w:t xml:space="preserve">时间: 2026-01-30 | </w:t>
      </w:r>
      <w:r>
        <w:t xml:space="preserve">链接: </w:t>
      </w:r>
      <w:hyperlink r:id="rId179">
        <w:r>
          <w:rPr>
            <w:rFonts w:ascii="Times New Roman" w:hAnsi="Times New Roman" w:eastAsia="宋体"/>
            <w:color w:val="0000FF"/>
            <w:sz w:val="21"/>
            <w:u w:val="single"/>
          </w:rPr>
          <w:t>https://doi.org/10.1126/sciadv.adv0423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暴规模对流模型（CAM）明确解析了大气中的对流动力学，以预测导致破坏性极端天气的雷暴和中尺度对流系统的演变。迄今为止，深度学习模型在这种公里级大气模拟方面尚未被证明是熟练的，尽管在较粗的分辨率上与最先进的全球中期天气预报具有竞争力。我们提出了一种名为 StormCast 的生成扩散模型，它模拟高分辨率快速刷新 (HRRR)——美国国家海洋和大气管理局最先进的 3 公里可操作 CAM。 StormCast 使用 1 小时的时间步长，以大气边界层的密集垂直分辨率，以 26 个天气变量为条件，以自回归方式预测 99 个公里级的状态变量。我们展示了成功学习的公里级动力学，包括复合雷达反射率的竞争性 1 至 6 小时预测技能以及物理上真实的对流星团演化、潮湿上升气流和冷池形态。这些结果为改进公里级区域机器学习天气预报和未来气候灾害动态降尺度提供了机会。</w:t>
      </w:r>
    </w:p>
    <w:p>
      <w:pPr>
        <w:spacing w:before="120"/>
      </w:pPr>
      <w:r>
        <w:rPr>
          <w:rFonts w:ascii="Times New Roman" w:hAnsi="Times New Roman" w:eastAsia="宋体"/>
          <w:b/>
          <w:sz w:val="21"/>
        </w:rPr>
        <w:t>English Abstract:</w:t>
      </w:r>
    </w:p>
    <w:p>
      <w:r>
        <w:rPr>
          <w:rFonts w:ascii="Times New Roman" w:hAnsi="Times New Roman" w:eastAsia="宋体"/>
          <w:sz w:val="21"/>
        </w:rPr>
        <w:t>Storm-scale convection-allowing models (CAMs) explicitly resolve convective dynamics within the atmosphere to predict the evolution of thunderstorms and mesoscale convective systems that result in damaging extreme weather. Deep learning models have, thus far, not proven skillful in this regime of kilometer-scale atmospheric simulation, despite being competitive at coarser resolutions with state-of-the-art global, medium-range weather forecasting. We present a generative diffusion model called StormCast, which emulates the High-Resolution Rapid Refresh (HRRR)—National Oceanic and Atmospheric Administration’s state-of-the-art 3-kilometer operational CAM. StormCast autoregressively predicts 99 state variables at the kilometer scale using a 1-hour time step, with dense vertical resolution in the atmospheric boundary layer, conditioned on 26 synoptic variables. We show successfully learned kilometer-scale dynamics including competitive 1- to 6-hour forecast skill for composite radar reflectivity alongside physically realistic convective cluster evolution, moist updrafts, and cold pool morphology. These results present opportunities for improving kilometer-scale regional ML weather prediction and future climate hazard dynamical downscaling.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C-H氧化非特异性过氧酶的计算合理设计</w:t>
      </w:r>
    </w:p>
    <w:p>
      <w:r>
        <w:rPr>
          <w:rFonts w:ascii="Times New Roman" w:hAnsi="Times New Roman" w:eastAsia="宋体"/>
          <w:b/>
          <w:color w:val="003264"/>
          <w:sz w:val="24"/>
        </w:rPr>
        <w:t>Computational rational design of unspecific peroxygenase for C-H oxidation</w:t>
      </w:r>
    </w:p>
    <w:p>
      <w:r>
        <w:rPr>
          <w:rFonts w:ascii="Times New Roman" w:hAnsi="Times New Roman" w:eastAsia="宋体"/>
          <w:sz w:val="21"/>
        </w:rPr>
        <w:t>作者: Ruichen Gao, Xiaodi Fu, Zonglin Li, Zhiyao Wang, Guanjian Li, Jun Ge, Frank Hollmann, Zhanfeng Wang, Wen-Yong Lou, Xiaoling Wu</w:t>
        <w:br/>
      </w:r>
      <w:r>
        <w:rPr>
          <w:rFonts w:ascii="Times New Roman" w:hAnsi="Times New Roman" w:eastAsia="宋体"/>
          <w:sz w:val="21"/>
        </w:rPr>
        <w:t xml:space="preserve">时间: 2026-01-30 | </w:t>
      </w:r>
      <w:r>
        <w:t xml:space="preserve">链接: </w:t>
      </w:r>
      <w:hyperlink r:id="rId180">
        <w:r>
          <w:rPr>
            <w:rFonts w:ascii="Times New Roman" w:hAnsi="Times New Roman" w:eastAsia="宋体"/>
            <w:color w:val="0000FF"/>
            <w:sz w:val="21"/>
            <w:u w:val="single"/>
          </w:rPr>
          <w:t>https://doi.org/10.1126/sciadv.aeb6329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理性设计已成为一种改造酶的革命性方法，具有定制的选择性和效率。在碳氢氧化这一合成化学的关键挑战中，非特异性过氧化酶（UPO）使用过氧化氢直接氧化未活化的碳氢键，但其实用性因活性低和选择性不完善而受到限制。通过计算理性设计，本研究系统地导航巨大的序列空间，识别增强UPO催化性能的突变，最终产生活性增强13倍和对映选择性&gt;99%的UPO变体，并揭示了残基Lys 165在活性和对映选择性中的主导作用。这项研究展示了计算策略如何克服进化限制，为合成化学提供高效的生物催化剂。</w:t>
      </w:r>
    </w:p>
    <w:p>
      <w:pPr>
        <w:spacing w:before="120"/>
      </w:pPr>
      <w:r>
        <w:rPr>
          <w:rFonts w:ascii="Times New Roman" w:hAnsi="Times New Roman" w:eastAsia="宋体"/>
          <w:b/>
          <w:sz w:val="21"/>
        </w:rPr>
        <w:t>English Abstract:</w:t>
      </w:r>
    </w:p>
    <w:p>
      <w:r>
        <w:rPr>
          <w:rFonts w:ascii="Times New Roman" w:hAnsi="Times New Roman" w:eastAsia="宋体"/>
          <w:sz w:val="21"/>
        </w:rPr>
        <w:t>Computational rational design has emerged as a transformative approach to engineer enzymes with tailored selectivity and efficiency. In the context of carbon-hydrogen oxidation, a key challenge in synthetic chemistry, unspecific peroxygenases (UPOs) directly oxidize unactivated carbon-hydrogen bonds using hydrogen peroxide, yet their utility is limited by low activity and imperfect selectivity. By computational rational design, this study systematically navigated vast sequence spaces to identify mutations that enhance catalytic performance of UPOs, lastly yielded UPO variants with 13-fold enhanced activity and &gt;99% enantioselectivity, and revealed the dominant role of residue Lys 165 in activity and enantioselectivity. This study shows how computational strategies overcome evolutionary constraints to deliver efficient biocatalysts for synthetic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 AQP11 的冷冻电镜结构揭示了具有大孔的三聚体结构</w:t>
      </w:r>
    </w:p>
    <w:p>
      <w:r>
        <w:rPr>
          <w:rFonts w:ascii="Times New Roman" w:hAnsi="Times New Roman" w:eastAsia="宋体"/>
          <w:b/>
          <w:color w:val="003264"/>
          <w:sz w:val="24"/>
        </w:rPr>
        <w:t>Cryo-EM structure of human AQP11 reveals a trimeric architecture with a large pore</w:t>
      </w:r>
    </w:p>
    <w:p>
      <w:r>
        <w:rPr>
          <w:rFonts w:ascii="Times New Roman" w:hAnsi="Times New Roman" w:eastAsia="宋体"/>
          <w:sz w:val="21"/>
        </w:rPr>
        <w:t>作者: Shota Suzuki, Akiko Kamegawa, Daisuke Kozai, Kouki Nishikawa, Katsumasa Irie, Yoshinori Fujiyoshi</w:t>
        <w:br/>
      </w:r>
      <w:r>
        <w:rPr>
          <w:rFonts w:ascii="Times New Roman" w:hAnsi="Times New Roman" w:eastAsia="宋体"/>
          <w:sz w:val="21"/>
        </w:rPr>
        <w:t xml:space="preserve">时间: 2026-01-30 | </w:t>
      </w:r>
      <w:r>
        <w:t xml:space="preserve">链接: </w:t>
      </w:r>
      <w:hyperlink r:id="rId181">
        <w:r>
          <w:rPr>
            <w:rFonts w:ascii="Times New Roman" w:hAnsi="Times New Roman" w:eastAsia="宋体"/>
            <w:color w:val="0000FF"/>
            <w:sz w:val="21"/>
            <w:u w:val="single"/>
          </w:rPr>
          <w:t>https://doi.org/10.1126/sciadv.aeb5769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Aquaporin-11 (AQP-11) 是一种内质网定位水通道，对于肾脏发育至关重要。其结构及其传输特性的分子基础仍然未知。我们在冷冻电子显微镜下以 2.3 Å 分辨率分析了人类 AQP11 结构，揭示了与其他已知四聚体 AQP 相比的三聚体结构，以及包含七个跨膜螺旋 (Hs) 的拓扑结构，其中包括一个额外的 N 端螺旋 (H0)。该通道孔比典型的 AQP 更宽、疏水性更强，并且具有围绕 Asn-Pro-Cys (NPC) 序列而不是典型的 Asn-Pro-Ala (NPA) 基序的独特结构。这些特征提供了水和其他小溶质可以渗透 AQP11 的结构框架。我们的研究结果为设计特定抑制剂来研究 AQP11 的生理功能提供了蓝图。</w:t>
      </w:r>
    </w:p>
    <w:p>
      <w:pPr>
        <w:spacing w:before="120"/>
      </w:pPr>
      <w:r>
        <w:rPr>
          <w:rFonts w:ascii="Times New Roman" w:hAnsi="Times New Roman" w:eastAsia="宋体"/>
          <w:b/>
          <w:sz w:val="21"/>
        </w:rPr>
        <w:t>English Abstract:</w:t>
      </w:r>
    </w:p>
    <w:p>
      <w:r>
        <w:rPr>
          <w:rFonts w:ascii="Times New Roman" w:hAnsi="Times New Roman" w:eastAsia="宋体"/>
          <w:sz w:val="21"/>
        </w:rPr>
        <w:t>Aquaporin-11 (AQP-11) is an endoplasmic reticulum-localized water channel essential for renal development. Its structure and the molecular basis of its transport properties remained unknown. We analyzed the human AQP11 structure under cryo–electron microscopy at 2.3 Å resolution, revealing a trimeric architecture compared with other known tetrameric AQPs and a topology comprising seven transmembrane helices (Hs), including an additional N-terminal helix (H0). The channel pore is broader and more hydrophobic than that of canonical AQPs, and features a unique structure surrounding an Asn-Pro-Cys (NPC) sequence instead of the typical Asn-Pro-Ala (NPA) motif. These features provide a structural framework through which water and other small solutes can permeate AQP11. Our findings provide a blueprint for designing specific inhibitors to investigate the physiologic functions of AQP11.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通过移码合成的牛樟芝半乳甘露聚糖文库揭示了有效的免疫调节八糖结构域</w:t>
      </w:r>
    </w:p>
    <w:p>
      <w:r>
        <w:rPr>
          <w:rFonts w:ascii="Times New Roman" w:hAnsi="Times New Roman" w:eastAsia="宋体"/>
          <w:b/>
          <w:color w:val="003264"/>
          <w:sz w:val="24"/>
        </w:rPr>
        <w:t>A synthetic Antrodia cinnamomea galactomannan library by frameshift unveils a potent immunoregulatory octasaccharide domain</w:t>
      </w:r>
    </w:p>
    <w:p>
      <w:r>
        <w:rPr>
          <w:rFonts w:ascii="Times New Roman" w:hAnsi="Times New Roman" w:eastAsia="宋体"/>
          <w:sz w:val="21"/>
        </w:rPr>
        <w:t>作者: Qishuai Li, Xiao-Lin Zhang, Ran Liu, Peng Wang, Hongzhi Cao, Allan Wee Ren Ng, Yuan Qiao, Han Ding, Xue-Wei Liu, Ming Li</w:t>
        <w:br/>
      </w:r>
      <w:r>
        <w:rPr>
          <w:rFonts w:ascii="Times New Roman" w:hAnsi="Times New Roman" w:eastAsia="宋体"/>
          <w:sz w:val="21"/>
        </w:rPr>
        <w:t xml:space="preserve">时间: 2026-01-30 | </w:t>
      </w:r>
      <w:r>
        <w:t xml:space="preserve">链接: </w:t>
      </w:r>
      <w:hyperlink r:id="rId182">
        <w:r>
          <w:rPr>
            <w:rFonts w:ascii="Times New Roman" w:hAnsi="Times New Roman" w:eastAsia="宋体"/>
            <w:color w:val="0000FF"/>
            <w:sz w:val="21"/>
            <w:u w:val="single"/>
          </w:rPr>
          <w:t>https://doi.org/10.1126/sciadv.aec5309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我们报告了牛樟芝半乳甘露聚糖文库的设计、合成和免疫学评估，该文库由 11 种寡糖组成，链长范围为 4 至 24 个糖。这些低聚糖保持一致的 75% 甘露糖和 25% 半乳糖组成，反映了天然半乳甘露聚糖的关键结构特征。值得注意的是，该文库包含五种四糖和四种八糖，展示了肉桂半乳甘露聚糖所有可能的移码模式，为构效关系研究探索连接模式和域效应的作用提供了有价值的材料。该文库的合成是通过高效的立体选择性 α-半乳糖基化方法实现的。免疫学评估表明，八糖4及其两个亚基四糖7和10表现出有效的免疫调节活性，表现出显着的域效应。初步机制研究表明，这些寡糖通过抑制丝裂原激活蛋白激酶信号通路发挥作用。此外，八糖4独特地减弱了核因子κB通路，突出了其化合物特异性机制并展示了1 + 1 &gt; 2效应。</w:t>
      </w:r>
    </w:p>
    <w:p>
      <w:pPr>
        <w:spacing w:before="120"/>
      </w:pPr>
      <w:r>
        <w:rPr>
          <w:rFonts w:ascii="Times New Roman" w:hAnsi="Times New Roman" w:eastAsia="宋体"/>
          <w:b/>
          <w:sz w:val="21"/>
        </w:rPr>
        <w:t>English Abstract:</w:t>
      </w:r>
    </w:p>
    <w:p>
      <w:r>
        <w:rPr>
          <w:rFonts w:ascii="Times New Roman" w:hAnsi="Times New Roman" w:eastAsia="宋体"/>
          <w:sz w:val="21"/>
        </w:rPr>
        <w:t>We report the design, synthesis, and immunological evaluation of an Antrodia cinnamomea galactomannan library consisting of 11 oligosaccharides, with chain lengths ranging from 4 to 24 sugars. These oligosaccharides maintain a consistent composition of 75% mannose and 25% galactose, mirroring the key structural features of natural galactomannan. Notably, the library includes five tetrasaccharides and four octasaccharides, exhibiting all possible frameshift patterns of A. cinnamomea galactomannan, offering valuable materials for structure-activity relationship studies to explore the role of linking modes and domain effect. The synthesis of this library was achieved through a highly effective stereoselective α-galactosylation approach. Immunological evaluations revealed that octasaccharide 4 and its two subunit tetrasaccharides 7 and 10 exhibited potent immunoregulatory activities, demonstrating a notable domain effect. Preliminary mechanistic studies unveiled that these oligosaccharides exert their effects by suppressing mitogen-activated protein kinase signaling pathway. In addition, octasaccharide 4 uniquely attenuated nuclear factor κB pathway, highlighting its compound-specific mechanism and demonstrating a 1 + 1 &gt; 2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通过相干能量重新分配实现量子态复兴</w:t>
      </w:r>
    </w:p>
    <w:p>
      <w:r>
        <w:rPr>
          <w:rFonts w:ascii="Times New Roman" w:hAnsi="Times New Roman" w:eastAsia="宋体"/>
          <w:b/>
          <w:color w:val="003264"/>
          <w:sz w:val="24"/>
        </w:rPr>
        <w:t>Quantum state revival via coherent energy redistribution</w:t>
      </w:r>
    </w:p>
    <w:p>
      <w:r>
        <w:rPr>
          <w:rFonts w:ascii="Times New Roman" w:hAnsi="Times New Roman" w:eastAsia="宋体"/>
          <w:sz w:val="21"/>
        </w:rPr>
        <w:t>作者: Benjamin Crockett, Nicola Montaut, James van Howe, Piotr Roztocki, Yang Liu, Robin Helsten, Wei Zhao, Roberto Morandotti, José Azaña</w:t>
        <w:br/>
      </w:r>
      <w:r>
        <w:rPr>
          <w:rFonts w:ascii="Times New Roman" w:hAnsi="Times New Roman" w:eastAsia="宋体"/>
          <w:sz w:val="21"/>
        </w:rPr>
        <w:t xml:space="preserve">时间: 2026-01-30 | </w:t>
      </w:r>
      <w:r>
        <w:t xml:space="preserve">链接: </w:t>
      </w:r>
      <w:hyperlink r:id="rId183">
        <w:r>
          <w:rPr>
            <w:rFonts w:ascii="Times New Roman" w:hAnsi="Times New Roman" w:eastAsia="宋体"/>
            <w:color w:val="0000FF"/>
            <w:sz w:val="21"/>
            <w:u w:val="single"/>
          </w:rPr>
          <w:t>https://doi.org/10.1126/sciadv.ady8981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度处理和检测量子态对于在许多应用中实现量子优势至关重要。然而，众所周知，这些状态是脆弱的，因为它们对损耗敏感、无法被放大以及对退相干的敏感性。这使得它们比传统信号更容易受到噪声的影响，从而限制了它们的实验室外部署。我们演示了量子相干能量重新分布，它不仅可以恢复隐藏在噪声中的纠缠态，还可以改善其特性，从而朝着具有更好可部署性的抗噪声架构迈进。使用标准电信基础设施，我们显示时间仓纠缠光子对的巧合与巧合比率增加了一个数量级。此外，我们通过对被噪声破坏的量子位进行量子态断层扫描测量来恢复量子干涉可见性和保真度，从而证明了丢失纠缠的恢复。</w:t>
      </w:r>
    </w:p>
    <w:p>
      <w:pPr>
        <w:spacing w:before="120"/>
      </w:pPr>
      <w:r>
        <w:rPr>
          <w:rFonts w:ascii="Times New Roman" w:hAnsi="Times New Roman" w:eastAsia="宋体"/>
          <w:b/>
          <w:sz w:val="21"/>
        </w:rPr>
        <w:t>English Abstract:</w:t>
      </w:r>
    </w:p>
    <w:p>
      <w:r>
        <w:rPr>
          <w:rFonts w:ascii="Times New Roman" w:hAnsi="Times New Roman" w:eastAsia="宋体"/>
          <w:sz w:val="21"/>
        </w:rPr>
        <w:t>Processing and detecting quantum states with high fidelity are essential for enabling quantum advantages across many applications. However, these states are known to be fragile because of their sensitivity to losses, their inability to be amplified, and their susceptibility to decoherence. This makes them far more vulnerable to noise than classical signals, limiting their out-of-lab deployment. We demonstrate quantum coherent energy redistribution, which not only recovers entangled states buried in noise but also improves their properties, moving toward noise-robust architectures with better deployability. Using standard telecommunications infrastructure, we show an order of magnitude increase in the coincidence-to-accidental ratio for time-bin entangled photon pairs. Furthermore, we demonstrate the revival of lost entanglement by recovering quantum interference visibility and fidelity from quantum state tomography measurements of qubits corrupted by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COVID-19 大流行后癫痫发作恶化的颞叶癫痫患者的神经免疫激活：[ 18 F]DPA-714 PET/MR 研究</w:t>
      </w:r>
    </w:p>
    <w:p>
      <w:r>
        <w:rPr>
          <w:rFonts w:ascii="Times New Roman" w:hAnsi="Times New Roman" w:eastAsia="宋体"/>
          <w:b/>
          <w:color w:val="003264"/>
          <w:sz w:val="24"/>
        </w:rPr>
        <w:t>Neuroimmune activation in temporal lobe epilepsy patients with worsening seizure following the COVID-19 pandemic: A [ 18 F]DPA-714 PET/MR study</w:t>
      </w:r>
    </w:p>
    <w:p>
      <w:r>
        <w:rPr>
          <w:rFonts w:ascii="Times New Roman" w:hAnsi="Times New Roman" w:eastAsia="宋体"/>
          <w:sz w:val="21"/>
        </w:rPr>
        <w:t>作者: Ling Xiao, Li Qin, Tao Jiang, Ming Qu, Manliu Hou, Yongxiang Tang, Shuo Hu, Li Feng</w:t>
        <w:br/>
      </w:r>
      <w:r>
        <w:rPr>
          <w:rFonts w:ascii="Times New Roman" w:hAnsi="Times New Roman" w:eastAsia="宋体"/>
          <w:sz w:val="21"/>
        </w:rPr>
        <w:t xml:space="preserve">时间: 2026-01-30 | </w:t>
      </w:r>
      <w:r>
        <w:t xml:space="preserve">链接: </w:t>
      </w:r>
      <w:hyperlink r:id="rId184">
        <w:r>
          <w:rPr>
            <w:rFonts w:ascii="Times New Roman" w:hAnsi="Times New Roman" w:eastAsia="宋体"/>
            <w:color w:val="0000FF"/>
            <w:sz w:val="21"/>
            <w:u w:val="single"/>
          </w:rPr>
          <w:t>https://doi.org/10.1126/sciadv.adu5874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颞叶癫痫 (TLE) 患者在 COVID-19 后经常会出现癫痫恶化的情况，称为 COVID-19 后活动性 TLE。虽然怀疑这些患者存在神经炎症变化，但大脑中枢和全身炎症的测量仍有待探索。我们研究了易位蛋白标准化摄取值比 (TSPO SUVr)（一种使用正电子发射断层扫描 (PET) 的神经炎症量化标志物）在 COVID-19 后活动性 TLE 患者的大脑中是否升高。此外，我们还检查了 TSPO SUVr 和炎症因子之间的相关性，以确定 COVID-19 后活动性癫痫的潜在外周血炎症预测因子。我们的研究强调了 COVID-19 后活动性 TLE 患者大脑中存在广泛的神经炎症，并且血浆中炎症细胞因子的水平升高。此外，白细胞介素-1β (IL-1β)、IL-10 和干扰素-γ (IFN-γ) 的血浆水平与神经免疫激活之间的强相关性表明，将血浆炎症因子与 TSPO PET 相结合，可以作为临床诊断、动态监测和评估 TLE 相关神经炎症免疫治疗效果的可靠方法。</w:t>
      </w:r>
    </w:p>
    <w:p>
      <w:pPr>
        <w:spacing w:before="120"/>
      </w:pPr>
      <w:r>
        <w:rPr>
          <w:rFonts w:ascii="Times New Roman" w:hAnsi="Times New Roman" w:eastAsia="宋体"/>
          <w:b/>
          <w:sz w:val="21"/>
        </w:rPr>
        <w:t>English Abstract:</w:t>
      </w:r>
    </w:p>
    <w:p>
      <w:r>
        <w:rPr>
          <w:rFonts w:ascii="Times New Roman" w:hAnsi="Times New Roman" w:eastAsia="宋体"/>
          <w:sz w:val="21"/>
        </w:rPr>
        <w:t>Patients with temporal lobe epilepsy (TLE) frequently experience worsening epilepsy following COVID-19, referred to as post–COVID-19 active TLE. While neuroinflammatory changes are suspected in these patients, measurements of both central and systemic inflammation in the brain remain unexplored. We investigate whether the translocator protein standardized uptake value ratio (TSPO SUVr), a quantifiable marker of neuroinflammation using positron emission tomography (PET), is elevated in the brains of patients with post–COVID-19 active TLE. In addition, we examine correlations between TSPO SUVr and inflammatory factors to identify potential peripheral blood inflammatory predictors of post–COVID-19 active epilepsy. Our study highlights the presence of widespread neuroinflammation in the brain and increased levels of inflammatory cytokines in the plasma of individuals with post–COVID-19 active TLE. Furthermore, strong correlations between plasma levels of interleukin-1β (IL-1β), IL-10, and interferon-γ (IFN-γ) and neuroimmune activation suggest the potential for integrating plasma inflammatory factors with TSPO PET as a dependable approach for clinical diagnosis, dynamic monitoring, and assessment of immune-based therapeutic efficacy in TLE-associated neuroinflammation.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12:41 ---</w:t>
      </w:r>
    </w:p>
    <w:p>
      <w:pPr>
        <w:pStyle w:val="Heading2"/>
      </w:pPr>
      <w:r/>
      <w:r>
        <w:rPr>
          <w:rFonts w:ascii="Times New Roman" w:hAnsi="Times New Roman" w:eastAsia="宋体"/>
          <w:b/>
          <w:color w:val="000000"/>
          <w:sz w:val="24"/>
        </w:rPr>
        <w:t>监测公众对不必要的地震预警警报的反应</w:t>
      </w:r>
    </w:p>
    <w:p>
      <w:r>
        <w:rPr>
          <w:rFonts w:ascii="Times New Roman" w:hAnsi="Times New Roman" w:eastAsia="宋体"/>
          <w:b/>
          <w:color w:val="003264"/>
          <w:sz w:val="24"/>
        </w:rPr>
        <w:t>Monitoring public reaction to an unnecessary earthquake early warning alert</w:t>
      </w:r>
    </w:p>
    <w:p>
      <w:r>
        <w:rPr>
          <w:rFonts w:ascii="Times New Roman" w:hAnsi="Times New Roman" w:eastAsia="宋体"/>
          <w:sz w:val="21"/>
        </w:rPr>
        <w:t>作者: Gony Yagoda-Biran, Ran N. Nof, Yonat Zwebner</w:t>
        <w:br/>
      </w:r>
      <w:r>
        <w:rPr>
          <w:rFonts w:ascii="Times New Roman" w:hAnsi="Times New Roman" w:eastAsia="宋体"/>
          <w:sz w:val="21"/>
        </w:rPr>
        <w:t xml:space="preserve">时间: 2026-02-03 | </w:t>
      </w:r>
      <w:r>
        <w:t xml:space="preserve">链接: </w:t>
      </w:r>
      <w:hyperlink r:id="rId185">
        <w:r>
          <w:rPr>
            <w:rFonts w:ascii="Times New Roman" w:hAnsi="Times New Roman" w:eastAsia="宋体"/>
            <w:color w:val="0000FF"/>
            <w:sz w:val="21"/>
            <w:u w:val="single"/>
          </w:rPr>
          <w:t>https://doi.org/10.1038/s41598-026-37958-1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虚假或不必要的地震预警 (EEW) 警报可能会损害公众信任，可能导致警报疲劳或脱离，这是政策制定者最关心的问题。尽管虚假警报本质上是不可预测的，但 2024 年 10 月 26 日出现了一个难得的研究机会，当时以色列 EEW 系统将一场计划中的军事爆炸错误地归类为 5.2 级地震，向超过 100 万人发出警报。这是以色列有史以来第一次公共电子预警警报，发生在战时，此前一年几乎每天都有导弹警报。活动结束后不久进行了一项预先登记的调查（N = 1,043）。由于警报的地理范围有限，该事件提供了一个准实验机会来比较收到警报和未收到警报的人之间的态度。结果显示，公众在很大程度上仍然有动力遵循电子预警预警指南，并且对错误警报有相当大的容忍度。然而，对虚假电子战警报的容忍度明显低于虚假导弹警报，这表明公众对地震威胁和安全威胁的看法不同。尽管存在虚假警报和长时间接触警报，但公众对接收警告的支持仍然很强，即使是对于非破坏性的、有感的事件。这些发现凸显了公众信任的弹性，并为设计有效的警报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False or unnecessary Earthquake Early Warning (EEW) alerts risk undermining public trust, potentially leading to alert fatigue or disengagement, a critical concern for policymakers. Although false alerts are inherently unpredictable, a rare opportunity to study one arose on October 26, 2024, when a planned military explosion was mistakenly classified as a magnitude 5.2 earthquake by the Israeli EEW system, triggering alerts to over one million people. This was the first-ever public EEW alert in Israel and occurred during wartime, following a year of near-daily missile alerts. A preregistered survey (N = 1,043) was conducted shortly after this event. Because the alert was geographically limited, the incident offered a quasi-experimental opportunity to compare attitudes between those who received the alert and those who did not. Results showed that the public remained largely motivated to follow EEW guidance and had considerable tolerance for false alerts. However, tolerance was significantly lower for false EEW alerts than false missile alerts, indicating different public perceptions of seismic versus security threats. Despite the false alert and prolonged exposure to alerts, public support for receiving warning, even for non-damaging, felt events, remained strong. These findings highlight the resilience of public trust and offer insights for designing effective alert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意大利语的高级自然交互：LLaMAntino-3-ANITA</w:t>
      </w:r>
    </w:p>
    <w:p>
      <w:r>
        <w:rPr>
          <w:rFonts w:ascii="Times New Roman" w:hAnsi="Times New Roman" w:eastAsia="宋体"/>
          <w:b/>
          <w:color w:val="003264"/>
          <w:sz w:val="24"/>
        </w:rPr>
        <w:t>Advanced natural-based interaction for the ITAlian language: LLaMAntino-3-ANITA</w:t>
      </w:r>
    </w:p>
    <w:p>
      <w:r>
        <w:rPr>
          <w:rFonts w:ascii="Times New Roman" w:hAnsi="Times New Roman" w:eastAsia="宋体"/>
          <w:sz w:val="21"/>
        </w:rPr>
        <w:t>作者: Marco Polignano, Pierpaolo Basile, Giovanni Semeraro</w:t>
        <w:br/>
      </w:r>
      <w:r>
        <w:rPr>
          <w:rFonts w:ascii="Times New Roman" w:hAnsi="Times New Roman" w:eastAsia="宋体"/>
          <w:sz w:val="21"/>
        </w:rPr>
        <w:t xml:space="preserve">时间: 2026-02-03 | </w:t>
      </w:r>
      <w:r>
        <w:t xml:space="preserve">链接: </w:t>
      </w:r>
      <w:hyperlink r:id="rId186">
        <w:r>
          <w:rPr>
            <w:rFonts w:ascii="Times New Roman" w:hAnsi="Times New Roman" w:eastAsia="宋体"/>
            <w:color w:val="0000FF"/>
            <w:sz w:val="21"/>
            <w:u w:val="single"/>
          </w:rPr>
          <w:t>https://doi.org/10.1038/s41598-025-31319-0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 LLaMAntino-3-ANITA-8B-Inst-DPO-ITA，这是一种基于 Meta-AI LLaMA-3 模型系列、适用于意大利语的大型语言模型 (LLM)。首先使用监督微调（SFT）技术对英语数据集对原始 8B 参数指令调优模型进行微调，以增强其在指令任务上的基线性能。随后，应用直接偏好优化 (DPO) 流程来调整偏好、减少不安全响应并限制偏差。在最后阶段，该模型使用有限数量的高质量意大利语数据来适应意大利语。该方法结合了 QLoRA 的效率（用于微调原始模型权重的较小部分）和 DPO 来细化模型的输出，使模型适应意大利语语言结构，同时保持计算效率。对意大利语和英语语言的 Open LLM 基准的评估证实了该模型的有效性，在意大利 LLM 中实现了最先进的性能，在各种意大利语文本理解和问答任务上的平均准确度得分为 0.6160。该模型通过 HuggingFace 中心发布，并在 GitHub 存储库中提供了使用示例。</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LLaMAntino-3-ANITA-8B-Inst-DPO-ITA, a Large Language Model (LLM) adapted for the Italian language based on the Meta-AI LLaMA-3 model family. The original 8B parameter instruction-tuned model is first fine-tuned using the Supervised Fine-tuning (SFT) technique on English datasets to enhance its baseline performance on instruction tasks. Subsequently, a Direct Preference Optimization (DPO) process is applied to align preferences, mitigate unsafe responses, and limiting biases. In the final stage, the model is adapted to the Italian language using a limited amount of high quality Italian language data. This methodology combines the efficiency of QLoRA, for fine-tuning on a smaller portion of the original model weights, with DPO to refine the model’s output, adapting the model to the Italian linguistic structure while maintaining computational efficiency. Evaluation on Open LLM benchmarks for both Italian and English languages confirms the model’s effectiveness, achieving state- of-the-art performance among Italian LLMs with an average accuracy score of 0.6160 on various Italian text comprehension and question-answering tasks. The model is released via the HuggingFace hub, with usage examples available in the 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修正：使用深度学习从无人机图像中检测红树林幼苗进行恢复监测</w:t>
      </w:r>
    </w:p>
    <w:p>
      <w:r>
        <w:rPr>
          <w:rFonts w:ascii="Times New Roman" w:hAnsi="Times New Roman" w:eastAsia="宋体"/>
          <w:b/>
          <w:color w:val="003264"/>
          <w:sz w:val="24"/>
        </w:rPr>
        <w:t>Correction: Detecting mangrove seedlings from UAV imagery using deep learning for restoration monitoring</w:t>
      </w:r>
    </w:p>
    <w:p>
      <w:r>
        <w:rPr>
          <w:rFonts w:ascii="Times New Roman" w:hAnsi="Times New Roman" w:eastAsia="宋体"/>
          <w:sz w:val="21"/>
        </w:rPr>
        <w:t>作者: Yuri Shendryk, Maria P. Vilas</w:t>
        <w:br/>
      </w:r>
      <w:r>
        <w:rPr>
          <w:rFonts w:ascii="Times New Roman" w:hAnsi="Times New Roman" w:eastAsia="宋体"/>
          <w:sz w:val="21"/>
        </w:rPr>
        <w:t xml:space="preserve">时间: 2026-02-03 | </w:t>
      </w:r>
      <w:r>
        <w:t xml:space="preserve">链接: </w:t>
      </w:r>
      <w:hyperlink r:id="rId187">
        <w:r>
          <w:rPr>
            <w:rFonts w:ascii="Times New Roman" w:hAnsi="Times New Roman" w:eastAsia="宋体"/>
            <w:color w:val="0000FF"/>
            <w:sz w:val="21"/>
            <w:u w:val="single"/>
          </w:rPr>
          <w:t>https://doi.org/10.1038/s41598-026-37788-1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使用仿生机器人关节探索关节受体的本体感受潜力</w:t>
      </w:r>
    </w:p>
    <w:p>
      <w:r>
        <w:rPr>
          <w:rFonts w:ascii="Times New Roman" w:hAnsi="Times New Roman" w:eastAsia="宋体"/>
          <w:b/>
          <w:color w:val="003264"/>
          <w:sz w:val="24"/>
        </w:rPr>
        <w:t>Exploring the proprioceptive potential of joint receptors using a biomimetic robotic joint</w:t>
      </w:r>
    </w:p>
    <w:p>
      <w:r>
        <w:rPr>
          <w:rFonts w:ascii="Times New Roman" w:hAnsi="Times New Roman" w:eastAsia="宋体"/>
          <w:sz w:val="21"/>
        </w:rPr>
        <w:t>作者: Akihiro Miki, Shun Hasegawa, Sota Yuzaki, Yuta Sahara, Yoshimoto Ribayashi, Kento Kawaharazuka, Kei Okada</w:t>
        <w:br/>
      </w:r>
      <w:r>
        <w:rPr>
          <w:rFonts w:ascii="Times New Roman" w:hAnsi="Times New Roman" w:eastAsia="宋体"/>
          <w:sz w:val="21"/>
        </w:rPr>
        <w:t xml:space="preserve">时间: 2026-02-03 | </w:t>
      </w:r>
      <w:r>
        <w:t xml:space="preserve">链接: </w:t>
      </w:r>
      <w:hyperlink r:id="rId188">
        <w:r>
          <w:rPr>
            <w:rFonts w:ascii="Times New Roman" w:hAnsi="Times New Roman" w:eastAsia="宋体"/>
            <w:color w:val="0000FF"/>
            <w:sz w:val="21"/>
            <w:u w:val="single"/>
          </w:rPr>
          <w:t>https://doi.org/10.1038/s41598-025-27311-3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科学中，关节感受器传统上被视为极限探测器，仅在极端关节角度时提供位置信息，而肌梭被认为是关节角度位置的主要传感器。然而，关节受体广泛分布在整个关节囊中，它们在本体感觉中的完整作用仍不清楚。在这项研究中，我们特别关注模仿 I 型关节受体，这些受体对缓慢而持续的运动做出反应，并使用机器人技术开发的仿生关节量化了它们的本体感受潜力。结果表明，类 I 型关节感受器单独就能实现本体感觉感知，弯曲和扭转运动的平均误差小于 2 度。这些发现表明，关节受体在本体感觉中发挥的作用可能比之前认识的更大，并且在发育和进化过程中，肌梭和关节受体的相对贡献在神经网络中的权重不同。此外，这项工作可能会引发关于遗传性感觉和自主神经病 III 型患者的肘部和膝盖之间观察到的差异本体感觉缺陷的新讨论。总之，这些发现凸显了基于仿生学的机器人方法在推进神经科学、医学和机器人技术之间的跨学科研究方面的潜力。</w:t>
      </w:r>
    </w:p>
    <w:p>
      <w:pPr>
        <w:spacing w:before="120"/>
      </w:pPr>
      <w:r>
        <w:rPr>
          <w:rFonts w:ascii="Times New Roman" w:hAnsi="Times New Roman" w:eastAsia="宋体"/>
          <w:b/>
          <w:sz w:val="21"/>
        </w:rPr>
        <w:t>English Abstract:</w:t>
      </w:r>
    </w:p>
    <w:p>
      <w:r>
        <w:rPr>
          <w:rFonts w:ascii="Times New Roman" w:hAnsi="Times New Roman" w:eastAsia="宋体"/>
          <w:sz w:val="21"/>
        </w:rPr>
        <w:t>Abstract In neuroscience, joint receptors have traditionally been viewed as limit detectors, providing positional information only at extreme joint angles, while muscle spindles are considered the primary sensors of joint angle position. However, joint receptors are widely distributed throughout the joint capsule, and their full role in proprioception remains unclear. In this study, we specifically focused on mimicking Type I joint receptors, which respond to slow and sustained movements, and quantified their proprioceptive potential using a biomimetic joint developed with robotics technology. Results showed that Type I-like joint receptors alone enabled proprioceptive sensing with an average error of less than 2 degrees in both bending and twisting motions. These findings suggest that joint receptors may play a greater role in proprioception than previously recognized and that the relative contributions of muscle spindles and joint receptors are differentially weighted within neural networks during development and evolution. Furthermore, this work may prompt new discussions on the differential proprioceptive deficits observed between the elbows and knees in patients with hereditary sensory and autonomic neuropathy type III. Together, these findings highlight the potential of biomimetics-based robotic approaches for advancing interdisciplinary research bridging neuroscience, medicine, and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基于改进RT-DETR的胃肠息肉检测方法</w:t>
      </w:r>
    </w:p>
    <w:p>
      <w:r>
        <w:rPr>
          <w:rFonts w:ascii="Times New Roman" w:hAnsi="Times New Roman" w:eastAsia="宋体"/>
          <w:b/>
          <w:color w:val="003264"/>
          <w:sz w:val="24"/>
        </w:rPr>
        <w:t>Gastrointestinal polyp detection method based on the improved RT-DETR</w:t>
      </w:r>
    </w:p>
    <w:p>
      <w:r>
        <w:rPr>
          <w:rFonts w:ascii="Times New Roman" w:hAnsi="Times New Roman" w:eastAsia="宋体"/>
          <w:sz w:val="21"/>
        </w:rPr>
        <w:t>作者: Jiabin Du, Ziqiong He, Su Zhang, Gengqi Wu, Chen Liang</w:t>
        <w:br/>
      </w:r>
      <w:r>
        <w:rPr>
          <w:rFonts w:ascii="Times New Roman" w:hAnsi="Times New Roman" w:eastAsia="宋体"/>
          <w:sz w:val="21"/>
        </w:rPr>
        <w:t xml:space="preserve">时间: 2026-02-03 | </w:t>
      </w:r>
      <w:r>
        <w:t xml:space="preserve">链接: </w:t>
      </w:r>
      <w:hyperlink r:id="rId189">
        <w:r>
          <w:rPr>
            <w:rFonts w:ascii="Times New Roman" w:hAnsi="Times New Roman" w:eastAsia="宋体"/>
            <w:color w:val="0000FF"/>
            <w:sz w:val="21"/>
            <w:u w:val="single"/>
          </w:rPr>
          <w:t>https://doi.org/10.1038/s41598-026-38617-1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息肉是结直肠癌的潜在前兆，因此通过内窥镜进行准确检测成为有效筛查和监测策略的关键组成部分。然而，由于息肉形态、尺度不平衡和成像噪声的显着变化，自动检测仍然具有挑战性，这通常会导致现有方法的高漏检率。为了解决这些问题，我们提出了一种基于 RT-DETR-r18 架构的优化实时检测框架。我们的方法集成了三个战略增强功能来改进特征表示和注意机制。首先，我们介绍 DWRC3-DRB 模块，它利用残差和密集连接来稳健地融合浅层和深层特征。其次，为了减轻背景干扰，我们设计了EAAAFI模块；该组件支持具有线性复杂性的全局上下文建模，有效地关注信息区域。最后，我们结合了 ELA-HSFPN 模块，将有效的局部注意力与分层特征金字塔相结合，以促进自适应多尺度特征集成。对混合内窥镜数据集的系统实验表明，我们的方法显着优于基线和最先进的检测器。具体来说，与 RT-DETR-r18 相比，我们的方法将精度从 90.7% 提高到 94.8%，召回率从 84.0% 提高到 89.9%，mAP@0.5 从 92.2% 提高到 94.2%。至关重要的是，它在实现这一精度的同时保持了 188.6 FPS 的处理速度，完全满足实时视频处理所需的低延迟基准。</w:t>
      </w:r>
    </w:p>
    <w:p>
      <w:pPr>
        <w:spacing w:before="120"/>
      </w:pPr>
      <w:r>
        <w:rPr>
          <w:rFonts w:ascii="Times New Roman" w:hAnsi="Times New Roman" w:eastAsia="宋体"/>
          <w:b/>
          <w:sz w:val="21"/>
        </w:rPr>
        <w:t>English Abstract:</w:t>
      </w:r>
    </w:p>
    <w:p>
      <w:r>
        <w:rPr>
          <w:rFonts w:ascii="Times New Roman" w:hAnsi="Times New Roman" w:eastAsia="宋体"/>
          <w:sz w:val="21"/>
        </w:rPr>
        <w:t>Gastrointestinal polyps are potential precursors to colorectal cancer, making accurate detection via endoscopy a key component of effective screening and surveillance strategies. However, automated detection remains challenging due to significant variations in polyp morphology, scale imbalance, and imaging noise, which often lead to high miss rates in existing approaches. To address these issues, we propose an optimized real-time detection framework based on the RT-DETR-r18 architecture. Our method integrates three strategic enhancements to improve feature representation and attention mechanisms. First, we introduce the DWRC3-DRB module, which utilizes residual and dense connections to robustly fuse shallow and deep features. Second, to mitigate background interference, we design the EAAAIFI module; this component enables global context modeling with linear complexity, effectively focusing on informative regions. Finally, we incorporate the ELA-HSFPN module, combining efficient local attention with a hierarchical feature pyramid to facilitate adaptive multi-scale feature integration. Systematic experiments on a hybrid endoscopic dataset demonstrate that our approach significantly outperforms the baseline and state-of-the-art detectors. Specifically, compared to RT-DETR-r18, our method increases precision from 90.7% to 94.8%, recall from 84.0% to 89.9%, and mAP@0.5 from 92.2% to 94.2%. Crucially, it achieves this accuracy while maintaining a processing speed of 188.6 FPS, fully meeting the low-latency benchmarks required for real-time video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头像进行身体尺寸估计的功能性大脑图谱</w:t>
      </w:r>
    </w:p>
    <w:p>
      <w:r>
        <w:rPr>
          <w:rFonts w:ascii="Times New Roman" w:hAnsi="Times New Roman" w:eastAsia="宋体"/>
          <w:b/>
          <w:color w:val="003264"/>
          <w:sz w:val="24"/>
        </w:rPr>
        <w:t>Functional brain mapping of body size estimation using a 3D avatar</w:t>
      </w:r>
    </w:p>
    <w:p>
      <w:r>
        <w:rPr>
          <w:rFonts w:ascii="Times New Roman" w:hAnsi="Times New Roman" w:eastAsia="宋体"/>
          <w:sz w:val="21"/>
        </w:rPr>
        <w:t>作者: Hayden J. Peel, Joel P. Diaz-Fong, Sameena Karsan, Rajay Kumar, Gerhard Hellemann, Jamie D. Feusner</w:t>
        <w:br/>
      </w:r>
      <w:r>
        <w:rPr>
          <w:rFonts w:ascii="Times New Roman" w:hAnsi="Times New Roman" w:eastAsia="宋体"/>
          <w:sz w:val="21"/>
        </w:rPr>
        <w:t xml:space="preserve">时间: 2026-02-03 | </w:t>
      </w:r>
      <w:r>
        <w:t xml:space="preserve">链接: </w:t>
      </w:r>
      <w:hyperlink r:id="rId190">
        <w:r>
          <w:rPr>
            <w:rFonts w:ascii="Times New Roman" w:hAnsi="Times New Roman" w:eastAsia="宋体"/>
            <w:color w:val="0000FF"/>
            <w:sz w:val="21"/>
            <w:u w:val="single"/>
          </w:rPr>
          <w:t>https://doi.org/10.1038/s41598-026-38383-0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身体尺寸估计——判断自己身体大小和形状的能力——是身体形象的关键感知组成部分。然而，其神经基础以及个体间准确性差异的基础仍然知之甚少，部分原因是现有评估工具的局限性。我们使用了 Somatomap 3D 的适应功能磁共振兼容版本，这是一项交互式任务，参与者通过调整 26 个身体部位的大小和形状来操纵可旋转的 3D 化身，以匹配他们感知的身体。 28 名健康的男性和女性成年人在功能磁共振成像期间完成了这项任务。使用通用线性模型对先前身体处理研究中先验感兴趣区域的大脑活动进行建模，该模型结合了事件特定参数和与任务表现相关的参数调制器。使用身体部位估计误差的多维尺度来计算身体尺寸估计准确性的个体间差异，并且得分与来自感兴趣区域的 BOLD 信号特征变量相关。任务投入与假设的身体选择性和多感觉区域的显着激活相关，包括双侧纹状体区域、右侧梭状体区域、右顶上小叶和双侧前运动皮层。多维尺度确定了反映身体部位周长扭曲的主要子维度，这与双侧顶上小叶的神经反应显着相关。没有其他大脑区域与估计准确性的个体间差异存在显着关联。这些结果表明，身体尺寸估计涉及视觉、运动和顶叶区域的分布式网络。其中，只有顶上小叶显示出与身体部位周长的身体尺寸估计准确性的个体间差异显着相关，支持其作为精神疾病（例如饮食失调和身体变形障碍）中身体表征改变的候选神经基质的作用。</w:t>
      </w:r>
    </w:p>
    <w:p>
      <w:pPr>
        <w:spacing w:before="120"/>
      </w:pPr>
      <w:r>
        <w:rPr>
          <w:rFonts w:ascii="Times New Roman" w:hAnsi="Times New Roman" w:eastAsia="宋体"/>
          <w:b/>
          <w:sz w:val="21"/>
        </w:rPr>
        <w:t>English Abstract:</w:t>
      </w:r>
    </w:p>
    <w:p>
      <w:r>
        <w:rPr>
          <w:rFonts w:ascii="Times New Roman" w:hAnsi="Times New Roman" w:eastAsia="宋体"/>
          <w:sz w:val="21"/>
        </w:rPr>
        <w:t>Body size estimation—the ability to judge the size and shape of one’s own body—is a key perceptual component of body image. However, its neural basis, and the basis for inter-individual differences in accuracy, remain poorly understood, partly due to limitations in existing assessment tools. We used an adapted, fMRI-compatible version of Somatomap 3D, an interactive task in which participants manipulate a rotatable 3D avatar by adjusting the size and shape of 26 individual body parts to match their perceived body. Twenty-eight healthy male and female adults completed the task during fMRI. Brain activity in a priori regions of interest from previous studies of body processing was modeled using a general linear model incorporating event-specific parameters and parametric modulators related to task performance. Inter-individual differences in body size estimation accuracy were calculated using multidimensional scaling of body part estimation errors, and scores were correlated with BOLD signal eigenvariates from regions of interest. Task engagement was associated with significant activation in hypothesized body-selective and multisensory regions, including bilateral extrastriate body area, right fusiform body area, right superior parietal lobule, and bilateral premotor cortex. Multidimensional scaling identified a primary subdimension reflecting distortions in body part girths, which was significantly associated with neural responses in bilateral superior parietal lobule. No other brain regions showed significant associations with inter-individual differences in estimation accuracy. These results suggest that body size estimation engages a distributed network of visual, motor, and parietal regions. Among these, only the superior parietal lobule showed a significant association with inter-individual variation in body size estimation accuracy for body part girths, supporting its role as a candidate neural substrate for altered body representation in psychiatric conditions such as eating disorders and body dysmorphic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使用灰狼优化进行离线签名验证的混合机器学习框架</w:t>
      </w:r>
    </w:p>
    <w:p>
      <w:r>
        <w:rPr>
          <w:rFonts w:ascii="Times New Roman" w:hAnsi="Times New Roman" w:eastAsia="宋体"/>
          <w:b/>
          <w:color w:val="003264"/>
          <w:sz w:val="24"/>
        </w:rPr>
        <w:t>A hybrid machine learning framework for offline signature verification using gray wolf optimization</w:t>
      </w:r>
    </w:p>
    <w:p>
      <w:r>
        <w:rPr>
          <w:rFonts w:ascii="Times New Roman" w:hAnsi="Times New Roman" w:eastAsia="宋体"/>
          <w:sz w:val="21"/>
        </w:rPr>
        <w:t>作者: Nemi Chandra Rathore, Akshay Juneja, Neeraj Kumar, Vijay Kumar, Arvind Dhaka</w:t>
        <w:br/>
      </w:r>
      <w:r>
        <w:rPr>
          <w:rFonts w:ascii="Times New Roman" w:hAnsi="Times New Roman" w:eastAsia="宋体"/>
          <w:sz w:val="21"/>
        </w:rPr>
        <w:t xml:space="preserve">时间: 2026-02-03 | </w:t>
      </w:r>
      <w:r>
        <w:t xml:space="preserve">链接: </w:t>
      </w:r>
      <w:hyperlink r:id="rId191">
        <w:r>
          <w:rPr>
            <w:rFonts w:ascii="Times New Roman" w:hAnsi="Times New Roman" w:eastAsia="宋体"/>
            <w:color w:val="0000FF"/>
            <w:sz w:val="21"/>
            <w:u w:val="single"/>
          </w:rPr>
          <w:t>https://doi.org/10.1038/s41598-026-36163-4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写签名验证是行政、财务、法律等场景中经常使用的生物识别技术之一，用于验证个人身份。不幸的是，该任务的离线性质使其更具挑战性，因为它涉及签名内方差以及各种时间和环境因素。本文提出了一种新颖的离线签名验证系统（OSVS），称为 SignGuard。它是通过使用灰狼优化（GWO）进行预处理而设计的。此外，由于所提出的方法具有旋转敏感描述符，因此使用主方向对齐（POA）来减轻它们的旋转。接下来是两个具有新纹理特征的独立于作者的模型，即中心对称局部二进制模式（CS-LBP）和正交中心对称局部二进制模式（OC-CSLBP）。它们使用混合机器学习框架进行训练，集成支持向量机和 XGBoost 分类器，以离线模式验证签名图像。 SignGuard 的性能在 CEDAR、SID 和 BHSig260 数据集以及名为 DeepSignVault 的新颖数据集上得到利用，使得 OC-CSLBP 和 CS-LBP 的准确率分别达到 98.77% 和 97.46%。据观察，SignGuard 的性能优于现有的 OSVS。所提出的架构显示了商业、法律和管理系统中实际应用程序的增强的安全性和可靠性。 SignGuard的出色表现突显了法律文件和金融交易的真实性。</w:t>
      </w:r>
    </w:p>
    <w:p>
      <w:pPr>
        <w:spacing w:before="120"/>
      </w:pPr>
      <w:r>
        <w:rPr>
          <w:rFonts w:ascii="Times New Roman" w:hAnsi="Times New Roman" w:eastAsia="宋体"/>
          <w:b/>
          <w:sz w:val="21"/>
        </w:rPr>
        <w:t>English Abstract:</w:t>
      </w:r>
    </w:p>
    <w:p>
      <w:r>
        <w:rPr>
          <w:rFonts w:ascii="Times New Roman" w:hAnsi="Times New Roman" w:eastAsia="宋体"/>
          <w:sz w:val="21"/>
        </w:rPr>
        <w:t>Handwritten signature verification is one of the frequently used biometric in administrative, financial, legal, and similar scenarios to verify the identity of a person. Unfortunately, the offline nature of this task makes it more challenging as it involves intra-signature variance, and various temporal and environmental factors. This paper presents a novel offline signature verification system (OSVS) called SignGuard. It is designed by using Gray Wolf Optimization (GWO) for preprocessing. Also, Principal Orientation Alignment (POA) is used to mitigate their rotation as the proposed method has rotation sensitive descriptors. It is followed by two writer-independent models with new texture features namely, Centre Symmetric local binary pattern (CS-LBP) and Orthogonal Central Symmetric Local Binary Pattern (OC-CSLBP). They are trained using hybrid machine learning framework such that Support Vector Machine and XGBoost classifiers are integrated for the verification of a signature image in an offline mode. The performance of SignGuard is exploited on CEDAR, SID, and BHSig260 datasets, along with a novel dataset called DeepSignVault, such that OC-CSLBP and CS-LBP yields an accuracy of 98.77% and 97.46%, respectively. It is observed that SignGuard outperforms the existing OSVSs. The proposed architecture shows enhanced security and reliability for real-world applications in business, legal, and administrative systems. The outstanding performance of SignGuard highlights the authenticity of legal documents and financial transactions.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矢状旁与经椎间孔硬膜外类固醇注射硬膜外腔对比流量和临床结果的比较</w:t>
      </w:r>
    </w:p>
    <w:p>
      <w:r>
        <w:rPr>
          <w:rFonts w:ascii="Times New Roman" w:hAnsi="Times New Roman" w:eastAsia="宋体"/>
          <w:b/>
          <w:color w:val="003264"/>
          <w:sz w:val="24"/>
        </w:rPr>
        <w:t>Comparison of epidural space contrast flow and clinical outcomes in parasagittal versus transforaminal epidural steroid injection</w:t>
      </w:r>
    </w:p>
    <w:p>
      <w:r>
        <w:rPr>
          <w:rFonts w:ascii="Times New Roman" w:hAnsi="Times New Roman" w:eastAsia="宋体"/>
          <w:sz w:val="21"/>
        </w:rPr>
        <w:t>作者: Narges Khojasteh, Hossein Majedi, Ali Emami Meibodi, Alireza Khajehnasiri, Reza Atef Yekta, Nader Ali Nazemian Yazdi, Mojgan Rahimi, Sogol Alikarami, Koorosh Kamali, Hamed Abdollahi</w:t>
        <w:br/>
      </w:r>
      <w:r>
        <w:rPr>
          <w:rFonts w:ascii="Times New Roman" w:hAnsi="Times New Roman" w:eastAsia="宋体"/>
          <w:sz w:val="21"/>
        </w:rPr>
        <w:t xml:space="preserve">时间: 2026-02-03 | </w:t>
      </w:r>
      <w:r>
        <w:t xml:space="preserve">链接: </w:t>
      </w:r>
      <w:hyperlink r:id="rId192">
        <w:r>
          <w:rPr>
            <w:rFonts w:ascii="Times New Roman" w:hAnsi="Times New Roman" w:eastAsia="宋体"/>
            <w:color w:val="0000FF"/>
            <w:sz w:val="21"/>
            <w:u w:val="single"/>
          </w:rPr>
          <w:t>https://doi.org/10.1038/s41598-026-36056-6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硬膜外类固醇注射（ESI）常用于治疗腰骶神经根性疼痛，但硬膜外腔内溶质的扩散情况需要进一步研究。这项半盲、随机研究评估了 79 名患有腰痛的成人采用旁矢状椎板间 (PIL) 和经椎间孔 (TF) 入路的临床结果和对比传播模式。参与者被随机分配接受 TF-ESI（3 毫升）或高容量 PIL-ESI（10 毫升）。所有手术均在荧光镜引导下进行。由一位盲法疼痛专家评估造影剂扩散情况，并在治疗后两周、一个月、两个月和六个月测量临床结果，包括镇痛、患者满意度和生活质量。结果显示各组之间的基线特征没有差异。两组在基线和治疗后六个月的平均疼痛强度没有统计学上的显着差异（p分别为0.590和0.484）。六个月内，疼痛缓解、满意度、生活质量和对比剂扩散至硬膜外腔前部没有差异。然而，TF 组需要更多的透视图像 (p &lt; 0.001)。高容量 PIL-ESI 提供与 TF-ESI 相当的临床疗效和前部对比度分布，且所需的荧光镜图像更少。</w:t>
      </w:r>
    </w:p>
    <w:p>
      <w:pPr>
        <w:spacing w:before="120"/>
      </w:pPr>
      <w:r>
        <w:rPr>
          <w:rFonts w:ascii="Times New Roman" w:hAnsi="Times New Roman" w:eastAsia="宋体"/>
          <w:b/>
          <w:sz w:val="21"/>
        </w:rPr>
        <w:t>English Abstract:</w:t>
      </w:r>
    </w:p>
    <w:p>
      <w:r>
        <w:rPr>
          <w:rFonts w:ascii="Times New Roman" w:hAnsi="Times New Roman" w:eastAsia="宋体"/>
          <w:sz w:val="21"/>
        </w:rPr>
        <w:t>Abstract Epidural steroid injections (ESI) are frequently used to treat lumbosacral radicular pain, but the solute spread in the epidural space needs further investigation. This semi-blind, randomized study assessed clinical outcomes and contrast spread patterns between the parasagittal interlaminar (PIL) and transforaminal (TF) approaches in 79 adults with low back pain. Participants were randomly assigned to receive either TF-ESI (3 ml) or high-volume PIL-ESI (10 ml). All procedures were performed under fluoroscopic guidance. Contrast spread was evaluated by a blinded pain specialist, and clinical outcomes, including analgesia, patient satisfaction, and quality of life, were measured at two weeks, one month, two months, and six months post-treatment. Results showed no differences in baseline characteristics between groups. There were no statistically significant differences between the two groups in mean pain intensity at baseline and six months after treatment ( p = 0.590 and 0.484, respectively). Pain relief, satisfaction, quality of life, and contrast spread to the anterior epidural space did not differ over six months. However, the TF group required significantly more fluoroscopic images ( p &lt; 0.001). High-volume PIL-ESI provides clinical efficacy and anterior contrast distribution equivalent to TF-ESI, with fewer fluoroscopic images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买麻藤 var. 的药理学分析丁香提取物具有抗菌、抗氧化、细胞毒性和抗炎活性</w:t>
      </w:r>
    </w:p>
    <w:p>
      <w:r>
        <w:rPr>
          <w:rFonts w:ascii="Times New Roman" w:hAnsi="Times New Roman" w:eastAsia="宋体"/>
          <w:b/>
          <w:color w:val="003264"/>
          <w:sz w:val="24"/>
        </w:rPr>
        <w:t>Pharmacological profiling of Gnetum gnemon var. tenerum extracts exhibits antibacterial, antioxidant, cytotoxic and anti-inflammatory activities</w:t>
      </w:r>
    </w:p>
    <w:p>
      <w:r>
        <w:rPr>
          <w:rFonts w:ascii="Times New Roman" w:hAnsi="Times New Roman" w:eastAsia="宋体"/>
          <w:sz w:val="21"/>
        </w:rPr>
        <w:t>作者: Tachpon Techarang, Nateelak Kooltheat, Watcharapong Mitsuwan, Morteza Saki, Chonticha Romyasamit</w:t>
        <w:br/>
      </w:r>
      <w:r>
        <w:rPr>
          <w:rFonts w:ascii="Times New Roman" w:hAnsi="Times New Roman" w:eastAsia="宋体"/>
          <w:sz w:val="21"/>
        </w:rPr>
        <w:t xml:space="preserve">时间: 2026-02-03 | </w:t>
      </w:r>
      <w:r>
        <w:t xml:space="preserve">链接: </w:t>
      </w:r>
      <w:hyperlink r:id="rId193">
        <w:r>
          <w:rPr>
            <w:rFonts w:ascii="Times New Roman" w:hAnsi="Times New Roman" w:eastAsia="宋体"/>
            <w:color w:val="0000FF"/>
            <w:sz w:val="21"/>
            <w:u w:val="single"/>
          </w:rPr>
          <w:t>https://doi.org/10.1038/s41598-026-38348-3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本研究对买麻藤粗提物和溶剂分配部位进行了全面的体外药理学评价。特内鲁姆。 LC-MS 代谢物分析鉴定出 77 种化合物，包括类黄酮和苯乙醇胺衍生物，它们具有本文所述的抗氧化、细胞毒性和抗炎活性。对总酚和类黄酮含量 (TPC/TFC) 进行了定量，表明乙酸乙酯和正丁醇部分含有最高水平的这些植物化学物质。这些组分在 ABTS 和 DPPH 测定中均表现出很强的抗氧化活性。使用纸片扩散、MIC 和 MBC 测定法评估提取物对五种病原菌的抗菌活性，其中氯仿和乙酸乙酯组分表现出最高的效力，对鲍曼不动杆菌的 MIC 值低至 0.049 mg/mL。对人胃肠癌细胞系（AGS、HT-29）和正常肠上皮细胞系（HIEC-6）的细胞毒性测试显示，对癌细胞具有剂量依赖性细胞毒性，而对正常细胞的影响明显较低，表明有选择性作用。通过 LPS 刺激的 RAW264.7 巨噬细胞中一氧化氮 (NO) 抑制来评估抗炎活性，结果表明氯仿和乙酸乙酯组分最有效地抑制 NO 产生。这些发现为 G.gnemon 的传统用途提供了科学支持，并强调其提取物是生物活性化合物的有前途的来源，具有抗氧化应激、细菌感染、炎症和癌症的多靶点药理潜力。</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conducted a comprehensive in vitro pharmacological evaluation of the crude extract and solvent-partitioned fractions of Gnetum gnemon var. tenerum . LC–MS metabolite profiling identified 77 compounds, including flavonoids and phenylethanolamine derivatives, that exhibit the antioxidant, cytotoxic, and anti-inflammatory activities described in this paper. The total phenolic and flavonoid contents (TPC/TFC) were quantified, showed that the ethyl acetate and n-butanol fractions contained the highest levels of these phytochemicals. These fractions exhibited strong antioxidant activity in both ABTS and DPPH assays. The antibacterial activity of the extracts was assessed using disk diffusion, MIC, and MBC assays against five pathogenic bacteria, where the chloroform and ethyl acetate fractions demonstrated the highest potency, with MIC values as low as 0.049 mg/mL against Acinetobacter baumannii . Cytotoxicity testing on human gastrointestinal cancer cell lines (AGS, HT-29) and a normal intestinal epithelial cell line (HIEC-6) showed dose-dependent cytotoxicity toward cancer cells while exerting markedly lower effects on normal cells, suggesting selective action. Anti-inflammatory activity, evaluated by nitric oxide (NO) inhibition in LPS-stimulated RAW264.7 macrophages, revealed that the chloroform and ethyl acetate fractions most effectively suppressed NO production. These findings provide scientific support for the traditional uses of G. gnemon and highlight its extracts as a promising source of bioactive compounds with multi-target pharmacological potential against oxidative stress, bacterial infections, inflammation, and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氢集成电力系统规划的线性规划模型</w:t>
      </w:r>
    </w:p>
    <w:p>
      <w:r>
        <w:rPr>
          <w:rFonts w:ascii="Times New Roman" w:hAnsi="Times New Roman" w:eastAsia="宋体"/>
          <w:b/>
          <w:color w:val="003264"/>
          <w:sz w:val="24"/>
        </w:rPr>
        <w:t>A linear programming model for power system planning with hydrogen integration</w:t>
      </w:r>
    </w:p>
    <w:p>
      <w:r>
        <w:rPr>
          <w:rFonts w:ascii="Times New Roman" w:hAnsi="Times New Roman" w:eastAsia="宋体"/>
          <w:sz w:val="21"/>
        </w:rPr>
        <w:t>作者: Issa Zaiter, Andrei Sleptchenko, Ahmad Mayyas, Raed Jaradat, Toufic Mezher</w:t>
        <w:br/>
      </w:r>
      <w:r>
        <w:rPr>
          <w:rFonts w:ascii="Times New Roman" w:hAnsi="Times New Roman" w:eastAsia="宋体"/>
          <w:sz w:val="21"/>
        </w:rPr>
        <w:t xml:space="preserve">时间: 2026-02-03 | </w:t>
      </w:r>
      <w:r>
        <w:t xml:space="preserve">链接: </w:t>
      </w:r>
      <w:hyperlink r:id="rId194">
        <w:r>
          <w:rPr>
            <w:rFonts w:ascii="Times New Roman" w:hAnsi="Times New Roman" w:eastAsia="宋体"/>
            <w:color w:val="0000FF"/>
            <w:sz w:val="21"/>
            <w:u w:val="single"/>
          </w:rPr>
          <w:t>https://doi.org/10.1038/s41598-026-35701-4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济脱碳的迫切需要使氢成为难以减排行业的清洁燃料和可再生能源整合的缓冲。对于拥有丰富太阳能资源的阿拉伯联合酋长国（UAE）来说，氢在电力系统中的大规模作用仍未得到充分探索。本研究开发了一种每小时分辨率的线性规划优化模型，以评估氢作为储能介质和工业商品的经济和环境效益。该模型优化了太阳能光伏、风能、核能和天然气发电，以及电池和包括地下储氢在内的氢气子系统，以满足预计的 2030 年电力（203 太瓦时）和氢气（1.4 百万吨）需求目标。该模型采用 Python 实现并通过 Gurobi 求解，确定了一个成本最优的系统，其电力成本为 0.065 美元/千瓦时，氢气成本为 2.56 美元/公斤。结果突显了氢对碳税和天然气价格波动的脆弱性，同时证实了氢在储存和需求供应方面的成本效益。</w:t>
      </w:r>
    </w:p>
    <w:p>
      <w:pPr>
        <w:spacing w:before="120"/>
      </w:pPr>
      <w:r>
        <w:rPr>
          <w:rFonts w:ascii="Times New Roman" w:hAnsi="Times New Roman" w:eastAsia="宋体"/>
          <w:b/>
          <w:sz w:val="21"/>
        </w:rPr>
        <w:t>English Abstract:</w:t>
      </w:r>
    </w:p>
    <w:p>
      <w:r>
        <w:rPr>
          <w:rFonts w:ascii="Times New Roman" w:hAnsi="Times New Roman" w:eastAsia="宋体"/>
          <w:sz w:val="21"/>
        </w:rPr>
        <w:t>The imperative to decarbonize the economy has positioned hydrogen as a clean fuel for hard-to-abate sectors and as a buffer for renewable energy integration. For the United Arab Emirates (UAE), with abundant solar resources, the large-scale role of hydrogen in the power system remains underexplored. This study develops an hourly-resolution linear programming optimization model to evaluate the economic and environmental benefits of hydrogen integration as both an energy storage medium and an industrial commodity. The model optimizes solar PV, wind, nuclear, and natural gas generation, along with batteries and a hydrogen subsystem including underground hydrogen storage, to meet projected 2030 electricity (203 TWh) and hydrogen (1.4 Mton) demand targets. Implemented in Python and solved with Gurobi, the model identifies a cost-optimal system that yields a levelized cost of electricity of $0.065/kWh and hydrogen of $2.56/kg. The results highlight vulnerability to carbon taxation and gas price volatility, while confirming hydrogen’s cost-effectiveness for storage and demand supply.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评估大型植物的矿物质成分和体外养分消化率，以评估其作为可持续动物饲料的潜力</w:t>
      </w:r>
    </w:p>
    <w:p>
      <w:r>
        <w:rPr>
          <w:rFonts w:ascii="Times New Roman" w:hAnsi="Times New Roman" w:eastAsia="宋体"/>
          <w:b/>
          <w:color w:val="003264"/>
          <w:sz w:val="24"/>
        </w:rPr>
        <w:t>Evaluation of mineral composition and in-vitro nutrient digestibility of macrophytes to assess their potential as sustainable animal feed</w:t>
      </w:r>
    </w:p>
    <w:p>
      <w:r>
        <w:rPr>
          <w:rFonts w:ascii="Times New Roman" w:hAnsi="Times New Roman" w:eastAsia="宋体"/>
          <w:sz w:val="21"/>
        </w:rPr>
        <w:t>作者: Munibul Islam, Gowher Gull Sheikh, Qazi Shehriyar Sahib, Haidar Ali Ahmed</w:t>
        <w:br/>
      </w:r>
      <w:r>
        <w:rPr>
          <w:rFonts w:ascii="Times New Roman" w:hAnsi="Times New Roman" w:eastAsia="宋体"/>
          <w:sz w:val="21"/>
        </w:rPr>
        <w:t xml:space="preserve">时间: 2026-02-03 | </w:t>
      </w:r>
      <w:r>
        <w:t xml:space="preserve">链接: </w:t>
      </w:r>
      <w:hyperlink r:id="rId195">
        <w:r>
          <w:rPr>
            <w:rFonts w:ascii="Times New Roman" w:hAnsi="Times New Roman" w:eastAsia="宋体"/>
            <w:color w:val="0000FF"/>
            <w:sz w:val="21"/>
            <w:u w:val="single"/>
          </w:rPr>
          <w:t>https://doi.org/10.1038/s41598-026-37642-4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评估了从达尔湖、马纳斯巴尔湖、霍克萨尔湖和安查尔湖收集的各种水生植物的宏观和微观矿物质特征，评估了重金属浓度，并确定了其体外消化率。宏观矿物质分析揭示了每个湖泊不同物种之间的显着差异，突出了这些水生植物的营养多样性。达尔湖的青萍、马纳斯巴尔湖的满江红、Hokersar 湖的酸模、安查尔湖的青萍和红萍表现出值得注意的大量矿物质浓度。就微量矿物质而言，达尔湖水生植物的铜 (Cu) 浓度一致，而睡莲 (Nymphaea tetragona) 的铁含量显着较高 (p &lt; 0.05)。研究发现其他湖泊的大型植物中微量矿物质浓度也有类似的趋势。重金属分析表明，达尔湖和马纳斯巴尔湖的大型植物的浓度不同，其中一些物种显示出植物修复剂的潜力。体外消化率结果显示，来自达尔湖的荷花、菱角和浮萍的干物质 (DM)、有机质 (OM) 和中性洗涤纤维 (NDF) 的消化率显着较高 (p &lt; 0.05)，而来自马纳斯巴尔湖的睡莲也显示出显着较高的值 (p &lt; 0.05)。来自 Nigeen Lake 的香蒲、荇菜和金鱼藻的体外消化率值显着较低 (p &lt; 0.05)，同样，来自 Anchar 湖的 Nymphoides peltata 也表现出较低的值。该研究强调了环境因素对矿物质积累的影响以及水生植物在营养物去除和植物修复方面的潜在用途。</w:t>
      </w:r>
    </w:p>
    <w:p>
      <w:pPr>
        <w:spacing w:before="120"/>
      </w:pPr>
      <w:r>
        <w:rPr>
          <w:rFonts w:ascii="Times New Roman" w:hAnsi="Times New Roman" w:eastAsia="宋体"/>
          <w:b/>
          <w:sz w:val="21"/>
        </w:rPr>
        <w:t>English Abstract:</w:t>
      </w:r>
    </w:p>
    <w:p>
      <w:r>
        <w:rPr>
          <w:rFonts w:ascii="Times New Roman" w:hAnsi="Times New Roman" w:eastAsia="宋体"/>
          <w:sz w:val="21"/>
        </w:rPr>
        <w:t>The current study evaluates the macro- and micro-mineral profiles, assesses heavy metal concentrations, and determines the in-vitro digestibility of various aquatic macrophytes collected from Dal Lake, Manasbal Lake, Hokersar Lake, and Anchar Lake. The macro-mineral analysis reveals significant variations among different species in each lake, highlighting the nutritional diversity of these aquatic plants. Lemna minor from Dal Lake, Azolla cristata from Manasbal Lake, Rumex rupestris from Hokersar Lake, and Lemna minor and Azolla cristata from Anchar Lake exhibited noteworthy macro-mineral concentrations. In terms of micro-minerals, Copper (Cu) concentrations were consistent among macrophytes from Dal Lake, while Fe levels were significantly higher (p &lt; 0.05) in Nymphaea tetragona. The study found similar trends in micro-mineral concentrations in macrophytes from other lakes. The heavy metal analysis demonstrated varying concentrations among macrophytes in Dal Lake and Manasbal Lake, with some species showing potential as phytoremediators. The outcomes of in-vitro digestibility revealed significantly higher (p &lt; 0.05) digestibilities of dry matter (DM), organic matter (OM), and neutral detergent fiber (NDF) in weeds Nelumbo nucifera, Trapa natans, and Lemna minor sourced from Dal Lake, whereas, Nymphaea tetragona from Manasbal Lake also revealed significantly higher values (p &lt; 0.05). Significantly lower (p &lt; 0.05) in-vitro digestibility values were revealed by Typha angustata, Nymphoides aquatica, and Ceratophyllum demersum from Nigeen Lake, likewise Nymphoides peltata sourced from Anchar Lake exhibited lower values. The study emphasizes the impact of environmental factors on mineral accumulation and the potential use of aquatic plants for nutrient removal and phytoremediation.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AA2014 和 AA5052 异种铝合金搅拌摩擦焊参数优化</w:t>
      </w:r>
    </w:p>
    <w:p>
      <w:r>
        <w:rPr>
          <w:rFonts w:ascii="Times New Roman" w:hAnsi="Times New Roman" w:eastAsia="宋体"/>
          <w:b/>
          <w:color w:val="003264"/>
          <w:sz w:val="24"/>
        </w:rPr>
        <w:t>Friction stir welding parameter optimization for dissimilar AA2014 and AA5052 aluminium alloys</w:t>
      </w:r>
    </w:p>
    <w:p>
      <w:r>
        <w:rPr>
          <w:rFonts w:ascii="Times New Roman" w:hAnsi="Times New Roman" w:eastAsia="宋体"/>
          <w:sz w:val="21"/>
        </w:rPr>
        <w:t>作者: Seenivasan Soundararjan, C. Jeevakarunya, P. Raj Kumar, R. Chandraprakash, Sathish Kannan, A. Saiyathibrahim, A. Johnson Santhosh</w:t>
        <w:br/>
      </w:r>
      <w:r>
        <w:rPr>
          <w:rFonts w:ascii="Times New Roman" w:hAnsi="Times New Roman" w:eastAsia="宋体"/>
          <w:sz w:val="21"/>
        </w:rPr>
        <w:t xml:space="preserve">时间: 2026-02-03 | </w:t>
      </w:r>
      <w:r>
        <w:t xml:space="preserve">链接: </w:t>
      </w:r>
      <w:hyperlink r:id="rId196">
        <w:r>
          <w:rPr>
            <w:rFonts w:ascii="Times New Roman" w:hAnsi="Times New Roman" w:eastAsia="宋体"/>
            <w:color w:val="0000FF"/>
            <w:sz w:val="21"/>
            <w:u w:val="single"/>
          </w:rPr>
          <w:t>https://doi.org/10.1038/s41598-026-37562-3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这项科学研究利用响应面法（RSM）和Box-Behnken设计（BBD）优化了AA2014和AA5052异种铝合金的搅拌摩擦焊（FSW）参数。系统地改变四个关键加工变量，即工具转速（1500-2100 rpm）、销几何形状（三角形、圆形、方形）、轴向载荷（7-10 kN）和焊接速度（10-20 mm/min），以评估它们对极限抗拉强度（UTS）、屈服强度（YS）、伸长率（E）和显微硬度（H）的影响。使用期望函数进行的多响应优化揭示了一组有利条件：1879.95 rpm、方销、10 kN 轴向载荷和 17.62 mm/min 焊接速度。在这些条件下，焊缝的机械性能表现出 UTS = 257.76 MPa、YS = 196.96 MPa、E = 4.41% 和 H = 100.96 Hv 的平衡，综合期望值为 0.880。随后的验证实验证明该模型是可靠的，UTS和YS的预测误差均小于1.5%。显微组织检查表明，优化后的焊缝具有细小的等轴晶组织，搅拌区Al2CuMg析出物分布均匀，这是由于完全的动态再结晶和充分的材料混合所致。相反，次优参数会产生粗晶粒、析出物簇和隧道缺陷，这与较差的机械性能相关。在这项研究中，RSM-BBD-合意性方法的集成方法已被证明可以有效优化这对异种合金的 FSW，以生产出无缺陷的接头，并具有改进的强度-硬度平衡，适合轻质结构应用。</w:t>
      </w:r>
    </w:p>
    <w:p>
      <w:pPr>
        <w:spacing w:before="120"/>
      </w:pPr>
      <w:r>
        <w:rPr>
          <w:rFonts w:ascii="Times New Roman" w:hAnsi="Times New Roman" w:eastAsia="宋体"/>
          <w:b/>
          <w:sz w:val="21"/>
        </w:rPr>
        <w:t>English Abstract:</w:t>
      </w:r>
    </w:p>
    <w:p>
      <w:r>
        <w:rPr>
          <w:rFonts w:ascii="Times New Roman" w:hAnsi="Times New Roman" w:eastAsia="宋体"/>
          <w:sz w:val="21"/>
        </w:rPr>
        <w:t>This scientific research has optimized the parameters of Friction Stir Welding (FSW) for dissimilar aluminium alloys of AA2014 and AA5052 by using Response Surface Methodology (RSM) with a Box-Behnken Design (BBD). Four critical processing variables, i.e., tool rotating speed (1500–2100 rpm), pin geometry (triangle, circular, square), axial load (7–10 kN), and welding speed (10–20 mm/min), were systematically varied to assess their influence on ultimate tensile strength (UTS), yield strength (YS), elongation (E), and microhardness (H). Multi-response optimization using the desirability function revealed a set of favourable conditions: 1879.95 rpm, square pin, 10 kN axial load, and 17.62 mm/min welding speed. Under these conditions the mechanical performance of the weld showed a balance of UTS = 257.76 MPa, YS = 196.96 MPa, E = 4.41%, and H = 100.96 Hv with a combined desirability of 0.880. Subsequent validation experiments proved the model to be reliable, with errors in the prediction of UTS and YS less than 1.5%. Microstructural examination showed that the optimized weld had a fine equiaxed grain structure and a homogeneous distribution of Al2CuMg precipitates in the stir zone that is due to complete dynamic recrystallization and thorough material mixing. On the contrary, coarse grains, clusters of precipitates, and tunnel defects were produced by sub-optimal parameters, which correlated with inferior mechanical properties. In this research, the integrated approach of RSM-BBD-desirability approach has been shown to be effective in the optimization of FSW of this dissimilar pair of alloys to produce defect-free joints with an improved strength-hardness balance suitable for lightweight structural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由紧急医疗服务数据支持的机器学习模型增强了院前环境中的中风分诊</w:t>
      </w:r>
    </w:p>
    <w:p>
      <w:r>
        <w:rPr>
          <w:rFonts w:ascii="Times New Roman" w:hAnsi="Times New Roman" w:eastAsia="宋体"/>
          <w:b/>
          <w:color w:val="003264"/>
          <w:sz w:val="24"/>
        </w:rPr>
        <w:t>Machine learning models powered by emergency medical services data enhance stroke triage in prehospital settings</w:t>
      </w:r>
    </w:p>
    <w:p>
      <w:r>
        <w:rPr>
          <w:rFonts w:ascii="Times New Roman" w:hAnsi="Times New Roman" w:eastAsia="宋体"/>
          <w:sz w:val="21"/>
        </w:rPr>
        <w:t>作者: Michael Saban, Grant Hiura, Paula de la Peña, Amy Wozniak, Daniel Heiferman, Oguz Akbilgic, Mark Cichon, Samie Tootooni</w:t>
        <w:br/>
      </w:r>
      <w:r>
        <w:rPr>
          <w:rFonts w:ascii="Times New Roman" w:hAnsi="Times New Roman" w:eastAsia="宋体"/>
          <w:sz w:val="21"/>
        </w:rPr>
        <w:t xml:space="preserve">时间: 2026-02-03 | </w:t>
      </w:r>
      <w:r>
        <w:t xml:space="preserve">链接: </w:t>
      </w:r>
      <w:hyperlink r:id="rId197">
        <w:r>
          <w:rPr>
            <w:rFonts w:ascii="Times New Roman" w:hAnsi="Times New Roman" w:eastAsia="宋体"/>
            <w:color w:val="0000FF"/>
            <w:sz w:val="21"/>
            <w:u w:val="single"/>
          </w:rPr>
          <w:t>https://doi.org/10.1038/s41598-026-37069-x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及时的中风诊断对于提供挽救生命的治疗至关重要，但当前的院前中风评估工具经常导致漏诊或延迟诊断。紧急医疗服务 (EMS) 越来越多地在运输过程中收集详细数据，为开发基于人工智能的工具来支持早期中风检测提供了机会。在这项回顾性研究中，我们与急诊科 (ED) 记录相比，评估了院前数据的可用性和可靠性。我们测试了机器学习支持 EMS 中风分诊的潜力。我们的队列包括 2015 年至 2020 年 8,221 次救护车中的 4,333 名患者，中风率为 2.0%（64% 为严重中风）。心率、呼吸频率、血压、血氧饱和度和 GCS 评分等生命体征的记录比例超过 88%，普遍高于 ED 患者。我们训练和评估了用于检测中风和严重中风的随机森林、XGBoost 和顺序神经网络。 XGBoost 模型在中风检测方面表现最佳（ROC-AUC 0.843 [0.77–0.89]、PR-AUC 0.293 [0.16–0.45]），而随机森林在严重中风方面表现最佳（ROC-AUC 0.826 [0.75–0.90]、PR-AUC 0.186 [0.07–0.35]）。模型经过校准以提高可靠性，并使用 SHAP 评估特征重要性以增强可解释性。这些发现凸显了基于人工智能的工具在利用实时 EMS 数据改善院前中风分诊方面的前景。</w:t>
      </w:r>
    </w:p>
    <w:p>
      <w:pPr>
        <w:spacing w:before="120"/>
      </w:pPr>
      <w:r>
        <w:rPr>
          <w:rFonts w:ascii="Times New Roman" w:hAnsi="Times New Roman" w:eastAsia="宋体"/>
          <w:b/>
          <w:sz w:val="21"/>
        </w:rPr>
        <w:t>English Abstract:</w:t>
      </w:r>
    </w:p>
    <w:p>
      <w:r>
        <w:rPr>
          <w:rFonts w:ascii="Times New Roman" w:hAnsi="Times New Roman" w:eastAsia="宋体"/>
          <w:sz w:val="21"/>
        </w:rPr>
        <w:t>Timely stroke diagnosis is essential for delivering life-saving treatments, yet current prehospital stroke assessment tools often lead to missed or delayed diagnoses. Emergency Medical Services (EMS) increasingly collect detailed data during transport, offering an opportunity to develop AI-based tools to support early stroke detection. In this retrospective study, we evaluated the availability and reliability of prehospital data compared to Emergency Department (ED) records. We tested the potential of machine learning to support EMS stroke triage. Our cohort included 4,333 patients across 8,221 ambulance encounters from 2015 to 2020 with stroke rate of 2.0% (64% severe strokes). Vital signs such as heart rate, respiratory rate, blood pressure, oxygen saturation, and GCS scores, recorded in over 88%, were generally higher than their ED counterparts. We trained and evaluated random forest, XGBoost, and sequential neural networks for detecting stroke and severe stroke. The XGBoost model performed best for stroke detection (ROC-AUC 0.843 [0.77–0.89], PR-AUC 0.293 [0.16–0.45]), while Random Forest performed best for severe strokes (ROC-AUC 0.826 [0.75–0.90], PR-AUC 0.186 [0.07–0.35]). Models were calibrated to improve reliability, and feature importance was assessed using SHAP to enhance interpretability. These findings highlight the promise of AI-based tools in improving prehospital stroke triage with real-time EMS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针对医疗数据生态系统中人工智能驱动的威胁传播和零日云漏洞的多层加密信任强化模型</w:t>
      </w:r>
    </w:p>
    <w:p>
      <w:r>
        <w:rPr>
          <w:rFonts w:ascii="Times New Roman" w:hAnsi="Times New Roman" w:eastAsia="宋体"/>
          <w:b/>
          <w:color w:val="003264"/>
          <w:sz w:val="24"/>
        </w:rPr>
        <w:t>A multi-layered cryptographic trust reinforcement model against AI-driven threat propagation and zero-day cloud vulnerabilities in healthcare data ecosystems</w:t>
      </w:r>
    </w:p>
    <w:p>
      <w:r>
        <w:rPr>
          <w:rFonts w:ascii="Times New Roman" w:hAnsi="Times New Roman" w:eastAsia="宋体"/>
          <w:sz w:val="21"/>
        </w:rPr>
        <w:t>作者: Meena Rani, R. Lavanya, K. V. Shahnaz, K. Ramu, Rohit Pachlor, Shitanshu Jain</w:t>
        <w:br/>
      </w:r>
      <w:r>
        <w:rPr>
          <w:rFonts w:ascii="Times New Roman" w:hAnsi="Times New Roman" w:eastAsia="宋体"/>
          <w:sz w:val="21"/>
        </w:rPr>
        <w:t xml:space="preserve">时间: 2026-02-03 | </w:t>
      </w:r>
      <w:r>
        <w:t xml:space="preserve">链接: </w:t>
      </w:r>
      <w:hyperlink r:id="rId198">
        <w:r>
          <w:rPr>
            <w:rFonts w:ascii="Times New Roman" w:hAnsi="Times New Roman" w:eastAsia="宋体"/>
            <w:color w:val="0000FF"/>
            <w:sz w:val="21"/>
            <w:u w:val="single"/>
          </w:rPr>
          <w:t>https://doi.org/10.1038/s41598-026-36966-5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疗云生态系统越来越容易受到网络攻击、零日攻击以及人工智能驱动的攻击的困扰，因此需要在后台安全架构中使用操作可行、可靠、科学的安全架构。本文的作者介绍了多层加密信任强化（MCTR）框架，该框架将分层抗量子密码、通过区块链的去中心化信任验证和基于人工智能的异常检测器结合到一个自适应和协调的安全框架中。与当前的混合医疗保健安全模型相比，所提供的解决方案提供了数学控制的信任开发、协调的多节点零日缓解以及区块链控制的取证透明度。对真实医疗保健数据的大规模模拟表明，威胁检测率为 95-98%，误报率不超过 2.5%，区块链吞吐量每秒超过 130 笔交易，区块链对零日攻击的有效率超过 91%，且延迟水平合理。这些结果证明 MCTR 在技术上是合理的，在计算上不可能不可行，并且实际上可以用于实时医疗保健环境。</w:t>
      </w:r>
    </w:p>
    <w:p>
      <w:pPr>
        <w:spacing w:before="120"/>
      </w:pPr>
      <w:r>
        <w:rPr>
          <w:rFonts w:ascii="Times New Roman" w:hAnsi="Times New Roman" w:eastAsia="宋体"/>
          <w:b/>
          <w:sz w:val="21"/>
        </w:rPr>
        <w:t>English Abstract:</w:t>
      </w:r>
    </w:p>
    <w:p>
      <w:r>
        <w:rPr>
          <w:rFonts w:ascii="Times New Roman" w:hAnsi="Times New Roman" w:eastAsia="宋体"/>
          <w:sz w:val="21"/>
        </w:rPr>
        <w:t>The healthcare cloud ecosystem is getting vulnerable to cyberattacks, zero-day attacks and being plagued by AI-driven attacks, hence the need to use operationally feasible, solid, scientific in background security architectures. The authors of this paper introduce a Multi-Layered Cryptographic Trust Reinforcement (MCTR) framework, which unites hierarchical quantum-resistant cryptography, decentralized trust validation through blockchain and AI-based anomaly detector into an adaptive and coordinated security framework. In contrast to the current hybrid healthcare security models, the offered solution provides mathematically controlled trust development, coordinated multi-node zero-day mitigation, and blockchain-controlled forensic transparency. Large-scale simulations with real-world healthcare data show that the threat detection rate is 95–98%, the false positive rate does not surpass 2.5%, blockchain throughput is over 130 transactions per second, and blockchain is over 91% effective against zero-day attacks with a reasonable level of latency. These results prove that MCTR is technically sound, cannot be computationally unfeasible, and practically can be used in real-time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一种增强隧道视力患者视野的改进缝雕方法</w:t>
      </w:r>
    </w:p>
    <w:p>
      <w:r>
        <w:rPr>
          <w:rFonts w:ascii="Times New Roman" w:hAnsi="Times New Roman" w:eastAsia="宋体"/>
          <w:b/>
          <w:color w:val="003264"/>
          <w:sz w:val="24"/>
        </w:rPr>
        <w:t>An improved seam carving method for enhancing the visual field of tunnel vision patients</w:t>
      </w:r>
    </w:p>
    <w:p>
      <w:r>
        <w:rPr>
          <w:rFonts w:ascii="Times New Roman" w:hAnsi="Times New Roman" w:eastAsia="宋体"/>
          <w:sz w:val="21"/>
        </w:rPr>
        <w:t>作者: Dina El-Torky, Salsabil El-Regaily, Ahmad Moadamani, Ahmed Osama, Alaa Mostafa, Amira Yasser, Mosaab Ghaley, Shahd Ashraf, Maryam Al-Berry, Zaki Fayed</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https://doi.org/10.1038/s41598-026-35527-0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视力障碍有多种形式，所有这些都会对患者的日常活动产生负面影响，并妨碍患者执行简单的行动，例如安全地在街上行走。内容感知图像重定向可用于增强视野有限（即隧道视野）的患者的场景。本研究论文提出了一种改进的接缝雕刻方法，该方法可以减小输入图像的宽度以适应患者的视角，同时保留原始图像中的重要对象以及图像细节。该方法通过使用结合深度、显着性、前景分割和边缘检测特征的多尺度图像融合计算能量图来增强原始接缝雕刻，并使用前向中间方法进行接缝去除步骤。结果显示，效率优于各种重定向方法，整合了结构、感知和基于特征的质量指标的综合得分提高了 30.8%。使用配对 t 检验 ( $$n = 73$$ ) 的统计分析证实，与基线接缝雕刻方法相比，所有主要指标 ( $$p&lt;0.001$$ ) 都取得了统计上的显着改进，包括 SSIM、SIFT 特征匹配和基于现代深度学习的感知质量指标。</w:t>
      </w:r>
    </w:p>
    <w:p>
      <w:pPr>
        <w:spacing w:before="120"/>
      </w:pPr>
      <w:r>
        <w:rPr>
          <w:rFonts w:ascii="Times New Roman" w:hAnsi="Times New Roman" w:eastAsia="宋体"/>
          <w:b/>
          <w:sz w:val="21"/>
        </w:rPr>
        <w:t>English Abstract:</w:t>
      </w:r>
    </w:p>
    <w:p>
      <w:r>
        <w:rPr>
          <w:rFonts w:ascii="Times New Roman" w:hAnsi="Times New Roman" w:eastAsia="宋体"/>
          <w:sz w:val="21"/>
        </w:rPr>
        <w:t>Abstract Visual impairment has various forms all of which negatively affect the patient’s daily activities and prevent performing simple actions like walking safely in a street. Content-aware image retargeting can be used to enhance the scene for patients who have limited visual field i.e. tunnel vision. A modified Seam Carving method is presented in this research paper which can decrease the width of the input image to fit in the patient’s angle of vision while preserving the important objects in the original image as well as the image details. The method enhanced the original Seam Carving by calculating the energy map using multiscale image fusion that combines depth, saliency, foreground segmentation, and edge detection features, and used a forward-middle approach for the seam removal step. The results showed efficiency that outperformed various retargeting methods, achieving a 30.8% improvement in the composite score that integrates structural, perceptual, and feature-based quality metrics. Statistical analysis using paired t-tests ( $$n = 73$$ ) confirmed statistically significant improvements across all major metrics ( $$p&lt;0.001$$ ), including SSIM, SIFT feature matching, and modern deep learning-based perceptual quality metrics, compared to the baseline seam carving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阳光防护剂对某些生物防治剂的协同活性作为控制棉叶虫、斜纹夜蛾（Boisduval）的新方法</w:t>
      </w:r>
    </w:p>
    <w:p>
      <w:r>
        <w:rPr>
          <w:rFonts w:ascii="Times New Roman" w:hAnsi="Times New Roman" w:eastAsia="宋体"/>
          <w:b/>
          <w:color w:val="003264"/>
          <w:sz w:val="24"/>
        </w:rPr>
        <w:t>Synergistic activity of sunlight protectants on some biocontrol agents as a new approach to control the cotton leaf worm, Spodoptera littoralis (Boisduval)</w:t>
      </w:r>
    </w:p>
    <w:p>
      <w:r>
        <w:rPr>
          <w:rFonts w:ascii="Times New Roman" w:hAnsi="Times New Roman" w:eastAsia="宋体"/>
          <w:sz w:val="21"/>
        </w:rPr>
        <w:t>作者: Radwa G. Attia, Abd El Aziz A. Khidr, Hend A. A. Al-Ashry, M. S. Yones, Mahmoud Sayed, Shireen A. M. Maamoun</w:t>
        <w:br/>
      </w:r>
      <w:r>
        <w:rPr>
          <w:rFonts w:ascii="Times New Roman" w:hAnsi="Times New Roman" w:eastAsia="宋体"/>
          <w:sz w:val="21"/>
        </w:rPr>
        <w:t xml:space="preserve">时间: 2026-02-03 | </w:t>
      </w:r>
      <w:r>
        <w:t xml:space="preserve">链接: </w:t>
      </w:r>
      <w:hyperlink r:id="rId200">
        <w:r>
          <w:rPr>
            <w:rFonts w:ascii="Times New Roman" w:hAnsi="Times New Roman" w:eastAsia="宋体"/>
            <w:color w:val="0000FF"/>
            <w:sz w:val="21"/>
            <w:u w:val="single"/>
          </w:rPr>
          <w:t>https://doi.org/10.1038/s41598-026-35601-7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杀虫剂作为传统化学杀虫剂的可持续且环保的替代品而受到关注。它们具有特定目标、可生物降解，并能减少昆虫抗性的发展。然而，它们的使用通常受到环境不稳定的限制，特别是在阳光和紫外线辐射下，这会迅速降解活性成分并降低功效。需要保护性配方，例如添加紫外线屏蔽剂，以提高其耐用性和功效。本研究调查了三种紫外线防护剂（棕榈酸辛酯、Tinuvin P 和 UV-P）在增强一些生物防治剂（Dipel DF、Tracer 和 Diacox）在田间条件下 15 天的持久性以控制斜纹夜蛾 4 龄幼虫方面的效率。 12天后，所有杀虫剂的残留效果均显着下降，其中Tracer的残留效果最低，死亡率为零，而Diacox + UV防护剂的残留效果最高。到了 15 天，除 Diacox 与棕榈酸辛酯、Tinuvin P 和 UV-P 混合外，均不再具有持续疗效，仍导致 27%、32% 和 12% 的死亡率；分别。处理 15 天后，对北沙蚕幼虫的 SDS-PAGE 显示处理组和对照组之间蛋白质片段数量的差异。处理后的样品中形成了新的蛋白质条带，而一些正常条带消失了。</w:t>
      </w:r>
    </w:p>
    <w:p>
      <w:pPr>
        <w:spacing w:before="120"/>
      </w:pPr>
      <w:r>
        <w:rPr>
          <w:rFonts w:ascii="Times New Roman" w:hAnsi="Times New Roman" w:eastAsia="宋体"/>
          <w:b/>
          <w:sz w:val="21"/>
        </w:rPr>
        <w:t>English Abstract:</w:t>
      </w:r>
    </w:p>
    <w:p>
      <w:r>
        <w:rPr>
          <w:rFonts w:ascii="Times New Roman" w:hAnsi="Times New Roman" w:eastAsia="宋体"/>
          <w:sz w:val="21"/>
        </w:rPr>
        <w:t>Abstract Bioinsecticides have gained attention as a sustainable and eco-friendly alternative to traditional chemical insecticides. They are target-specific, biodegradable, and reduce the development of insect resistance. However, their use is often limited by environmental instability, particularly under sunlight and UV radiation, which rapidly degrade active ingredients and reduce efficacy. Protective formulation, such as addition of UV-screening agents are needed to improve their durability and efficacy. This study investigates the efficiency of three UV protectants, Octylpalmitate, Tinuvin P, and UV- P in enhancing the persistence of some biocontrol agents, Dipel DF, Tracer, and Diacox under field conditions for 15 days to control the 4th instar larvae of Spodoptera littoralis . After 12 days, the residual effect of the all insecticides had markedly decreased, with Tracer showing the lowest persistence with zero mortality, and Diacox + UV protectant the highest. By 15 days, the sustained efficacy was absent, except for Diacox mixed with Octyl palmitate, Tinuvin P, and UV-P, which still caused 27, 32 and 12% mortality; respectively. The SDS-PAGE of S. littoralis larvae following 15 days of treatments revealed differences in the numbers of protein fragments between treated and control. New protein bands formed in the treated samples, while several normal bands disappeared.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使用两种分析方法的广义三阶非线性薛定谔方程的分岔分析和孤子解</w:t>
      </w:r>
    </w:p>
    <w:p>
      <w:r>
        <w:rPr>
          <w:rFonts w:ascii="Times New Roman" w:hAnsi="Times New Roman" w:eastAsia="宋体"/>
          <w:b/>
          <w:color w:val="003264"/>
          <w:sz w:val="24"/>
        </w:rPr>
        <w:t>Bifurcation analysis and soliton solutions of the generalized third-order nonlinear Schrödinger equation using two analytical approaches</w:t>
      </w:r>
    </w:p>
    <w:p>
      <w:r>
        <w:rPr>
          <w:rFonts w:ascii="Times New Roman" w:hAnsi="Times New Roman" w:eastAsia="宋体"/>
          <w:sz w:val="21"/>
        </w:rPr>
        <w:t>作者: Shahida Parveen, Muhammad Abbas, Tahir Nazir, Muhammad Nadeem Anwar, M. R. Alharthi, Muhammad Zain Yousaf, Asnake Birhanu</w:t>
        <w:br/>
      </w:r>
      <w:r>
        <w:rPr>
          <w:rFonts w:ascii="Times New Roman" w:hAnsi="Times New Roman" w:eastAsia="宋体"/>
          <w:sz w:val="21"/>
        </w:rPr>
        <w:t xml:space="preserve">时间: 2026-02-03 | </w:t>
      </w:r>
      <w:r>
        <w:t xml:space="preserve">链接: </w:t>
      </w:r>
      <w:hyperlink r:id="rId201">
        <w:r>
          <w:rPr>
            <w:rFonts w:ascii="Times New Roman" w:hAnsi="Times New Roman" w:eastAsia="宋体"/>
            <w:color w:val="0000FF"/>
            <w:sz w:val="21"/>
            <w:u w:val="single"/>
          </w:rPr>
          <w:t>https://doi.org/10.1038/s41598-026-37836-w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论文用于研究广义三阶非线性薛定谔方程，该方程对于描述光纤、等离子体物理和流体力学中复杂的非线性波传播非常重要。利用广义辅助方程法和改进的修正Sardar-sub方程法得到了各种解析孤子解。利用提出的方法得到了该问题的周期、钟形、反钟形、暗、W型、扭结、反扭结和M形孤子解。以图形方式描述了几种孤子解的行为。这些发现对于工程和数学物理的应用非常重要。平面动力系统理论的一个关键组成部分是由伽利略变换引起的控制方程动力系统的分岔。通过强调系统对其初始条件的敏感性以及其长期演化的不确定性，该研究还研究了混沌行为。最后，进行敏感性分析，以检查改变系统参数对解决方案的稳定性和结果的影响。通过考虑这些因素，这项工作有助于我们理解所提出的模型的动态特性，并为其在非线性媒体和其他研究领域的使用提供有用的见解。与之前的研究相比，这项工作是新颖的，因为它将增强的分析方法应用于广义三阶非线性薛定谔方程，从而产生了更广泛的解类别。</w:t>
      </w:r>
    </w:p>
    <w:p>
      <w:pPr>
        <w:spacing w:before="120"/>
      </w:pPr>
      <w:r>
        <w:rPr>
          <w:rFonts w:ascii="Times New Roman" w:hAnsi="Times New Roman" w:eastAsia="宋体"/>
          <w:b/>
          <w:sz w:val="21"/>
        </w:rPr>
        <w:t>English Abstract:</w:t>
      </w:r>
    </w:p>
    <w:p>
      <w:r>
        <w:rPr>
          <w:rFonts w:ascii="Times New Roman" w:hAnsi="Times New Roman" w:eastAsia="宋体"/>
          <w:sz w:val="21"/>
        </w:rPr>
        <w:t>This research paper is used to examine the generalized third-order nonlinear Schrödinger equation that is important for the description of complex nonlinear wave propagation in optical fibers, plasma physics, and in fluid mechanics. By using the generalized auxiliary equation method and improved modified Sardar-sub equation method various analytical soliton solutions are obtained. The Periodic, bell, anti-bell, dark, W-type, kink, anti-kink, and M-shape solitons solutions of the problem are obtained by using proposed methods. The behavior of several soliton solutions is depicted graphically. The findings are important for applications in engineering and mathematical physics. A key component of planar dynamical system theory is the bifurcation of the dynamical system of the governing equation caused by the Galilean transformation. By emphasizing how susceptible the system is to its initial conditions and how uncertain its long-term evolution is, the study also investigates chaotic behavior. Lastly, sensitivity analysis is performed to examine the effects of altering system parameters on the stability and results of the solutions. By taking these things into account, this work aids in our comprehension of the proposed model’s dynamical characteristics and offers helpful insights into its use in nonlinear media and other fields of research. In contrast to previous research, this work is novel because it applies enhanced analytical methods to the generalized third-order nonlinear Schrödinger equation, resulting in a wider range of solution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单细胞转录组学鉴定膀胱癌中成纤维细胞相关的免疫异质性和预后特征</w:t>
      </w:r>
    </w:p>
    <w:p>
      <w:r>
        <w:rPr>
          <w:rFonts w:ascii="Times New Roman" w:hAnsi="Times New Roman" w:eastAsia="宋体"/>
          <w:b/>
          <w:color w:val="003264"/>
          <w:sz w:val="24"/>
        </w:rPr>
        <w:t>Single-cell transcriptomics identifies fibroblast associated immune heterogeneity and prognostic signatures in bladder cancer</w:t>
      </w:r>
    </w:p>
    <w:p>
      <w:r>
        <w:rPr>
          <w:rFonts w:ascii="Times New Roman" w:hAnsi="Times New Roman" w:eastAsia="宋体"/>
          <w:sz w:val="21"/>
        </w:rPr>
        <w:t>作者: Xiaojuan Tang, Ling Liu, Min Gao, Peng Duan, Sheng Li, Zilong Yuan, Qiang Xia, Lei Xi, Yan Tan</w:t>
        <w:br/>
      </w:r>
      <w:r>
        <w:rPr>
          <w:rFonts w:ascii="Times New Roman" w:hAnsi="Times New Roman" w:eastAsia="宋体"/>
          <w:sz w:val="21"/>
        </w:rPr>
        <w:t xml:space="preserve">时间: 2026-02-03 | </w:t>
      </w:r>
      <w:r>
        <w:t xml:space="preserve">链接: </w:t>
      </w:r>
      <w:hyperlink r:id="rId202">
        <w:r>
          <w:rPr>
            <w:rFonts w:ascii="Times New Roman" w:hAnsi="Times New Roman" w:eastAsia="宋体"/>
            <w:color w:val="0000FF"/>
            <w:sz w:val="21"/>
            <w:u w:val="single"/>
          </w:rPr>
          <w:t>https://doi.org/10.1038/s41598-026-38219-x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膀胱癌（BLCA）的免疫微环境和预后仍然是其治疗中持续存在的挑战。本研究旨在建立预测预后指标并研究免疫微环境以增强临床治疗策略。利用膀胱癌患者的单细胞 RNA-seq 数据构建了单细胞转录图谱，重点关注成纤维细胞相关基因表达、细胞间通讯、单细胞通量估计分析推断的代谢途径和转录因子网络。使用癌症基因组图谱的数据验证了成纤维细胞相关的预后基因特征，并开发了一个预后模型来将膀胱癌患者分为高风险组和低风险组。对三个癌旁单细胞样本的分析揭示了 3,603 个成纤维细胞和 500 个成纤维细胞相关标记基因的存在。值得注意的是，通过 SCENIC 分析鉴定了关键的成纤维细胞特异性转录因子，包括 MAF、TWIST1 和 TCF21。综合RNA测序数据的结合使得能够发现与成纤维细胞相关的预后标记物。使用这种分类模型，可以根据模型将患者生存分为高风险和低风险类别。我们的研究结果强调了 BLCA 中与免疫微环境的成纤维细胞成分相关的预后遗传特征，为预后评估和潜在的治疗意义提供了初步见解。</w:t>
      </w:r>
    </w:p>
    <w:p>
      <w:pPr>
        <w:spacing w:before="120"/>
      </w:pPr>
      <w:r>
        <w:rPr>
          <w:rFonts w:ascii="Times New Roman" w:hAnsi="Times New Roman" w:eastAsia="宋体"/>
          <w:b/>
          <w:sz w:val="21"/>
        </w:rPr>
        <w:t>English Abstract:</w:t>
      </w:r>
    </w:p>
    <w:p>
      <w:r>
        <w:rPr>
          <w:rFonts w:ascii="Times New Roman" w:hAnsi="Times New Roman" w:eastAsia="宋体"/>
          <w:sz w:val="21"/>
        </w:rPr>
        <w:t>The immune microenvironment and prognosis of bladder cancer (BLCA) remain ongoing challenges in its treatment. This study aimed to establish predictive prognostic indicators and investigate the immune microenvironment to enhance clinical treatment strategies. A single-cell transcriptional atlas was constructed using single-cell RNA-seq data from patients with bladder cancer, focusing on fibroblast-related gene expression, intercellular communication, metabolic pathways inferred by single-cell flux estimation analysis, and transcription factor networks. Fibroblast-associated prognostic gene signatures were validated using data from The Cancer Genome Atlas, and a prognostic model was developed to stratify patients with bladder cancer into high- and low-risk groups. Analysis of three para-carcinoma single-cell samples revealed the presence of 3,603 fibroblasts and 500 fibroblast-associated marker genes. Notably, key fibroblast-specific transcription factors, including MAF, TWIST1, and TCF21, were identified through SCENIC analysis. The incorporation of comprehensive RNA sequencing data enabled the discovery of prognostic markers associated with fibroblasts. Using this classification model, patient survival could be stratified into high- and low-risk categories based on the model. The results of our study highlight the prognostic genetic signatures associated with the fibroblast component of the immune microenvironment in BLCA, offering preliminary insights into prognostic assessment and potential therapeutic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一种基于小波的频域方法，用于准确检测多种作物疾病</w:t>
      </w:r>
    </w:p>
    <w:p>
      <w:r>
        <w:rPr>
          <w:rFonts w:ascii="Times New Roman" w:hAnsi="Times New Roman" w:eastAsia="宋体"/>
          <w:b/>
          <w:color w:val="003264"/>
          <w:sz w:val="24"/>
        </w:rPr>
        <w:t>A wavelet-based frequency-domain approach for accurate multi-crop disease detection</w:t>
      </w:r>
    </w:p>
    <w:p>
      <w:r>
        <w:rPr>
          <w:rFonts w:ascii="Times New Roman" w:hAnsi="Times New Roman" w:eastAsia="宋体"/>
          <w:sz w:val="21"/>
        </w:rPr>
        <w:t>作者: Jiamu Zhao, Yongchao Liang, Gongmin Wei, Bing Han, Jie Li, Chaoyi Yu, Junjie Zeng, Shengli He</w:t>
        <w:br/>
      </w:r>
      <w:r>
        <w:rPr>
          <w:rFonts w:ascii="Times New Roman" w:hAnsi="Times New Roman" w:eastAsia="宋体"/>
          <w:sz w:val="21"/>
        </w:rPr>
        <w:t xml:space="preserve">时间: 2026-02-03 | </w:t>
      </w:r>
      <w:r>
        <w:t xml:space="preserve">链接: </w:t>
      </w:r>
      <w:hyperlink r:id="rId203">
        <w:r>
          <w:rPr>
            <w:rFonts w:ascii="Times New Roman" w:hAnsi="Times New Roman" w:eastAsia="宋体"/>
            <w:color w:val="0000FF"/>
            <w:sz w:val="21"/>
            <w:u w:val="single"/>
          </w:rPr>
          <w:t>https://doi.org/10.1038/s41598-026-38476-w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作物病斑的及时定位和诊断对于疾病控制和减少农药使用至关重要。然而，现场病灶通常类似于叶子纹理，规模变化很大，并且受到光照和阴影干扰，这使得同时实现高精度和轻量级推理具有挑战性。我们提出了 WGA-YOLO，一种用于作物病害识别的轻量级 YOLO 变体。我们设计的核心是小波通道重校准（WCR），它是一个基于 DWT 的下采样模块：离散小波变换自然地提供多分辨率、时频局部表示，可以明确地将低频近似与高频边缘/纹理细节分开。 WCR 融合高频和低频分量，并通过频域互补性增强特征表示，从而在分辨率降低期间保留语义和精细纹理信息，而额外成本可以忽略不计。我们还引入了 PS-C2f，它将风车形卷积集成到 C2f 中，以通过多方向、不规则内核更好地捕获微小病变细节，并用动态组注意池（DGAP）取代 SPPF，以实现高效的多尺度上下文聚合。在我们的 PlantDoc_boost 数据集上，WGA-YOLO 比 YOLOv8n 提高了 3.02 和 2.85%，同时将参数和 FLOP 减少了约 0.18 M 和约 0.3G，证明了推理效率和部署友好性的提高，同时在现场场景中保持了强大的检测性能。</w:t>
      </w:r>
    </w:p>
    <w:p>
      <w:pPr>
        <w:spacing w:before="120"/>
      </w:pPr>
      <w:r>
        <w:rPr>
          <w:rFonts w:ascii="Times New Roman" w:hAnsi="Times New Roman" w:eastAsia="宋体"/>
          <w:b/>
          <w:sz w:val="21"/>
        </w:rPr>
        <w:t>English Abstract:</w:t>
      </w:r>
    </w:p>
    <w:p>
      <w:r>
        <w:rPr>
          <w:rFonts w:ascii="Times New Roman" w:hAnsi="Times New Roman" w:eastAsia="宋体"/>
          <w:sz w:val="21"/>
        </w:rPr>
        <w:t>Timely localization and diagnosis of crop lesions are critical for disease control and reducing pesticide use. However, in-field lesions often resemble leaf textures, vary widely in scale, and suffer from lighting and shadow interference—making simultaneous high accuracy and lightweight inference challenging. We propose WGA-YOLO, a lightweight YOLO variant for crop disease recognition. Central to our design is Wavelet Channel Recalibration (WCR), a DWT-based downsampling module: discrete wavelet transform naturally provides multi-resolution, time–frequency localized representations that explicitly separate low-frequency approximations from high-frequency edge/texture details. WCR fuses high- and low-frequency components and enhances feature representation through their frequency-domain complementarity, thereby preserving semantic and fine texture information during resolution reduction with negligible extra cost. We also introduce PS-C2f, which integrates Pinwheel-shaped convolutions into C2f to better capture tiny lesion details via multi-directional, irregular kernels, and replace SPPF with Dynamic Group Attention Pooling (DGAP) for efficient multi-scale context aggregation. On our PlantDoc_boost dataset, WGA-YOLO improves over YOLOv8n by 3.02 and 2.85% points, while reducing parameters and FLOPs by ~ 0.18 M and ~ 0.3G, demonstrating improved inference efficiency and deployment friendliness while maintaining strong detection performance in field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量子优化的分层块编码，具有强大的嵌入，可实现感知完整性和压缩容忍的视觉数据保护</w:t>
      </w:r>
    </w:p>
    <w:p>
      <w:r>
        <w:rPr>
          <w:rFonts w:ascii="Times New Roman" w:hAnsi="Times New Roman" w:eastAsia="宋体"/>
          <w:b/>
          <w:color w:val="003264"/>
          <w:sz w:val="24"/>
        </w:rPr>
        <w:t>Quantum optimized hierarchical chunk encoding with robust embedding for perceptual integrity and compression tolerant visual data protection</w:t>
      </w:r>
    </w:p>
    <w:p>
      <w:r>
        <w:rPr>
          <w:rFonts w:ascii="Times New Roman" w:hAnsi="Times New Roman" w:eastAsia="宋体"/>
          <w:sz w:val="21"/>
        </w:rPr>
        <w:t>作者: G. Suresh, J. Arun Kumar, Vivek Karthick Perumal, S. Ramkumar</w:t>
        <w:br/>
      </w:r>
      <w:r>
        <w:rPr>
          <w:rFonts w:ascii="Times New Roman" w:hAnsi="Times New Roman" w:eastAsia="宋体"/>
          <w:sz w:val="21"/>
        </w:rPr>
        <w:t xml:space="preserve">时间: 2026-02-03 | </w:t>
      </w:r>
      <w:r>
        <w:t xml:space="preserve">链接: </w:t>
      </w:r>
      <w:hyperlink r:id="rId204">
        <w:r>
          <w:rPr>
            <w:rFonts w:ascii="Times New Roman" w:hAnsi="Times New Roman" w:eastAsia="宋体"/>
            <w:color w:val="0000FF"/>
            <w:sz w:val="21"/>
            <w:u w:val="single"/>
          </w:rPr>
          <w:t>https://doi.org/10.1038/s41598-026-38249-5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多媒体通信和图像共享平台的发展呈指数级增长，这增强了未经授权的进入、压缩降级以及视觉数据操纵的威胁。基于固定域变换的经典水印方法很可能是 DCT 和 DWT 并不总是适应不同的压缩率，并且对对抗环境不具有高鲁棒性。此外，可用的方法受到低水平的不可感知性或计算的限制，这阻碍了实时或大规模应用。为了克服这些限制，提出了一种新的感知自适应和压缩敏感图像水印的量子优化分层块编码（QHCE）模型。所提供的方法结合了基于熵的图像四叉树划分、基于显着性的区域选择以及使用多层 DWT 的水印变换域嵌入。量子遗传算法（QGA）用于找到嵌入参数的最佳位置、频带和强度，从而在鲁棒性和视觉保真度之间实现良好的权衡。该模型使用 Python 3.10、PyWavelets 和 Qiskit 进行训练，并在不同 JPEG 压缩比的柯达图像数据集上进行测试。实验结果表明，与基线方法相比有显着改进，平均 PSNR 为 57.8 dB，SSIM 为 0.997，BER 为 0.00%，QF ≥ 70 时提取精度为 100%。与非优化基线相比，基于 QGA 的优化还实现了有效载荷容量增加 19%，运行时间减少 25%。使用 SHA-256 和汉明距离分析，完整性验证的准确度达到 99.95%。将量子启发的优化集成到感知驱动的编码管道中，为下一代视觉数据保护提供了可扩展、安全且高度稳健的解决方案。这为量子安全多媒体系统和水印恢复能力的未来研究提供了一个引人注目的方向。</w:t>
      </w:r>
    </w:p>
    <w:p>
      <w:pPr>
        <w:spacing w:before="120"/>
      </w:pPr>
      <w:r>
        <w:rPr>
          <w:rFonts w:ascii="Times New Roman" w:hAnsi="Times New Roman" w:eastAsia="宋体"/>
          <w:b/>
          <w:sz w:val="21"/>
        </w:rPr>
        <w:t>English Abstract:</w:t>
      </w:r>
    </w:p>
    <w:p>
      <w:r>
        <w:rPr>
          <w:rFonts w:ascii="Times New Roman" w:hAnsi="Times New Roman" w:eastAsia="宋体"/>
          <w:sz w:val="21"/>
        </w:rPr>
        <w:t>The multimedia communication and image-sharing platform development has increased exponentially, which enhances the threat of unauthorized entry, degradation through compression, and the manipulation of the visual data. The classical watermarking methods that are based on fixed-domain transforms are likely DCT and DWT are not always adaptive to different compression rates, and do not have high robustness to adversarial environments. In addition, methods that are available are limited by low levels of imperceptibility or computation, which hinder real time or large-scale application. In order to overcome such limitations, a new Quantum-Optimized Hierarchical Chunk Encoding (QHCE) model of perceptually adaptive and compression-sensitive image watermarking is proposed. The offered approach incorporates the entropy-based quadtree partitioning of the image into chunks, saliency-based region selection, and transform-domain embedding of watermark with the use of multi-layers DWT. Quantum Genetic Algorithm (QGA) is used to find the optimal location, band and strength of the embedding parameter that results in a good trade-off between the robustness and the visual fidelity. The model was trained with Python 3.10 and PyWavelets and Qiskit and tested on Kodak image dataset at different JPEG compression ratios. Experimental results demonstrate a significant improvement over baseline methods, with an average PSNR of 57.8 dB, SSIM of 0.997, 0.00% BER, and 100% extraction accuracy at QF ≥ 70. The QGA-based optimization also achieved a 19% increase in payload capacity and a 25% reduction in runtime compared to non-optimized baselines. Integrity verification reached 99.95% accuracy using SHA-256 and Hamming distance analysis. Integrating quantum-inspired optimization within a perceptually driven encoding pipeline offers a scalable, secure, and highly robust solution for next-generation visual data protection. This provides a compelling direction for future research in quantum-secure multimedia systems and watermark resilience.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罗马尼亚和土耳其五种药用植物提取物的 LC-MS/MS 表征、生物活性和碳酸酐酶抑制潜力</w:t>
      </w:r>
    </w:p>
    <w:p>
      <w:r>
        <w:rPr>
          <w:rFonts w:ascii="Times New Roman" w:hAnsi="Times New Roman" w:eastAsia="宋体"/>
          <w:b/>
          <w:color w:val="003264"/>
          <w:sz w:val="24"/>
        </w:rPr>
        <w:t>LC-MS/MS characterization, biological activity, and carbonic anhydrase inhibitory potential of five medicinal plant extracts from Romania and Türkiye</w:t>
      </w:r>
    </w:p>
    <w:p>
      <w:r>
        <w:rPr>
          <w:rFonts w:ascii="Times New Roman" w:hAnsi="Times New Roman" w:eastAsia="宋体"/>
          <w:sz w:val="21"/>
        </w:rPr>
        <w:t>作者: Eda Büker, Dorina Casoni, Simona Codruta Aurora Cobzac, İbrahim Bilici, Ömer Kayır, Hacer Doğan</w:t>
        <w:br/>
      </w:r>
      <w:r>
        <w:rPr>
          <w:rFonts w:ascii="Times New Roman" w:hAnsi="Times New Roman" w:eastAsia="宋体"/>
          <w:sz w:val="21"/>
        </w:rPr>
        <w:t xml:space="preserve">时间: 2026-02-03 | </w:t>
      </w:r>
      <w:r>
        <w:t xml:space="preserve">链接: </w:t>
      </w:r>
      <w:hyperlink r:id="rId205">
        <w:r>
          <w:rPr>
            <w:rFonts w:ascii="Times New Roman" w:hAnsi="Times New Roman" w:eastAsia="宋体"/>
            <w:color w:val="0000FF"/>
            <w:sz w:val="21"/>
            <w:u w:val="single"/>
          </w:rPr>
          <w:t>https://doi.org/10.1038/s41598-026-38419-5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天然碳酸酐酶（CA）抑制剂因其在利尿、抗青光眼、抗肥胖和抗癌治疗中的潜在应用而受到广泛关注。本研究首次对来自罗马尼亚和土耳其的小茴香、杜松、洋甘菊、贯叶连翘和缬草的水醇提取物的 CA 抑制潜力、抗氧化活性和 LC-MS/MS（液相色谱串联质谱法）植物化学特征进行了比较评估。采用主成分分析 (PCA) 将次生代谢物与观察到的生物活性关联起来。虽然 S. hortensis 和 J. communis 在这两个国家表现出一致的代谢特征，但其他物种则表现出地理差异。相关分析表明，虽然特定的酚酸（例如没食子酸、阿魏酸）支持抗氧化能力，但迷迭香酸和木犀草素对 CA 抑制和利尿潜力有重要贡献。值得注意的是，S. hortensis 成为最有前途的来源；土耳其样品表现出卓越的功效，这归因于高迷迭香酸含量 (49.76 µg/mL) 和显着的 CA 抑制作用 (64.87 µg 乙酰唑酰胺当量/mL)。土耳其的贯叶连翘中的多酚和类黄酮含量最高，分别为 16.95 ± 0.221 和 9.77 ± 0.17。这些发现强调了 S. hortensis 在治疗 CA 相关疾病方面的治疗潜力。</w:t>
      </w:r>
    </w:p>
    <w:p>
      <w:pPr>
        <w:spacing w:before="120"/>
      </w:pPr>
      <w:r>
        <w:rPr>
          <w:rFonts w:ascii="Times New Roman" w:hAnsi="Times New Roman" w:eastAsia="宋体"/>
          <w:b/>
          <w:sz w:val="21"/>
        </w:rPr>
        <w:t>English Abstract:</w:t>
      </w:r>
    </w:p>
    <w:p>
      <w:r>
        <w:rPr>
          <w:rFonts w:ascii="Times New Roman" w:hAnsi="Times New Roman" w:eastAsia="宋体"/>
          <w:sz w:val="21"/>
        </w:rPr>
        <w:t>Natural carbonic anhydrase (CA) inhibitors are gaining significant attention for their potential applications in diuretic, antiglaucoma, anti-obesity, and anticancer therapies. This study provides the first comparative evaluation of CA inhibitory potential, antioxidant activity, and LC-MS/MS (Liquid Chromatography Tandem Mass Spectrometry) phytochemical profiles of hydroalcoholic extracts from Satureja hortensis, Juniperus communis, Matricaria chamomilla, Hypericum perforatum, and Valeriana officinalis sourced from Romania and Türkiye. Principal Component Analysis (PCA) was employed to correlate secondary metabolites with observed biological activities. While S. hortensis and J. communis displayed consistent metabolic profiles across both countries, the other species exhibited geographic variation. Correlation analysis indicated that while specific phenolic acids (e.g., gallic, ferulic) supported antioxidant capacity, rosmarinic acid and luteolin were strong contributors to CA inhibition and diuretic potential. Notably, S. hortensis emerged as the most promising source; the Turkish sample demonstrated superior efficacy, attributed to high rosmarinic acid content (49.76 µg/mL) and substantial CA inhibition (64.87 µg acetazolamide equivalent/mL). The highest values of polyphenol and flavonoid content were found in H. perforatum from Türkiye, with 16.95 ± 0.221 and 9.77 ± 0.17, respectively. These findings underscore the therapeutic potential of S. hortensis in managing CA-related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数字艺术创作的全景图像修复与视觉质量增强方法</w:t>
      </w:r>
    </w:p>
    <w:p>
      <w:r>
        <w:rPr>
          <w:rFonts w:ascii="Times New Roman" w:hAnsi="Times New Roman" w:eastAsia="宋体"/>
          <w:b/>
          <w:color w:val="003264"/>
          <w:sz w:val="24"/>
        </w:rPr>
        <w:t>Panoramic image restoration and visual quality enhancement methods for digital art creation</w:t>
      </w:r>
    </w:p>
    <w:p>
      <w:r>
        <w:rPr>
          <w:rFonts w:ascii="Times New Roman" w:hAnsi="Times New Roman" w:eastAsia="宋体"/>
          <w:sz w:val="21"/>
        </w:rPr>
        <w:t>作者: Zhenxi Yu, Ting Wang, Peng Tian, Xuejie Li</w:t>
        <w:br/>
      </w:r>
      <w:r>
        <w:rPr>
          <w:rFonts w:ascii="Times New Roman" w:hAnsi="Times New Roman" w:eastAsia="宋体"/>
          <w:sz w:val="21"/>
        </w:rPr>
        <w:t xml:space="preserve">时间: 2026-02-03 | </w:t>
      </w:r>
      <w:r>
        <w:t xml:space="preserve">链接: </w:t>
      </w:r>
      <w:hyperlink r:id="rId206">
        <w:r>
          <w:rPr>
            <w:rFonts w:ascii="Times New Roman" w:hAnsi="Times New Roman" w:eastAsia="宋体"/>
            <w:color w:val="0000FF"/>
            <w:sz w:val="21"/>
            <w:u w:val="single"/>
          </w:rPr>
          <w:t>https://doi.org/10.1038/s41598-026-37659-9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图像以其广阔的视野和丰富的信息，成为数字艺术创作和虚拟现实中必不可少的视觉材料。然而，现有的全景图像恢复和质量增强方法缺乏高层语义理解和全局特征控制，这往往导致复杂场景中的结构混乱。他们还努力平衡语义理解、实时性能和恢复质量。针对这些问题，本文提出了一种用于数字艺术创作的全景图像修复和视觉质量增强模型。该模型使用多尺度残差网络、坐标空间注意力机制和超分辨率重建来构建视觉质量增强算法，准确捕获局部细节和全局结构特征。基于该算法，集成了优化的生成对抗网络和视觉变换器，对损坏和未损坏区域之间的空间相关性和语义逻辑进行建模，实现了高质量的完成。实验结果表明，该模型在DIV2K和SUN360数据集上2000条数据量下，结构相似度指数分别为0.975和0.971，峰值信噪比分别为53.82 dB和53.75 dB，最大内存占用为394 MB，响应时间为3.12 s。该模型在所有指标上均优于比较模型，增强了细节清晰度和全局一致性，并保持了高效的处理性能。它为数字艺术创作提供了高质量的视觉素材，在各项性能指标上都展现出显着的优势。</w:t>
      </w:r>
    </w:p>
    <w:p>
      <w:pPr>
        <w:spacing w:before="120"/>
      </w:pPr>
      <w:r>
        <w:rPr>
          <w:rFonts w:ascii="Times New Roman" w:hAnsi="Times New Roman" w:eastAsia="宋体"/>
          <w:b/>
          <w:sz w:val="21"/>
        </w:rPr>
        <w:t>English Abstract:</w:t>
      </w:r>
    </w:p>
    <w:p>
      <w:r>
        <w:rPr>
          <w:rFonts w:ascii="Times New Roman" w:hAnsi="Times New Roman" w:eastAsia="宋体"/>
          <w:sz w:val="21"/>
        </w:rPr>
        <w:t>Panoramic images, with their wide field of view and abundant information, have become essential visual materials in digital art creation and virtual reality. However, existing panoramic image restoration and quality enhancement methods lack high-level semantic understanding and global feature control, which often leads to structural disorder in complex scenes. They also struggle to balance semantic comprehension, real-time performance, and restoration quality. To address these issues, this paper raises a panoramic image restoration and visual quality enhancement model for digital art creation. The model uses a Multi Scale Residual Network, a Coordinate Space Attention mechanism, and super resolution reconstruction to construct a visual quality enhancement algorithm, which accurately captures both local details and global structural features. Based on this algorithm, an optimized Generative Adversarial Network and a Vision Transformer are integrated to model the spatial correlation and semantic logic between damaged and undamaged regions, achieving high-quality completion. Experimental results show that the model achieves a Structural Similarity Index of 0.975 and 0.971, a Peak Signal to Noise Ratio of 53.82 dB and 53.75 dB, a maximum memory usage of 394 MB, and a response time of 3.12 s with a data volume of 2000 in DIV2K and SUN360 datasets. The model outperforms comparison models in all metrics, enhances both detail clarity and global consistency, and maintains efficient processing performance. It provides high-quality visual materials for digital art creation and shows significant advantages across various performance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阿拉伯海暖池和大气不稳定在引发印度半岛季风 MCC 中的作用</w:t>
      </w:r>
    </w:p>
    <w:p>
      <w:r>
        <w:rPr>
          <w:rFonts w:ascii="Times New Roman" w:hAnsi="Times New Roman" w:eastAsia="宋体"/>
          <w:b/>
          <w:color w:val="003264"/>
          <w:sz w:val="24"/>
        </w:rPr>
        <w:t>Role of Arabian Sea warm pool and atmospheric instability in triggering a monsoonal MCC over Peninsular India</w:t>
      </w:r>
    </w:p>
    <w:p>
      <w:r>
        <w:rPr>
          <w:rFonts w:ascii="Times New Roman" w:hAnsi="Times New Roman" w:eastAsia="宋体"/>
          <w:sz w:val="21"/>
        </w:rPr>
        <w:t>作者: Subin Jose, V. Jayachandran, Nandana S Pradeep</w:t>
        <w:br/>
      </w:r>
      <w:r>
        <w:rPr>
          <w:rFonts w:ascii="Times New Roman" w:hAnsi="Times New Roman" w:eastAsia="宋体"/>
          <w:sz w:val="21"/>
        </w:rPr>
        <w:t xml:space="preserve">时间: 2026-02-03 | </w:t>
      </w:r>
      <w:r>
        <w:t xml:space="preserve">链接: </w:t>
      </w:r>
      <w:hyperlink r:id="rId207">
        <w:r>
          <w:rPr>
            <w:rFonts w:ascii="Times New Roman" w:hAnsi="Times New Roman" w:eastAsia="宋体"/>
            <w:color w:val="0000FF"/>
            <w:sz w:val="21"/>
            <w:u w:val="single"/>
          </w:rPr>
          <w:t>https://doi.org/10.1038/s41598-026-37219-1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中尺度对流复合体 (MCC) 对全球水文循环做出了重大贡献，极端降雨和洪水事件约占印度地区季风降雨总量的 50$$\%$$。 2024 年 7 月 29 日至 30 日期间，印度西高止山脉的瓦亚纳德发生了一场极端降雨事件，引发了毁灭性的山体滑坡和大面积破坏。本研究利用卫星、现场和再分析数据集调查了造成该事件的 MCC。该系统在高度不稳定的大气环境中表现出深层组织的对流、强烈的低层湿气输送和高层发散。阿拉伯海东南部上空异常持续的暖池在季风休止阶段持续存在，通过升高的海面温度和潜热通量创造了有利的热力学条件。研究结果强调了海洋-大气耦合在季风对流极端事件中日益重要的作用，并强调需要改进西高止山脉等地形复杂地区的中尺度建模和预警框架。</w:t>
      </w:r>
    </w:p>
    <w:p>
      <w:pPr>
        <w:spacing w:before="120"/>
      </w:pPr>
      <w:r>
        <w:rPr>
          <w:rFonts w:ascii="Times New Roman" w:hAnsi="Times New Roman" w:eastAsia="宋体"/>
          <w:b/>
          <w:sz w:val="21"/>
        </w:rPr>
        <w:t>English Abstract:</w:t>
      </w:r>
    </w:p>
    <w:p>
      <w:r>
        <w:rPr>
          <w:rFonts w:ascii="Times New Roman" w:hAnsi="Times New Roman" w:eastAsia="宋体"/>
          <w:sz w:val="21"/>
        </w:rPr>
        <w:t>Mesoscale Convective Complexes (MCCs) significantly contribute to the global hydrological cycle and about 50$$\%$$ of the total monsoon rainfall over the Indian region through extreme rainfall and flood events. An extreme rainfall event triggered devastating landslides and widespread damage over Wayanad in the Western Ghats, India, during 29–30 July 2024. This study investigates the MCC responsible for the event using satellite, in-situ, and reanalysis datasets. The system exhibited deep organized convection, strong low-level moisture transport, and upper-level divergence within a highly unstable atmospheric environment. An anomalously persistent warm pool over the southeastern Arabian Sea, sustained during a monsoon break phase, created favorable thermodynamic conditions through elevated sea surface temperatures and latent heat fluxes. The findings underscore the growing role of ocean–atmosphere coupling in monsoonal convective extremes and highlight the need for improved mesoscale modeling and early warning frameworks over topographically complex regions like the Western Ghats.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高脂肪饮食重塑视前区的基因调控网络</w:t>
      </w:r>
    </w:p>
    <w:p>
      <w:r>
        <w:rPr>
          <w:rFonts w:ascii="Times New Roman" w:hAnsi="Times New Roman" w:eastAsia="宋体"/>
          <w:b/>
          <w:color w:val="003264"/>
          <w:sz w:val="24"/>
        </w:rPr>
        <w:t>High fat diet remodels the gene regulatory networks in the preoptic area</w:t>
      </w:r>
    </w:p>
    <w:p>
      <w:r>
        <w:rPr>
          <w:rFonts w:ascii="Times New Roman" w:hAnsi="Times New Roman" w:eastAsia="宋体"/>
          <w:sz w:val="21"/>
        </w:rPr>
        <w:t>作者: Olivia Lazaro, Caleb Beimfohr, Britany App, Rashmita Basu, Travis S. Johnson, Jonathan N. Flak</w:t>
        <w:br/>
      </w:r>
      <w:r>
        <w:rPr>
          <w:rFonts w:ascii="Times New Roman" w:hAnsi="Times New Roman" w:eastAsia="宋体"/>
          <w:sz w:val="21"/>
        </w:rPr>
        <w:t xml:space="preserve">时间: 2026-02-03 | </w:t>
      </w:r>
      <w:r>
        <w:t xml:space="preserve">链接: </w:t>
      </w:r>
      <w:hyperlink r:id="rId208">
        <w:r>
          <w:rPr>
            <w:rFonts w:ascii="Times New Roman" w:hAnsi="Times New Roman" w:eastAsia="宋体"/>
            <w:color w:val="0000FF"/>
            <w:sz w:val="21"/>
            <w:u w:val="single"/>
          </w:rPr>
          <w:t>https://doi.org/10.1038/s41598-026-37692-8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的特点是慢性高血糖导致全身广泛功能障碍。为了通过个体中潜在的完整机制来抵消β细胞衰竭和胰岛素抵抗，中枢神经系统是恢复血糖控制的一个有趣的目标。虽然当前一代的糖尿病治疗方法至少部分是通过重新调整维持能量平衡的动态神经回路的功能来起作用的，但尚未在涉及能量平衡和葡萄糖稳态的大脑许多部分中建立用于缓解代谢疾病的神经标志物。然后，这些缓解模块可以应用于尚未建立的大脑区域，并加快在其他区域发现与糖尿病相关的功能。为了实现这一目标，我们使用了之前发表的来自由于 FGF1 治疗而糖尿病缓解的 ob/ob 小鼠的下丘脑单细胞测序数据集，并确定了缓解模块（即基因簇），可用于定位通过成功治疗而纠正的网络。我们将缓解模块应用于使用来自下丘脑视前区的 C57 小鼠的数据集，该区域与代谢疾病有关，但特征很少。我们鉴定了视前区兴奋性和抑制性神经元的标记，并使用 RNA 范围验证了它们在视前区的表达。这些研究共同在下丘脑神经元中建立了一个缓解模块，可用于定义大脑中对葡萄糖稳态校正做出反应的关键细胞类型和标记物。</w:t>
      </w:r>
    </w:p>
    <w:p>
      <w:pPr>
        <w:spacing w:before="120"/>
      </w:pPr>
      <w:r>
        <w:rPr>
          <w:rFonts w:ascii="Times New Roman" w:hAnsi="Times New Roman" w:eastAsia="宋体"/>
          <w:b/>
          <w:sz w:val="21"/>
        </w:rPr>
        <w:t>English Abstract:</w:t>
      </w:r>
    </w:p>
    <w:p>
      <w:r>
        <w:rPr>
          <w:rFonts w:ascii="Times New Roman" w:hAnsi="Times New Roman" w:eastAsia="宋体"/>
          <w:sz w:val="21"/>
        </w:rPr>
        <w:t>Diabetes is characterized by widespread dysfunction throughout the body due to chronic hyperglycemia. To offset the beta cell failure and insulin resistance through potentially intact mechanisms in the individual, the central nervous system is an intriguing target for restoring glycemic control. While the current generation of diabetes therapeutics operate, at least in part, by re-tuning the function of dynamic neural circuits that maintain energy balance, neurological markers for remission have not been established for metabolic disease in many parts of the brain that are involved in energy balance and glucose homeostasis. These remission modules could be then applied to lesser established brain regions and expedite the discovery of diabetes-related functions in additional regions. To meet this goal, we used a previously published hypothalamic single cell sequencing dataset from ob/ob mice in remission from diabetes due to FGF1 treatment and identified remission modules (i.e. clusters of genes) that can be used to locate the networks that are corrected with successful treatment. We applied the remission modules to a dataset using C57 mice from the preoptic area of the hypothalamus, a region with links to metabolic disease but little characterization. We identified markers in both excitatory and inhibitory neurons in the preoptic area and validated their expression in the preoptic area using RNA scope. Together, these studies establish a remission module in hypothalamic neurons that can be used to define key cell types and markers in the brain that are responsive to correction of glucose homeostasis.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内生孢子附属物的时空表达和冷冻电镜对副炭疽杆菌中 Ena1C 介导的 S-ENA 锚定的见解</w:t>
      </w:r>
    </w:p>
    <w:p>
      <w:r>
        <w:rPr>
          <w:rFonts w:ascii="Times New Roman" w:hAnsi="Times New Roman" w:eastAsia="宋体"/>
          <w:b/>
          <w:color w:val="003264"/>
          <w:sz w:val="24"/>
        </w:rPr>
        <w:t>Spatiotemporal expression of endospore appendages and cryo-EM insights into Ena1C-mediated S-ENA anchoring in Bacillus paranthracis</w:t>
      </w:r>
    </w:p>
    <w:p>
      <w:r>
        <w:rPr>
          <w:rFonts w:ascii="Times New Roman" w:hAnsi="Times New Roman" w:eastAsia="宋体"/>
          <w:sz w:val="21"/>
        </w:rPr>
        <w:t>作者: Ephrem Debebe Zegeye, Mike Sleutel, Unni Lise Jonsmoen, Jingqi Chen, Luiza P. Morawska, Yohannes Beyene Mekonnen, Oscar P. Kuipers, Han Remaut, Marina Aspholm</w:t>
        <w:br/>
      </w:r>
      <w:r>
        <w:rPr>
          <w:rFonts w:ascii="Times New Roman" w:hAnsi="Times New Roman" w:eastAsia="宋体"/>
          <w:sz w:val="21"/>
        </w:rPr>
        <w:t xml:space="preserve">时间: 2026-02-03 | </w:t>
      </w:r>
      <w:r>
        <w:t xml:space="preserve">链接: </w:t>
      </w:r>
      <w:hyperlink r:id="rId209">
        <w:r>
          <w:rPr>
            <w:rFonts w:ascii="Times New Roman" w:hAnsi="Times New Roman" w:eastAsia="宋体"/>
            <w:color w:val="0000FF"/>
            <w:sz w:val="21"/>
            <w:u w:val="single"/>
          </w:rPr>
          <w:t>https://doi.org/10.1038/s41598-026-38321-0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许多蜡样芽孢杆菌组物种的内生孢子都装饰有被称为内生孢子附属物（ENA）的高弹性纤维结构，其精确的生物学功能仍然知之甚少。结构和遗传学研究已确定 ena1A、ena1B 和 ena1C 对于形成副炭疽杆菌中更长、更粗和最丰富的交错 (S)-ENA 纤维至关重要，而 ena3A 编码更短、更细、梯状 (L)-ENA 的主要亚基。在这里，我们研究了 S-和 L-ENA 蛋白的时空表达动态以及 Ena1C 在 S-ENA 生物发生中的具体作用。使用延时荧光显微镜，我们观察到 ena 基因表达的严格时间调控，在孢子变得相亮之前没有检测到 ENA 亚基的产生。 ENAs 表达在孢子形成后期达到峰值，荧光集中在发育中的孢子周围，直至其释放；值得注意的是，S-ENA 亚基的表达开始时间比 L-ENA 亚基早约一小时。结合冷冻电镜、负染透射电子显微镜和遗传分析，我们发现 Ena1C 形成了将 S-ENA 束缚到孢子表面所需的九聚环状结构。这些发现为纤维生物发生过程中 ENAs 表达的调节提供了新的见解，并强调了它们与孢子衣和外孢子发育的时间协调。</w:t>
      </w:r>
    </w:p>
    <w:p>
      <w:pPr>
        <w:spacing w:before="120"/>
      </w:pPr>
      <w:r>
        <w:rPr>
          <w:rFonts w:ascii="Times New Roman" w:hAnsi="Times New Roman" w:eastAsia="宋体"/>
          <w:b/>
          <w:sz w:val="21"/>
        </w:rPr>
        <w:t>English Abstract:</w:t>
      </w:r>
    </w:p>
    <w:p>
      <w:r>
        <w:rPr>
          <w:rFonts w:ascii="Times New Roman" w:hAnsi="Times New Roman" w:eastAsia="宋体"/>
          <w:sz w:val="21"/>
        </w:rPr>
        <w:t>The endospores of many Bacillus cereus group species are decorated with highly resilient fibrous structures known as endospore appendages (ENAs), whose precise biological functions remain poorly understood. Structural and genetic studies have identified ena1A, ena1B, and ena1C as essential for forming the longer, thicker, and most abundant staggered (S)-ENA fibers in Bacillus paranthracis, whereas ena3A encodes the major subunit of the shorter, thinner, ladder-like (L)-ENAs. Here, we investigated the spatiotemporal expression dynamics of S- and L-ENA proteins and the specific role of Ena1C in S-ENA biogenesis. Using time-lapse fluorescence microscopy, we observed strict temporal regulation of ena gene expression, with no detectable ENA subunit production before spores became phase-bright. ENAs expression peaked during late sporulation phase, with fluorescence localized around the developing spore until its release; notably, S-ENA subunit expression began approximately one hour earlier than that of L-ENA subunits. Combining cryo-EM, negative-stain transmission electron microscopy, and genetic analyses, we show that Ena1C forms a nonameric ring-like structure required for tethering S-ENA to the spore surface. These findings provide new insights into the regulation of ENAs’ expression during fiber biogenesis and highlight their temporal coordination with spore coat and exosporium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受众细分和信息传递方法，以获得公众支持和参与沿海社会生态系统管理</w:t>
      </w:r>
    </w:p>
    <w:p>
      <w:r>
        <w:rPr>
          <w:rFonts w:ascii="Times New Roman" w:hAnsi="Times New Roman" w:eastAsia="宋体"/>
          <w:b/>
          <w:color w:val="003264"/>
          <w:sz w:val="24"/>
        </w:rPr>
        <w:t>Audience segmentation and messaging approach to gain public support and involvement in coastal social-ecological system management</w:t>
      </w:r>
    </w:p>
    <w:p>
      <w:r>
        <w:rPr>
          <w:rFonts w:ascii="Times New Roman" w:hAnsi="Times New Roman" w:eastAsia="宋体"/>
          <w:sz w:val="21"/>
        </w:rPr>
        <w:t>作者: Takuro Uehara, Takeshi Hidaka, Sawako Tachibana</w:t>
        <w:br/>
      </w:r>
      <w:r>
        <w:rPr>
          <w:rFonts w:ascii="Times New Roman" w:hAnsi="Times New Roman" w:eastAsia="宋体"/>
          <w:sz w:val="21"/>
        </w:rPr>
        <w:t xml:space="preserve">时间: 2026-02-03 | </w:t>
      </w:r>
      <w:r>
        <w:t xml:space="preserve">链接: </w:t>
      </w:r>
      <w:hyperlink r:id="rId210">
        <w:r>
          <w:rPr>
            <w:rFonts w:ascii="Times New Roman" w:hAnsi="Times New Roman" w:eastAsia="宋体"/>
            <w:color w:val="0000FF"/>
            <w:sz w:val="21"/>
            <w:u w:val="single"/>
          </w:rPr>
          <w:t>https://doi.org/10.1038/s41598-026-38402-0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获得公众的支持和参与对于实施有效的社会生态系统（SES）管理至关重要。早期的研究侧重于总体水平，即按平均值衡量；然而，我们的目的是解决公众的异质性，确定他们对政策的支持，并确定他们对社会经济地位管理的参与。因此，我们在沿海 SES 管理中应用了受众细分和消息传递方法，以解决日本濑户内海 (SIS) 部分地区的寡营养化问题。在我们的实验研究中，基于有关沿海社会经济地位问题和管理的公众舆论的单项自我分类措施应用了受众细分，并评估了两种消息传递条件对细分的影响。居住在沿海社会经济地位地区的受访者被招募（N = 1800）并随机分为三组：没有信息传递的对照组和有“寡营养化的负面后果”或“公众集体参与”信息传递的两组。确定了四个主要部分：惊慌、担忧、谨慎和漠不关心。这些群体表现出鲜明的个人特征，政策支持和参与程度不断下降。例如，“脱离-不屑一顾”群体普遍年龄较小，身体和心理上与海洋距离较远，对问题的认识较少，相关行为较少（如食用当地海鲜），对海洋的价值观较低。这些知识为决策者提供了目标决策的信息。两种消息传递条件对不同细分市场的影响不同，建议政策制定者应根据目标细分市场选择消息传递条件。我们的研究强调了受众细分和有针对性的信息传递对于使政策制定者能够有效接触公共部门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Gaining public support and involvement is essential for implementing effective social-ecological system (SES) management. Earlier studies focused on an aggregate level, i.e., measured by average; however, we aimed to address public heterogeneity, determine their support for policy, and identify their involvement in SES management. Accordingly, we applied audience segmentation and a messaging approach in coastal SES management to address oligotrophication in part of the Seto Inland Sea (SIS), Japan. In our experimental study, audience segmentation was applied based on a single-item self-categorization measure regarding public opinion about coastal SES issues and management, and the impact of two messaging conditions on the segments was assessed. Respondents living in coastal SES areas were recruited (N = 1800) and randomly divided into three groups: a control group without messaging and two groups with either “Negative consequences of oligotrophication” or “Collective public involvement” messaging. Four primary segments were identified: alarmed, concerned, cautious, and disengaged-dismissive. The groups exhibited distinctive personal characteristics and decreasing levels of policy support and involvement. For example, those in segment “Disengaged- Dismissive” were generally younger and physically and psychologically distant from the sea, showed less recognition of the problems, and exhibited infrequent related behaviors (e.g., consuming local seafood), with lower values of the sea. Such knowledge informs policymakers in targeting decisions. The two messaging conditions comprised varied impacts on different segments, suggesting that policymakers should select messaging conditions based on the target segment. Our study highlighted the importance of audience segmentation and targeted messaging in enabling policymakers to effectively reach the public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UncerTrans：用于早期行动预测的不确定性感知时间转换器</w:t>
      </w:r>
    </w:p>
    <w:p>
      <w:r>
        <w:rPr>
          <w:rFonts w:ascii="Times New Roman" w:hAnsi="Times New Roman" w:eastAsia="宋体"/>
          <w:b/>
          <w:color w:val="003264"/>
          <w:sz w:val="24"/>
        </w:rPr>
        <w:t>UncerTrans: uncertainty-aware temporal transformer for early action prediction</w:t>
      </w:r>
    </w:p>
    <w:p>
      <w:r>
        <w:rPr>
          <w:rFonts w:ascii="Times New Roman" w:hAnsi="Times New Roman" w:eastAsia="宋体"/>
          <w:sz w:val="21"/>
        </w:rPr>
        <w:t>作者: Xianfeng Zhai, Yaxiong Liu</w:t>
        <w:br/>
      </w:r>
      <w:r>
        <w:rPr>
          <w:rFonts w:ascii="Times New Roman" w:hAnsi="Times New Roman" w:eastAsia="宋体"/>
          <w:sz w:val="21"/>
        </w:rPr>
        <w:t xml:space="preserve">时间: 2026-02-03 | </w:t>
      </w:r>
      <w:r>
        <w:t xml:space="preserve">链接: </w:t>
      </w:r>
      <w:hyperlink r:id="rId211">
        <w:r>
          <w:rPr>
            <w:rFonts w:ascii="Times New Roman" w:hAnsi="Times New Roman" w:eastAsia="宋体"/>
            <w:color w:val="0000FF"/>
            <w:sz w:val="21"/>
            <w:u w:val="single"/>
          </w:rPr>
          <w:t>https://doi.org/10.1038/s41598-026-38107-4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动作预测旨在通过观察动作执行的初始阶段来预测完整的动作意图，这对于人机协作和智能监控等安全关键应用至关重要。现有方法主要侧重于提高预测精度，但忽略了早期观测中固有的不确定性，导致系统无法区分可靠的预测和不确定的猜测。本文提出了 UncerTrans 框架，将 Temporal Transformer 与 Monte Carlo Dropout 相结合，以实现准确且值得信赖的早期动作预测。时间变换器通过分层时间注意机制和时间衰减位置编码从极短的观察序列中提取判别特征。 Monte Carlo Dropout 在推理过程中通过多次随机前向传播生成预测分布，以量化模型的认知不确定性。自适应采样策略旨在根据初始不确定性动态调整采样频率，平衡预测质量和计算效率。在 EPIC-KITCHENS-100 数据集上的实验表明，UncerTrans 在仅 10% 的观测比下即可达到 65.5% 的准确率，预期校准误差仅为 0.089，显着优于基线方法。通过选择性拒绝高不确定性预测，系统可以将剩余预测的准确率提高到84.2%。研究表明，有效的不确定性量化依赖于高质量的特征提取，两者的结合使早期预测系统能够根据置信度采取差异化策略，为实际部署提供技术基础。</w:t>
      </w:r>
    </w:p>
    <w:p>
      <w:pPr>
        <w:spacing w:before="120"/>
      </w:pPr>
      <w:r>
        <w:rPr>
          <w:rFonts w:ascii="Times New Roman" w:hAnsi="Times New Roman" w:eastAsia="宋体"/>
          <w:b/>
          <w:sz w:val="21"/>
        </w:rPr>
        <w:t>English Abstract:</w:t>
      </w:r>
    </w:p>
    <w:p>
      <w:r>
        <w:rPr>
          <w:rFonts w:ascii="Times New Roman" w:hAnsi="Times New Roman" w:eastAsia="宋体"/>
          <w:sz w:val="21"/>
        </w:rPr>
        <w:t>Early action prediction aims to predict complete action intentions by observing the initial stages of action execution, which is crucial for safety-critical applications such as human-robot collaboration and intelligent monitoring. Existing methods primarily focus on improving prediction accuracy but neglect the inherent uncertainty in early observations, leading to systems that cannot distinguish between reliable predictions and uncertain guesses. This paper proposes the UncerTrans framework, which combines Temporal Transformer with Monte Carlo Dropout to achieve accurate and trustworthy early action prediction. Temporal Transformer extracts discriminative features from extremely short observation sequences through hierarchical temporal attention mechanisms and temporal decay positional encoding. Monte Carlo Dropout generates prediction distributions through multiple random forward propagations during inference to quantify the model’s epistemic uncertainty. An adaptive sampling strategy is designed to dynamically adjust sampling frequency based on initial uncertainty, balancing prediction quality and computational efficiency. Experiments on the EPIC-KITCHENS-100 dataset demonstrate that UncerTrans achieves 65.5% accuracy with only 10% observation ratio and an Expected Calibration Error of merely 0.089, significantly outperforming baseline methods. Through selective rejection of high-uncertainty predictions, the system can improve the accuracy of remaining predictions to 84.2%. The research demonstrates that effective uncertainty quantification relies on high-quality feature extraction, and the combination of both components enables early prediction systems to adopt differentiated strategies based on confidence levels, providing a technical foundation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壳聚糖-聚(3,4-乙烯二氧噻吩)-聚(苯乙烯磺酸)-AuNPs 复合材料用于使用等离子体图像传感器检测丙酮</w:t>
      </w:r>
    </w:p>
    <w:p>
      <w:r>
        <w:rPr>
          <w:rFonts w:ascii="Times New Roman" w:hAnsi="Times New Roman" w:eastAsia="宋体"/>
          <w:b/>
          <w:color w:val="003264"/>
          <w:sz w:val="24"/>
        </w:rPr>
        <w:t>Chitosan-poly(3,4-ethylenedioxythiophene)-poly(styrenesulfonate)-AuNPs composite for acetone detection using plasmonic image sensor</w:t>
      </w:r>
    </w:p>
    <w:p>
      <w:r>
        <w:rPr>
          <w:rFonts w:ascii="Times New Roman" w:hAnsi="Times New Roman" w:eastAsia="宋体"/>
          <w:sz w:val="21"/>
        </w:rPr>
        <w:t>作者: Amir Reza Sadrolhosseini, Ali Bizhanifar, Ladan Akbari, Seyedeh Mehri Hamidi</w:t>
        <w:br/>
      </w:r>
      <w:r>
        <w:rPr>
          <w:rFonts w:ascii="Times New Roman" w:hAnsi="Times New Roman" w:eastAsia="宋体"/>
          <w:sz w:val="21"/>
        </w:rPr>
        <w:t xml:space="preserve">时间: 2026-02-03 | </w:t>
      </w:r>
      <w:r>
        <w:t xml:space="preserve">链接: </w:t>
      </w:r>
      <w:hyperlink r:id="rId212">
        <w:r>
          <w:rPr>
            <w:rFonts w:ascii="Times New Roman" w:hAnsi="Times New Roman" w:eastAsia="宋体"/>
            <w:color w:val="0000FF"/>
            <w:sz w:val="21"/>
            <w:u w:val="single"/>
          </w:rPr>
          <w:t>https://doi.org/10.1038/s41598-026-38050-4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丙酮有较多的医疗和工业应用，其检测在医疗和工业领域间接测量某些量、控制人体安全方面发挥着重要作用。在这项研究中，开发了一种基于壳聚糖、聚(3,4-乙撑二氧噻吩)-聚(苯乙烯磺酸)(PEDOT:PSS)和金纳米粒子的表面等离子体共振图像传感器，用于检测丙酮。使用激光烧蚀技术制造了金纳米颗粒，并使用壳聚糖-PEDOT: PSS 和壳聚糖-PEDOT: PSS-金纳米颗粒复合材料通过表面等离子共振图像传感器检测纯丙酮蒸气形式。将传感器的响应与丙酮与甲醇和乙醇混合时的传感器响应进行比较。因此，传感器对纯丙酮的响应大于传感器对甲醇或乙醇存在的响应。当传感层与纯甲醇和乙醇接触时，传感器的响应非常微不足道。</w:t>
      </w:r>
    </w:p>
    <w:p>
      <w:pPr>
        <w:spacing w:before="120"/>
      </w:pPr>
      <w:r>
        <w:rPr>
          <w:rFonts w:ascii="Times New Roman" w:hAnsi="Times New Roman" w:eastAsia="宋体"/>
          <w:b/>
          <w:sz w:val="21"/>
        </w:rPr>
        <w:t>English Abstract:</w:t>
      </w:r>
    </w:p>
    <w:p>
      <w:r>
        <w:rPr>
          <w:rFonts w:ascii="Times New Roman" w:hAnsi="Times New Roman" w:eastAsia="宋体"/>
          <w:sz w:val="21"/>
        </w:rPr>
        <w:t>Since acetone has more medical and industrial applications, its detection plays a significant role in indirectly measuring some quantities and controlling human safety in medical and industrial areas. In this research, a surface plasmon resonance image sensor was developed based on chitosan, poly(3,4-ethylenedioxythiophene)-poly(styrenesulfonate) (PEDOT:PSS), and gold nanoparticles for the detection of acetone. The gold nanoparticles have been fabricated using the laser ablation technique, and chitosan-PEDOT: PSS and chitosan-PEDOT: PSS-gold-nanoparticles composite were used to detect the pure acetone vapor form using a surface plasmon resonance image sensor. The response of the sensor was compared with the sensor’s response when acetone was mixed with methanol and ethanol. Consequently, the sensor’s response to pure acetone was greater than the sensor’s response in the presence of methanol or ethanol. The sensor’s response is very insignificant when the sensing layer is contacted with pure methanol and ethanol.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12:42 ---</w:t>
      </w:r>
    </w:p>
    <w:p>
      <w:pPr>
        <w:pStyle w:val="Heading2"/>
      </w:pPr>
      <w:r/>
      <w:r>
        <w:rPr>
          <w:rFonts w:ascii="Times New Roman" w:hAnsi="Times New Roman" w:eastAsia="宋体"/>
          <w:b/>
          <w:color w:val="000000"/>
          <w:sz w:val="24"/>
        </w:rPr>
        <w:t>基于深度学习的多目标优化拓扑法诺共振逆向设计</w:t>
      </w:r>
    </w:p>
    <w:p>
      <w:r>
        <w:rPr>
          <w:rFonts w:ascii="Times New Roman" w:hAnsi="Times New Roman" w:eastAsia="宋体"/>
          <w:b/>
          <w:color w:val="003264"/>
          <w:sz w:val="24"/>
        </w:rPr>
        <w:t>Inverse design of topological Fano resonance via deep learning based multi-objective optimization</w:t>
      </w:r>
    </w:p>
    <w:p>
      <w:r>
        <w:rPr>
          <w:rFonts w:ascii="Times New Roman" w:hAnsi="Times New Roman" w:eastAsia="宋体"/>
          <w:sz w:val="21"/>
        </w:rPr>
        <w:t>作者: Xu Liu, Zhongyi Guo, Kai Guo</w:t>
        <w:br/>
      </w:r>
      <w:r>
        <w:rPr>
          <w:rFonts w:ascii="Times New Roman" w:hAnsi="Times New Roman" w:eastAsia="宋体"/>
          <w:sz w:val="21"/>
        </w:rPr>
        <w:t xml:space="preserve">时间: 2026-01-20 | </w:t>
      </w:r>
      <w:r>
        <w:t xml:space="preserve">链接: </w:t>
      </w:r>
      <w:hyperlink r:id="rId214">
        <w:r>
          <w:rPr>
            <w:rFonts w:ascii="Times New Roman" w:hAnsi="Times New Roman" w:eastAsia="宋体"/>
            <w:color w:val="0000FF"/>
            <w:sz w:val="21"/>
            <w:u w:val="single"/>
          </w:rPr>
          <w:t>https://doi.org/10.1364/ol.584145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拓扑系统复杂的物理机制以及法诺共振的显着敏感性和内在不对称性，实现特定的高质量拓扑法诺共振的结构设计尤其具有挑战性。在这封信中，我们提出了一个将深度学习与多目标粒子群优化（MOPSO）相结合的框架，以实现拓扑系统中高 Q Fano 共振的按需结构设计。在我们的框架中，残差和全连接神经网络作为代理模型来预测 Fano 谱和品质因数，分别达到 97.04% 和 98.96% 的准确率。该框架的有效性通过设计频率为 98、100 和 102 THz 的拓扑 Fano 共振得到证明。我们的结果可能为拓扑光子晶体的多性能优化和逆向设计提供通用途径。</w:t>
      </w:r>
    </w:p>
    <w:p>
      <w:pPr>
        <w:spacing w:before="120"/>
      </w:pPr>
      <w:r>
        <w:rPr>
          <w:rFonts w:ascii="Times New Roman" w:hAnsi="Times New Roman" w:eastAsia="宋体"/>
          <w:b/>
          <w:sz w:val="21"/>
        </w:rPr>
        <w:t>English Abstract:</w:t>
      </w:r>
    </w:p>
    <w:p>
      <w:r>
        <w:rPr>
          <w:rFonts w:ascii="Times New Roman" w:hAnsi="Times New Roman" w:eastAsia="宋体"/>
          <w:sz w:val="21"/>
        </w:rPr>
        <w:t>Due to the complicated physical mechanisms of topological systems and the pronounced sensitivity and intrinsic asymmetry of Fano resonance, achieving structural designs for specific high-quality topological Fano resonances is particularly challenging. In this Letter, we propose a framework that integrates deep learning with multi-objective particle swarm optimization (MOPSO) to achieve the on-demand structural design of high-Q Fano resonance in a topological system. In our framework, the residual and fully connected neural networks serve as surrogate models to predict the Fano spectrum and the quality factor, achieving accuracies of 97.04% and 98.96%, respectively. The effectiveness of the framework is demonstrated by designing topological Fano resonance at frequencies of 98, 100, and 102 THz. Our results may offer a versatile route for multi-performance optimization and inverse design of topological photonic crystals.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12:42 ---</w:t>
      </w:r>
    </w:p>
    <w:p>
      <w:pPr>
        <w:pStyle w:val="Heading1"/>
      </w:pPr>
      <w:r>
        <w:rPr>
          <w:rFonts w:ascii="Times New Roman" w:hAnsi="Times New Roman" w:eastAsia="宋体"/>
          <w:b/>
          <w:color w:val="000000"/>
          <w:sz w:val="32"/>
        </w:rPr>
        <w:t>Nature Methods</w:t>
      </w:r>
    </w:p>
    <w:p>
      <w:pPr>
        <w:jc w:val="center"/>
      </w:pPr>
      <w:r>
        <w:t>--- 更新: 12:48 ---</w:t>
      </w:r>
    </w:p>
    <w:p>
      <w:pPr>
        <w:pStyle w:val="Heading2"/>
      </w:pPr>
      <w:r/>
      <w:r>
        <w:rPr>
          <w:rFonts w:ascii="Times New Roman" w:hAnsi="Times New Roman" w:eastAsia="宋体"/>
          <w:b/>
          <w:color w:val="000000"/>
          <w:sz w:val="24"/>
        </w:rPr>
        <w:t>连接组学的不确定性量化</w:t>
      </w:r>
    </w:p>
    <w:p>
      <w:r>
        <w:rPr>
          <w:rFonts w:ascii="Times New Roman" w:hAnsi="Times New Roman" w:eastAsia="宋体"/>
          <w:b/>
          <w:color w:val="003264"/>
          <w:sz w:val="24"/>
        </w:rPr>
        <w:t>Uncertainty quantification for connectomics</w:t>
      </w:r>
    </w:p>
    <w:p>
      <w:r>
        <w:rPr>
          <w:rFonts w:ascii="Times New Roman" w:hAnsi="Times New Roman" w:eastAsia="宋体"/>
          <w:sz w:val="21"/>
        </w:rPr>
        <w:t>作者: Jan Funke</w:t>
        <w:br/>
      </w:r>
      <w:r>
        <w:rPr>
          <w:rFonts w:ascii="Times New Roman" w:hAnsi="Times New Roman" w:eastAsia="宋体"/>
          <w:sz w:val="21"/>
        </w:rPr>
        <w:t xml:space="preserve">时间: 2025-12-08 | </w:t>
      </w:r>
      <w:r>
        <w:t xml:space="preserve">链接: </w:t>
      </w:r>
      <w:hyperlink r:id="rId216">
        <w:r>
          <w:rPr>
            <w:rFonts w:ascii="Times New Roman" w:hAnsi="Times New Roman" w:eastAsia="宋体"/>
            <w:color w:val="0000FF"/>
            <w:sz w:val="21"/>
            <w:u w:val="single"/>
          </w:rPr>
          <w:t>https://doi.org/10.1038/s41592-025-02945-3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随着连接组学数据集规模和数量的增长，未来的重建方法将必须在最少或没有人类监督的情况下工作。为此，我们需要能够量化数据和建模不确定性的方法，以评估我们可以在连接体下游分析中进行的信任水平。</w:t>
      </w:r>
    </w:p>
    <w:p>
      <w:pPr>
        <w:spacing w:before="120"/>
      </w:pPr>
      <w:r>
        <w:rPr>
          <w:rFonts w:ascii="Times New Roman" w:hAnsi="Times New Roman" w:eastAsia="宋体"/>
          <w:b/>
          <w:sz w:val="21"/>
        </w:rPr>
        <w:t>English Abstract:</w:t>
      </w:r>
    </w:p>
    <w:p>
      <w:r>
        <w:rPr>
          <w:rFonts w:ascii="Times New Roman" w:hAnsi="Times New Roman" w:eastAsia="宋体"/>
          <w:sz w:val="21"/>
        </w:rPr>
        <w:t>As connectomics datasets grow in size and quantity, future reconstruction methods will have to work with minimal or no human supervision. For that, we will need methods that can quantify data and model uncertainty in order to assess the level of trust we can put in the downstream analysis of connectomes.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超越电子显微镜的连接组学</w:t>
      </w:r>
    </w:p>
    <w:p>
      <w:r>
        <w:rPr>
          <w:rFonts w:ascii="Times New Roman" w:hAnsi="Times New Roman" w:eastAsia="宋体"/>
          <w:b/>
          <w:color w:val="003264"/>
          <w:sz w:val="24"/>
        </w:rPr>
        <w:t>Connectomics beyond electron microscopy</w:t>
      </w:r>
    </w:p>
    <w:p>
      <w:r>
        <w:rPr>
          <w:rFonts w:ascii="Times New Roman" w:hAnsi="Times New Roman" w:eastAsia="宋体"/>
          <w:sz w:val="21"/>
        </w:rPr>
        <w:t>作者: Ramin Khajeh, Wei-Chung Allen Lee</w:t>
        <w:br/>
      </w:r>
      <w:r>
        <w:rPr>
          <w:rFonts w:ascii="Times New Roman" w:hAnsi="Times New Roman" w:eastAsia="宋体"/>
          <w:sz w:val="21"/>
        </w:rPr>
        <w:t xml:space="preserve">时间: 2025-12-08 | </w:t>
      </w:r>
      <w:r>
        <w:t xml:space="preserve">链接: </w:t>
      </w:r>
      <w:hyperlink r:id="rId217">
        <w:r>
          <w:rPr>
            <w:rFonts w:ascii="Times New Roman" w:hAnsi="Times New Roman" w:eastAsia="宋体"/>
            <w:color w:val="0000FF"/>
            <w:sz w:val="21"/>
            <w:u w:val="single"/>
          </w:rPr>
          <w:t>https://doi.org/10.1038/s41592-025-02943-5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连接组学是在纳米级分辨率下对神经回路进行全面绘图，历来依赖于电子显微镜 (EM)，包括透射 (TEM) 和扫描 (SEM)。然而，随着连接组学向更大的脑容量和整个哺乳动物大脑扩展，出现了巨大的技术挑战。在这里，我们重点介绍一些有希望的关键挑战和先进方法，特别是那些集成三维、多分辨率和时间分辨成像以捕获远距离和局部布线（低至超分子分辨率）的方法。</w:t>
      </w:r>
    </w:p>
    <w:p>
      <w:pPr>
        <w:spacing w:before="120"/>
      </w:pPr>
      <w:r>
        <w:rPr>
          <w:rFonts w:ascii="Times New Roman" w:hAnsi="Times New Roman" w:eastAsia="宋体"/>
          <w:b/>
          <w:sz w:val="21"/>
        </w:rPr>
        <w:t>English Abstract:</w:t>
      </w:r>
    </w:p>
    <w:p>
      <w:r>
        <w:rPr>
          <w:rFonts w:ascii="Times New Roman" w:hAnsi="Times New Roman" w:eastAsia="宋体"/>
          <w:sz w:val="21"/>
        </w:rPr>
        <w:t>Connectomics, the comprehensive mapping of neural circuits at nanoscale resolution, has historically relied on electron microscopy (EM), both transmission (TEM) and scanning (SEM). However, as connectomics scales towards larger brain volumes and whole mammalian brains, substantial technical challenges emerge. Here, we highlight key challenges and advancing approaches that hold promise, particularly those that integrate three-dimensional, multi-resolution and time-resolved imaging to capture both long-range and local wiring, down to supramolecular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年度最佳方法：EM 连接组学</w:t>
      </w:r>
    </w:p>
    <w:p>
      <w:r>
        <w:rPr>
          <w:rFonts w:ascii="Times New Roman" w:hAnsi="Times New Roman" w:eastAsia="宋体"/>
          <w:b/>
          <w:color w:val="003264"/>
          <w:sz w:val="24"/>
        </w:rPr>
        <w:t>Method of the Year: EM connectomics</w:t>
      </w:r>
    </w:p>
    <w:p>
      <w:r>
        <w:rPr>
          <w:rFonts w:ascii="Times New Roman" w:hAnsi="Times New Roman" w:eastAsia="宋体"/>
          <w:sz w:val="21"/>
        </w:rPr>
        <w:t>作者: Vivien Marx</w:t>
        <w:br/>
      </w:r>
      <w:r>
        <w:rPr>
          <w:rFonts w:ascii="Times New Roman" w:hAnsi="Times New Roman" w:eastAsia="宋体"/>
          <w:sz w:val="21"/>
        </w:rPr>
        <w:t xml:space="preserve">时间: 2025-12-08 | </w:t>
      </w:r>
      <w:r>
        <w:t xml:space="preserve">链接: </w:t>
      </w:r>
      <w:hyperlink r:id="rId218">
        <w:r>
          <w:rPr>
            <w:rFonts w:ascii="Times New Roman" w:hAnsi="Times New Roman" w:eastAsia="宋体"/>
            <w:color w:val="0000FF"/>
            <w:sz w:val="21"/>
            <w:u w:val="single"/>
          </w:rPr>
          <w:t>https://doi.org/10.1038/s41592-025-02906-w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使用电子显微镜，科学家以单神经元分辨率绘制了秀丽隐杆线虫神经系统和果蝇大脑的图谱。连接组学研究更大的大脑需要新的方法策略。</w:t>
      </w:r>
    </w:p>
    <w:p>
      <w:pPr>
        <w:spacing w:before="120"/>
      </w:pPr>
      <w:r>
        <w:rPr>
          <w:rFonts w:ascii="Times New Roman" w:hAnsi="Times New Roman" w:eastAsia="宋体"/>
          <w:b/>
          <w:sz w:val="21"/>
        </w:rPr>
        <w:t>English Abstract:</w:t>
      </w:r>
    </w:p>
    <w:p>
      <w:r>
        <w:rPr>
          <w:rFonts w:ascii="Times New Roman" w:hAnsi="Times New Roman" w:eastAsia="宋体"/>
          <w:sz w:val="21"/>
        </w:rPr>
        <w:t>Using electron microscopy, scientists mapped a Caenorhabditis elegans nervous system and Drosophila brain at single-neuron resolution. Connectomics work on bigger brains takes new methods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功能连接组学的过去和未来</w:t>
      </w:r>
    </w:p>
    <w:p>
      <w:r>
        <w:rPr>
          <w:rFonts w:ascii="Times New Roman" w:hAnsi="Times New Roman" w:eastAsia="宋体"/>
          <w:b/>
          <w:color w:val="003264"/>
          <w:sz w:val="24"/>
        </w:rPr>
        <w:t>The past and future of functional connectomics</w:t>
      </w:r>
    </w:p>
    <w:p>
      <w:r>
        <w:rPr>
          <w:rFonts w:ascii="Times New Roman" w:hAnsi="Times New Roman" w:eastAsia="宋体"/>
          <w:sz w:val="21"/>
        </w:rPr>
        <w:t>作者: R. Clay Reid</w:t>
        <w:br/>
      </w:r>
      <w:r>
        <w:rPr>
          <w:rFonts w:ascii="Times New Roman" w:hAnsi="Times New Roman" w:eastAsia="宋体"/>
          <w:sz w:val="21"/>
        </w:rPr>
        <w:t xml:space="preserve">时间: 2025-12-08 | </w:t>
      </w:r>
      <w:r>
        <w:t xml:space="preserve">链接: </w:t>
      </w:r>
      <w:hyperlink r:id="rId219">
        <w:r>
          <w:rPr>
            <w:rFonts w:ascii="Times New Roman" w:hAnsi="Times New Roman" w:eastAsia="宋体"/>
            <w:color w:val="0000FF"/>
            <w:sz w:val="21"/>
            <w:u w:val="single"/>
          </w:rPr>
          <w:t>https://doi.org/10.1038/s41592-025-02971-1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连接组学是一种新方法，涉及神经元活动的钙成像，然后对相同神经元进行相关电子显微镜连接组学，将神经元建立的连接与其体内功能联系起来。我相信这种研究结构和功能的组合方法将继续应用于越来越大的网络，包括整个神经系统。</w:t>
      </w:r>
    </w:p>
    <w:p>
      <w:pPr>
        <w:spacing w:before="120"/>
      </w:pPr>
      <w:r>
        <w:rPr>
          <w:rFonts w:ascii="Times New Roman" w:hAnsi="Times New Roman" w:eastAsia="宋体"/>
          <w:b/>
          <w:sz w:val="21"/>
        </w:rPr>
        <w:t>English Abstract:</w:t>
      </w:r>
    </w:p>
    <w:p>
      <w:r>
        <w:rPr>
          <w:rFonts w:ascii="Times New Roman" w:hAnsi="Times New Roman" w:eastAsia="宋体"/>
          <w:sz w:val="21"/>
        </w:rPr>
        <w:t>Functional connectomics is a new approach, involving calcium imaging of neuronal activity followed by correlated electron microscopy connectomics of the same neurons, that relates connections made by neurons to their in vivo function. I believe that this combined approach for studying structure and function will continue with ever-larger networks, including entire nervous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 RNA 成像的 PRISM</w:t>
      </w:r>
    </w:p>
    <w:p>
      <w:r>
        <w:rPr>
          <w:rFonts w:ascii="Times New Roman" w:hAnsi="Times New Roman" w:eastAsia="宋体"/>
          <w:b/>
          <w:color w:val="003264"/>
          <w:sz w:val="24"/>
        </w:rPr>
        <w:t>A PRISM for spatial RNA imaging</w:t>
      </w:r>
    </w:p>
    <w:p>
      <w:r>
        <w:rPr>
          <w:rFonts w:ascii="Times New Roman" w:hAnsi="Times New Roman" w:eastAsia="宋体"/>
          <w:sz w:val="21"/>
        </w:rPr>
        <w:t>作者: Aparna Anantharaman</w:t>
        <w:br/>
      </w:r>
      <w:r>
        <w:rPr>
          <w:rFonts w:ascii="Times New Roman" w:hAnsi="Times New Roman" w:eastAsia="宋体"/>
          <w:sz w:val="21"/>
        </w:rPr>
        <w:t xml:space="preserve">时间: 2025-12-08 | </w:t>
      </w:r>
      <w:r>
        <w:t xml:space="preserve">链接: </w:t>
      </w:r>
      <w:hyperlink r:id="rId220">
        <w:r>
          <w:rPr>
            <w:rFonts w:ascii="Times New Roman" w:hAnsi="Times New Roman" w:eastAsia="宋体"/>
            <w:color w:val="0000FF"/>
            <w:sz w:val="21"/>
            <w:u w:val="single"/>
          </w:rPr>
          <w:t>https://doi.org/10.1038/s41592-025-02985-9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年度方法：基于电子显微镜的连接组学</w:t>
      </w:r>
    </w:p>
    <w:p>
      <w:r>
        <w:rPr>
          <w:rFonts w:ascii="Times New Roman" w:hAnsi="Times New Roman" w:eastAsia="宋体"/>
          <w:b/>
          <w:color w:val="003264"/>
          <w:sz w:val="24"/>
        </w:rPr>
        <w:t>Method of the Year 2025: electron microscopy-based connectomics</w:t>
      </w:r>
    </w:p>
    <w:p>
      <w:r>
        <w:rPr>
          <w:rFonts w:ascii="Times New Roman" w:hAnsi="Times New Roman" w:eastAsia="宋体"/>
          <w:sz w:val="21"/>
        </w:rPr>
        <w:t>作者: Unknown</w:t>
        <w:br/>
      </w:r>
      <w:r>
        <w:rPr>
          <w:rFonts w:ascii="Times New Roman" w:hAnsi="Times New Roman" w:eastAsia="宋体"/>
          <w:sz w:val="21"/>
        </w:rPr>
        <w:t xml:space="preserve">时间: 2025-12-08 | </w:t>
      </w:r>
      <w:r>
        <w:t xml:space="preserve">链接: </w:t>
      </w:r>
      <w:hyperlink r:id="rId221">
        <w:r>
          <w:rPr>
            <w:rFonts w:ascii="Times New Roman" w:hAnsi="Times New Roman" w:eastAsia="宋体"/>
            <w:color w:val="0000FF"/>
            <w:sz w:val="21"/>
            <w:u w:val="single"/>
          </w:rPr>
          <w:t>https://doi.org/10.1038/s41592-025-02988-6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相互连接的神经元组成的大型网络是大脑功能和行为的基础。方法论的进步使得能够重建各种生物体的大规模甚至全脑连接组。</w:t>
      </w:r>
    </w:p>
    <w:p>
      <w:pPr>
        <w:spacing w:before="120"/>
      </w:pPr>
      <w:r>
        <w:rPr>
          <w:rFonts w:ascii="Times New Roman" w:hAnsi="Times New Roman" w:eastAsia="宋体"/>
          <w:b/>
          <w:sz w:val="21"/>
        </w:rPr>
        <w:t>English Abstract:</w:t>
      </w:r>
    </w:p>
    <w:p>
      <w:r>
        <w:rPr>
          <w:rFonts w:ascii="Times New Roman" w:hAnsi="Times New Roman" w:eastAsia="宋体"/>
          <w:sz w:val="21"/>
        </w:rPr>
        <w:t>A large network of interconnected neurons serves as the basis of brain function and of behavior. Methodological advances have enabled the reconstruction of large-scale and even whole-brain connectomes of various 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FACED 2.0 可实现体内大规模电压和钙成像</w:t>
      </w:r>
    </w:p>
    <w:p>
      <w:r>
        <w:rPr>
          <w:rFonts w:ascii="Times New Roman" w:hAnsi="Times New Roman" w:eastAsia="宋体"/>
          <w:b/>
          <w:color w:val="003264"/>
          <w:sz w:val="24"/>
        </w:rPr>
        <w:t>FACED 2.0 enables large-scale voltage and calcium imaging in vivo</w:t>
      </w:r>
    </w:p>
    <w:p>
      <w:r>
        <w:rPr>
          <w:rFonts w:ascii="Times New Roman" w:hAnsi="Times New Roman" w:eastAsia="宋体"/>
          <w:sz w:val="21"/>
        </w:rPr>
        <w:t>作者: Jian Zhong, Ryan G. Natan, Qinrong Zhang, Justin S. J. Wong, Christoph Miehl, Krishnashish Bose, Xiaoyu Lu, François St-Pierre, Su Guo, Brent Doiron, Kevin K. Tsia, Na Ji</w:t>
        <w:br/>
      </w:r>
      <w:r>
        <w:rPr>
          <w:rFonts w:ascii="Times New Roman" w:hAnsi="Times New Roman" w:eastAsia="宋体"/>
          <w:sz w:val="21"/>
        </w:rPr>
        <w:t xml:space="preserve">时间: 2025-12-09 | </w:t>
      </w:r>
      <w:r>
        <w:t xml:space="preserve">链接: </w:t>
      </w:r>
      <w:hyperlink r:id="rId222">
        <w:r>
          <w:rPr>
            <w:rFonts w:ascii="Times New Roman" w:hAnsi="Times New Roman" w:eastAsia="宋体"/>
            <w:color w:val="0000FF"/>
            <w:sz w:val="21"/>
            <w:u w:val="single"/>
          </w:rPr>
          <w:t>https://doi.org/10.1038/s41592-025-02925-7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和高时空分辨率监测神经元活动对于理解大脑内的信息处理至关重要。在这里，我们优化了具有全光学兆赫线扫描速率的千赫帧速率双光子荧光显微镜，以实现亚细胞分辨率下大面积和体积的超快成像。将该技术应用于体内电压和钙成像，我们展示了同时记录小鼠视觉皮层 200 多个神经元的电压活动和 14,000 多个神经元的钙活动，以及幼虫斑马鱼大脑的体积钙成像。</w:t>
      </w:r>
    </w:p>
    <w:p>
      <w:pPr>
        <w:spacing w:before="120"/>
      </w:pPr>
      <w:r>
        <w:rPr>
          <w:rFonts w:ascii="Times New Roman" w:hAnsi="Times New Roman" w:eastAsia="宋体"/>
          <w:b/>
          <w:sz w:val="21"/>
        </w:rPr>
        <w:t>English Abstract:</w:t>
      </w:r>
    </w:p>
    <w:p>
      <w:r>
        <w:rPr>
          <w:rFonts w:ascii="Times New Roman" w:hAnsi="Times New Roman" w:eastAsia="宋体"/>
          <w:sz w:val="21"/>
        </w:rPr>
        <w:t>Abstract Monitoring neuronal activity at large scale and high spatiotemporal resolution is crucial for understanding information processing within the brain. Here we optimized a kilohertz-frame-rate two-photon fluorescence microscope with an all-optical megahertz line-scan rate to achieve ultrafast imaging across large areas and volumes at subcellular resolution. Applying this technique to in vivo voltage and calcium imaging, we demonstrated simultaneous recording of voltage activity over 200 neurons and calcium activity over 14,000 neurons from the mouse visual cortex, as well as volumetric calcium imaging of the larval zebrafish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通过自监督重建结构照明显微镜实现生物友好的高精度超分辨率成像</w:t>
      </w:r>
    </w:p>
    <w:p>
      <w:r>
        <w:rPr>
          <w:rFonts w:ascii="Times New Roman" w:hAnsi="Times New Roman" w:eastAsia="宋体"/>
          <w:b/>
          <w:color w:val="003264"/>
          <w:sz w:val="24"/>
        </w:rPr>
        <w:t>Bio-friendly and high-precision super-resolution imaging through self-supervised reconstruction structured illumination microscopy</w:t>
      </w:r>
    </w:p>
    <w:p>
      <w:r>
        <w:rPr>
          <w:rFonts w:ascii="Times New Roman" w:hAnsi="Times New Roman" w:eastAsia="宋体"/>
          <w:sz w:val="21"/>
        </w:rPr>
        <w:t>作者: Jiahao Liu, Xue Dong, Huaide Lu, Tao Liu, Wei Liu, Xinyao Hu, Quan Meng, Amin Jiang, Tao Jiang, Xiaohan Geng, Haosen Liu, Jun Cheng, Edmund Y. Lam, Yan-Jun Liu, Shan Tan, Dong Li</w:t>
        <w:br/>
      </w:r>
      <w:r>
        <w:rPr>
          <w:rFonts w:ascii="Times New Roman" w:hAnsi="Times New Roman" w:eastAsia="宋体"/>
          <w:sz w:val="21"/>
        </w:rPr>
        <w:t xml:space="preserve">时间: 2025-12-12 | </w:t>
      </w:r>
      <w:r>
        <w:t xml:space="preserve">链接: </w:t>
      </w:r>
      <w:hyperlink r:id="rId223">
        <w:r>
          <w:rPr>
            <w:rFonts w:ascii="Times New Roman" w:hAnsi="Times New Roman" w:eastAsia="宋体"/>
            <w:color w:val="0000FF"/>
            <w:sz w:val="21"/>
            <w:u w:val="single"/>
          </w:rPr>
          <w:t>https://doi.org/10.1038/s41592-025-02966-y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自监督重建结构照明显微镜 (SSR-SIM) 是一种 SIM 重建方法，通过包含光调制先验和重建伪影信息来改进图像重建，同时消除对地面真实图像的需求。这些改进允许对敏感细胞过程进行长期成像。</w:t>
      </w:r>
    </w:p>
    <w:p>
      <w:pPr>
        <w:spacing w:before="120"/>
      </w:pPr>
      <w:r>
        <w:rPr>
          <w:rFonts w:ascii="Times New Roman" w:hAnsi="Times New Roman" w:eastAsia="宋体"/>
          <w:b/>
          <w:sz w:val="21"/>
        </w:rPr>
        <w:t>English Abstract:</w:t>
      </w:r>
    </w:p>
    <w:p>
      <w:r>
        <w:rPr>
          <w:rFonts w:ascii="Times New Roman" w:hAnsi="Times New Roman" w:eastAsia="宋体"/>
          <w:sz w:val="21"/>
        </w:rPr>
        <w:t>Self-supervised reconstruction structured illumination microscopy (SSR-SIM) is a reconstruction approach for SIM that improves image reconstruction by including light modulation priors and information on reconstruction artifacts, while simultaneously eliminating the need for ground-truth images. The improvements allow long-term imaging of sensitive cellular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 RNA 结合蛋白降解以改善动物细胞中 mRNA 实时成像</w:t>
      </w:r>
    </w:p>
    <w:p>
      <w:r>
        <w:rPr>
          <w:rFonts w:ascii="Times New Roman" w:hAnsi="Times New Roman" w:eastAsia="宋体"/>
          <w:b/>
          <w:color w:val="003264"/>
          <w:sz w:val="24"/>
        </w:rPr>
        <w:t>Targeted RNA-binding protein degradation to improve mRNA live imaging in animal cells</w:t>
      </w:r>
    </w:p>
    <w:p>
      <w:r>
        <w:rPr>
          <w:rFonts w:ascii="Times New Roman" w:hAnsi="Times New Roman" w:eastAsia="宋体"/>
          <w:sz w:val="21"/>
        </w:rPr>
        <w:t>作者: Gal Haimovich</w:t>
        <w:br/>
      </w:r>
      <w:r>
        <w:rPr>
          <w:rFonts w:ascii="Times New Roman" w:hAnsi="Times New Roman" w:eastAsia="宋体"/>
          <w:sz w:val="21"/>
        </w:rPr>
        <w:t xml:space="preserve">时间: 2025-12-17 | </w:t>
      </w:r>
      <w:r>
        <w:t xml:space="preserve">链接: </w:t>
      </w:r>
      <w:hyperlink r:id="rId224">
        <w:r>
          <w:rPr>
            <w:rFonts w:ascii="Times New Roman" w:hAnsi="Times New Roman" w:eastAsia="宋体"/>
            <w:color w:val="0000FF"/>
            <w:sz w:val="21"/>
            <w:u w:val="single"/>
          </w:rPr>
          <w:t>https://doi.org/10.1038/s41592-025-02869-y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活细胞 mRNA 成像的黄金标准系统刚刚通过降解而得到升级。这一进展提高了信噪比，并可能有助于更好地理解 mRNA 运输和定位。</w:t>
      </w:r>
    </w:p>
    <w:p>
      <w:pPr>
        <w:spacing w:before="120"/>
      </w:pPr>
      <w:r>
        <w:rPr>
          <w:rFonts w:ascii="Times New Roman" w:hAnsi="Times New Roman" w:eastAsia="宋体"/>
          <w:b/>
          <w:sz w:val="21"/>
        </w:rPr>
        <w:t>English Abstract:</w:t>
      </w:r>
    </w:p>
    <w:p>
      <w:r>
        <w:rPr>
          <w:rFonts w:ascii="Times New Roman" w:hAnsi="Times New Roman" w:eastAsia="宋体"/>
          <w:sz w:val="21"/>
        </w:rPr>
        <w:t>The gold standard system for mRNA imaging in live cells just got upgraded by being degraded. This development improves signal-to-noise ratios and may lead to a better understanding of mRNA transport and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用于三色 RNA 成像的正交 RNA 调节去稳定结构域，RNA 扰动最小</w:t>
      </w:r>
    </w:p>
    <w:p>
      <w:r>
        <w:rPr>
          <w:rFonts w:ascii="Times New Roman" w:hAnsi="Times New Roman" w:eastAsia="宋体"/>
          <w:b/>
          <w:color w:val="003264"/>
          <w:sz w:val="24"/>
        </w:rPr>
        <w:t>Orthogonal RNA-regulated destabilization domains for three-color RNA imaging with minimal RNA perturbation</w:t>
      </w:r>
    </w:p>
    <w:p>
      <w:r>
        <w:rPr>
          <w:rFonts w:ascii="Times New Roman" w:hAnsi="Times New Roman" w:eastAsia="宋体"/>
          <w:sz w:val="21"/>
        </w:rPr>
        <w:t>作者: Tien G. Pham, Omoyemi Ajayi, Jiaze He, Irina Sagarbarria, Jeanne A. Hardy, Jiahui Wu</w:t>
        <w:br/>
      </w:r>
      <w:r>
        <w:rPr>
          <w:rFonts w:ascii="Times New Roman" w:hAnsi="Times New Roman" w:eastAsia="宋体"/>
          <w:sz w:val="21"/>
        </w:rPr>
        <w:t xml:space="preserve">时间: 2025-12-17 | </w:t>
      </w:r>
      <w:r>
        <w:t xml:space="preserve">链接: </w:t>
      </w:r>
      <w:hyperlink r:id="rId225">
        <w:r>
          <w:rPr>
            <w:rFonts w:ascii="Times New Roman" w:hAnsi="Times New Roman" w:eastAsia="宋体"/>
            <w:color w:val="0000FF"/>
            <w:sz w:val="21"/>
            <w:u w:val="single"/>
          </w:rPr>
          <w:t>https://doi.org/10.1038/s41592-025-02905-x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这项工作提出了两个不同的 RNA 调节的不稳定结构域，支持单个 mRNA 分子的三色活细胞成像，其中之一对 RNA 稳定性的影响最小。</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two distinct RNA-regulated destabilization domains that support three-color live-cell imaging of single mRNA molecules, one of which shows minimal impact on RNA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分析细胞迁移数据的方法：基础知识和实用指南</w:t>
      </w:r>
    </w:p>
    <w:p>
      <w:r>
        <w:rPr>
          <w:rFonts w:ascii="Times New Roman" w:hAnsi="Times New Roman" w:eastAsia="宋体"/>
          <w:b/>
          <w:color w:val="003264"/>
          <w:sz w:val="24"/>
        </w:rPr>
        <w:t>Methods to analyze cell migration data: fundamentals and practical guidelines</w:t>
      </w:r>
    </w:p>
    <w:p>
      <w:r>
        <w:rPr>
          <w:rFonts w:ascii="Times New Roman" w:hAnsi="Times New Roman" w:eastAsia="宋体"/>
          <w:sz w:val="21"/>
        </w:rPr>
        <w:t>作者: Pei-Hsun Wu, Jude M. Phillip, Wenxuan Du, Andre Forjaz, Praful R. Nair, Denis Wirtz</w:t>
        <w:br/>
      </w:r>
      <w:r>
        <w:rPr>
          <w:rFonts w:ascii="Times New Roman" w:hAnsi="Times New Roman" w:eastAsia="宋体"/>
          <w:sz w:val="21"/>
        </w:rPr>
        <w:t xml:space="preserve">时间: 2025-12-18 | </w:t>
      </w:r>
      <w:r>
        <w:t xml:space="preserve">链接: </w:t>
      </w:r>
      <w:hyperlink r:id="rId226">
        <w:r>
          <w:rPr>
            <w:rFonts w:ascii="Times New Roman" w:hAnsi="Times New Roman" w:eastAsia="宋体"/>
            <w:color w:val="0000FF"/>
            <w:sz w:val="21"/>
            <w:u w:val="single"/>
          </w:rPr>
          <w:t>https://doi.org/10.1038/s41592-025-02935-5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本综述描述了从细胞迁移测定中提取定量数据的数据分析原理。它还强调了先进的图像分析工具，并为感兴趣的用户提供实用指导。</w:t>
      </w:r>
    </w:p>
    <w:p>
      <w:pPr>
        <w:spacing w:before="120"/>
      </w:pPr>
      <w:r>
        <w:rPr>
          <w:rFonts w:ascii="Times New Roman" w:hAnsi="Times New Roman" w:eastAsia="宋体"/>
          <w:b/>
          <w:sz w:val="21"/>
        </w:rPr>
        <w:t>English Abstract:</w:t>
      </w:r>
    </w:p>
    <w:p>
      <w:r>
        <w:rPr>
          <w:rFonts w:ascii="Times New Roman" w:hAnsi="Times New Roman" w:eastAsia="宋体"/>
          <w:sz w:val="21"/>
        </w:rPr>
        <w:t>This Review describes the principles of data analysis for extracting quantitative data from cell migration assays. It also highlights advanced image analysis tools and offers practical guidance for interested users.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SpaceBar 通过基于成像的空间转录组学实现单细胞分辨率克隆追踪</w:t>
      </w:r>
    </w:p>
    <w:p>
      <w:r>
        <w:rPr>
          <w:rFonts w:ascii="Times New Roman" w:hAnsi="Times New Roman" w:eastAsia="宋体"/>
          <w:b/>
          <w:color w:val="003264"/>
          <w:sz w:val="24"/>
        </w:rPr>
        <w:t>SpaceBar enables single-cell-resolution clone tracing with imaging-based spatial transcriptomics</w:t>
      </w:r>
    </w:p>
    <w:p>
      <w:r>
        <w:rPr>
          <w:rFonts w:ascii="Times New Roman" w:hAnsi="Times New Roman" w:eastAsia="宋体"/>
          <w:sz w:val="21"/>
        </w:rPr>
        <w:t>作者: Grant Kinsler, Caitlin Fagan, Haiyin Li, Jessica Kaster, Maggie Dunne, Robert J. Vander Velde, Ryan H. Boe, Sydney Shaffer, Meenhard Herlyn, Arjun Raj, Yael Heyman</w:t>
        <w:br/>
      </w:r>
      <w:r>
        <w:rPr>
          <w:rFonts w:ascii="Times New Roman" w:hAnsi="Times New Roman" w:eastAsia="宋体"/>
          <w:sz w:val="21"/>
        </w:rPr>
        <w:t xml:space="preserve">时间: 2025-12-18 | </w:t>
      </w:r>
      <w:r>
        <w:t xml:space="preserve">链接: </w:t>
      </w:r>
      <w:hyperlink r:id="rId227">
        <w:r>
          <w:rPr>
            <w:rFonts w:ascii="Times New Roman" w:hAnsi="Times New Roman" w:eastAsia="宋体"/>
            <w:color w:val="0000FF"/>
            <w:sz w:val="21"/>
            <w:u w:val="single"/>
          </w:rPr>
          <w:t>https://doi.org/10.1038/s41592-025-02968-w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SpaceBar 是一种细胞条形码策略，用于同时分析细胞克隆和空间身份。</w:t>
      </w:r>
    </w:p>
    <w:p>
      <w:pPr>
        <w:spacing w:before="120"/>
      </w:pPr>
      <w:r>
        <w:rPr>
          <w:rFonts w:ascii="Times New Roman" w:hAnsi="Times New Roman" w:eastAsia="宋体"/>
          <w:b/>
          <w:sz w:val="21"/>
        </w:rPr>
        <w:t>English Abstract:</w:t>
      </w:r>
    </w:p>
    <w:p>
      <w:r>
        <w:rPr>
          <w:rFonts w:ascii="Times New Roman" w:hAnsi="Times New Roman" w:eastAsia="宋体"/>
          <w:sz w:val="21"/>
        </w:rPr>
        <w:t>SpaceBar is a cellular barcoding strategy for simultaneous analysis of cell clonal and spatial identities.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无标记显微镜图像中细胞上下文相关的计算机细胞器定位</w:t>
      </w:r>
    </w:p>
    <w:p>
      <w:r>
        <w:rPr>
          <w:rFonts w:ascii="Times New Roman" w:hAnsi="Times New Roman" w:eastAsia="宋体"/>
          <w:b/>
          <w:color w:val="003264"/>
          <w:sz w:val="24"/>
        </w:rPr>
        <w:t>Cell context-dependent in silico organelle localization in label-free microscopy images</w:t>
      </w:r>
    </w:p>
    <w:p>
      <w:r>
        <w:rPr>
          <w:rFonts w:ascii="Times New Roman" w:hAnsi="Times New Roman" w:eastAsia="宋体"/>
          <w:sz w:val="21"/>
        </w:rPr>
        <w:t>作者: Nitsan Elmalam, Assaf Zaritsky</w:t>
        <w:br/>
      </w:r>
      <w:r>
        <w:rPr>
          <w:rFonts w:ascii="Times New Roman" w:hAnsi="Times New Roman" w:eastAsia="宋体"/>
          <w:sz w:val="21"/>
        </w:rPr>
        <w:t xml:space="preserve">时间: 2025-12-19 | </w:t>
      </w:r>
      <w:r>
        <w:t xml:space="preserve">链接: </w:t>
      </w:r>
      <w:hyperlink r:id="rId228">
        <w:r>
          <w:rPr>
            <w:rFonts w:ascii="Times New Roman" w:hAnsi="Times New Roman" w:eastAsia="宋体"/>
            <w:color w:val="0000FF"/>
            <w:sz w:val="21"/>
            <w:u w:val="single"/>
          </w:rPr>
          <w:t>https://doi.org/10.1038/s41592-025-02960-4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CELTIC 是一种用于计算机细胞器定位的上下文相关深度学习模型，它使用生物学先验来实现从无标记图像中对细胞器荧光进行广义和协调的预测。</w:t>
      </w:r>
    </w:p>
    <w:p>
      <w:pPr>
        <w:spacing w:before="120"/>
      </w:pPr>
      <w:r>
        <w:rPr>
          <w:rFonts w:ascii="Times New Roman" w:hAnsi="Times New Roman" w:eastAsia="宋体"/>
          <w:b/>
          <w:sz w:val="21"/>
        </w:rPr>
        <w:t>English Abstract:</w:t>
      </w:r>
    </w:p>
    <w:p>
      <w:r>
        <w:rPr>
          <w:rFonts w:ascii="Times New Roman" w:hAnsi="Times New Roman" w:eastAsia="宋体"/>
          <w:sz w:val="21"/>
        </w:rPr>
        <w:t>CELTIC is a context-dependent deep learning model for in silico organelle localization that uses biological priors to enable the generalized and harmonized prediction of organelle fluorescence from label-free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高分辨率追踪细胞祖先和空间基因表达</w:t>
      </w:r>
    </w:p>
    <w:p>
      <w:r>
        <w:rPr>
          <w:rFonts w:ascii="Times New Roman" w:hAnsi="Times New Roman" w:eastAsia="宋体"/>
          <w:b/>
          <w:color w:val="003264"/>
          <w:sz w:val="24"/>
        </w:rPr>
        <w:t>Tracking cell ancestry and spatial gene expression with high resolution</w:t>
      </w:r>
    </w:p>
    <w:p>
      <w:r>
        <w:rPr>
          <w:rFonts w:ascii="Times New Roman" w:hAnsi="Times New Roman" w:eastAsia="宋体"/>
          <w:sz w:val="21"/>
        </w:rPr>
        <w:t>作者: Unknown</w:t>
        <w:br/>
      </w:r>
      <w:r>
        <w:rPr>
          <w:rFonts w:ascii="Times New Roman" w:hAnsi="Times New Roman" w:eastAsia="宋体"/>
          <w:sz w:val="21"/>
        </w:rPr>
        <w:t xml:space="preserve">时间: 2025-12-22 | </w:t>
      </w:r>
      <w:r>
        <w:t xml:space="preserve">链接: </w:t>
      </w:r>
      <w:hyperlink r:id="rId229">
        <w:r>
          <w:rPr>
            <w:rFonts w:ascii="Times New Roman" w:hAnsi="Times New Roman" w:eastAsia="宋体"/>
            <w:color w:val="0000FF"/>
            <w:sz w:val="21"/>
            <w:u w:val="single"/>
          </w:rPr>
          <w:t>https://doi.org/10.1038/s41592-025-02964-0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SpaceBar，这是一种使用 DNA 条形码来标记单个细胞及其后代的方法，并与基于高分辨率成像的空间转录组学技术无缝集成。这种新方法能够阐明细胞的位置和祖先如何共同影响其在复杂组织中的功能和基因表达。</w:t>
      </w:r>
    </w:p>
    <w:p>
      <w:pPr>
        <w:spacing w:before="120"/>
      </w:pPr>
      <w:r>
        <w:rPr>
          <w:rFonts w:ascii="Times New Roman" w:hAnsi="Times New Roman" w:eastAsia="宋体"/>
          <w:b/>
          <w:sz w:val="21"/>
        </w:rPr>
        <w:t>English Abstract:</w:t>
      </w:r>
    </w:p>
    <w:p>
      <w:r>
        <w:rPr>
          <w:rFonts w:ascii="Times New Roman" w:hAnsi="Times New Roman" w:eastAsia="宋体"/>
          <w:sz w:val="21"/>
        </w:rPr>
        <w:t>We developed SpaceBar, a method that uses DNA barcodes to label both individual cells and their progeny and seamlessly integrates with high-resolution imaging-based spatial transcriptomics technologies. This new approach enables the elucidation of how a cell’s location and ancestry jointly inform its function and gene expression in complex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用于比较大分子复合物的全自动基准测试套件</w:t>
      </w:r>
    </w:p>
    <w:p>
      <w:r>
        <w:rPr>
          <w:rFonts w:ascii="Times New Roman" w:hAnsi="Times New Roman" w:eastAsia="宋体"/>
          <w:b/>
          <w:color w:val="003264"/>
          <w:sz w:val="24"/>
        </w:rPr>
        <w:t>A fully automated benchmarking suite to compare macromolecular complexes</w:t>
      </w:r>
    </w:p>
    <w:p>
      <w:r>
        <w:rPr>
          <w:rFonts w:ascii="Times New Roman" w:hAnsi="Times New Roman" w:eastAsia="宋体"/>
          <w:sz w:val="21"/>
        </w:rPr>
        <w:t>作者: Gabriel Studer, Xavier Robin, Stefan Bienert, Janani Durairaj, Peter Škrinjar, Gerardo Tauriello, Andrew Mark Waterhouse, Torsten Schwede</w:t>
        <w:br/>
      </w:r>
      <w:r>
        <w:rPr>
          <w:rFonts w:ascii="Times New Roman" w:hAnsi="Times New Roman" w:eastAsia="宋体"/>
          <w:sz w:val="21"/>
        </w:rPr>
        <w:t xml:space="preserve">时间: 2025-12-22 | </w:t>
      </w:r>
      <w:r>
        <w:t xml:space="preserve">链接: </w:t>
      </w:r>
      <w:hyperlink r:id="rId230">
        <w:r>
          <w:rPr>
            <w:rFonts w:ascii="Times New Roman" w:hAnsi="Times New Roman" w:eastAsia="宋体"/>
            <w:color w:val="0000FF"/>
            <w:sz w:val="21"/>
            <w:u w:val="single"/>
          </w:rPr>
          <w:t>https://doi.org/10.1038/s41592-025-02973-z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蛋白质结构预测在基准测试方面有着悠久的历史，例如结构预测的严格评估、连续自动化模型评估和相互作用预测的严格评估。随着基于人工智能的大分子复合物预测方法的兴起，使用大型数据集和稳健、无监督的分数进行基准测试以将预测与参考进行比较已变得至关重要。此外，通过晶体学或低温电子显微镜实验确定的参考结构的尺寸和复杂性不断增加，对结构比较方法提出了挑战。在这里，我们回顾了评分方法的当前技术水平，确定了现有的局限性，并提出了更适合对三级和四级结构、蛋白质-蛋白质界面和蛋白质-配体复合物进行评分的方法。我们的方法旨在有效扩展，从而能够评估大型复杂系统。所有开发都可以在 OpenStructure 的结构基准测试框架中获得。 OpenStructure 是开源软件，可从 https://openstruct.org/ 免费获取。</w:t>
      </w:r>
    </w:p>
    <w:p>
      <w:pPr>
        <w:spacing w:before="120"/>
      </w:pPr>
      <w:r>
        <w:rPr>
          <w:rFonts w:ascii="Times New Roman" w:hAnsi="Times New Roman" w:eastAsia="宋体"/>
          <w:b/>
          <w:sz w:val="21"/>
        </w:rPr>
        <w:t>English Abstract:</w:t>
      </w:r>
    </w:p>
    <w:p>
      <w:r>
        <w:rPr>
          <w:rFonts w:ascii="Times New Roman" w:hAnsi="Times New Roman" w:eastAsia="宋体"/>
          <w:sz w:val="21"/>
        </w:rPr>
        <w:t>Abstract Protein structure prediction has a long history of benchmarking efforts such as critical assessment of structure prediction, continuous automated model evaluation and critical assessment of prediction of interactions. With the rise of artificial intelligence-based methods for prediction of macromolecular complexes, benchmarking with large datasets and robust, unsupervised scores to compare predictions against a reference has become essential. Also, the increasing size and complexity of experimentally determined reference structures by crystallography or cryogenic electron microscopy poses challenges for structure comparison methods. Here we review the current state of the art in scoring methodologies, identify existing limitations and present more suitable approaches for scoring of tertiary and quaternary structures, protein–protein interfaces and protein–ligand complexes. Our methods are designed to scale efficiently, enabling the assessment of large, complex systems. All developments are available in the structure benchmarking framework of OpenStructure. OpenStructure is open source software and available for free at https://openstructure.org/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利用非稳态成像提高 fMRI 的时间 SNR</w:t>
      </w:r>
    </w:p>
    <w:p>
      <w:r>
        <w:rPr>
          <w:rFonts w:ascii="Times New Roman" w:hAnsi="Times New Roman" w:eastAsia="宋体"/>
          <w:b/>
          <w:color w:val="003264"/>
          <w:sz w:val="24"/>
        </w:rPr>
        <w:t>Taking advantage of non-steady-state imaging to increase temporal SNR for fMRI</w:t>
      </w:r>
    </w:p>
    <w:p>
      <w:r>
        <w:rPr>
          <w:rFonts w:ascii="Times New Roman" w:hAnsi="Times New Roman" w:eastAsia="宋体"/>
          <w:sz w:val="21"/>
        </w:rPr>
        <w:t>作者: Alexander J. S. Beckett, David A. Feinberg</w:t>
        <w:br/>
      </w:r>
      <w:r>
        <w:rPr>
          <w:rFonts w:ascii="Times New Roman" w:hAnsi="Times New Roman" w:eastAsia="宋体"/>
          <w:sz w:val="21"/>
        </w:rPr>
        <w:t xml:space="preserve">时间: 2025-12-23 | </w:t>
      </w:r>
      <w:r>
        <w:t xml:space="preserve">链接: </w:t>
      </w:r>
      <w:hyperlink r:id="rId231">
        <w:r>
          <w:rPr>
            <w:rFonts w:ascii="Times New Roman" w:hAnsi="Times New Roman" w:eastAsia="宋体"/>
            <w:color w:val="0000FF"/>
            <w:sz w:val="21"/>
            <w:u w:val="single"/>
          </w:rPr>
          <w:t>https://doi.org/10.1038/s41592-025-02992-w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一种称为 SASS 的技术通过利用收集功能图像时达到稳定状态所需的时间来提高功能 MRI 的时间信噪比。</w:t>
      </w:r>
    </w:p>
    <w:p>
      <w:pPr>
        <w:spacing w:before="120"/>
      </w:pPr>
      <w:r>
        <w:rPr>
          <w:rFonts w:ascii="Times New Roman" w:hAnsi="Times New Roman" w:eastAsia="宋体"/>
          <w:b/>
          <w:sz w:val="21"/>
        </w:rPr>
        <w:t>English Abstract:</w:t>
      </w:r>
    </w:p>
    <w:p>
      <w:r>
        <w:rPr>
          <w:rFonts w:ascii="Times New Roman" w:hAnsi="Times New Roman" w:eastAsia="宋体"/>
          <w:sz w:val="21"/>
        </w:rPr>
        <w:t>A technique called SASS increases temporal signal-to-noise ratio for functional MRI by taking advantage of the time it takes to reach steady state when collecting functional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谷氨酸指示剂具有更高的灵敏度和定制的失活率</w:t>
      </w:r>
    </w:p>
    <w:p>
      <w:r>
        <w:rPr>
          <w:rFonts w:ascii="Times New Roman" w:hAnsi="Times New Roman" w:eastAsia="宋体"/>
          <w:b/>
          <w:color w:val="003264"/>
          <w:sz w:val="24"/>
        </w:rPr>
        <w:t>Glutamate indicators with increased sensitivity and tailored deactivation rates</w:t>
      </w:r>
    </w:p>
    <w:p>
      <w:r>
        <w:rPr>
          <w:rFonts w:ascii="Times New Roman" w:hAnsi="Times New Roman" w:eastAsia="宋体"/>
          <w:sz w:val="21"/>
        </w:rPr>
        <w:t>作者: Abhi Aggarwal, Adrian Negrean, Yang Chen, Rishyashring Iyer, Daniel Reep, Anyi Liu, Anirudh Palutla, Michael E. Xie, Bryan J. MacLennan, Kenta M. Hagihara, Lucas W. Kinsey, Julianna L. Sun, Pantong Yao, Jihong Zheng, Arthur Tsang, Getahun Tsegaye, Yonghai Zhang, Ronak H. Patel, Benjamin J. Arthur, Julien Hiblot, Philipp Leippe, Miroslaw Tarnawski, Jonathan S. Marvin, Jason D. Vevea, Srinivas C. Turaga, Alison G. Tebo, Matteo Carandini, L. Federico Rossi, David Kleinfeld, Arthur Konnerth, Karel Svoboda, Glenn C. Turner, Jeremy P. Hasseman, Kaspar Podgorski</w:t>
        <w:br/>
      </w:r>
      <w:r>
        <w:rPr>
          <w:rFonts w:ascii="Times New Roman" w:hAnsi="Times New Roman" w:eastAsia="宋体"/>
          <w:sz w:val="21"/>
        </w:rPr>
        <w:t xml:space="preserve">时间: 2025-12-23 | </w:t>
      </w:r>
      <w:r>
        <w:t xml:space="preserve">链接: </w:t>
      </w:r>
      <w:hyperlink r:id="rId232">
        <w:r>
          <w:rPr>
            <w:rFonts w:ascii="Times New Roman" w:hAnsi="Times New Roman" w:eastAsia="宋体"/>
            <w:color w:val="0000FF"/>
            <w:sz w:val="21"/>
            <w:u w:val="single"/>
          </w:rPr>
          <w:t>https://doi.org/10.1038/s41592-025-02965-z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摘要：了解神经元如何整合来自数千个输入突触的信号需要同时监测多个位点的神经传递的方法。荧光蛋白谷氨酸指示剂 iGluSnFR 能够实现突触信号传导的可视化，但此类测量的灵敏度、规模和速度受到现有变体的限制。在这里，我们开发了两种高度敏感的第四代 iGluSnFR 变体，具有快速激活和定制的失活率：用于跟踪快速动态的 iGluSnFR4f 和用于记录大量突触的 iGluSnFR4s。这些指标以高空间特异性和体内单囊泡敏感性检测谷氨酸。我们用它们记录小鼠多个实验环境中突触传递的自然模式，包括皮质层 1-4 和海马 CA1 的双光子成像，以及中脑的光度测定。 iGluSnFR4 变体扩展了谷氨酸成像的速度、灵敏度和可扩展性，从而能够直接观察完整大脑中神经网络的信息流。</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how neurons integrate signals from thousands of input synapses requires methods to monitor neurotransmission across many sites simultaneously. The fluorescent protein glutamate indicator iGluSnFR enables visualization of synaptic signaling, but the sensitivity, scale and speed of such measurements are limited by existing variants. Here we developed two highly sensitive fourth-generation iGluSnFR variants with fast activation and tailored deactivation rates: iGluSnFR4f for tracking rapid dynamics, and iGluSnFR4s for recording from large populations of synapses. These indicators detect glutamate with high spatial specificity and single-vesicle sensitivity in vivo. We used them to record natural patterns of synaptic transmission across multiple experimental contexts in mice, including two-photon imaging in cortical layers 1–4 and hippocampal CA1, and photometry in the midbrain. The iGluSnFR4 variants extend the speed, sensitivity and scalability of glutamate imaging, enabling direct observation of information flow through neural networks in the intact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DynamicAtlas：果蝇发育的形态动力学图谱</w:t>
      </w:r>
    </w:p>
    <w:p>
      <w:r>
        <w:rPr>
          <w:rFonts w:ascii="Times New Roman" w:hAnsi="Times New Roman" w:eastAsia="宋体"/>
          <w:b/>
          <w:color w:val="003264"/>
          <w:sz w:val="24"/>
        </w:rPr>
        <w:t>DynamicAtlas: a morphodynamic atlas for Drosophila development</w:t>
      </w:r>
    </w:p>
    <w:p>
      <w:r>
        <w:rPr>
          <w:rFonts w:ascii="Times New Roman" w:hAnsi="Times New Roman" w:eastAsia="宋体"/>
          <w:sz w:val="21"/>
        </w:rPr>
        <w:t>作者: Matthew F. Lefebvre, Vishank Jain-Sharma, Nikolas Claussen, Noah P. Mitchell, Marion K. Raich, Hannah J. Gustafson, Friederike E. Streichan, Andreas R. Bausch, Sebastian J. Streichan</w:t>
        <w:br/>
      </w:r>
      <w:r>
        <w:rPr>
          <w:rFonts w:ascii="Times New Roman" w:hAnsi="Times New Roman" w:eastAsia="宋体"/>
          <w:sz w:val="21"/>
        </w:rPr>
        <w:t xml:space="preserve">时间: 2025-12-24 | </w:t>
      </w:r>
      <w:r>
        <w:t xml:space="preserve">链接: </w:t>
      </w:r>
      <w:hyperlink r:id="rId233">
        <w:r>
          <w:rPr>
            <w:rFonts w:ascii="Times New Roman" w:hAnsi="Times New Roman" w:eastAsia="宋体"/>
            <w:color w:val="0000FF"/>
            <w:sz w:val="21"/>
            <w:u w:val="single"/>
          </w:rPr>
          <w:t>https://doi.org/10.1038/s41592-025-02897-8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生物体通过基因表达和力学的相互作用来形成其形状。虽然静态样本图谱表征了细胞命运和基因调控，但了解动态形状变化需要实时成像。在这里，我们展示 DynamicAtlas：来自 500 个果蝇胚胎（野生型和 18 个突变体）的实时和静态数据集的“形态动力学图集”，与共同的形态时间线对齐。令人惊讶的是，表征野生型表面组织流揭示了独特的“形态动力学模块”——整体运动模式静止的时间段——对应于关键的发育阶段。突变分析显示，静态流动模式取决于打破背腹轴空间对称性的基因。温度扰动表明形态动力学模块随着累积的组织变形而变化，而不是随着时间的推移而变化。将我们的方法扩展到胚胎果蝇中肠，我们发现了动态三维表面的协变测量的模块。 DynamicAtlas 为研究生命系统中的形状形成提供了一个高分辨率框架。</w:t>
      </w:r>
    </w:p>
    <w:p>
      <w:pPr>
        <w:spacing w:before="120"/>
      </w:pPr>
      <w:r>
        <w:rPr>
          <w:rFonts w:ascii="Times New Roman" w:hAnsi="Times New Roman" w:eastAsia="宋体"/>
          <w:b/>
          <w:sz w:val="21"/>
        </w:rPr>
        <w:t>English Abstract:</w:t>
      </w:r>
    </w:p>
    <w:p>
      <w:r>
        <w:rPr>
          <w:rFonts w:ascii="Times New Roman" w:hAnsi="Times New Roman" w:eastAsia="宋体"/>
          <w:sz w:val="21"/>
        </w:rPr>
        <w:t>Abstract Living organisms develop their shape through the interplay of gene expression and mechanics. While atlases of static samples characterize cell fates and gene regulation, understanding dynamic shape changes requires live imaging. Here we present DynamicAtlas: a ‘morphodynamic atlas’ of live and static datasets from 500 Drosophila melanogaster embryos (wild type and 18 mutants), aligned to a common morphological timeline. Surprisingly, characterizing wild-type surface tissue flows reveals distinct ‘morphodynamic modules’—time periods in which the global pattern of motion is stationary—corresponding to key developmental stages. Mutant analysis shows stationary flow patterns depend on genes that break spatial symmetry along the dorsal–ventral axis. Temperature perturbations indicate that morphodynamic modules change in response to accumulated tissue deformation, rather than elapsed time. Extending our approach to the embryonic Drosophila midgut, we find modules in covariant measures of the dynamic three-dimensional surface. DynamicAtlas provides a high-resolution framework for studying shape formation across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SmartEM：机器学习引导的电子显微镜</w:t>
      </w:r>
    </w:p>
    <w:p>
      <w:r>
        <w:rPr>
          <w:rFonts w:ascii="Times New Roman" w:hAnsi="Times New Roman" w:eastAsia="宋体"/>
          <w:b/>
          <w:color w:val="003264"/>
          <w:sz w:val="24"/>
        </w:rPr>
        <w:t>SmartEM: machine learning-guided electron microscopy</w:t>
      </w:r>
    </w:p>
    <w:p>
      <w:r>
        <w:rPr>
          <w:rFonts w:ascii="Times New Roman" w:hAnsi="Times New Roman" w:eastAsia="宋体"/>
          <w:sz w:val="21"/>
        </w:rPr>
        <w:t>作者: Yaron Meirovitch, Ishaan Singh Chandok, Core Francisco Park, Pavel Potocek, Lu Mi, Shashata Sawmya, Yicong Li, Thomas L. Athey, Vladislav Susoy, Neha Karlupia, Yuelong Wu, Daniel R. Berger, Richard Schalek, Caitlyn A. Bishop, Daniel Xenes, Hannah Martinez, Jordan Matelsky, Brock A. Wester, Hanspeter Pfister, Remco Schoenmakers, Maurice Peemen, Jeff W. Lichtman, Aravinthan D. T. Samuel, Nir Shavit</w:t>
        <w:br/>
      </w:r>
      <w:r>
        <w:rPr>
          <w:rFonts w:ascii="Times New Roman" w:hAnsi="Times New Roman" w:eastAsia="宋体"/>
          <w:sz w:val="21"/>
        </w:rPr>
        <w:t xml:space="preserve">时间: 2025-12-29 | </w:t>
      </w:r>
      <w:r>
        <w:t xml:space="preserve">链接: </w:t>
      </w:r>
      <w:hyperlink r:id="rId234">
        <w:r>
          <w:rPr>
            <w:rFonts w:ascii="Times New Roman" w:hAnsi="Times New Roman" w:eastAsia="宋体"/>
            <w:color w:val="0000FF"/>
            <w:sz w:val="21"/>
            <w:u w:val="single"/>
          </w:rPr>
          <w:t>https://doi.org/10.1038/s41592-025-02929-3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SmartEM 是一种“智能”管道，用于基于电子显微镜的连接组学数据采集。为了有效地对大型数据集进行成像，该方法涉及以短像素停留时间进行成像并识别有问题的区域，然后以更长的停留时间进行成像，从而获得更高的质量。</w:t>
      </w:r>
    </w:p>
    <w:p>
      <w:pPr>
        <w:spacing w:before="120"/>
      </w:pPr>
      <w:r>
        <w:rPr>
          <w:rFonts w:ascii="Times New Roman" w:hAnsi="Times New Roman" w:eastAsia="宋体"/>
          <w:b/>
          <w:sz w:val="21"/>
        </w:rPr>
        <w:t>English Abstract:</w:t>
      </w:r>
    </w:p>
    <w:p>
      <w:r>
        <w:rPr>
          <w:rFonts w:ascii="Times New Roman" w:hAnsi="Times New Roman" w:eastAsia="宋体"/>
          <w:sz w:val="21"/>
        </w:rPr>
        <w:t>SmartEM is a ‘smart’ pipeline for electron microscopy-based data acquisition for connectomics. In order to efficiently image large datasets, the approach involves imaging at short pixel dwell times and identifying problematic regions that are then imaged with longer dwell times and therefore higher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当前和未来十年的 3D 牵引力显微镜指南</w:t>
      </w:r>
    </w:p>
    <w:p>
      <w:r>
        <w:rPr>
          <w:rFonts w:ascii="Times New Roman" w:hAnsi="Times New Roman" w:eastAsia="宋体"/>
          <w:b/>
          <w:color w:val="003264"/>
          <w:sz w:val="24"/>
        </w:rPr>
        <w:t>Guidance for 3D traction force microscopy today and in the next decade</w:t>
      </w:r>
    </w:p>
    <w:p>
      <w:r>
        <w:rPr>
          <w:rFonts w:ascii="Times New Roman" w:hAnsi="Times New Roman" w:eastAsia="宋体"/>
          <w:sz w:val="21"/>
        </w:rPr>
        <w:t>作者: Jorge Barrasa-Fano, Apeksha Shapeti, Alejandro Apolinar-Fernández, Laurens Kimps, Bart Smeets, José Antonio Sanz-Herrera, Hans Van Oosterwyck</w:t>
        <w:br/>
      </w:r>
      <w:r>
        <w:rPr>
          <w:rFonts w:ascii="Times New Roman" w:hAnsi="Times New Roman" w:eastAsia="宋体"/>
          <w:sz w:val="21"/>
        </w:rPr>
        <w:t xml:space="preserve">时间: 2025-12-29 | </w:t>
      </w:r>
      <w:r>
        <w:t xml:space="preserve">链接: </w:t>
      </w:r>
      <w:hyperlink r:id="rId235">
        <w:r>
          <w:rPr>
            <w:rFonts w:ascii="Times New Roman" w:hAnsi="Times New Roman" w:eastAsia="宋体"/>
            <w:color w:val="0000FF"/>
            <w:sz w:val="21"/>
            <w:u w:val="single"/>
          </w:rPr>
          <w:t>https://doi.org/10.1038/s41592-025-02934-6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本视角展望了 3DTFM 的未来，并为其应用的实验和计算策略提供了实用指南。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This Perspective envisions the future of 3DTFM and provides practical guidelines for experimental and computation strategies for its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人工智能引导电子显微镜加速大脑绘图</w:t>
      </w:r>
    </w:p>
    <w:p>
      <w:r>
        <w:rPr>
          <w:rFonts w:ascii="Times New Roman" w:hAnsi="Times New Roman" w:eastAsia="宋体"/>
          <w:b/>
          <w:color w:val="003264"/>
          <w:sz w:val="24"/>
        </w:rPr>
        <w:t>AI-guided electron microscopy accelerates brain mapping</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36">
        <w:r>
          <w:rPr>
            <w:rFonts w:ascii="Times New Roman" w:hAnsi="Times New Roman" w:eastAsia="宋体"/>
            <w:color w:val="0000FF"/>
            <w:sz w:val="21"/>
            <w:u w:val="single"/>
          </w:rPr>
          <w:t>https://doi.org/10.1038/s41592-025-02930-w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martEM，这是一种将机器学习直接集成到电子显微镜图像采集过程中的方法。通过以特定方式分配成像时间（首先快速扫描，然后以较慢的速度仅重新扫描关键区域），我们能够在不牺牲准确性的情况下将神经回路的映射速度加快七倍。</w:t>
      </w:r>
    </w:p>
    <w:p>
      <w:pPr>
        <w:spacing w:before="120"/>
      </w:pPr>
      <w:r>
        <w:rPr>
          <w:rFonts w:ascii="Times New Roman" w:hAnsi="Times New Roman" w:eastAsia="宋体"/>
          <w:b/>
          <w:sz w:val="21"/>
        </w:rPr>
        <w:t>English Abstract:</w:t>
      </w:r>
    </w:p>
    <w:p>
      <w:r>
        <w:rPr>
          <w:rFonts w:ascii="Times New Roman" w:hAnsi="Times New Roman" w:eastAsia="宋体"/>
          <w:sz w:val="21"/>
        </w:rPr>
        <w:t>We developed SmartEM, a method that integrates machine learning directly into the image acquisition process of an electron microscope. By allocating imaging time in a specific manner — scanning quickly at first, then rescanning only critical areas more slowly — we are able to accelerate the mapping of neural circuits up to sevenfold without sacrificing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人工智能支持的超分辨率显微镜：纳米级细胞成像的革命</w:t>
      </w:r>
    </w:p>
    <w:p>
      <w:r>
        <w:rPr>
          <w:rFonts w:ascii="Times New Roman" w:hAnsi="Times New Roman" w:eastAsia="宋体"/>
          <w:b/>
          <w:color w:val="003264"/>
          <w:sz w:val="24"/>
        </w:rPr>
        <w:t>AI-empowered super-resolution microscopy: a revolution in nanoscale cellular imaging</w:t>
      </w:r>
    </w:p>
    <w:p>
      <w:r>
        <w:rPr>
          <w:rFonts w:ascii="Times New Roman" w:hAnsi="Times New Roman" w:eastAsia="宋体"/>
          <w:sz w:val="21"/>
        </w:rPr>
        <w:t>作者: Sen Li, Xiangjie Meng, Bo Zhou, Wenfeng Tian, Liangyi Chen, Yang Zhang</w:t>
        <w:br/>
      </w:r>
      <w:r>
        <w:rPr>
          <w:rFonts w:ascii="Times New Roman" w:hAnsi="Times New Roman" w:eastAsia="宋体"/>
          <w:sz w:val="21"/>
        </w:rPr>
        <w:t xml:space="preserve">时间: 2025-12-31 | </w:t>
      </w:r>
      <w:r>
        <w:t xml:space="preserve">链接: </w:t>
      </w:r>
      <w:hyperlink r:id="rId237">
        <w:r>
          <w:rPr>
            <w:rFonts w:ascii="Times New Roman" w:hAnsi="Times New Roman" w:eastAsia="宋体"/>
            <w:color w:val="0000FF"/>
            <w:sz w:val="21"/>
            <w:u w:val="single"/>
          </w:rPr>
          <w:t>https://doi.org/10.1038/s41592-025-02871-4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这篇综述全面讨论了如何使用机器学习和计算机视觉方法来改进超分辨率显微镜，以深入了解亚细胞生物学。</w:t>
      </w:r>
    </w:p>
    <w:p>
      <w:pPr>
        <w:spacing w:before="120"/>
      </w:pPr>
      <w:r>
        <w:rPr>
          <w:rFonts w:ascii="Times New Roman" w:hAnsi="Times New Roman" w:eastAsia="宋体"/>
          <w:b/>
          <w:sz w:val="21"/>
        </w:rPr>
        <w:t>English Abstract:</w:t>
      </w:r>
    </w:p>
    <w:p>
      <w:r>
        <w:rPr>
          <w:rFonts w:ascii="Times New Roman" w:hAnsi="Times New Roman" w:eastAsia="宋体"/>
          <w:sz w:val="21"/>
        </w:rPr>
        <w:t>This Review provides a comprehensive discussion of how methods in machine learning and computer vision have been used to improve super-resolution microscopy to gain insights into subcellular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回顾年份 2025</w:t>
      </w:r>
    </w:p>
    <w:p>
      <w:r>
        <w:rPr>
          <w:rFonts w:ascii="Times New Roman" w:hAnsi="Times New Roman" w:eastAsia="宋体"/>
          <w:b/>
          <w:color w:val="003264"/>
          <w:sz w:val="24"/>
        </w:rPr>
        <w:t>Year in review 2025</w:t>
      </w:r>
    </w:p>
    <w:p>
      <w:r>
        <w:rPr>
          <w:rFonts w:ascii="Times New Roman" w:hAnsi="Times New Roman" w:eastAsia="宋体"/>
          <w:sz w:val="21"/>
        </w:rPr>
        <w:t>作者: Unknown</w:t>
        <w:br/>
      </w:r>
      <w:r>
        <w:rPr>
          <w:rFonts w:ascii="Times New Roman" w:hAnsi="Times New Roman" w:eastAsia="宋体"/>
          <w:sz w:val="21"/>
        </w:rPr>
        <w:t xml:space="preserve">时间: 2026-01-12 | </w:t>
      </w:r>
      <w:r>
        <w:t xml:space="preserve">链接: </w:t>
      </w:r>
      <w:hyperlink r:id="rId238">
        <w:r>
          <w:rPr>
            <w:rFonts w:ascii="Times New Roman" w:hAnsi="Times New Roman" w:eastAsia="宋体"/>
            <w:color w:val="0000FF"/>
            <w:sz w:val="21"/>
            <w:u w:val="single"/>
          </w:rPr>
          <w:t>https://doi.org/10.1038/s41592-025-02997-5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我们重点介绍 NatureMethods 团队在 2025 年发表的一些最受欢迎的论文，反映了一些趋势和新技术的发展。</w:t>
      </w:r>
    </w:p>
    <w:p>
      <w:pPr>
        <w:spacing w:before="120"/>
      </w:pPr>
      <w:r>
        <w:rPr>
          <w:rFonts w:ascii="Times New Roman" w:hAnsi="Times New Roman" w:eastAsia="宋体"/>
          <w:b/>
          <w:sz w:val="21"/>
        </w:rPr>
        <w:t>English Abstract:</w:t>
      </w:r>
    </w:p>
    <w:p>
      <w:r>
        <w:rPr>
          <w:rFonts w:ascii="Times New Roman" w:hAnsi="Times New Roman" w:eastAsia="宋体"/>
          <w:sz w:val="21"/>
        </w:rPr>
        <w:t>We highlight some of the Nature Methods team’s favorite papers published in 2025, reflecting on some trends and new technology developments.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DBiTplus 在同一组织切片上集成基于成像和基于测序的空间组学绘图</w:t>
      </w:r>
    </w:p>
    <w:p>
      <w:r>
        <w:rPr>
          <w:rFonts w:ascii="Times New Roman" w:hAnsi="Times New Roman" w:eastAsia="宋体"/>
          <w:b/>
          <w:color w:val="003264"/>
          <w:sz w:val="24"/>
        </w:rPr>
        <w:t>Integration of imaging-based and sequencing-based spatial omics mapping on the same tissue section via DBiTplus</w:t>
      </w:r>
    </w:p>
    <w:p>
      <w:r>
        <w:rPr>
          <w:rFonts w:ascii="Times New Roman" w:hAnsi="Times New Roman" w:eastAsia="宋体"/>
          <w:sz w:val="21"/>
        </w:rPr>
        <w:t>作者: Archibald Enninful, Zhaojun Zhang, Dmytro Klymyshyn, Matthew Ingalls, Mingyu Yang, Hailing Zong, Zhiliang Bai, Negin Farzad, Graham Su, Alev Baysoy, Jungmin Nam, Yao Lu, Shuozhen Bao, Siyan Deng, Nancy R. Zhang, Oliver Braubach, Mina L. Xu, Zongming Ma, Rong Fan</w:t>
        <w:br/>
      </w:r>
      <w:r>
        <w:rPr>
          <w:rFonts w:ascii="Times New Roman" w:hAnsi="Times New Roman" w:eastAsia="宋体"/>
          <w:sz w:val="21"/>
        </w:rPr>
        <w:t xml:space="preserve">时间: 2026-01-15 | </w:t>
      </w:r>
      <w:r>
        <w:t xml:space="preserve">链接: </w:t>
      </w:r>
      <w:hyperlink r:id="rId239">
        <w:r>
          <w:rPr>
            <w:rFonts w:ascii="Times New Roman" w:hAnsi="Times New Roman" w:eastAsia="宋体"/>
            <w:color w:val="0000FF"/>
            <w:sz w:val="21"/>
            <w:u w:val="single"/>
          </w:rPr>
          <w:t>https://doi.org/10.1038/s41592-025-02948-0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同一组织切片中绘制转录组和蛋白质组的空间图谱可以深刻推进我们对细胞异质性和功能的理解。在这里，我们介绍了组织测序+中的确定性条形码（DBiTplus），这是一种综合多模式空间组学方法，将基于测序的空间转录组学和同一切片上的多重蛋白质成像相结合，实现了单细胞分辨率的细胞分型和生物途径的转录组范围内的询问。 DBiTplus 利用空间条形码和 RNase H 介导的 cDNA 检索，保留组织结构以进行多重蛋白质成像。我们开发了计算管道来整合这些模式，从而允许成像引导的反卷积生成单细胞解析的空间转录组图谱。我们在不同的样本中展示了 DBiTplus，包括冷冻小鼠胚胎、福尔马林固定石蜡包埋的人类淋巴结和淋巴瘤组织，强调了它与具有挑战性的临床样本的兼容性。 DBiTplus 揭示了人类淋巴瘤发生、进展和转化的机制。因此，DBiTplus 是一个统一的工作流程，用于在转录组规模上以逐个细胞的方式进行空间解析的单细胞图谱和无偏见的生物机制探索。</w:t>
      </w:r>
    </w:p>
    <w:p>
      <w:pPr>
        <w:spacing w:before="120"/>
      </w:pPr>
      <w:r>
        <w:rPr>
          <w:rFonts w:ascii="Times New Roman" w:hAnsi="Times New Roman" w:eastAsia="宋体"/>
          <w:b/>
          <w:sz w:val="21"/>
        </w:rPr>
        <w:t>English Abstract:</w:t>
      </w:r>
    </w:p>
    <w:p>
      <w:r>
        <w:rPr>
          <w:rFonts w:ascii="Times New Roman" w:hAnsi="Times New Roman" w:eastAsia="宋体"/>
          <w:sz w:val="21"/>
        </w:rPr>
        <w:t>Abstract Spatially mapping the transcriptome and proteome in the same tissue section can profoundly advance our understanding of cellular heterogeneity and function. Here we present Deterministic Barcoding in Tissue sequencing plus (DBiTplus), an integrative multimodal spatial omics approach combining sequencing-based spatial transcriptomics and multiplexed protein imaging on the same section, enabling both single-cell-resolution cell typing and transcriptome-wide interrogation of biological pathways. DBiTplus utilizes spatial barcoding and RNase H-mediated cDNA retrieval, preserving tissue architecture for multiplexed protein imaging. We developed computational pipelines to integrate these modalities, allowing imaging-guided deconvolution to generate single-cell-resolved spatial transcriptome atlases. We demonstrate DBiTplus across diverse samples including frozen mouse embryos, and formalin-fixed paraffin-embedded human lymph nodes and lymphoma tissues, highlighting its compatibility with challenging clinical specimens. DBiTplus uncovered mechanisms of lymphomagenesis, progression and transformation in human lymphomas. Thus, DBiTplus is a unified workflow for spatially resolved single-cell atlasing and unbiased exploration of biological mechanisms in a cell-by-cell manner at transcriptome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12:50 ---</w:t>
      </w:r>
    </w:p>
    <w:p>
      <w:pPr>
        <w:pStyle w:val="Heading2"/>
      </w:pPr>
      <w:r/>
      <w:r>
        <w:rPr>
          <w:rFonts w:ascii="Times New Roman" w:hAnsi="Times New Roman" w:eastAsia="宋体"/>
          <w:b/>
          <w:color w:val="000000"/>
          <w:sz w:val="24"/>
        </w:rPr>
        <w:t>学习连续变量系统的量子态</w:t>
      </w:r>
    </w:p>
    <w:p>
      <w:r>
        <w:rPr>
          <w:rFonts w:ascii="Times New Roman" w:hAnsi="Times New Roman" w:eastAsia="宋体"/>
          <w:b/>
          <w:color w:val="003264"/>
          <w:sz w:val="24"/>
        </w:rPr>
        <w:t>Learning quantum states of continuous-variable systems</w:t>
      </w:r>
    </w:p>
    <w:p>
      <w:r>
        <w:rPr>
          <w:rFonts w:ascii="Times New Roman" w:hAnsi="Times New Roman" w:eastAsia="宋体"/>
          <w:sz w:val="21"/>
        </w:rPr>
        <w:t>作者: Francesco A. Mele, Antonio A. Mele, Lennart Bittel, Jens Eisert, Vittorio Giovannetti, Ludovico Lami, Lorenzo Leone, Salvatore F. E. Oliviero</w:t>
        <w:br/>
      </w:r>
      <w:r>
        <w:rPr>
          <w:rFonts w:ascii="Times New Roman" w:hAnsi="Times New Roman" w:eastAsia="宋体"/>
          <w:sz w:val="21"/>
        </w:rPr>
        <w:t xml:space="preserve">时间: 2025-11-26 | </w:t>
      </w:r>
      <w:r>
        <w:t xml:space="preserve">链接: </w:t>
      </w:r>
      <w:hyperlink r:id="rId240">
        <w:r>
          <w:rPr>
            <w:rFonts w:ascii="Times New Roman" w:hAnsi="Times New Roman" w:eastAsia="宋体"/>
            <w:color w:val="0000FF"/>
            <w:sz w:val="21"/>
            <w:u w:val="single"/>
          </w:rPr>
          <w:t>https://doi.org/10.1038/s41567-025-03086-2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测量是概率性的，通常只能提供有关底层量子态的部分信息。获得未知量子态的完整经典描述需要分析几种不同的测量结果，这项任务称为量子态断层扫描。在这里，我们分析了连续变量系统（例如玻色子和量子光学系统）的层析成像的最终可实现的性能。我们证明，这些系统的断层扫描在时间资源方面效率极低，比量子位等有限维系统的断层扫描低得多。断层扫描所需的最小状态副本数量不仅与模式数量成指数关系，而且即使对于低能状态，它也会与原始状态与其估计的经典描述之间的轨迹距离误差成不利比例。从更积极的角度来看，我们通过在指定误差范围内的第一和第二时刻的知识近似高斯状态时建立轨迹距离误差的界限来证明高斯状态的层析成像是有效的。最后，我们证明通过高斯酉和一些局部非高斯演化制备的非高斯态层析成像是有效的并且在实验上是可行的。</w:t>
      </w:r>
    </w:p>
    <w:p>
      <w:pPr>
        <w:spacing w:before="120"/>
      </w:pPr>
      <w:r>
        <w:rPr>
          <w:rFonts w:ascii="Times New Roman" w:hAnsi="Times New Roman" w:eastAsia="宋体"/>
          <w:b/>
          <w:sz w:val="21"/>
        </w:rPr>
        <w:t>English Abstract:</w:t>
      </w:r>
    </w:p>
    <w:p>
      <w:r>
        <w:rPr>
          <w:rFonts w:ascii="Times New Roman" w:hAnsi="Times New Roman" w:eastAsia="宋体"/>
          <w:sz w:val="21"/>
        </w:rPr>
        <w:t>Abstract Quantum measurements are probabilistic and, in general, provide only partial information about the underlying quantum state. Obtaining a full classical description of an unknown quantum state requires the analysis of several different measurements, a task known as quantum-state tomography. Here we analyse the ultimate achievable performance in the tomography of continuous-variable systems, such as bosonic and quantum optical systems. We prove that tomography of these systems is extremely inefficient in terms of time resources, much more so than tomography of finite-dimensional systems such as qubits. Not only does the minimum number of state copies needed for tomography scale exponentially with the number of modes, but, even for low-energy states, it also scales unfavourably with the trace-distance error between the original state and its estimated classical description. On a more positive note, we prove that the tomography of Gaussian states is efficient by establishing a bound on the trace-distance error made when approximating a Gaussian state from knowledge of the first and second moments within a specified error bound. Last, we demonstrate that the tomography of non-Gaussian states prepared through Gaussian unitaries and a few local non-Gaussian evolutions is efficient and experimentally feasible.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Hubbard 模型转化为动量混合 Hatsugai-Kohmoto 模型</w:t>
      </w:r>
    </w:p>
    <w:p>
      <w:r>
        <w:rPr>
          <w:rFonts w:ascii="Times New Roman" w:hAnsi="Times New Roman" w:eastAsia="宋体"/>
          <w:b/>
          <w:color w:val="003264"/>
          <w:sz w:val="24"/>
        </w:rPr>
        <w:t>Twisting the Hubbard model into the momentum-mixing Hatsugai–Kohmoto model</w:t>
      </w:r>
    </w:p>
    <w:p>
      <w:r>
        <w:rPr>
          <w:rFonts w:ascii="Times New Roman" w:hAnsi="Times New Roman" w:eastAsia="宋体"/>
          <w:sz w:val="21"/>
        </w:rPr>
        <w:t>作者: Peizhi Mai, Jinchao Zhao, Gaurav Tenkila, Nico A. Hackner, Dhruv Kush, Derek Pan, Philip W. Phillips</w:t>
        <w:br/>
      </w:r>
      <w:r>
        <w:rPr>
          <w:rFonts w:ascii="Times New Roman" w:hAnsi="Times New Roman" w:eastAsia="宋体"/>
          <w:sz w:val="21"/>
        </w:rPr>
        <w:t xml:space="preserve">时间: 2025-11-27 | </w:t>
      </w:r>
      <w:r>
        <w:t xml:space="preserve">链接: </w:t>
      </w:r>
      <w:hyperlink r:id="rId241">
        <w:r>
          <w:rPr>
            <w:rFonts w:ascii="Times New Roman" w:hAnsi="Times New Roman" w:eastAsia="宋体"/>
            <w:color w:val="0000FF"/>
            <w:sz w:val="21"/>
            <w:u w:val="single"/>
          </w:rPr>
          <w:t>https://doi.org/10.1038/s41567-025-03095-1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哈伯德模型是研究具有强电子-电子相互作用的材料（例如铜酸盐超导体）的标准理论工具。不幸的是，相互作用驱动的现象，例如进入强相关莫特绝缘体相的转变，很难用现有的理论技术来处理。然而，完全可解的 Hatsugai-Kohmoto 模型显示出类似的莫特物理学。在这里，我们展示了如何将 Hatsugai-Kohmoto 模型连续变形为 Hubbard 模型。诀窍是系统地重新引入原始 Hatsugai-Kohmoto 模型忽略的所有动量混合。这可以通过将 n 个动量分组到一个单元中并将它们杂交来实现，从而产生动量混合 Hatsugai-Kohmoto 模型。我们仅从十个混合动量中将一维 Hubbard 模型的 Bethe ansatz 基态能量恢复到 1% 以内。总体而言，收敛比例为 1/n2，这与标准有限簇技术的逆线性行为相反。我们对方形晶格的结果再现了最先进的模拟中的所有已知特征，并且仅具有一些混合动量。因此，我们相信动量混合 Hatsugai-Kohmoto 模型为强相关量子物质提供了另一种工具。哈伯德模型描述了强相关电子系统的物理现象，但很难求解。现在，已经确定了一种系统有效地将可精确求解的 Hatsugai-Kohmoto 模型与 Hubbard 模型联系起来的方案。</w:t>
      </w:r>
    </w:p>
    <w:p>
      <w:pPr>
        <w:spacing w:before="120"/>
      </w:pPr>
      <w:r>
        <w:rPr>
          <w:rFonts w:ascii="Times New Roman" w:hAnsi="Times New Roman" w:eastAsia="宋体"/>
          <w:b/>
          <w:sz w:val="21"/>
        </w:rPr>
        <w:t>English Abstract:</w:t>
      </w:r>
    </w:p>
    <w:p>
      <w:r>
        <w:rPr>
          <w:rFonts w:ascii="Times New Roman" w:hAnsi="Times New Roman" w:eastAsia="宋体"/>
          <w:sz w:val="21"/>
        </w:rPr>
        <w:t>The Hubbard model is a standard theoretical tool for studying materials with strong electron–electron interactions, such as cuprate superconductors. Unfortunately, interaction-driven phenomena, such as a transition into the strongly correlated Mott insulator phase, are difficult to treat with established theoretical techniques. However, the exactly solvable Hatsugai–Kohmoto model displays similar Mott physics. Here we show how the Hatsugai–Kohmoto model can be deformed continuously into the Hubbard model. The trick is to systematically reintroduce all the momentum mixing that the original Hatsugai–Kohmoto model omits. This can be accomplished by grouping n momenta into a cell and hybridizing them, resulting in the momentum-mixing Hatsugai–Kohmoto model. We recover the Bethe ansatz ground-state energy of the one-dimensional Hubbard model to within 1% from only ten mixed momenta. Overall, the convergence scales as 1/n2 as opposed to the inverse linear behaviour of standard finite-cluster techniques. Our results for a square lattice reproduce all the known features from state-of-the-art simulations also with only a few mixed momenta. Consequently, we believe that the momentum-mixing Hatsugai–Kohmoto model offers an alternative tool for strongly correlated quantum matter. The Hubbard model describes the physics of strongly correlated electron systems, but is difficult to solve. Now, a scheme to systematically and efficiently relate the exactly solvable Hatsugai–Kohmoto model to the Hubbard model has been identified.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有效界面张力产生的蛋白质模式形态和动力学</w:t>
      </w:r>
    </w:p>
    <w:p>
      <w:r>
        <w:rPr>
          <w:rFonts w:ascii="Times New Roman" w:hAnsi="Times New Roman" w:eastAsia="宋体"/>
          <w:b/>
          <w:color w:val="003264"/>
          <w:sz w:val="24"/>
        </w:rPr>
        <w:t>Protein pattern morphology and dynamics emerging from effective interfacial tension</w:t>
      </w:r>
    </w:p>
    <w:p>
      <w:r>
        <w:rPr>
          <w:rFonts w:ascii="Times New Roman" w:hAnsi="Times New Roman" w:eastAsia="宋体"/>
          <w:sz w:val="21"/>
        </w:rPr>
        <w:t>作者: Henrik Weyer, Tobias A. Roth, Erwin Frey</w:t>
        <w:br/>
      </w:r>
      <w:r>
        <w:rPr>
          <w:rFonts w:ascii="Times New Roman" w:hAnsi="Times New Roman" w:eastAsia="宋体"/>
          <w:sz w:val="21"/>
        </w:rPr>
        <w:t xml:space="preserve">时间: 2025-12-02 | </w:t>
      </w:r>
      <w:r>
        <w:t xml:space="preserve">链接: </w:t>
      </w:r>
      <w:hyperlink r:id="rId242">
        <w:r>
          <w:rPr>
            <w:rFonts w:ascii="Times New Roman" w:hAnsi="Times New Roman" w:eastAsia="宋体"/>
            <w:color w:val="0000FF"/>
            <w:sz w:val="21"/>
            <w:u w:val="single"/>
          </w:rPr>
          <w:t>https://doi.org/10.1038/s41567-025-03101-6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对于分裂和极化等细胞功能，NTPase 循环驱动的蛋白质模式形成是一种中心空间控制策略。远离平衡状态，没有一般理论将微观反应网络和参数与这些蛋白质系统中的模式类型和动力学联系起来。在这里，我们发现了一种产生有效界面张力的通用机制，组织非平衡稳态模式的宏观结构。也就是说，通过循环蛋白质附着和分离来维持蛋白质密度界面会产生曲率依赖性蛋白质重新分布，从而拉直界面。我们为界面连接和网格图案开发了非平衡诺依曼角定律和高原顶点条件，从而引入了“图灵混合物”和“图灵泡沫”的概念。与液体泡沫和混合物相比，这些非平衡图案可以通过中断类似平衡的粗化过程来选择固有波长。大肠杆菌 Min 蛋白系统体外实验的数据验证了顶点条件并支持波长动力学。我们的研究表明，与热力学关系相对应的界面定律如何从活跃系统中的不同物理过程中产生。它允许设计特定的图案形态，具有作为合成细胞中的空间控制策略的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For cellular functions such as division and polarization, protein pattern formation driven by NTPase cycles is a central spatial control strategy. Operating far from equilibrium, no general theory links microscopic reaction networks and parameters to the pattern type and dynamics in these protein systems. Here we discover a generic mechanism giving rise to an effective interfacial tension organizing the macroscopic structure of non-equilibrium steady-state patterns. Namely, maintaining protein-density interfaces by cyclic protein attachment and detachment produces curvature-dependent protein redistribution, which straightens the interface. We develop a non-equilibrium Neumann angle law and Plateau vertex conditions for interface junctions and mesh patterns, thus introducing the concepts of ‘Turing mixtures’ and ‘Turing foams’. In contrast to liquid foams and mixtures, these non-equilibrium patterns can select an intrinsic wavelength by interrupting an equilibrium-like coarsening process. Data from in vitro experiments with the Escherichia coli Min protein system verify the vertex conditions and support the wavelength dynamics. Our study shows how interface laws with correspondence to thermodynamic relations can arise from distinct physical processes in active systems. It allows the design of specific pattern morphologies with potential applications as spatial control strategies in synthetic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电调谐光拓扑</w:t>
      </w:r>
    </w:p>
    <w:p>
      <w:r>
        <w:rPr>
          <w:rFonts w:ascii="Times New Roman" w:hAnsi="Times New Roman" w:eastAsia="宋体"/>
          <w:b/>
          <w:color w:val="003264"/>
          <w:sz w:val="24"/>
        </w:rPr>
        <w:t>Electrically tuned light topology</w:t>
      </w:r>
    </w:p>
    <w:p>
      <w:r>
        <w:rPr>
          <w:rFonts w:ascii="Times New Roman" w:hAnsi="Times New Roman" w:eastAsia="宋体"/>
          <w:sz w:val="21"/>
        </w:rPr>
        <w:t>作者: Shai Tsesses, Aviv Karnieli</w:t>
        <w:br/>
      </w:r>
      <w:r>
        <w:rPr>
          <w:rFonts w:ascii="Times New Roman" w:hAnsi="Times New Roman" w:eastAsia="宋体"/>
          <w:sz w:val="21"/>
        </w:rPr>
        <w:t xml:space="preserve">时间: 2025-12-03 | </w:t>
      </w:r>
      <w:r>
        <w:t xml:space="preserve">链接: </w:t>
      </w:r>
      <w:hyperlink r:id="rId243">
        <w:r>
          <w:rPr>
            <w:rFonts w:ascii="Times New Roman" w:hAnsi="Times New Roman" w:eastAsia="宋体"/>
            <w:color w:val="0000FF"/>
            <w:sz w:val="21"/>
            <w:u w:val="single"/>
          </w:rPr>
          <w:t>https://doi.org/10.1038/s41567-025-03116-z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控制拓扑光子准粒子是其在设备中实现的先决条件。现在，它们的精确操纵已经通过基于材料介电指数操纵的合成规范场得到了证明。</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photonic quasiparticles is a prerequisite for their implementation in devices. Now, their precise manipulation has been demonstrated using synthetic gauge fields based on the manipulation of the material’s dielectric index.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激子-极化子的扭转引起的非厄米拓扑</w:t>
      </w:r>
    </w:p>
    <w:p>
      <w:r>
        <w:rPr>
          <w:rFonts w:ascii="Times New Roman" w:hAnsi="Times New Roman" w:eastAsia="宋体"/>
          <w:b/>
          <w:color w:val="003264"/>
          <w:sz w:val="24"/>
        </w:rPr>
        <w:t>Twist-induced non-Hermitian topology of exciton–polaritons</w:t>
      </w:r>
    </w:p>
    <w:p>
      <w:r>
        <w:rPr>
          <w:rFonts w:ascii="Times New Roman" w:hAnsi="Times New Roman" w:eastAsia="宋体"/>
          <w:sz w:val="21"/>
        </w:rPr>
        <w:t>作者: Jie Liang, Hao Zheng, Feng Jin, Ruiqi Bao, Kevin Dini, Jiahao Ren, Yuxi Liu, Mateusz Król, Elena A. Ostrovskaya, Eliezer Estrecho, Baile Zhang, Timothy C. H. Liew, Rui Su</w:t>
        <w:br/>
      </w:r>
      <w:r>
        <w:rPr>
          <w:rFonts w:ascii="Times New Roman" w:hAnsi="Times New Roman" w:eastAsia="宋体"/>
          <w:sz w:val="21"/>
        </w:rPr>
        <w:t xml:space="preserve">时间: 2025-12-04 | </w:t>
      </w:r>
      <w:r>
        <w:t xml:space="preserve">链接: </w:t>
      </w:r>
      <w:hyperlink r:id="rId244">
        <w:r>
          <w:rPr>
            <w:rFonts w:ascii="Times New Roman" w:hAnsi="Times New Roman" w:eastAsia="宋体"/>
            <w:color w:val="0000FF"/>
            <w:sz w:val="21"/>
            <w:u w:val="single"/>
          </w:rPr>
          <w:t>https://doi.org/10.1038/s41567-025-03115-0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强耦合的光-物质系统可以增强对拓扑现象的操纵。现在，可调谐的非厄米效应通过扭转自由度引起的激子极化激元得到了证明。</w:t>
      </w:r>
    </w:p>
    <w:p>
      <w:pPr>
        <w:spacing w:before="120"/>
      </w:pPr>
      <w:r>
        <w:rPr>
          <w:rFonts w:ascii="Times New Roman" w:hAnsi="Times New Roman" w:eastAsia="宋体"/>
          <w:b/>
          <w:sz w:val="21"/>
        </w:rPr>
        <w:t>English Abstract:</w:t>
      </w:r>
    </w:p>
    <w:p>
      <w:r>
        <w:rPr>
          <w:rFonts w:ascii="Times New Roman" w:hAnsi="Times New Roman" w:eastAsia="宋体"/>
          <w:sz w:val="21"/>
        </w:rPr>
        <w:t>Strongly coupled light–matter systems could offer enhanced manipulation of topological phenomena. Now, tunable non-Hermitian effects are demonstrated with exciton–polaritons induced by a twist degree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用于机器学习的多模波传播的任意控制</w:t>
      </w:r>
    </w:p>
    <w:p>
      <w:r>
        <w:rPr>
          <w:rFonts w:ascii="Times New Roman" w:hAnsi="Times New Roman" w:eastAsia="宋体"/>
          <w:b/>
          <w:color w:val="003264"/>
          <w:sz w:val="24"/>
        </w:rPr>
        <w:t>Arbitrary control over multimode wave propagation for machine learning</w:t>
      </w:r>
    </w:p>
    <w:p>
      <w:r>
        <w:rPr>
          <w:rFonts w:ascii="Times New Roman" w:hAnsi="Times New Roman" w:eastAsia="宋体"/>
          <w:sz w:val="21"/>
        </w:rPr>
        <w:t>作者: Tatsuhiro Onodera, Martin M. Stein, Benjamin A. Ash, Mandar M. Sohoni, Melissa Bosch, Ryotatsu Yanagimoto, Marc Jankowski, Timothy P. McKenna, Tianyu Wang, Gennady Shvets, Maxim R. Shcherbakov, Logan G. Wright, Peter L. McMahon</w:t>
        <w:br/>
      </w:r>
      <w:r>
        <w:rPr>
          <w:rFonts w:ascii="Times New Roman" w:hAnsi="Times New Roman" w:eastAsia="宋体"/>
          <w:sz w:val="21"/>
        </w:rPr>
        <w:t xml:space="preserve">时间: 2025-12-08 | </w:t>
      </w:r>
      <w:r>
        <w:t xml:space="preserve">链接: </w:t>
      </w:r>
      <w:hyperlink r:id="rId245">
        <w:r>
          <w:rPr>
            <w:rFonts w:ascii="Times New Roman" w:hAnsi="Times New Roman" w:eastAsia="宋体"/>
            <w:color w:val="0000FF"/>
            <w:sz w:val="21"/>
            <w:u w:val="single"/>
          </w:rPr>
          <w:t>https://doi.org/10.1038/s41567-025-03094-2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与基于单模波导连接的分立元件的架构相比，受控多模波传播可以实现更节省空间的光子处理器。人们可以雕刻光子处理器的连续基板，以通过二维多模干涉来执行计算，而不是定义离散元件。在这里，我们设计并演示了一种具有折射率的装置，可以在空间中快速重新编程，从而可以任意控制波传播。该器件是一种二维可编程波导，采用平行电光调制平板波导的折射率，具有约 10 4 个可编程空间自由度。我们在单次传递中对多达 49 维向量的基准任务实施了神经网络推理，无需数字预处理或后处理。理论和数值分析进一步表明，二维可编程波导不仅可以提供器件面积的恒定因子减小，而且还具有缩放优势，所需面积以N 1.5 而非N 2 的形式增长。</w:t>
      </w:r>
    </w:p>
    <w:p>
      <w:pPr>
        <w:spacing w:before="120"/>
      </w:pPr>
      <w:r>
        <w:rPr>
          <w:rFonts w:ascii="Times New Roman" w:hAnsi="Times New Roman" w:eastAsia="宋体"/>
          <w:b/>
          <w:sz w:val="21"/>
        </w:rPr>
        <w:t>English Abstract:</w:t>
      </w:r>
    </w:p>
    <w:p>
      <w:r>
        <w:rPr>
          <w:rFonts w:ascii="Times New Roman" w:hAnsi="Times New Roman" w:eastAsia="宋体"/>
          <w:sz w:val="21"/>
        </w:rPr>
        <w:t>Abstract Controlled multimode wave propagation can enable more space-efficient photonic processors than architectures based on discrete components connected by single-mode waveguides. Instead of defining discrete elements, one can sculpt the continuous substrate of a photonic processor to perform computations through multimode interference in two dimensions. Here we designed and demonstrated a device with a refractive index that can be rapidly reprogrammed across space, allowing arbitrary control of wave propagation. The device, a two-dimensional programmable waveguide, uses parallel electro-optic modulation of the refractive index of a slab waveguide with about 10 4 programmable spatial degrees of freedom. We implemented neural network inference on benchmark tasks with up to 49-dimensional vectors in a single pass, without digital pre-processing or post-processing. Theoretical and numerical analyses further indicated that two-dimensional programmable waveguides may offer not only a constant-factor reduction in device area but also a scaling benefit, with the area required growing as N 1.5 rather than N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类粒子手性向列涡结的聚变与裂变</w:t>
      </w:r>
    </w:p>
    <w:p>
      <w:r>
        <w:rPr>
          <w:rFonts w:ascii="Times New Roman" w:hAnsi="Times New Roman" w:eastAsia="宋体"/>
          <w:b/>
          <w:color w:val="003264"/>
          <w:sz w:val="24"/>
        </w:rPr>
        <w:t>Fusion and fission of particle-like chiral nematic vortex knots</w:t>
      </w:r>
    </w:p>
    <w:p>
      <w:r>
        <w:rPr>
          <w:rFonts w:ascii="Times New Roman" w:hAnsi="Times New Roman" w:eastAsia="宋体"/>
          <w:sz w:val="21"/>
        </w:rPr>
        <w:t>作者: Darian Hall, Jung-Shen Benny Tai, Louis H. Kauffman, Ivan I. Smalyukh</w:t>
        <w:br/>
      </w:r>
      <w:r>
        <w:rPr>
          <w:rFonts w:ascii="Times New Roman" w:hAnsi="Times New Roman" w:eastAsia="宋体"/>
          <w:sz w:val="21"/>
        </w:rPr>
        <w:t xml:space="preserve">时间: 2025-12-15 | </w:t>
      </w:r>
      <w:r>
        <w:t xml:space="preserve">链接: </w:t>
      </w:r>
      <w:hyperlink r:id="rId246">
        <w:r>
          <w:rPr>
            <w:rFonts w:ascii="Times New Roman" w:hAnsi="Times New Roman" w:eastAsia="宋体"/>
            <w:color w:val="0000FF"/>
            <w:sz w:val="21"/>
            <w:u w:val="single"/>
          </w:rPr>
          <w:t>https://doi.org/10.1038/s41567-025-03107-0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许多物理系统中都发现涡结正在衰减。在这里，我们描述了拓扑保护的涡结，它保持稳定并经历融合和裂变并保持拓扑不变量。主体介质是手性向列液晶，表现出分子排列的固有手性，而涡线的核心是结构上的非手性区域，其中分子扭曲无法定义。我们可以通过施加电脉冲在这些涡结的融合和裂变之间可逆地切换。这揭示了结理论中概念的物理体现，​​例如结的连接和和带手术。我们的研究结果证明了从组成分子到宿主介质以及能量稳定的手性涡结的层级水平上手性效应的相互作用。这种新兴的物理行为可能使得电光和光子学中的应用成为可能，其中涡结的聚变和裂变过程可用于控制光。</w:t>
      </w:r>
    </w:p>
    <w:p>
      <w:pPr>
        <w:spacing w:before="120"/>
      </w:pPr>
      <w:r>
        <w:rPr>
          <w:rFonts w:ascii="Times New Roman" w:hAnsi="Times New Roman" w:eastAsia="宋体"/>
          <w:b/>
          <w:sz w:val="21"/>
        </w:rPr>
        <w:t>English Abstract:</w:t>
      </w:r>
    </w:p>
    <w:p>
      <w:r>
        <w:rPr>
          <w:rFonts w:ascii="Times New Roman" w:hAnsi="Times New Roman" w:eastAsia="宋体"/>
          <w:sz w:val="21"/>
        </w:rPr>
        <w:t>Abstract Vortex knots have been seen decaying in many physical systems. Here we describe topologically protected vortex knots, which remain stable and undergo fusion and fission and conserve a topological invariant. The host medium, a chiral nematic liquid crystal, exhibits intrinsic chirality of molecular alignment, whereas cores of the vortex lines are structurally achiral regions in which a molecular twist cannot be defined. We can reversibly switch between fusion and fission of these vortex knots by applying electric pulses. This reveals the physical embodiments of concepts in knot theory, such as connected sums of knots and band surgeries. Our findings demonstrate the interplay of chirality effects at hierarchical levels from constituent molecules to the host medium and the energetically stable chiral vortex knots. This emergent physical behaviour may enable applications in electro-optics and photonics in which such fusion and fission processes of vortex knots can be used for controlling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轨道角动量和手性的相互作用</w:t>
      </w:r>
    </w:p>
    <w:p>
      <w:r>
        <w:rPr>
          <w:rFonts w:ascii="Times New Roman" w:hAnsi="Times New Roman" w:eastAsia="宋体"/>
          <w:b/>
          <w:color w:val="003264"/>
          <w:sz w:val="24"/>
        </w:rPr>
        <w:t>Interplay of orbital angular momentum and chirality</w:t>
      </w:r>
    </w:p>
    <w:p>
      <w:r>
        <w:rPr>
          <w:rFonts w:ascii="Times New Roman" w:hAnsi="Times New Roman" w:eastAsia="宋体"/>
          <w:sz w:val="21"/>
        </w:rPr>
        <w:t>作者: Dongjin Oh, Hendrik Bentmann, Riccardo Comin</w:t>
        <w:br/>
      </w:r>
      <w:r>
        <w:rPr>
          <w:rFonts w:ascii="Times New Roman" w:hAnsi="Times New Roman" w:eastAsia="宋体"/>
          <w:sz w:val="21"/>
        </w:rPr>
        <w:t xml:space="preserve">时间: 2025-12-29 | </w:t>
      </w:r>
      <w:r>
        <w:t xml:space="preserve">链接: </w:t>
      </w:r>
      <w:hyperlink r:id="rId247">
        <w:r>
          <w:rPr>
            <w:rFonts w:ascii="Times New Roman" w:hAnsi="Times New Roman" w:eastAsia="宋体"/>
            <w:color w:val="0000FF"/>
            <w:sz w:val="21"/>
            <w:u w:val="single"/>
          </w:rPr>
          <w:t>https://doi.org/10.1038/s41567-025-03113-2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轨道角动量纹理可以驱动轨道电流并实现轨道电子学中的应用。该视角展示了偏振相关的角度分辨光电子能谱如何可视化动量空间中的轨道纹理。</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textures can drive orbital currents and enable applications in orbitronics. This Perspective shows how polarization-dependent angle-resolved photoemission spectroscopy can visualize orbital textures in momentum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空间纹理电子流体的实验证据</w:t>
      </w:r>
    </w:p>
    <w:p>
      <w:r>
        <w:rPr>
          <w:rFonts w:ascii="Times New Roman" w:hAnsi="Times New Roman" w:eastAsia="宋体"/>
          <w:b/>
          <w:color w:val="003264"/>
          <w:sz w:val="24"/>
        </w:rPr>
        <w:t>Experimental evidence of a spatially textured electron fluid</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48">
        <w:r>
          <w:rPr>
            <w:rFonts w:ascii="Times New Roman" w:hAnsi="Times New Roman" w:eastAsia="宋体"/>
            <w:color w:val="0000FF"/>
            <w:sz w:val="21"/>
            <w:u w:val="single"/>
          </w:rPr>
          <w:t>https://doi.org/10.1038/s41567-025-03133-y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多数金属中，自由电子形成均匀且各向同性的流体。然而，当电子与晶体主体的振动强烈相互作用时，人们认为会形成周期性调制的电子流体（称为液体电荷密度波）。现在可以使用超快电子衍射来观察这种状态。</w:t>
      </w:r>
    </w:p>
    <w:p>
      <w:pPr>
        <w:spacing w:before="120"/>
      </w:pPr>
      <w:r>
        <w:rPr>
          <w:rFonts w:ascii="Times New Roman" w:hAnsi="Times New Roman" w:eastAsia="宋体"/>
          <w:b/>
          <w:sz w:val="21"/>
        </w:rPr>
        <w:t>English Abstract:</w:t>
      </w:r>
    </w:p>
    <w:p>
      <w:r>
        <w:rPr>
          <w:rFonts w:ascii="Times New Roman" w:hAnsi="Times New Roman" w:eastAsia="宋体"/>
          <w:sz w:val="21"/>
        </w:rPr>
        <w:t>In most metals, free electrons form a homogeneous and isotropic fluid. However, a periodically modulated electronic fluid — known as a liquid charge density wave — is thought to form when electrons interact strongly with the vibrations of the crystalline host. This state is now observed using ultrafast electron diffraction.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自诱导超辐射玛斯汀</w:t>
      </w:r>
    </w:p>
    <w:p>
      <w:r>
        <w:rPr>
          <w:rFonts w:ascii="Times New Roman" w:hAnsi="Times New Roman" w:eastAsia="宋体"/>
          <w:b/>
          <w:color w:val="003264"/>
          <w:sz w:val="24"/>
        </w:rPr>
        <w:t>Self-induced superradiant masing</w:t>
      </w:r>
    </w:p>
    <w:p>
      <w:r>
        <w:rPr>
          <w:rFonts w:ascii="Times New Roman" w:hAnsi="Times New Roman" w:eastAsia="宋体"/>
          <w:sz w:val="21"/>
        </w:rPr>
        <w:t>作者: Wenzel Kersten, Nikolaus de Zordo, Oliver Diekmann, Elena S. Redchenko, Andrew N. Kanagin, Andreas Angerer, William J. Munro, Kae Nemoto, Igor E. Mazets, Stefan Rotter, Thomas Pohl, Jörg Schmiedmayer</w:t>
        <w:br/>
      </w:r>
      <w:r>
        <w:rPr>
          <w:rFonts w:ascii="Times New Roman" w:hAnsi="Times New Roman" w:eastAsia="宋体"/>
          <w:sz w:val="21"/>
        </w:rPr>
        <w:t xml:space="preserve">时间: 2026-01-02 | </w:t>
      </w:r>
      <w:r>
        <w:t xml:space="preserve">链接: </w:t>
      </w:r>
      <w:hyperlink r:id="rId249">
        <w:r>
          <w:rPr>
            <w:rFonts w:ascii="Times New Roman" w:hAnsi="Times New Roman" w:eastAsia="宋体"/>
            <w:color w:val="0000FF"/>
            <w:sz w:val="21"/>
            <w:u w:val="single"/>
          </w:rPr>
          <w:t>https://doi.org/10.1038/s41567-025-03123-0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腔量子电动力学，特别是超辐射中，发射器通常被认为是独立的，仅通过共模共享的光相互作用。尽管这种光子介导的相互作用会导致广泛的集体光学效应，但发射体群内的直接偶极子相互作用通常被视为退相干的来源。在这里，我们报告了直接自旋-自旋相互作用作为驱动金刚石中与超导微波腔耦合的氮空位中心自旋混合系统的超辐射动力学的作用。在最初的快速超辐射爆发之后，我们观察到一系列后续发射脉冲，然后是长达一毫秒的准连续玛斯。我们证明这种行为是由谱孔重新填充引起的，其中自旋反转被重新分配到与腔谐振的自旋超辐射窗口中。我们报告的测量结果排除了其他与空腔相关的效应，并进行了微观模拟，证实观察到的行为是由自旋之间的偶极子相互作用驱动的。这些发现为探索致密无序系统中复杂的自旋-自旋相互作用开辟了道路，并为纯粹由微波驱动的自旋控制驱动的超窄线宽固态超辐射微波激射器提供了可能性。</w:t>
      </w:r>
    </w:p>
    <w:p>
      <w:pPr>
        <w:spacing w:before="120"/>
      </w:pPr>
      <w:r>
        <w:rPr>
          <w:rFonts w:ascii="Times New Roman" w:hAnsi="Times New Roman" w:eastAsia="宋体"/>
          <w:b/>
          <w:sz w:val="21"/>
        </w:rPr>
        <w:t>English Abstract:</w:t>
      </w:r>
    </w:p>
    <w:p>
      <w:r>
        <w:rPr>
          <w:rFonts w:ascii="Times New Roman" w:hAnsi="Times New Roman" w:eastAsia="宋体"/>
          <w:sz w:val="21"/>
        </w:rPr>
        <w:t>Abstract In cavity quantum electrodynamics and particularly superradiance, emitters are typically assumed to be independent, interacting only through light shared via a common mode. Although such photon-mediated interactions lead to a wide range of collective optical effects, direct dipole–dipole interactions within the emitter ensemble are generally viewed as a source of decoherence. Here we report the role of direct spin–spin interactions as a drive for the superradiant dynamics of a hybrid system of nitrogen-vacancy centre spins in a diamond coupled to a superconducting microwave cavity. After an initial fast superradiant burst, we observe a train of subsequent emission pulses followed by quasi-continuous masing for up to one millisecond. We show that this behaviour arises from spectral hole refilling, where spin inversion is redistributed into the superradiant window of spins resonant with the cavity. We report measurements that exclude other cavity-related effects and perform microscopic simulations that confirm that the observed behaviour is driven by dipole–dipole interactions between the spins. These findings open pathways for exploring complex spin–spin interactions in dense disordered systems and offer possibilities for ultranarrow-linewidth solid-state superradiant masers powered purely by microwave-driven spin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斑马鱼胚胎中几何驱动的不对称细胞分裂模式细胞周期和合子基因组激活</w:t>
      </w:r>
    </w:p>
    <w:p>
      <w:r>
        <w:rPr>
          <w:rFonts w:ascii="Times New Roman" w:hAnsi="Times New Roman" w:eastAsia="宋体"/>
          <w:b/>
          <w:color w:val="003264"/>
          <w:sz w:val="24"/>
        </w:rPr>
        <w:t>Geometry-driven asymmetric cell divisions pattern cell cycles and zygotic genome activation in the zebrafish embryo</w:t>
      </w:r>
    </w:p>
    <w:p>
      <w:r>
        <w:rPr>
          <w:rFonts w:ascii="Times New Roman" w:hAnsi="Times New Roman" w:eastAsia="宋体"/>
          <w:sz w:val="21"/>
        </w:rPr>
        <w:t>作者: Nikhil Mishra, Yuting Irene Li, Edouard Hannezo, Carl-Philipp Heisenberg</w:t>
        <w:br/>
      </w:r>
      <w:r>
        <w:rPr>
          <w:rFonts w:ascii="Times New Roman" w:hAnsi="Times New Roman" w:eastAsia="宋体"/>
          <w:sz w:val="21"/>
        </w:rPr>
        <w:t xml:space="preserve">时间: 2026-01-05 | </w:t>
      </w:r>
      <w:r>
        <w:t xml:space="preserve">链接: </w:t>
      </w:r>
      <w:hyperlink r:id="rId250">
        <w:r>
          <w:rPr>
            <w:rFonts w:ascii="Times New Roman" w:hAnsi="Times New Roman" w:eastAsia="宋体"/>
            <w:color w:val="0000FF"/>
            <w:sz w:val="21"/>
            <w:u w:val="single"/>
          </w:rPr>
          <w:t>https://doi.org/10.1038/s41567-025-03122-1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早期胚胎几何形状是最不变的物种特异性特征之一，但其在确保发育再现性和稳健性方面的作用仍未得到充分探索。在这里，我们表明，在斑马鱼中，受精卵的几何形状（特别是其曲率和体积）是触发一系列影响发育的事件的关键初始条件。胚胎几何形状引导胚盘中图案化的不对称细胞分裂，产生细胞体积和核质比率的径向梯度。这些梯度产生有丝分裂相波，核质比率决定独立于其他细胞的单个细胞周期周期。我们证明，减少细胞自主性会重塑这些波，强调几何衍生的体积模式在设置细胞周期振荡器的固有周期方面的指导作用。除了组织细胞周期之外，早期胚胎的几何形状在囊胚中转变时对合子基因组激活进行空间模式，这是建立胚胎自主性的关键步骤。破坏胚胎形状会改变合子基因组激活模式并导致异位胚层规范，强调了几何学的发育意义。总之，我们的研究结果揭示了早期胚胎几何形状在协调细胞周期和转录模式中的对称性破坏功能。</w:t>
      </w:r>
    </w:p>
    <w:p>
      <w:pPr>
        <w:spacing w:before="120"/>
      </w:pPr>
      <w:r>
        <w:rPr>
          <w:rFonts w:ascii="Times New Roman" w:hAnsi="Times New Roman" w:eastAsia="宋体"/>
          <w:b/>
          <w:sz w:val="21"/>
        </w:rPr>
        <w:t>English Abstract:</w:t>
      </w:r>
    </w:p>
    <w:p>
      <w:r>
        <w:rPr>
          <w:rFonts w:ascii="Times New Roman" w:hAnsi="Times New Roman" w:eastAsia="宋体"/>
          <w:sz w:val="21"/>
        </w:rPr>
        <w:t>Abstract Early embryo geometry is one of the most invariant species-specific traits, yet its role in ensuring developmental reproducibility and robustness remains underexplored. Here we show that in zebrafish, the geometry of the fertilized egg—specifically its curvature and volume—serves as a critical initial condition triggering a cascade of events that influence development. The embryo geometry guides patterned asymmetric cell divisions in the blastoderm, generating radial gradients of cell volume and nucleocytoplasmic ratio. These gradients generate mitotic phase waves, with the nucleocytoplasmic ratio determining individual cell cycle periods independently of other cells. We demonstrate that reducing cell autonomy reshapes these waves, emphasizing the instructive role of geometry-derived volume patterns in setting the intrinsic period of the cell cycle oscillator. In addition to organizing cell cycles, early embryo geometry spatially patterns zygotic genome activation at the midblastula transition, a key step in establishing embryonic autonomy. Disrupting the embryo shape alters the zygotic genome activation pattern and causes ectopic germ layer specification, underscoring the developmental significance of geometry. Together, our findings reveal a symmetry-breaking function of early embryo geometry in coordinating cell cycle and transcriptional patterning.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胚胎几何形状决定节奏</w:t>
      </w:r>
    </w:p>
    <w:p>
      <w:r>
        <w:rPr>
          <w:rFonts w:ascii="Times New Roman" w:hAnsi="Times New Roman" w:eastAsia="宋体"/>
          <w:b/>
          <w:color w:val="003264"/>
          <w:sz w:val="24"/>
        </w:rPr>
        <w:t>Embryo geometry sets the tempo</w:t>
      </w:r>
    </w:p>
    <w:p>
      <w:r>
        <w:rPr>
          <w:rFonts w:ascii="Times New Roman" w:hAnsi="Times New Roman" w:eastAsia="宋体"/>
          <w:sz w:val="21"/>
        </w:rPr>
        <w:t>作者: Jeremy Sallé, Nicolas Minc</w:t>
        <w:br/>
      </w:r>
      <w:r>
        <w:rPr>
          <w:rFonts w:ascii="Times New Roman" w:hAnsi="Times New Roman" w:eastAsia="宋体"/>
          <w:sz w:val="21"/>
        </w:rPr>
        <w:t xml:space="preserve">时间: 2026-01-05 | </w:t>
      </w:r>
      <w:r>
        <w:t xml:space="preserve">链接: </w:t>
      </w:r>
      <w:hyperlink r:id="rId251">
        <w:r>
          <w:rPr>
            <w:rFonts w:ascii="Times New Roman" w:hAnsi="Times New Roman" w:eastAsia="宋体"/>
            <w:color w:val="0000FF"/>
            <w:sz w:val="21"/>
            <w:u w:val="single"/>
          </w:rPr>
          <w:t>https://doi.org/10.1038/s41567-025-03136-9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斑马鱼卵的几何形状在连续的细胞分裂时会产生细胞大小的梯度。该梯度指定了细胞周期进程、合子基因组激活和细胞命运规范的刻板模式。</w:t>
      </w:r>
    </w:p>
    <w:p>
      <w:pPr>
        <w:spacing w:before="120"/>
      </w:pPr>
      <w:r>
        <w:rPr>
          <w:rFonts w:ascii="Times New Roman" w:hAnsi="Times New Roman" w:eastAsia="宋体"/>
          <w:b/>
          <w:sz w:val="21"/>
        </w:rPr>
        <w:t>English Abstract:</w:t>
      </w:r>
    </w:p>
    <w:p>
      <w:r>
        <w:rPr>
          <w:rFonts w:ascii="Times New Roman" w:hAnsi="Times New Roman" w:eastAsia="宋体"/>
          <w:sz w:val="21"/>
        </w:rPr>
        <w:t>The geometry of the zebrafish egg is shown to generate a gradient in cell size upon successive cell divisions. This gradient specifies stereotyped patterns of cell-cycle progression, zygotic genome activation and cell-fate specification.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魔角扭曲双层石墨烯轨道磁性的光学控制</w:t>
      </w:r>
    </w:p>
    <w:p>
      <w:r>
        <w:rPr>
          <w:rFonts w:ascii="Times New Roman" w:hAnsi="Times New Roman" w:eastAsia="宋体"/>
          <w:b/>
          <w:color w:val="003264"/>
          <w:sz w:val="24"/>
        </w:rPr>
        <w:t>Optical control of orbital magnetism in magic-angle twisted bilayer graphene</w:t>
      </w:r>
    </w:p>
    <w:p>
      <w:r>
        <w:rPr>
          <w:rFonts w:ascii="Times New Roman" w:hAnsi="Times New Roman" w:eastAsia="宋体"/>
          <w:sz w:val="21"/>
        </w:rPr>
        <w:t>作者: Eylon Persky, Léonie Parisot, Minhao He, Jiaqi Cai, Takashi Taniguchi, Kenji Watanabe, Julian May-Mann, Xiaodong Xu, Aharon Kapitulnik</w:t>
        <w:br/>
      </w:r>
      <w:r>
        <w:rPr>
          <w:rFonts w:ascii="Times New Roman" w:hAnsi="Times New Roman" w:eastAsia="宋体"/>
          <w:sz w:val="21"/>
        </w:rPr>
        <w:t xml:space="preserve">时间: 2026-01-06 | </w:t>
      </w:r>
      <w:r>
        <w:t xml:space="preserve">链接: </w:t>
      </w:r>
      <w:hyperlink r:id="rId252">
        <w:r>
          <w:rPr>
            <w:rFonts w:ascii="Times New Roman" w:hAnsi="Times New Roman" w:eastAsia="宋体"/>
            <w:color w:val="0000FF"/>
            <w:sz w:val="21"/>
            <w:u w:val="single"/>
          </w:rPr>
          <w:t>https://doi.org/10.1038/s41567-025-03117-y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扭曲石墨烯结构中的平带具有各种强相关和拓扑现象。对它们进行光学探测和控制可以揭示对称性和动力学等重要信息，但由于与光学波长相比能隙较小，这一直具有挑战性。在这里，我们报告了单层 WSe2 器件上魔角扭曲双层石墨烯中轨道磁性的近红外光学控制以及相关的反常霍尔效应。我们演示了使用圆偏振光对整数莫尔填充附近的反常霍尔效应的滞后和幅度的控制。通过调制光螺旋度，我们观察到各种填充物中横向电阻的周期性调制，表明通过大的逆法拉第效应引起的光诱导轨道磁化。在金属和反常霍尔效应状态之间的转变中，我们还揭示了霍尔电阻率的大且随机的切换，我们将其归因于光调谐的磁域渗透簇。我们的结果证明了莫尔结构中相关性和拓扑的光学操纵的潜力。在莫尔石墨烯中已经看到了强相关性和拓扑结构，但它们的光学控制尚未显示。现在，轨道磁性和反常霍尔效应的光学操纵在魔角扭曲双层石墨烯中得到了证明。</w:t>
      </w:r>
    </w:p>
    <w:p>
      <w:pPr>
        <w:spacing w:before="120"/>
      </w:pPr>
      <w:r>
        <w:rPr>
          <w:rFonts w:ascii="Times New Roman" w:hAnsi="Times New Roman" w:eastAsia="宋体"/>
          <w:b/>
          <w:sz w:val="21"/>
        </w:rPr>
        <w:t>English Abstract:</w:t>
      </w:r>
    </w:p>
    <w:p>
      <w:r>
        <w:rPr>
          <w:rFonts w:ascii="Times New Roman" w:hAnsi="Times New Roman" w:eastAsia="宋体"/>
          <w:sz w:val="21"/>
        </w:rPr>
        <w:t>Flat bands in twisted graphene structures host various strongly correlated and topological phenomena. Optically probing and controlling them can reveal important information such as symmetry and dynamics, but this has been challenging due to the small energy gap compared with optical wavelengths. Here we report on the near-infrared optical control of orbital magnetism and associated anomalous Hall effects in a magic-angle twisted bilayer graphene on a monolayer WSe2 device. We demonstrate control over the hysteresis and amplitude of the anomalous Hall effect near integer moiré fillings using circularly polarized light. By modulating the light helicity, we observe periodic modulation of the transverse resistance in a wide range of fillings, indicating light-induced orbital magnetization through a large inverse Faraday effect. At the transition between metallic and anomalous Hall effect regimes, we also reveal large and random switching of the Hall resistivity, which we attribute to the light-tuned percolating cluster of magnetic domains. Our results demonstrate the potential of the optical manipulation of correlation and topology in moiré structures. Strong correlations and topology have been seen in moiré graphene, but their optical control has not been shown yet. Now, the optical manipulation of orbital magnetism and anomalous Hall effects is demonstrated in magic-angle twisted bilayer graphene.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外尔磁体中磁畴壁耗散滑动动力学引起的涌现电场</w:t>
      </w:r>
    </w:p>
    <w:p>
      <w:r>
        <w:rPr>
          <w:rFonts w:ascii="Times New Roman" w:hAnsi="Times New Roman" w:eastAsia="宋体"/>
          <w:b/>
          <w:color w:val="003264"/>
          <w:sz w:val="24"/>
        </w:rPr>
        <w:t>Emergent electric field induced by dissipative sliding dynamics of domain walls in a Weyl magnet</w:t>
      </w:r>
    </w:p>
    <w:p>
      <w:r>
        <w:rPr>
          <w:rFonts w:ascii="Times New Roman" w:hAnsi="Times New Roman" w:eastAsia="宋体"/>
          <w:sz w:val="21"/>
        </w:rPr>
        <w:t>作者: Rinsuke Yamada, Daichi Kurebayashi, Yukako Fujishiro, Shun Okumura, Daisuke Nakamura, Fehmi S. Yasin, Taro Nakajima, Tomoyuki Yokouchi, Akiko Kikkawa, Yasujiro Taguchi, Yoshinori Tokura, Oleg A. Tretiakov, Max Hirschberger</w:t>
        <w:br/>
      </w:r>
      <w:r>
        <w:rPr>
          <w:rFonts w:ascii="Times New Roman" w:hAnsi="Times New Roman" w:eastAsia="宋体"/>
          <w:sz w:val="21"/>
        </w:rPr>
        <w:t xml:space="preserve">时间: 2026-01-15 | </w:t>
      </w:r>
      <w:r>
        <w:t xml:space="preserve">链接: </w:t>
      </w:r>
      <w:hyperlink r:id="rId253">
        <w:r>
          <w:rPr>
            <w:rFonts w:ascii="Times New Roman" w:hAnsi="Times New Roman" w:eastAsia="宋体"/>
            <w:color w:val="0000FF"/>
            <w:sz w:val="21"/>
            <w:u w:val="single"/>
          </w:rPr>
          <w:t>https://doi.org/10.1038/s41567-025-03124-z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体中拓扑缺陷的动态运动会产生涌现电场，如斯格明子涡流的连续流动所示。然而，人们对这个新兴领域的电动力学仍然知之甚少。在这种背景下，磁畴壁——具有滑动和自旋倾斜两种集体模式的一维拓扑缺陷——提供了一个有前途的探索平台。在这里，我们证明了在振荡电流激励下磁畴壁的耗散运动会产生一个涌现电场。我们对基于磁性 Weyl 半金属 NdAlSi 的介观器件中的外加磁场下的磁畴图案进行成像并量化磁畴壁长度。这些器件表现出异常强的畴壁散射和明显的涌现电场，在复阻抗的虚部中观察到。自旋动力学模拟表明，磁畴壁滑动比自旋倾斜占主导地位，其中磁畴壁运动相对于驱动力的相位延迟会影响出现的电场。我们的研究结果将畴壁动力学建立为研究新兴电磁场的平台，并激发了对磁孤子和传导电子耦合运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The dynamic motion of topological defects in magnets induces an emergent electric field, as exemplified by the continuous flow of skyrmion vortices. However, the electrodynamics underlying this emergent field remains poorly understood. In this context, magnetic domain walls - one dimensional topological defects with two collective modes, sliding and spin tilt - offer a promising platform for exploration. Here, we demonstrate that the dissipative motion of domain walls under oscillatory current excitation generates an emergent electric field. We image domain patterns and quantify domain wall length under applied magnetic fields in mesoscopic devices based on the magnetic Weyl semimetal NdAlSi. These devices exhibit exceptionally strong domain wall scattering and a pronounced emergent electric field, observed in the imaginary component of the complex impedance. Spin dynamics simulations reveal that domain wall sliding dominates over spin tilting, where the phase delay of the domain wall motion with respect to the driving force impacts the emergent electric field. Our findings establish domain-wall dynamics as a platform for studying emergent electromagnetic fields and motivate further investigations on the coupled motion of magnetic solitons and conduction electrons.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用激子场驱动 Floquet 物理</w:t>
      </w:r>
    </w:p>
    <w:p>
      <w:r>
        <w:rPr>
          <w:rFonts w:ascii="Times New Roman" w:hAnsi="Times New Roman" w:eastAsia="宋体"/>
          <w:b/>
          <w:color w:val="003264"/>
          <w:sz w:val="24"/>
        </w:rPr>
        <w:t>Driving Floquet physics with excitonic fields</w:t>
      </w:r>
    </w:p>
    <w:p>
      <w:r>
        <w:rPr>
          <w:rFonts w:ascii="Times New Roman" w:hAnsi="Times New Roman" w:eastAsia="宋体"/>
          <w:sz w:val="21"/>
        </w:rPr>
        <w:t>作者: Vivek Pareek, David R. Bacon, Xing Zhu, Yang-Hao Chan, Fabio Bussolotti, Marcos G. Menezes, Nicholas S. Chan, Joel Pérez Urquizo, Kenji Watanabe, Takashi Taniguchi, Enrico Perfetto, Michael K. L. Man, Julien Madéo, Gianluca Stefanucci, Diana Y. Qiu, Kuan Eng Johnson Goh, Felipe H. da Jornada, Keshav M. Dani</w:t>
        <w:br/>
      </w:r>
      <w:r>
        <w:rPr>
          <w:rFonts w:ascii="Times New Roman" w:hAnsi="Times New Roman" w:eastAsia="宋体"/>
          <w:sz w:val="21"/>
        </w:rPr>
        <w:t xml:space="preserve">时间: 2026-01-19 | </w:t>
      </w:r>
      <w:r>
        <w:t xml:space="preserve">链接: </w:t>
      </w:r>
      <w:hyperlink r:id="rId254">
        <w:r>
          <w:rPr>
            <w:rFonts w:ascii="Times New Roman" w:hAnsi="Times New Roman" w:eastAsia="宋体"/>
            <w:color w:val="0000FF"/>
            <w:sz w:val="21"/>
            <w:u w:val="single"/>
          </w:rPr>
          <w:t>https://doi.org/10.1038/s41567-025-03132-z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Floquet 工程通常受到弱光-物质耦合和加热的限制。现在，研究表明单层半导体中的激子驱动场会产生更强、寿命更长的弗洛奎特效应，并揭示与激子相相关的杂化。</w:t>
      </w:r>
    </w:p>
    <w:p>
      <w:pPr>
        <w:spacing w:before="120"/>
      </w:pPr>
      <w:r>
        <w:rPr>
          <w:rFonts w:ascii="Times New Roman" w:hAnsi="Times New Roman" w:eastAsia="宋体"/>
          <w:b/>
          <w:sz w:val="21"/>
        </w:rPr>
        <w:t>English Abstract:</w:t>
      </w:r>
    </w:p>
    <w:p>
      <w:r>
        <w:rPr>
          <w:rFonts w:ascii="Times New Roman" w:hAnsi="Times New Roman" w:eastAsia="宋体"/>
          <w:sz w:val="21"/>
        </w:rPr>
        <w:t>Floquet engineering is often limited by weak light–matter coupling and heating. Now it is shown that exciton-driven fields in monolayer semiconductors produce stronger, longer-lived Floquet effects and reveal hybridization linked to excitonic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超莫尔晶格中的强相关性和超导性</w:t>
      </w:r>
    </w:p>
    <w:p>
      <w:r>
        <w:rPr>
          <w:rFonts w:ascii="Times New Roman" w:hAnsi="Times New Roman" w:eastAsia="宋体"/>
          <w:b/>
          <w:color w:val="003264"/>
          <w:sz w:val="24"/>
        </w:rPr>
        <w:t>Strong correlations and superconductivity in the supermoiré lattice</w:t>
      </w:r>
    </w:p>
    <w:p>
      <w:r>
        <w:rPr>
          <w:rFonts w:ascii="Times New Roman" w:hAnsi="Times New Roman" w:eastAsia="宋体"/>
          <w:sz w:val="21"/>
        </w:rPr>
        <w:t>作者: Zekang Zhou, Cheng Shen, Kryštof Kolář, Kenji Watanabe, Takashi Taniguchi, Cyprian Lewandowski, Mitali Banerjee</w:t>
        <w:br/>
      </w:r>
      <w:r>
        <w:rPr>
          <w:rFonts w:ascii="Times New Roman" w:hAnsi="Times New Roman" w:eastAsia="宋体"/>
          <w:sz w:val="21"/>
        </w:rPr>
        <w:t xml:space="preserve">时间: 2026-01-20 | </w:t>
      </w:r>
      <w:r>
        <w:t xml:space="preserve">链接: </w:t>
      </w:r>
      <w:hyperlink r:id="rId255">
        <w:r>
          <w:rPr>
            <w:rFonts w:ascii="Times New Roman" w:hAnsi="Times New Roman" w:eastAsia="宋体"/>
            <w:color w:val="0000FF"/>
            <w:sz w:val="21"/>
            <w:u w:val="single"/>
          </w:rPr>
          <w:t>https://doi.org/10.1038/s41567-025-03131-0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莫尔晶格由多个莫尔图案的干涉产生，通过引入新的微带和修改能带色散，极大地重塑了电子能带结构。同时，莫尔平带内强烈的电子相互作用导致各种相关态的出现。然而，超莫尔晶格对具有强相互作用的平带系统的影响在很大程度上仍未被探索。在这里，我们报告了镜面对称破缺的扭曲三层石墨烯中超莫尔晶格的存在，阐明了其在产生迷你平带和迷你狄拉克带中的作用。此外，我们还证明了超莫尔微平带中相互作用引起的对称破缺相，以及由超莫尔晶格实现的超导体-绝缘体跃迁级联。我们的工作表明，镜面对称破缺的 TTG 中可以存在鲁棒的超导性，并强调了超莫尔晶格作为调节扭曲多层系统中电子特性的附加自由度的重要性，揭示了相关的量子相，例如原始莫尔平带中的超导性，并强调了使用超莫尔晶格设计和模拟新型量子相的潜力。</w:t>
      </w:r>
    </w:p>
    <w:p>
      <w:pPr>
        <w:spacing w:before="120"/>
      </w:pPr>
      <w:r>
        <w:rPr>
          <w:rFonts w:ascii="Times New Roman" w:hAnsi="Times New Roman" w:eastAsia="宋体"/>
          <w:b/>
          <w:sz w:val="21"/>
        </w:rPr>
        <w:t>English Abstract:</w:t>
      </w:r>
    </w:p>
    <w:p>
      <w:r>
        <w:rPr>
          <w:rFonts w:ascii="Times New Roman" w:hAnsi="Times New Roman" w:eastAsia="宋体"/>
          <w:sz w:val="21"/>
        </w:rPr>
        <w:t>The supermoir\'e lattice, arising from the interference of multiple moir\'e patterns, dramatically reshapes the electronic band structure by introducing new minibands and modifying band dispersion. Concurrently, strong electronic interactions within moir\'e flat bands lead to the emergence of various correlated states. However, the impact of the supermoir\'e lattice on the flat band systems with strong interactions remains largely unexplored. Here, we report the existence of the supermoir\'e lattice in the mirror-symmetry-broken twisted trilayer graphene, elucidating its role in generating mini-flat bands and mini-Dirac bands. Furthermore, we demonstrate interaction-induced symmetry-broken phases in the supermoir\'e mini-flat bands alongside the cascade of superconductor-insulator transitions enabled by the supermoir\'e lattice. Our work shows that robust superconductivity can exist in the mirror-symmetry-broken TTG and underscores the significance of the supermoir\'e lattice as an additional degree of freedom for tuning the electronic properties in twisted multilayer systems, sheds light on the correlated quantum phases such as superconductivity in the original moir\'e flat bands, and highlights the potential of using the supermoir\'e lattice to design and simulate novel quantum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使用自由电子激光器进行纳米级超快晶格调制</w:t>
      </w:r>
    </w:p>
    <w:p>
      <w:r>
        <w:rPr>
          <w:rFonts w:ascii="Times New Roman" w:hAnsi="Times New Roman" w:eastAsia="宋体"/>
          <w:b/>
          <w:color w:val="003264"/>
          <w:sz w:val="24"/>
        </w:rPr>
        <w:t>Nanoscale ultrafast lattice modulation with a free-electron laser</w:t>
      </w:r>
    </w:p>
    <w:p>
      <w:r>
        <w:rPr>
          <w:rFonts w:ascii="Times New Roman" w:hAnsi="Times New Roman" w:eastAsia="宋体"/>
          <w:sz w:val="21"/>
        </w:rPr>
        <w:t>作者: Haoyuan Li, Nan Wang, Leon Zhang, Sanghoon Song, Yanwen Sun, May-Ling Ng, Takahiro Sato, Dillon Hanlon, Sajal Dahal, Mario D. Balcazar, Vincent Esposito, Selene She, Chance Caleb Ornelas-Skarin, Joan Vila-Comamala, Christian David, Nadia Berndt, Peter R. Miedaner, Zhuquan Zhang, Matthias Ihme, Mariano Trigo, Keith A. Nelson, Jerome B. Hastings, Alexei A. Maznev, Laura Foglia, Samuel Teitelbaum, David A. Reis, Diling Zhu</w:t>
        <w:br/>
      </w:r>
      <w:r>
        <w:rPr>
          <w:rFonts w:ascii="Times New Roman" w:hAnsi="Times New Roman" w:eastAsia="宋体"/>
          <w:sz w:val="21"/>
        </w:rPr>
        <w:t xml:space="preserve">时间: 2026-01-27 | </w:t>
      </w:r>
      <w:r>
        <w:t xml:space="preserve">链接: </w:t>
      </w:r>
      <w:hyperlink r:id="rId256">
        <w:r>
          <w:rPr>
            <w:rFonts w:ascii="Times New Roman" w:hAnsi="Times New Roman" w:eastAsia="宋体"/>
            <w:color w:val="0000FF"/>
            <w:sz w:val="21"/>
            <w:u w:val="single"/>
          </w:rPr>
          <w:t>https://doi.org/10.1038/s41567-025-03161-8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基于光学激光的技术的应用受到激光的长波长的限制。现在，利用全硬 X 射线瞬态光栅光谱技术对纳米长度尺度的声子和热传输进行了观察。</w:t>
      </w:r>
    </w:p>
    <w:p>
      <w:pPr>
        <w:spacing w:before="120"/>
      </w:pPr>
      <w:r>
        <w:rPr>
          <w:rFonts w:ascii="Times New Roman" w:hAnsi="Times New Roman" w:eastAsia="宋体"/>
          <w:b/>
          <w:sz w:val="21"/>
        </w:rPr>
        <w:t>English Abstract:</w:t>
      </w:r>
    </w:p>
    <w:p>
      <w:r>
        <w:rPr>
          <w:rFonts w:ascii="Times New Roman" w:hAnsi="Times New Roman" w:eastAsia="宋体"/>
          <w:sz w:val="21"/>
        </w:rPr>
        <w:t>Applications of optical laser-based techniques are limited by the long wavelengths of the lasers. Now, observations of phonons and thermal transport at nanometre length scales are reported with an all-hard X-ray transient-grating spectroscopy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具有混合赝自旋的共同传播光子拓扑界面态</w:t>
      </w:r>
    </w:p>
    <w:p>
      <w:r>
        <w:rPr>
          <w:rFonts w:ascii="Times New Roman" w:hAnsi="Times New Roman" w:eastAsia="宋体"/>
          <w:b/>
          <w:color w:val="003264"/>
          <w:sz w:val="24"/>
        </w:rPr>
        <w:t>Co-propagating photonic topological interface states with hybridized pseudo-spins</w:t>
      </w:r>
    </w:p>
    <w:p>
      <w:r>
        <w:rPr>
          <w:rFonts w:ascii="Times New Roman" w:hAnsi="Times New Roman" w:eastAsia="宋体"/>
          <w:sz w:val="21"/>
        </w:rPr>
        <w:t>作者: Xilin Feng, Tianwei Wu, Li Ge, Liang Feng</w:t>
        <w:br/>
      </w:r>
      <w:r>
        <w:rPr>
          <w:rFonts w:ascii="Times New Roman" w:hAnsi="Times New Roman" w:eastAsia="宋体"/>
          <w:sz w:val="21"/>
        </w:rPr>
        <w:t xml:space="preserve">时间: 2026-02-02 | </w:t>
      </w:r>
      <w:r>
        <w:t xml:space="preserve">链接: </w:t>
      </w:r>
      <w:hyperlink r:id="rId257">
        <w:r>
          <w:rPr>
            <w:rFonts w:ascii="Times New Roman" w:hAnsi="Times New Roman" w:eastAsia="宋体"/>
            <w:color w:val="0000FF"/>
            <w:sz w:val="21"/>
            <w:u w:val="single"/>
          </w:rPr>
          <w:t>https://doi.org/10.1038/s41567-026-03172-z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拓扑界面状态通常支持单个状态在每个方向上的传播，这限制了它们的适用性。现在，在光子拓扑绝缘体系统中实现了同传播态。</w:t>
      </w:r>
    </w:p>
    <w:p>
      <w:pPr>
        <w:spacing w:before="120"/>
      </w:pPr>
      <w:r>
        <w:rPr>
          <w:rFonts w:ascii="Times New Roman" w:hAnsi="Times New Roman" w:eastAsia="宋体"/>
          <w:b/>
          <w:sz w:val="21"/>
        </w:rPr>
        <w:t>English Abstract:</w:t>
      </w:r>
    </w:p>
    <w:p>
      <w:r>
        <w:rPr>
          <w:rFonts w:ascii="Times New Roman" w:hAnsi="Times New Roman" w:eastAsia="宋体"/>
          <w:sz w:val="21"/>
        </w:rPr>
        <w:t>Topological interface states typically support the propagation of a single state in each direction, which limits their applicability. Now, co-propagating states are achieved in a photonic topological insulator system.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12:51 ---</w:t>
      </w:r>
    </w:p>
    <w:p>
      <w:pPr>
        <w:pStyle w:val="Heading2"/>
      </w:pPr>
      <w:r/>
      <w:r>
        <w:rPr>
          <w:rFonts w:ascii="Times New Roman" w:hAnsi="Times New Roman" w:eastAsia="宋体"/>
          <w:b/>
          <w:color w:val="000000"/>
          <w:sz w:val="24"/>
        </w:rPr>
        <w:t>多关节软外装改善脊髓损伤患者的肩部和肘部运动功能</w:t>
      </w:r>
    </w:p>
    <w:p>
      <w:r>
        <w:rPr>
          <w:rFonts w:ascii="Times New Roman" w:hAnsi="Times New Roman" w:eastAsia="宋体"/>
          <w:b/>
          <w:color w:val="003264"/>
          <w:sz w:val="24"/>
        </w:rPr>
        <w:t>A multi-joint soft exosuit improves shoulder and elbow motor functions in individuals with spinal cord injury</w:t>
      </w:r>
    </w:p>
    <w:p>
      <w:r>
        <w:rPr>
          <w:rFonts w:ascii="Times New Roman" w:hAnsi="Times New Roman" w:eastAsia="宋体"/>
          <w:sz w:val="21"/>
        </w:rPr>
        <w:t>作者: Roberto Ferroni, Gaetano D’Avola, Giorgia Sciarrone, Gabriele Righi, Claudia De Santis, Jacopo Carpaneto, Marta Gandolla, Giulio Del Popolo, Silvestro Micera, Tommaso Proietti</w:t>
        <w:br/>
      </w:r>
      <w:r>
        <w:rPr>
          <w:rFonts w:ascii="Times New Roman" w:hAnsi="Times New Roman" w:eastAsia="宋体"/>
          <w:sz w:val="21"/>
        </w:rPr>
        <w:t xml:space="preserve">时间: 2025-09-22 | </w:t>
      </w:r>
      <w:r>
        <w:t xml:space="preserve">链接: </w:t>
      </w:r>
      <w:hyperlink r:id="rId258">
        <w:r>
          <w:rPr>
            <w:rFonts w:ascii="Times New Roman" w:hAnsi="Times New Roman" w:eastAsia="宋体"/>
            <w:color w:val="0000FF"/>
            <w:sz w:val="21"/>
            <w:u w:val="single"/>
          </w:rPr>
          <w:t>https://doi.org/10.1038/s42256-025-01105-8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推出了一种轻型模块化辅助软外装，可为颈髓损伤患者的肩部和肘部运动提供支持。该设备增强耐力和运动范围，减少肌肉力量并提高临床测试分数。</w:t>
      </w:r>
    </w:p>
    <w:p>
      <w:pPr>
        <w:spacing w:before="120"/>
      </w:pPr>
      <w:r>
        <w:rPr>
          <w:rFonts w:ascii="Times New Roman" w:hAnsi="Times New Roman" w:eastAsia="宋体"/>
          <w:b/>
          <w:sz w:val="21"/>
        </w:rPr>
        <w:t>English Abstract:</w:t>
      </w:r>
    </w:p>
    <w:p>
      <w:r>
        <w:rPr>
          <w:rFonts w:ascii="Times New Roman" w:hAnsi="Times New Roman" w:eastAsia="宋体"/>
          <w:sz w:val="21"/>
        </w:rPr>
        <w:t>A lightweight, modular assistive soft exosuit is introduced, which supports shoulder and elbow movement in individuals with cervical spinal cord injury. The device enhances endurance and range of motion, reduces muscle effort and improves clinical test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迈向超越视觉和语言的以部署为中心的多模式人工智能</w:t>
      </w:r>
    </w:p>
    <w:p>
      <w:r>
        <w:rPr>
          <w:rFonts w:ascii="Times New Roman" w:hAnsi="Times New Roman" w:eastAsia="宋体"/>
          <w:b/>
          <w:color w:val="003264"/>
          <w:sz w:val="24"/>
        </w:rPr>
        <w:t>Towards deployment-centric multimodal AI beyond vision and language</w:t>
      </w:r>
    </w:p>
    <w:p>
      <w:r>
        <w:rPr>
          <w:rFonts w:ascii="Times New Roman" w:hAnsi="Times New Roman" w:eastAsia="宋体"/>
          <w:sz w:val="21"/>
        </w:rPr>
        <w:t>作者: Xianyuan Liu, Jiayang Zhang, Shuo Zhou, Thijs L. van der Plas, Avish Vijayaraghavan, Anastasiia Grishina, Mengdie Zhuang, Daniel Schofield, Christopher Tomlinson, Yuhan Wang, Ruizhe Li, Louisa van Zeeland, Sina Tabakhi, Cyndie Demeocq, Xiang Li, Arunav Das, Orlando Timmerman, Thomas Baldwin-McDonald, Jinge Wu, Peizhen Bai, Zahraa Al Sahili, Omnia Alwazzan, Thao N. Do, Mohammod N. I. Suvon, Angeline Wang, Lucia Cipolina-Kun, Luigi A. Moretti, Lucas Farndale, Nitisha Jain, Natalia Efremova, Yan Ge, Marta Varela, Hak-Keung Lam, Oya Celiktutan, Ben R. Evans, Alejandro Coca-Castro, Honghan Wu, Zahraa S. Abdallah, Chen Chen, Valentin Danchev, Nataliya Tkachenko, Lei Lu, Tingting Zhu, Gregory G. Slabaugh, Roger K. Moore, William K. Cheung, Peter H. Charlton, Haiping Lu</w:t>
        <w:br/>
      </w:r>
      <w:r>
        <w:rPr>
          <w:rFonts w:ascii="Times New Roman" w:hAnsi="Times New Roman" w:eastAsia="宋体"/>
          <w:sz w:val="21"/>
        </w:rPr>
        <w:t xml:space="preserve">时间: 2025-10-21 | </w:t>
      </w:r>
      <w:r>
        <w:t xml:space="preserve">链接: </w:t>
      </w:r>
      <w:hyperlink r:id="rId259">
        <w:r>
          <w:rPr>
            <w:rFonts w:ascii="Times New Roman" w:hAnsi="Times New Roman" w:eastAsia="宋体"/>
            <w:color w:val="0000FF"/>
            <w:sz w:val="21"/>
            <w:u w:val="single"/>
          </w:rPr>
          <w:t>https://doi.org/10.1038/s42256-025-01116-5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多模态人工智能 (AI) 通过机器学习集成不同类型的数据，以改善医疗保健、科学和工程等跨学科的理解、预测和决策。然而，大多数多模态人工智能的进步都集中在视觉和语言数据模型上，它们的可部署性仍然是一个关键挑战。我们提倡以部署为中心的工作流程，该工作流程尽早纳入部署约束，以减少无法部署解决方案的可能性，补充以数据为中心和以模型为中心的方法。我们还强调通过利益相关者参与和跨学科合作，跨多个层次的多模态进行更深入的整合，以扩大视觉和语言之外的研究范围。为了促进这种方法的实施，我们确定了跨学科共同面临的常见多模式人工智能特定挑战，并研究了三个现实世界的用例：流行病应对、自动驾驶汽车设计和气候变化适应，汲取医疗保健、社会科学、工程、科学、可持续发展和金融方面的专业知识。通过促进跨学科对话和开放研究实践，我们的社区可以加速以部署为中心的开发，从而产生广泛的社会影响。多模态人工智能结合了不同类型的数据，以改善医疗保健和工程等领域的决策，但迄今为止的工作主要集中在视觉和语言模型上。为了使这些系统在现实世界中更可用，Liu 等人。与相关学科的专家密切合作，讨论从一开始就考虑到部署的方法的必要性。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Multimodal artificial intelligence (AI) integrates diverse types of data via machine learning to improve understanding, prediction and decision-making across disciplines such as healthcare, science and engineering. However, most multimodal AI advances focus on models for vision and language data, and their deployability remains a key challenge. We advocate a deployment-centric workflow that incorporates deployment constraints early on to reduce the likelihood of undeployable solutions, complementing data-centric and model-centric approaches. We also emphasize deeper integration across multiple levels of multimodality through stakeholder engagement and interdisciplinary collaboration to broaden the research scope beyond vision and language. To facilitate this approach, we identify common multimodal-AI-specific challenges shared across disciplines and examine three real-world use cases: pandemic response, self-driving car design and climate change adaptation, drawing expertise from healthcare, social science, engineering, science, sustainability and finance. By fostering interdisciplinary dialogue and open research practices, our community can accelerate deployment-centric development for broad societal impact. Multimodal AI combines different types of data to improve decision-making in fields such as healthcare and engineering, but work so far has focused on vision and language models. To make these systems more usable in the real world, Liu et al. discuss the need to develop approaches with deployment in mind from the start, working closely with experts across relevant disciplines.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预测抗体和 T 细胞受体互补决定区的构象灵活性</w:t>
      </w:r>
    </w:p>
    <w:p>
      <w:r>
        <w:rPr>
          <w:rFonts w:ascii="Times New Roman" w:hAnsi="Times New Roman" w:eastAsia="宋体"/>
          <w:b/>
          <w:color w:val="003264"/>
          <w:sz w:val="24"/>
        </w:rPr>
        <w:t>Predicting the conformational flexibility of antibody and T cell receptor complementarity-determining regions</w:t>
      </w:r>
    </w:p>
    <w:p>
      <w:r>
        <w:rPr>
          <w:rFonts w:ascii="Times New Roman" w:hAnsi="Times New Roman" w:eastAsia="宋体"/>
          <w:sz w:val="21"/>
        </w:rPr>
        <w:t>作者: Fabian C. Spoendlin, Monica L. Fernández-Quintero, Sai S. R. Raghavan, Hannah L. Turner, Anant Gharpure, Johannes R. Loeffler, Wing K. Wong, Alexander Bujotzek, Guy Georges, Andrew B. Ward, Charlotte M. Deane</w:t>
        <w:br/>
      </w:r>
      <w:r>
        <w:rPr>
          <w:rFonts w:ascii="Times New Roman" w:hAnsi="Times New Roman" w:eastAsia="宋体"/>
          <w:sz w:val="21"/>
        </w:rPr>
        <w:t xml:space="preserve">时间: 2025-10-16 | </w:t>
      </w:r>
      <w:r>
        <w:t xml:space="preserve">链接: </w:t>
      </w:r>
      <w:hyperlink r:id="rId260">
        <w:r>
          <w:rPr>
            <w:rFonts w:ascii="Times New Roman" w:hAnsi="Times New Roman" w:eastAsia="宋体"/>
            <w:color w:val="0000FF"/>
            <w:sz w:val="21"/>
            <w:u w:val="single"/>
          </w:rPr>
          <w:t>https://doi.org/10.1038/s42256-025-01131-6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许多蛋白质具有高度灵活性，它们适应形状的能力对其功能特性至关重要。例如，抗体互补决定区（CDR）环的灵活性影响结合亲和力和特异性，使其成为理解和设计抗原相互作用的关键因素。使用 AlphaFold 等方法，可以通过计算高精度预测单个静态蛋白质结构。然而，结构柔性的可靠预测尚未实现。限制这种预测的一个主要因素是缺乏合适的训练数据。在这里，我们重点预测功能重要的抗体和 T 细胞受体 CDR3 环的结构灵活性。为此，我们通过从蛋白质数据库中存放的所有结构中提取 CDR3 和 CDR3 样环基序来构建 ALL 构象。该数据集包含 120 万个循环结构，代表超过 100,000 个独特序列，并捕获了这些基序的所有实验观察到的构象。使用该数据集，我们开发了 ITsFlexible，一种具有图神经网络架构的深度学习工具。我们训练模型根据抗体结构的输入将 CDR 环二元分类为“刚性”或“灵活”。 ITsFlexible 在我们的晶体结构数据集上优于所有替代方法，并成功推广到分子动力学模拟。我们还使用 ITsFlexible 来预测三个没有解析结构的 CDRH3 环的灵活性，并使用低温电子显微镜通过实验确定了它们的构象。</w:t>
      </w:r>
    </w:p>
    <w:p>
      <w:pPr>
        <w:spacing w:before="120"/>
      </w:pPr>
      <w:r>
        <w:rPr>
          <w:rFonts w:ascii="Times New Roman" w:hAnsi="Times New Roman" w:eastAsia="宋体"/>
          <w:b/>
          <w:sz w:val="21"/>
        </w:rPr>
        <w:t>English Abstract:</w:t>
      </w:r>
    </w:p>
    <w:p>
      <w:r>
        <w:rPr>
          <w:rFonts w:ascii="Times New Roman" w:hAnsi="Times New Roman" w:eastAsia="宋体"/>
          <w:sz w:val="21"/>
        </w:rPr>
        <w:t>Abstract Many proteins are highly flexible and their ability to adapt their shape can be fundamental to their functional properties. For example, the flexibility of antibody complementarity-determining region (CDR) loops influences binding affinity and specificity, making it a key factor in understanding and designing antigen interactions. With methods such as AlphaFold, it is possible to computationally predict a single, static protein structure with high accuracy. However, the reliable prediction of structural flexibility has not yet been achieved. A major factor limiting such predictions is the scarcity of suitable training data. Here we focus on predicting the structural flexibility of functionally important antibody and T cell receptor CDR3 loops. To this end, we constructed ALL-conformations by extracting CDR3s and CDR3-like loop motifs from all structures deposited in the Protein Data Bank. This dataset comprises 1.2 million loop structures representing more than 100,000 unique sequences and captures all experimentally observed conformations of these motifs. Using this dataset, we develop ITsFlexible, a deep learning tool with graph neural network architecture. We trained the model to binary classify CDR loops as ‘rigid’ or ‘flexible’ from inputs of antibody structures. ITsFlexible outperforms all alternative approaches on our crystal structure datasets and successfully generalizes to molecular dynamics simulations. We also used ITsFlexible to predict the flexibility of three CDRH3 loops with no solved structures and experimentally determined their conformations using cryogenic electron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神经网络表示是通用的还是特殊的？</w:t>
      </w:r>
    </w:p>
    <w:p>
      <w:r>
        <w:rPr>
          <w:rFonts w:ascii="Times New Roman" w:hAnsi="Times New Roman" w:eastAsia="宋体"/>
          <w:b/>
          <w:color w:val="003264"/>
          <w:sz w:val="24"/>
        </w:rPr>
        <w:t>Are neural network representations universal or idiosyncratic?</w:t>
      </w:r>
    </w:p>
    <w:p>
      <w:r>
        <w:rPr>
          <w:rFonts w:ascii="Times New Roman" w:hAnsi="Times New Roman" w:eastAsia="宋体"/>
          <w:sz w:val="21"/>
        </w:rPr>
        <w:t>作者: Unknown</w:t>
        <w:br/>
      </w:r>
      <w:r>
        <w:rPr>
          <w:rFonts w:ascii="Times New Roman" w:hAnsi="Times New Roman" w:eastAsia="宋体"/>
          <w:sz w:val="21"/>
        </w:rPr>
        <w:t xml:space="preserve">时间: 2025-10-21 | </w:t>
      </w:r>
      <w:r>
        <w:t xml:space="preserve">链接: </w:t>
      </w:r>
      <w:hyperlink r:id="rId261">
        <w:r>
          <w:rPr>
            <w:rFonts w:ascii="Times New Roman" w:hAnsi="Times New Roman" w:eastAsia="宋体"/>
            <w:color w:val="0000FF"/>
            <w:sz w:val="21"/>
            <w:u w:val="single"/>
          </w:rPr>
          <w:t>https://doi.org/10.1038/s42256-025-01139-y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关于神经网络是否学习通用表示或模型特定表示的问题在 2025 年 8 月的认知计算神经科学会议上举办了一场社区活动，强调了 NeuroAI 基本主题的未来方向。</w:t>
      </w:r>
    </w:p>
    <w:p>
      <w:pPr>
        <w:spacing w:before="120"/>
      </w:pPr>
      <w:r>
        <w:rPr>
          <w:rFonts w:ascii="Times New Roman" w:hAnsi="Times New Roman" w:eastAsia="宋体"/>
          <w:b/>
          <w:sz w:val="21"/>
        </w:rPr>
        <w:t>English Abstract:</w:t>
      </w:r>
    </w:p>
    <w:p>
      <w:r>
        <w:rPr>
          <w:rFonts w:ascii="Times New Roman" w:hAnsi="Times New Roman" w:eastAsia="宋体"/>
          <w:sz w:val="21"/>
        </w:rPr>
        <w:t>Questions over whether neural networks learn universal or model-specific representations framed a community event at the Cognitive Computational Neuroscience conference in August 2025, highlighting future directions on a fundamental topic in NeuroAI.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模拟类人自适应视觉，实现高效灵活的机器视觉感知</w:t>
      </w:r>
    </w:p>
    <w:p>
      <w:r>
        <w:rPr>
          <w:rFonts w:ascii="Times New Roman" w:hAnsi="Times New Roman" w:eastAsia="宋体"/>
          <w:b/>
          <w:color w:val="003264"/>
          <w:sz w:val="24"/>
        </w:rPr>
        <w:t>Emulating human-like adaptive vision for efficient and flexible machine visual perception</w:t>
      </w:r>
    </w:p>
    <w:p>
      <w:r>
        <w:rPr>
          <w:rFonts w:ascii="Times New Roman" w:hAnsi="Times New Roman" w:eastAsia="宋体"/>
          <w:sz w:val="21"/>
        </w:rPr>
        <w:t>作者: Yulin Wang, Yang Yue, Yang Yue, Huanqian Wang, Haojun Jiang, Yizeng Han, Zanlin Ni, Yifan Pu, Minglei Shi, Rui Lu, Qisen Yang, Andrew Zhao, Zhuofan Xia, Shiji Song, Gao Huang</w:t>
        <w:br/>
      </w:r>
      <w:r>
        <w:rPr>
          <w:rFonts w:ascii="Times New Roman" w:hAnsi="Times New Roman" w:eastAsia="宋体"/>
          <w:sz w:val="21"/>
        </w:rPr>
        <w:t xml:space="preserve">时间: 2025-11-06 | </w:t>
      </w:r>
      <w:r>
        <w:t xml:space="preserve">链接: </w:t>
      </w:r>
      <w:hyperlink r:id="rId262">
        <w:r>
          <w:rPr>
            <w:rFonts w:ascii="Times New Roman" w:hAnsi="Times New Roman" w:eastAsia="宋体"/>
            <w:color w:val="0000FF"/>
            <w:sz w:val="21"/>
            <w:u w:val="single"/>
          </w:rPr>
          <w:t>https://doi.org/10.1038/s42256-025-01130-7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具有高度适应性，通过顺序关注与任务相关的区域来有效地采样复杂的环境。相比之下，流行的机器视觉模型一次被动地处理整个场景，导致过多的资源需求随着时空输入分辨率和模型大小而扩展，从而产生阻碍未来进步和实际应用的关键限制。在这里，我们介绍 AdaptiveNN，一个通用框架，旨在实现从“被动”视觉模型到“主动和自适应”视觉模型的转变。 AdaptiveNN 将视觉感知制定为从粗到细的顺序决策过程，逐步识别和关注与任务相关的区域，逐步组合不同注视点的信息，并在足够时主动结束观察。我们建立了一种将表征学习与自我奖励强化学习相结合的理论，从而能够对不可微的 AdaptiveNN 进行端到端训练，而无需对注视位置进行额外的监督。我们根据涵盖 9 项任务的 17 个基准对 AdaptiveNN 进行评估，包括大规模视觉识别、细粒度辨别、视觉搜索、处理来自真实驾驶和医疗场景的图像、语言驱动的具体人工智能以及与人类的并排比较。 AdaptiveNN 在不牺牲准确性的情况下实现了高达 28 倍的推理成本降低，无需重新训练即可灵活适应不同的任务需求和资源预算，并通过其固定模式提供增强的可解释性，展示了一条实现高效、灵活和可解释的计算机视觉的有前途的途径。此外，AdaptiveNN 在许多情况下表现出与人类非常相似的感知行为，揭示了其作为研究视觉认知的有价值工具的潜力。深度学习方法 AdaptiveNN 将机器视觉模型从被动转变为主动，以模仿人类的感知。该方法在不损失准确性的情况下将推理成本降低了 28 倍，同时展示了在线适应和可解释的行为。</w:t>
      </w:r>
    </w:p>
    <w:p>
      <w:pPr>
        <w:spacing w:before="120"/>
      </w:pPr>
      <w:r>
        <w:rPr>
          <w:rFonts w:ascii="Times New Roman" w:hAnsi="Times New Roman" w:eastAsia="宋体"/>
          <w:b/>
          <w:sz w:val="21"/>
        </w:rPr>
        <w:t>English Abstract:</w:t>
      </w:r>
    </w:p>
    <w:p>
      <w:r>
        <w:rPr>
          <w:rFonts w:ascii="Times New Roman" w:hAnsi="Times New Roman" w:eastAsia="宋体"/>
          <w:sz w:val="21"/>
        </w:rPr>
        <w:t>Human vision is highly adaptive, efficiently sampling intricate environments by sequentially fixating on task-relevant regions. In contrast, prevailing machine vision models passively process entire scenes at once, resulting in excessive resource demands scaling with spatial–temporal input resolution and model size, yielding critical limitations impeding both future advancements and real-world application. Here we introduce AdaptiveNN, a general framework aiming to enable the transition from ‘passive’ to ‘active and adaptive’ vision models. AdaptiveNN formulates visual perception as a coarse-to-fine sequential decision-making process, progressively identifying and attending to regions pertinent to the task, incrementally combining information across fixations and actively concluding observation when sufficient. We establish a theory integrating representation learning with self-rewarding reinforcement learning, enabling end-to-end training of the non-differentiable AdaptiveNN without additional supervision on fixation locations. We assess AdaptiveNN on 17 benchmarks spanning 9 tasks, including large-scale visual recognition, fine-grained discrimination, visual search, processing images from real driving and medical scenarios, language-driven embodied artificial intelligence and side-by-side comparisons with humans. AdaptiveNN achieves up to 28 times inference cost reduction without sacrificing accuracy, flexibly adapts to varying task demands and resource budgets without retraining, and provides enhanced interpretability via its fixation patterns, demonstrating a promising avenue towards efficient, flexible and interpretable computer vision. Furthermore, AdaptiveNN exhibits closely human-like perceptual behaviours in many cases, revealing its potential as a valuable tool for investigating visual cognition. A deep learning approach, AdaptiveNN, shifts machine vision models from passive to active to mimic human-like perception. The method achieves inference costs that are up to 28-times lower without accuracy loss, while showcasing online-adaptable and interpretable behaviours.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卷积架构是从头开始与皮质对齐的</w:t>
      </w:r>
    </w:p>
    <w:p>
      <w:r>
        <w:rPr>
          <w:rFonts w:ascii="Times New Roman" w:hAnsi="Times New Roman" w:eastAsia="宋体"/>
          <w:b/>
          <w:color w:val="003264"/>
          <w:sz w:val="24"/>
        </w:rPr>
        <w:t>Convolutional architectures are cortex-aligned de novo</w:t>
      </w:r>
    </w:p>
    <w:p>
      <w:r>
        <w:rPr>
          <w:rFonts w:ascii="Times New Roman" w:hAnsi="Times New Roman" w:eastAsia="宋体"/>
          <w:sz w:val="21"/>
        </w:rPr>
        <w:t>作者: Atlas Kazemian, Eric Elmoznino, Michael F. Bonner</w:t>
        <w:br/>
      </w:r>
      <w:r>
        <w:rPr>
          <w:rFonts w:ascii="Times New Roman" w:hAnsi="Times New Roman" w:eastAsia="宋体"/>
          <w:sz w:val="21"/>
        </w:rPr>
        <w:t xml:space="preserve">时间: 2025-11-13 | </w:t>
      </w:r>
      <w:r>
        <w:t xml:space="preserve">链接: </w:t>
      </w:r>
      <w:hyperlink r:id="rId263">
        <w:r>
          <w:rPr>
            <w:rFonts w:ascii="Times New Roman" w:hAnsi="Times New Roman" w:eastAsia="宋体"/>
            <w:color w:val="0000FF"/>
            <w:sz w:val="21"/>
            <w:u w:val="single"/>
          </w:rPr>
          <w:t>https://doi.org/10.1038/s42256-025-01142-3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深度神经网络模型中皮层对齐表示的出现背后的原因是什么？早期的工作表明，共享架构约束是一个主要因素，但预训练后各种架构的成功引发了关于架构约束重要性的关键问题。在这里，我们表明，在训练最少的广泛网络中，架构归纳偏差起着突出的作用。我们检查了具有不同架构但没有预训练的网络，并量化了它们预测猴子和人类视觉皮层图像表示的能力。我们发现，皮层对齐的表示出现在卷积架构中，该架构结合了两种关键的维度操作：通过池化在空间域中压缩，以及通过增加通道数量在特征域中扩展。我们进一步表明，卷积架构的归纳偏差对于从特征扩展中获得性能增益至关重要——维度操作在其他架构和具有目标病变的卷积模型中相对无效。我们的研究结果表明，卷积网络的架构约束足够接近生物视觉的约束，甚至在通过经验调整突触连接之前，皮质视觉表征的许多方面就可以出现。</w:t>
      </w:r>
    </w:p>
    <w:p>
      <w:pPr>
        <w:spacing w:before="120"/>
      </w:pPr>
      <w:r>
        <w:rPr>
          <w:rFonts w:ascii="Times New Roman" w:hAnsi="Times New Roman" w:eastAsia="宋体"/>
          <w:b/>
          <w:sz w:val="21"/>
        </w:rPr>
        <w:t>English Abstract:</w:t>
      </w:r>
    </w:p>
    <w:p>
      <w:r>
        <w:rPr>
          <w:rFonts w:ascii="Times New Roman" w:hAnsi="Times New Roman" w:eastAsia="宋体"/>
          <w:sz w:val="21"/>
        </w:rPr>
        <w:t>What underlies the emergence of cortex-aligned representations in deep neural network models of vision? Earlier work suggested that shared architectural constraints were a major factor, but the success of widely varied architectures after pre-training raises critical questions about the importance of architectural constraints. Here we show that in wide networks with minimal training, architectural inductive biases have a prominent role. We examined networks with varied architectures but no pre-training and quantified their ability to predict image representations in the visual cortices of monkeys and humans. We found that cortex-aligned representations emerge in convolutional architectures that combine two key manipulations of dimensionality: compression in the spatial domain, through pooling, and expansion in the feature domain by increasing the number of channels. We further show that the inductive biases of convolutional architectures are critical for obtaining performance gains from feature expansion—dimensionality manipulations were relatively ineffective in other architectures and in convolutional models with targeted lesions. Our findings suggest that the architectural constraints of convolutional networks are sufficiently close to the constraints of biological vision to allow many aspects of cortical visual representation to emerge even before synaptic connections have been tuned through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南亚人在语言和视觉模型方面的偏见</w:t>
      </w:r>
    </w:p>
    <w:p>
      <w:r>
        <w:rPr>
          <w:rFonts w:ascii="Times New Roman" w:hAnsi="Times New Roman" w:eastAsia="宋体"/>
          <w:b/>
          <w:color w:val="003264"/>
          <w:sz w:val="24"/>
        </w:rPr>
        <w:t>South Asian biases in language and vision models</w:t>
      </w:r>
    </w:p>
    <w:p>
      <w:r>
        <w:rPr>
          <w:rFonts w:ascii="Times New Roman" w:hAnsi="Times New Roman" w:eastAsia="宋体"/>
          <w:sz w:val="21"/>
        </w:rPr>
        <w:t>作者: Mohammad Nadeem, Shahab Saquib Sohail, Erik Cambria, Shagufta Afreen</w:t>
        <w:br/>
      </w:r>
      <w:r>
        <w:rPr>
          <w:rFonts w:ascii="Times New Roman" w:hAnsi="Times New Roman" w:eastAsia="宋体"/>
          <w:sz w:val="21"/>
        </w:rPr>
        <w:t xml:space="preserve">时间: 2025-11-13 | </w:t>
      </w:r>
      <w:r>
        <w:t xml:space="preserve">链接: </w:t>
      </w:r>
      <w:hyperlink r:id="rId264">
        <w:r>
          <w:rPr>
            <w:rFonts w:ascii="Times New Roman" w:hAnsi="Times New Roman" w:eastAsia="宋体"/>
            <w:color w:val="0000FF"/>
            <w:sz w:val="21"/>
            <w:u w:val="single"/>
          </w:rPr>
          <w:t>https://doi.org/10.1038/s42256-025-01144-1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人工智能模型的偏见主要通过西方视角进行研究，忽视了南亚独特的种姓、宗教、肤色和代表性背景。该评论强调了语言和视觉模型中特定区域的偏见，并呼吁建立基于南亚现实的公平框架。</w:t>
      </w:r>
    </w:p>
    <w:p>
      <w:pPr>
        <w:spacing w:before="120"/>
      </w:pPr>
      <w:r>
        <w:rPr>
          <w:rFonts w:ascii="Times New Roman" w:hAnsi="Times New Roman" w:eastAsia="宋体"/>
          <w:b/>
          <w:sz w:val="21"/>
        </w:rPr>
        <w:t>English Abstract:</w:t>
      </w:r>
    </w:p>
    <w:p>
      <w:r>
        <w:rPr>
          <w:rFonts w:ascii="Times New Roman" w:hAnsi="Times New Roman" w:eastAsia="宋体"/>
          <w:sz w:val="21"/>
        </w:rPr>
        <w:t>Biases in artificial intelligence models have been studied predominantly through Western lenses, overlooking South Asia’s unique contexts of caste, religion, colourism and representation. This Comment highlights region-specific biases in language and vision models and calls for fairness frameworks grounded in South Asian realities.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血细胞形态的深度生成分类</w:t>
      </w:r>
    </w:p>
    <w:p>
      <w:r>
        <w:rPr>
          <w:rFonts w:ascii="Times New Roman" w:hAnsi="Times New Roman" w:eastAsia="宋体"/>
          <w:b/>
          <w:color w:val="003264"/>
          <w:sz w:val="24"/>
        </w:rPr>
        <w:t>Deep generative classification of blood cell morphology</w:t>
      </w:r>
    </w:p>
    <w:p>
      <w:r>
        <w:rPr>
          <w:rFonts w:ascii="Times New Roman" w:hAnsi="Times New Roman" w:eastAsia="宋体"/>
          <w:sz w:val="21"/>
        </w:rPr>
        <w:t>作者: Simon Deltadahl, Julian Gilbey, Christine Van Laer, Nancy Boeckx, Mathie P. G. Leers, Tanya Freeman, Laura Aiken, Timothy Farren, Matthew Smith, Mohamad Zeina, Stephen MacDonald, Daniel Gleghorn, Martijn Schut, Folkert Asselbergs, Sujoy Kar, Sophie Williams, Mickey Koh, Yvonne Henskens, Norbert de Wit, Umberto D’Alessandro, Bubacarr Bah, Ousman Secka, Rajeev Gupta, Sara Trompeter, Christine van Laer, Gordon A. Awandare, Kwabena Sarpong, Lucas Amenga-Etego, Willem H. Ouwehand, James H. F. Rudd, James HF Rudd, Concetta Piazzese, Joseph Taylor, Nicholas Gleadall, Carola-Bibiane Schönlieb, Suthesh Sivapalaratnam, Michael Roberts, Parashkev Nachev</w:t>
        <w:br/>
      </w:r>
      <w:r>
        <w:rPr>
          <w:rFonts w:ascii="Times New Roman" w:hAnsi="Times New Roman" w:eastAsia="宋体"/>
          <w:sz w:val="21"/>
        </w:rPr>
        <w:t xml:space="preserve">时间: 2025-11-19 | </w:t>
      </w:r>
      <w:r>
        <w:t xml:space="preserve">链接: </w:t>
      </w:r>
      <w:hyperlink r:id="rId265">
        <w:r>
          <w:rPr>
            <w:rFonts w:ascii="Times New Roman" w:hAnsi="Times New Roman" w:eastAsia="宋体"/>
            <w:color w:val="0000FF"/>
            <w:sz w:val="21"/>
            <w:u w:val="single"/>
          </w:rPr>
          <w:t>https://doi.org/10.1038/s42256-025-01122-7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通过光学显微镜进行的血细胞形态评估构成了血液学诊断的基石，为了解不同的病理状况提供了重要的见解。由于微妙的形态变化、生物异质性和技术成像因素阻碍了自动化方法，这项复杂的任务需要专家的解释。使用判别模型的传统机器学习方法难以应对领域转移、类内变异和罕见的形态变异，限制了它们的临床实用性。我们推出 CytoDiffusion，一种基于扩散的生成分类器，它忠实地模拟血细胞形态的分布，将准确的分类与强大的异常检测、对分布变化的抵抗力、可解释性、数据效率和不确定性量化相结合，超越了临床专家。我们的方法在异常检测（曲线下面积，0.990 与 0.916）、抗域偏移（0.854 与 0.738 准确度）以及低数据状态下的性能（0.962 与 0.924 平衡准确度）方面优于最先进的判别模型。特别是，CytoDiffusion 生成的合成血细胞图像是血液学家专家无法将其与真实图像区分开来的（准确度，0.523；95% 置信区间：[0.505, 0.542]），证明了对基础分布的良好掌握。此外，我们通过直接可解释的反事实热图增强模型的可解释性。我们的综合评估框架为血液学医学图像分析建立了多维基准，最终提高了临床环境中的诊断准确性。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Abstract Blood cell morphology assessment via light microscopy constitutes a cornerstone of haematological diagnostics, providing crucial insights into diverse pathological conditions. This complex task demands expert interpretation owing to subtle morphological variations, biological heterogeneity and technical imaging factors that obstruct automated approaches. Conventional machine learning methods using discriminative models struggle with domain shifts, intraclass variability and rare morphological variants, constraining their clinical utility. We introduce CytoDiffusion, a diffusion-based generative classifier that faithfully models the distribution of blood cell morphology, combining accurate classification with robust anomaly detection, resistance to distributional shifts, interpretability, data efficiency and uncertainty quantification that surpasses clinical experts. Our approach outperforms state-of-the-art discriminative models in anomaly detection (area under the curve, 0.990 versus 0.916), resistance to domain shifts (0.854 versus 0.738 accuracy) and performance in low-data regimes (0.962 versus 0.924 balanced accuracy). In particular, CytoDiffusion generates synthetic blood cell images that expert haematologists cannot distinguish from real ones (accuracy, 0.523; 95% confidence interval: [0.505, 0.542]), demonstrating good command of the underlying distribution. Furthermore, we enhance model explainability through directly interpretable counterfactual heat maps. Our comprehensive evaluation framework establishes a multidimensional benchmark for medical image analysis in haematology, ultimately enabling improved diagnostic accuracy in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可重用性报告：使用 AlphaTensor-Quantum 优化通用量子电路中的 T 计数</w:t>
      </w:r>
    </w:p>
    <w:p>
      <w:r>
        <w:rPr>
          <w:rFonts w:ascii="Times New Roman" w:hAnsi="Times New Roman" w:eastAsia="宋体"/>
          <w:b/>
          <w:color w:val="003264"/>
          <w:sz w:val="24"/>
        </w:rPr>
        <w:t>Reusability report: Optimizing T count in general quantum circuits with AlphaTensor-Quantum</w:t>
      </w:r>
    </w:p>
    <w:p>
      <w:r>
        <w:rPr>
          <w:rFonts w:ascii="Times New Roman" w:hAnsi="Times New Roman" w:eastAsia="宋体"/>
          <w:sz w:val="21"/>
        </w:rPr>
        <w:t>作者: Remmy Zen, Maximilian Nägele, Florian Marquardt</w:t>
        <w:br/>
      </w:r>
      <w:r>
        <w:rPr>
          <w:rFonts w:ascii="Times New Roman" w:hAnsi="Times New Roman" w:eastAsia="宋体"/>
          <w:sz w:val="21"/>
        </w:rPr>
        <w:t xml:space="preserve">时间: 2025-12-31 | </w:t>
      </w:r>
      <w:r>
        <w:t xml:space="preserve">链接: </w:t>
      </w:r>
      <w:hyperlink r:id="rId266">
        <w:r>
          <w:rPr>
            <w:rFonts w:ascii="Times New Roman" w:hAnsi="Times New Roman" w:eastAsia="宋体"/>
            <w:color w:val="0000FF"/>
            <w:sz w:val="21"/>
            <w:u w:val="single"/>
          </w:rPr>
          <w:t>https://doi.org/10.1038/s42256-025-01166-9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量子计算有潜力解决经典计算机难以解决的问题，可能在药物发现和高能物理等领域得到应用。然而，量子计算的实际实现受到硬件上执行量子电路的复杂性的阻碍。特别是，最小化 T 门的数量对于实现高效的量子算法至关重要。 AlphaTensor-Quantum 1 是一种基于强化学习的方法，旨在通过将问题表述为张量分解任务来优化量子电路的 T 计数。尽管它在基准量子算术电路上表现出了优于现有方法的性能，但迄今为止，其适用性仅限于特定的电路系列，需要针对每个新应用进行单独的、耗时的培训。该报告重现了原始工作的一些关键结果，并扩展了 AlphaTensor-Quantum 的能力，以简化具有不同量子位计数的随机量子电路，从而无需对新电路进行重新训练。我们的实验表明，在 5 到 8 个量子位电路上训练的通用代理比以前的方法对大部分量子电路实现了更大的 T 计数减少。此外，我们证明了在具有不同量子位数的电路上训练的通用智能体优于在固定量子位数上训练的智能体，突出了该方法的通用性及其在更广泛的量子电路优化任务中的潜力。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Quantum computing has the potential to solve problems that are intractable for classical computers, with possible applications in areas such as drug discovery and high-energy physics. However, the practical implementation of quantum computation is hindered by the complexity of executing quantum circuits on hardware. In particular, minimizing the number of T gates is crucial for implementing efficient quantum algorithms. AlphaTensor-Quantum 1 is a reinforcement-learning-based method designed to optimize the T count of quantum circuits by formulating the problem as a tensor decomposition task. Although it has demonstrated superior performance over existing methods on benchmark quantum arithmetic circuits, its applicability has so far been restricted to specific circuit families, requiring separate, time-intensive training for each new application. This report reproduces some of the key results of the original work and extends AlphaTensor-Quantum’s capabilities to simplify random quantum circuits with varying qubit counts, eliminating the need for retraining on new circuits. Our experiments show that a general agent trained on five- to eight-qubit circuits achieves greater T-count reduction than previous methods for a large fraction of quantum circuits. Furthermore, we demonstrate that a general agent trained on circuits with varying qubit numbers outperforms agents trained on fixed qubit numbers, highlighting the method’s generalizability and its potential for broader quantum circuit optimization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通过解释自监督图转换器学习到的细胞状态和生态位相关性来推断空间单细胞级相互作用</w:t>
      </w:r>
    </w:p>
    <w:p>
      <w:r>
        <w:rPr>
          <w:rFonts w:ascii="Times New Roman" w:hAnsi="Times New Roman" w:eastAsia="宋体"/>
          <w:b/>
          <w:color w:val="003264"/>
          <w:sz w:val="24"/>
        </w:rPr>
        <w:t>Inferring spatial single-cell-level interactions through interpreting cell state and niche correlations learned by self-supervised graph transformer</w:t>
      </w:r>
    </w:p>
    <w:p>
      <w:r>
        <w:rPr>
          <w:rFonts w:ascii="Times New Roman" w:hAnsi="Times New Roman" w:eastAsia="宋体"/>
          <w:sz w:val="21"/>
        </w:rPr>
        <w:t>作者: Xiao Xiao, Le Zhang, Hongyu Zhao, Zuoheng Wang</w:t>
        <w:br/>
      </w:r>
      <w:r>
        <w:rPr>
          <w:rFonts w:ascii="Times New Roman" w:hAnsi="Times New Roman" w:eastAsia="宋体"/>
          <w:sz w:val="21"/>
        </w:rPr>
        <w:t xml:space="preserve">时间: 2025-12-31 | </w:t>
      </w:r>
      <w:r>
        <w:t xml:space="preserve">链接: </w:t>
      </w:r>
      <w:hyperlink r:id="rId267">
        <w:r>
          <w:rPr>
            <w:rFonts w:ascii="Times New Roman" w:hAnsi="Times New Roman" w:eastAsia="宋体"/>
            <w:color w:val="0000FF"/>
            <w:sz w:val="21"/>
            <w:u w:val="single"/>
          </w:rPr>
          <w:t>https://doi.org/10.1038/s42256-025-01161-0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肖等人。 GITIII 是一种轻量级且可解释的图形转换器，用于推断空间单细胞水平的相互作用并量化空间转录组学中邻近细胞对接收细胞基因表达的影响。</w:t>
      </w:r>
    </w:p>
    <w:p>
      <w:pPr>
        <w:spacing w:before="120"/>
      </w:pPr>
      <w:r>
        <w:rPr>
          <w:rFonts w:ascii="Times New Roman" w:hAnsi="Times New Roman" w:eastAsia="宋体"/>
          <w:b/>
          <w:sz w:val="21"/>
        </w:rPr>
        <w:t>English Abstract:</w:t>
      </w:r>
    </w:p>
    <w:p>
      <w:r>
        <w:rPr>
          <w:rFonts w:ascii="Times New Roman" w:hAnsi="Times New Roman" w:eastAsia="宋体"/>
          <w:sz w:val="21"/>
        </w:rPr>
        <w:t>Xiao et al. present GITIII, a lightweight and interpretable graph transformer for inferring spatial single-cell-level interactions and quantifying the influence of neighbouring cells on the gene expression of receiver cells in spatial transcriptomics.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具有空间频率动力学的超表面结构发现的电流扩散模型</w:t>
      </w:r>
    </w:p>
    <w:p>
      <w:r>
        <w:rPr>
          <w:rFonts w:ascii="Times New Roman" w:hAnsi="Times New Roman" w:eastAsia="宋体"/>
          <w:b/>
          <w:color w:val="003264"/>
          <w:sz w:val="24"/>
        </w:rPr>
        <w:t>Current-diffusion model for metasurface structure discoveries with spatial-frequency dynamics</w:t>
      </w:r>
    </w:p>
    <w:p>
      <w:r>
        <w:rPr>
          <w:rFonts w:ascii="Times New Roman" w:hAnsi="Times New Roman" w:eastAsia="宋体"/>
          <w:sz w:val="21"/>
        </w:rPr>
        <w:t>作者: Erji Li, Yusong Wang, Lei Jin, Zheng Zong, Enze Zhu, Bao Wang, Qian Wang, Zongyin Yang, Wen-Yan Yin, Zhun Wei</w:t>
        <w:br/>
      </w:r>
      <w:r>
        <w:rPr>
          <w:rFonts w:ascii="Times New Roman" w:hAnsi="Times New Roman" w:eastAsia="宋体"/>
          <w:sz w:val="21"/>
        </w:rPr>
        <w:t xml:space="preserve">时间: 2025-12-31 | </w:t>
      </w:r>
      <w:r>
        <w:t xml:space="preserve">链接: </w:t>
      </w:r>
      <w:hyperlink r:id="rId268">
        <w:r>
          <w:rPr>
            <w:rFonts w:ascii="Times New Roman" w:hAnsi="Times New Roman" w:eastAsia="宋体"/>
            <w:color w:val="0000FF"/>
            <w:sz w:val="21"/>
            <w:u w:val="single"/>
          </w:rPr>
          <w:t>https://doi.org/10.1038/s42256-025-01162-z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由人工智能驱动的超表面设计面临着挑战，例如外推到未探索的性能体系。 MetaAI 是一种物理感知电流扩散框架，旨在推进超材料发现从插值到外推的发展。</w:t>
      </w:r>
    </w:p>
    <w:p>
      <w:pPr>
        <w:spacing w:before="120"/>
      </w:pPr>
      <w:r>
        <w:rPr>
          <w:rFonts w:ascii="Times New Roman" w:hAnsi="Times New Roman" w:eastAsia="宋体"/>
          <w:b/>
          <w:sz w:val="21"/>
        </w:rPr>
        <w:t>English Abstract:</w:t>
      </w:r>
    </w:p>
    <w:p>
      <w:r>
        <w:rPr>
          <w:rFonts w:ascii="Times New Roman" w:hAnsi="Times New Roman" w:eastAsia="宋体"/>
          <w:sz w:val="21"/>
        </w:rPr>
        <w:t>Metasurface design driven by AI faces challenges, such as extrapolation to unexplored performance regimes. MetaAI, a physics-aware current-diffusion framework, is introduced to advance metamaterial discovery from interpolation to extrapolation.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学习逆超表面设计的中间物理状态</w:t>
      </w:r>
    </w:p>
    <w:p>
      <w:r>
        <w:rPr>
          <w:rFonts w:ascii="Times New Roman" w:hAnsi="Times New Roman" w:eastAsia="宋体"/>
          <w:b/>
          <w:color w:val="003264"/>
          <w:sz w:val="24"/>
        </w:rPr>
        <w:t>Learning intermediate physical states for inverse metasurface design</w:t>
      </w:r>
    </w:p>
    <w:p>
      <w:r>
        <w:rPr>
          <w:rFonts w:ascii="Times New Roman" w:hAnsi="Times New Roman" w:eastAsia="宋体"/>
          <w:sz w:val="21"/>
        </w:rPr>
        <w:t>作者: Chun-Teh Chen</w:t>
        <w:br/>
      </w:r>
      <w:r>
        <w:rPr>
          <w:rFonts w:ascii="Times New Roman" w:hAnsi="Times New Roman" w:eastAsia="宋体"/>
          <w:sz w:val="21"/>
        </w:rPr>
        <w:t xml:space="preserve">时间: 2025-12-31 | </w:t>
      </w:r>
      <w:r>
        <w:t xml:space="preserve">链接: </w:t>
      </w:r>
      <w:hyperlink r:id="rId269">
        <w:r>
          <w:rPr>
            <w:rFonts w:ascii="Times New Roman" w:hAnsi="Times New Roman" w:eastAsia="宋体"/>
            <w:color w:val="0000FF"/>
            <w:sz w:val="21"/>
            <w:u w:val="single"/>
          </w:rPr>
          <w:t>https://doi.org/10.1038/s42256-025-01167-8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学习中间表面电流图的深度生成模型，而不是直接布局，为可调和堆叠超表面的逆向设计提供了更稳定的途径。</w:t>
      </w:r>
    </w:p>
    <w:p>
      <w:pPr>
        <w:spacing w:before="120"/>
      </w:pPr>
      <w:r>
        <w:rPr>
          <w:rFonts w:ascii="Times New Roman" w:hAnsi="Times New Roman" w:eastAsia="宋体"/>
          <w:b/>
          <w:sz w:val="21"/>
        </w:rPr>
        <w:t>English Abstract:</w:t>
      </w:r>
    </w:p>
    <w:p>
      <w:r>
        <w:rPr>
          <w:rFonts w:ascii="Times New Roman" w:hAnsi="Times New Roman" w:eastAsia="宋体"/>
          <w:sz w:val="21"/>
        </w:rPr>
        <w:t>Deep generative models that learn intermediate surface-current maps, rather than layouts directly, offer a more stable route to inverse design of tunable and stacked metasurfaces.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12:53 ---</w:t>
      </w:r>
    </w:p>
    <w:p>
      <w:pPr>
        <w:pStyle w:val="Heading2"/>
      </w:pPr>
      <w:r/>
      <w:r>
        <w:rPr>
          <w:rFonts w:ascii="Times New Roman" w:hAnsi="Times New Roman" w:eastAsia="宋体"/>
          <w:b/>
          <w:color w:val="000000"/>
          <w:sz w:val="24"/>
        </w:rPr>
        <w:t>离体机器灌注过程中系统生产用于猪肾移植的人肾类器官</w:t>
      </w:r>
    </w:p>
    <w:p>
      <w:r>
        <w:rPr>
          <w:rFonts w:ascii="Times New Roman" w:hAnsi="Times New Roman" w:eastAsia="宋体"/>
          <w:b/>
          <w:color w:val="003264"/>
          <w:sz w:val="24"/>
        </w:rPr>
        <w:t>Systematic production of human kidney organoids for transplantation in porcine kidneys during ex vivo machine perfusion</w:t>
      </w:r>
    </w:p>
    <w:p>
      <w:r>
        <w:rPr>
          <w:rFonts w:ascii="Times New Roman" w:hAnsi="Times New Roman" w:eastAsia="宋体"/>
          <w:sz w:val="21"/>
        </w:rPr>
        <w:t>作者: Elena Garreta, Daniel Moya-Rull, Alberto Centeno, Andrés Marco, Asier Ullate-Agote, Gaia Amato, Carlos J. Aranda, Roger Oria, Daniel Lozano-Ojalvo, Merel B. F. Pool, Tim L. Hamelink, Idoia Lucía Selfa, Federico González, Carolina Tarantino, Alejandro Montero Salinas, Patricia López San Martín, Priyanka Koshy, Aleix Gavaldà-Navarro, Amaia Vilas-Zornoza, Juan R. Rodríguez-Madoz, Antón Fernández García, Inmaculada Marquez-Leiva, Henri G. D. Leuvenink, Cristobal Belda-Iniesta, Maarten Naesens, Beatriz Dominguez-Gil, Marcelino González-Martín, Javier Rodríguez-Rivera, Jordi Ochando, Felipe Prosper, Cyril Moers, Nuria Montserrat</w:t>
        <w:br/>
      </w:r>
      <w:r>
        <w:rPr>
          <w:rFonts w:ascii="Times New Roman" w:hAnsi="Times New Roman" w:eastAsia="宋体"/>
          <w:sz w:val="21"/>
        </w:rPr>
        <w:t xml:space="preserve">时间: 2025-10-31 | </w:t>
      </w:r>
      <w:r>
        <w:t xml:space="preserve">链接: </w:t>
      </w:r>
      <w:hyperlink r:id="rId270">
        <w:r>
          <w:rPr>
            <w:rFonts w:ascii="Times New Roman" w:hAnsi="Times New Roman" w:eastAsia="宋体"/>
            <w:color w:val="0000FF"/>
            <w:sz w:val="21"/>
            <w:u w:val="single"/>
          </w:rPr>
          <w:t>https://doi.org/10.1038/s41551-025-01542-1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源自人类多能干 (hPS) 细胞的类器官有望用于治疗目的。然而，仍然缺乏在确保差异化保真度的同时克服大规模生产的技术进步。在这里，我们报告了一种使用可扩展、可重复且负担得起的方法维持从 hPS 细胞衍生肾脏类器官（hPSC-肾脏类器官）的程序，该方法允许 hPSC-肾脏类器官分化为不同的肾细胞类型。使用单细胞 RNA 测序、共焦图像分析、代谢测定和 CRISPR-Cas9 工程来生成荧光报告基因，我们表明 hPSC-肾脏类器官在细胞与细胞接触后表现出转录多样性和细胞组成。我们使用常温机器灌注将人肾类器官注入离体猪肾脏，并证明 hPSC 肾类器官的体内移植。我们进一步评估免疫反应，确认该程序的可行性和可行性。我们通过原位杂交、免疫组织化学、共聚焦显微镜、图像分析和定量、体内成像和流式细胞术来鉴定常温机器灌注和体内移植后的人源细胞。这项工作为在临床试验中使用 hPSC 肾类器官进行离体细胞疗法奠定了基础。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Organoids derived from human pluripotent stem (hPS) cells hold promise for therapeutic purposes. However, technological advances to overcome their massive production while ensuring differentiation fidelity are still lacking. Here we report a procedure sustaining the derivation of kidney organoids from hPS cells (hPSC-kidney organoids) using a scalable, reproducible and affordable approach that allows hPSC-kidney organoid differentiation into different renal cell types. Using single-cell RNA sequencing, confocal image analysis, metabolic assays and CRISPR–Cas9 engineering for generation of fluorescent reporters, we show that hPSC-kidney organoids exhibit transcriptional variety and cellular composition following cell-to-cell contact. We infuse human kidney organoids into ex vivo porcine kidneys using normothermic machine perfusion, and demonstrate in vivo engraftment of hPSC-kidney organoids. We further evaluate the immune response, confirming the feasibility and viability of the procedure. We identify cells of human origin after normothermic machine perfusion and in vivo transplantation by means of in situ hybridization, immunohistochemistry, confocal microscopy, image analysis and quantification, in vivo imaging, and flow cytometry. This work provides a foundation for using hPSC-kidney organoids for ex vivo cell-based therapies in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适用于多种临床呼吸系统疾病应用的视觉语言预训练转换器</w:t>
      </w:r>
    </w:p>
    <w:p>
      <w:r>
        <w:rPr>
          <w:rFonts w:ascii="Times New Roman" w:hAnsi="Times New Roman" w:eastAsia="宋体"/>
          <w:b/>
          <w:color w:val="003264"/>
          <w:sz w:val="24"/>
        </w:rPr>
        <w:t>A vision–language pretrained transformer for versatile clinical respiratory disease applications</w:t>
      </w:r>
    </w:p>
    <w:p>
      <w:r>
        <w:rPr>
          <w:rFonts w:ascii="Times New Roman" w:hAnsi="Times New Roman" w:eastAsia="宋体"/>
          <w:sz w:val="21"/>
        </w:rPr>
        <w:t>作者: Liangdi Ma, Hengrui Liang, Yuwei He, Wei Wang, Zeping Yan, Wuchao Li, Rongpin Wang, Yongyi Li, Yuerong Lizhu, Yaou Liu, Yuchen Guo, Jianxing He, Feng Xu</w:t>
        <w:br/>
      </w:r>
      <w:r>
        <w:rPr>
          <w:rFonts w:ascii="Times New Roman" w:hAnsi="Times New Roman" w:eastAsia="宋体"/>
          <w:sz w:val="21"/>
        </w:rPr>
        <w:t xml:space="preserve">时间: 2025-11-06 | </w:t>
      </w:r>
      <w:r>
        <w:t xml:space="preserve">链接: </w:t>
      </w:r>
      <w:hyperlink r:id="rId271">
        <w:r>
          <w:rPr>
            <w:rFonts w:ascii="Times New Roman" w:hAnsi="Times New Roman" w:eastAsia="宋体"/>
            <w:color w:val="0000FF"/>
            <w:sz w:val="21"/>
            <w:u w:val="single"/>
          </w:rPr>
          <w:t>https://doi.org/10.1038/s41551-025-01544-z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多模态预训练 Transformer 使用 154,274 对胸部 CT 扫描及其相应报告，并应用于具有多模态数据的各种临床任务。</w:t>
      </w:r>
    </w:p>
    <w:p>
      <w:pPr>
        <w:spacing w:before="120"/>
      </w:pPr>
      <w:r>
        <w:rPr>
          <w:rFonts w:ascii="Times New Roman" w:hAnsi="Times New Roman" w:eastAsia="宋体"/>
          <w:b/>
          <w:sz w:val="21"/>
        </w:rPr>
        <w:t>English Abstract:</w:t>
      </w:r>
    </w:p>
    <w:p>
      <w:r>
        <w:rPr>
          <w:rFonts w:ascii="Times New Roman" w:hAnsi="Times New Roman" w:eastAsia="宋体"/>
          <w:sz w:val="21"/>
        </w:rPr>
        <w:t>A multimodal pretrained transformer uses 154,274 pairs of chest CT scans and their corresponding reports and is applied to diverse clinical tasks with multimodal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无标记导航系统通过组织 pH 值和前列腺特异性抗原活性对前列腺肿瘤恶性肿瘤进行原位分级</w:t>
      </w:r>
    </w:p>
    <w:p>
      <w:r>
        <w:rPr>
          <w:rFonts w:ascii="Times New Roman" w:hAnsi="Times New Roman" w:eastAsia="宋体"/>
          <w:b/>
          <w:color w:val="003264"/>
          <w:sz w:val="24"/>
        </w:rPr>
        <w:t>Label-free navigation system for grading prostate tumour malignancy in situ via tissue pH and prostate-specific antigen activity</w:t>
      </w:r>
    </w:p>
    <w:p>
      <w:r>
        <w:rPr>
          <w:rFonts w:ascii="Times New Roman" w:hAnsi="Times New Roman" w:eastAsia="宋体"/>
          <w:sz w:val="21"/>
        </w:rPr>
        <w:t>作者: Ziyi Jin, Sihui Chen, Xiaoyan Dong, Zheng Zhao, Huaiyang Zeng, Pengcheng Zhang, Hang Yin, Suhongrui Zhou, Changle Li, Chang He, Jiaqi Huang, Jun Zhang, Jie Cheng, Hairong Zheng, Jinhua Yu, Hui Yang, Hang Wang, Cong Li</w:t>
        <w:br/>
      </w:r>
      <w:r>
        <w:rPr>
          <w:rFonts w:ascii="Times New Roman" w:hAnsi="Times New Roman" w:eastAsia="宋体"/>
          <w:sz w:val="21"/>
        </w:rPr>
        <w:t xml:space="preserve">时间: 2025-11-18 | </w:t>
      </w:r>
      <w:r>
        <w:t xml:space="preserve">链接: </w:t>
      </w:r>
      <w:hyperlink r:id="rId272">
        <w:r>
          <w:rPr>
            <w:rFonts w:ascii="Times New Roman" w:hAnsi="Times New Roman" w:eastAsia="宋体"/>
            <w:color w:val="0000FF"/>
            <w:sz w:val="21"/>
            <w:u w:val="single"/>
          </w:rPr>
          <w:t>https://doi.org/10.1038/s41551-025-01561-y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集成的表面增强拉曼散射导航仪器可以通过同时评估组织酸度和前列腺特异性抗原酶活性来对恶性前列腺肿瘤进行术中分类。</w:t>
      </w:r>
    </w:p>
    <w:p>
      <w:pPr>
        <w:spacing w:before="120"/>
      </w:pPr>
      <w:r>
        <w:rPr>
          <w:rFonts w:ascii="Times New Roman" w:hAnsi="Times New Roman" w:eastAsia="宋体"/>
          <w:b/>
          <w:sz w:val="21"/>
        </w:rPr>
        <w:t>English Abstract:</w:t>
      </w:r>
    </w:p>
    <w:p>
      <w:r>
        <w:rPr>
          <w:rFonts w:ascii="Times New Roman" w:hAnsi="Times New Roman" w:eastAsia="宋体"/>
          <w:sz w:val="21"/>
        </w:rPr>
        <w:t>An integrated surface-enhanced Raman scattering navigation instrument allows the intraoperative classification of malignant-grade prostate tumours by simultaneously assessing tissue acidity and prostate-specific antigen enzymatic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通过孟德尔随机化使用成像和临床数据推断多器官遗传联系</w:t>
      </w:r>
    </w:p>
    <w:p>
      <w:r>
        <w:rPr>
          <w:rFonts w:ascii="Times New Roman" w:hAnsi="Times New Roman" w:eastAsia="宋体"/>
          <w:b/>
          <w:color w:val="003264"/>
          <w:sz w:val="24"/>
        </w:rPr>
        <w:t>Inferring multi-organ genetic connections using imaging and clinical data through Mendelian randomization</w:t>
      </w:r>
    </w:p>
    <w:p>
      <w:r>
        <w:rPr>
          <w:rFonts w:ascii="Times New Roman" w:hAnsi="Times New Roman" w:eastAsia="宋体"/>
          <w:sz w:val="21"/>
        </w:rPr>
        <w:t>作者: Juan Shu, Rong Zheng, Julio Chirinos, Carlos Copana, Bingxuan Li, Zirui Fan, Xiaochen Yang, Yilin Yang, Xiyao Wang, Yujue Li, Bowei Xi, Tengfei Li, Hongtu Zhu, Bingxin Zhao</w:t>
        <w:br/>
      </w:r>
      <w:r>
        <w:rPr>
          <w:rFonts w:ascii="Times New Roman" w:hAnsi="Times New Roman" w:eastAsia="宋体"/>
          <w:sz w:val="21"/>
        </w:rPr>
        <w:t xml:space="preserve">时间: 2025-11-19 | </w:t>
      </w:r>
      <w:r>
        <w:t xml:space="preserve">链接: </w:t>
      </w:r>
      <w:hyperlink r:id="rId273">
        <w:r>
          <w:rPr>
            <w:rFonts w:ascii="Times New Roman" w:hAnsi="Times New Roman" w:eastAsia="宋体"/>
            <w:color w:val="0000FF"/>
            <w:sz w:val="21"/>
            <w:u w:val="single"/>
          </w:rPr>
          <w:t>https://doi.org/10.1038/s41551-025-01554-x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孟德尔随机化用于评估多器官成像特征与临床结果之间的遗传关联，显示各种疾病中器官系统之间的遗传联系。</w:t>
      </w:r>
    </w:p>
    <w:p>
      <w:pPr>
        <w:spacing w:before="120"/>
      </w:pPr>
      <w:r>
        <w:rPr>
          <w:rFonts w:ascii="Times New Roman" w:hAnsi="Times New Roman" w:eastAsia="宋体"/>
          <w:b/>
          <w:sz w:val="21"/>
        </w:rPr>
        <w:t>English Abstract:</w:t>
      </w:r>
    </w:p>
    <w:p>
      <w:r>
        <w:rPr>
          <w:rFonts w:ascii="Times New Roman" w:hAnsi="Times New Roman" w:eastAsia="宋体"/>
          <w:sz w:val="21"/>
        </w:rPr>
        <w:t>Mendelian randomization is used to evaluate genetic associations between multi-organ imaging traits and clinical outcomes, showing genetic links between organ systems in a variety of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非病毒载体作为降低基因治疗遗传毒性风险的希望灯塔</w:t>
      </w:r>
    </w:p>
    <w:p>
      <w:r>
        <w:rPr>
          <w:rFonts w:ascii="Times New Roman" w:hAnsi="Times New Roman" w:eastAsia="宋体"/>
          <w:b/>
          <w:color w:val="003264"/>
          <w:sz w:val="24"/>
        </w:rPr>
        <w:t>Non-viral vectors as beacons of hope for reducing genotoxic risks of gene therapy</w:t>
      </w:r>
    </w:p>
    <w:p>
      <w:r>
        <w:rPr>
          <w:rFonts w:ascii="Times New Roman" w:hAnsi="Times New Roman" w:eastAsia="宋体"/>
          <w:sz w:val="21"/>
        </w:rPr>
        <w:t>作者: Marie-Madeleine Nzila, Ulrike Koehl, Zoltán Ivics</w:t>
        <w:br/>
      </w:r>
      <w:r>
        <w:rPr>
          <w:rFonts w:ascii="Times New Roman" w:hAnsi="Times New Roman" w:eastAsia="宋体"/>
          <w:sz w:val="21"/>
        </w:rPr>
        <w:t xml:space="preserve">时间: 2026-01-05 | </w:t>
      </w:r>
      <w:r>
        <w:t xml:space="preserve">链接: </w:t>
      </w:r>
      <w:hyperlink r:id="rId274">
        <w:r>
          <w:rPr>
            <w:rFonts w:ascii="Times New Roman" w:hAnsi="Times New Roman" w:eastAsia="宋体"/>
            <w:color w:val="0000FF"/>
            <w:sz w:val="21"/>
            <w:u w:val="single"/>
          </w:rPr>
          <w:t>https://doi.org/10.1038/s41551-025-01581-8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前景广阔，但基因和细胞疗法可能会带来基因毒性风险，使临床应用变得复杂。我们描述了这些风险的分子基础，讨论了评估遗传毒性的工具，并强调了非病毒基因组工程技术在更安全的基因组工程方面的优势。</w:t>
      </w:r>
    </w:p>
    <w:p>
      <w:pPr>
        <w:spacing w:before="120"/>
      </w:pPr>
      <w:r>
        <w:rPr>
          <w:rFonts w:ascii="Times New Roman" w:hAnsi="Times New Roman" w:eastAsia="宋体"/>
          <w:b/>
          <w:sz w:val="21"/>
        </w:rPr>
        <w:t>English Abstract:</w:t>
      </w:r>
    </w:p>
    <w:p>
      <w:r>
        <w:rPr>
          <w:rFonts w:ascii="Times New Roman" w:hAnsi="Times New Roman" w:eastAsia="宋体"/>
          <w:sz w:val="21"/>
        </w:rPr>
        <w:t>Although promising, gene and cell therapies can pose genotoxic risks that complicate clinical application. We describe the molecular basis of these risks, discuss tools to assess genotoxicity and highlight the advantages of non-viral genome engineering technologies for safer genome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用于通用无注释病理定位的多模态视觉语言模型</w:t>
      </w:r>
    </w:p>
    <w:p>
      <w:r>
        <w:rPr>
          <w:rFonts w:ascii="Times New Roman" w:hAnsi="Times New Roman" w:eastAsia="宋体"/>
          <w:b/>
          <w:color w:val="003264"/>
          <w:sz w:val="24"/>
        </w:rPr>
        <w:t>A multimodal vision–language model for generalizable annotation-free pathology localization</w:t>
      </w:r>
    </w:p>
    <w:p>
      <w:r>
        <w:rPr>
          <w:rFonts w:ascii="Times New Roman" w:hAnsi="Times New Roman" w:eastAsia="宋体"/>
          <w:sz w:val="21"/>
        </w:rPr>
        <w:t>作者: Hao Yang, Hong-Yu Zhou, Jiarun Liu, Weijian Huang, Cheng Li, Zhihuan Li, Yuanxu Gao, Qiegen Liu, Yong Liang, Qi Yang, Song Wu, Tao Tan, Hairong Zheng, Kang Zhang, Shanshan Wang</w:t>
        <w:br/>
      </w:r>
      <w:r>
        <w:rPr>
          <w:rFonts w:ascii="Times New Roman" w:hAnsi="Times New Roman" w:eastAsia="宋体"/>
          <w:sz w:val="21"/>
        </w:rPr>
        <w:t xml:space="preserve">时间: 2026-01-06 | </w:t>
      </w:r>
      <w:r>
        <w:t xml:space="preserve">链接: </w:t>
      </w:r>
      <w:hyperlink r:id="rId275">
        <w:r>
          <w:rPr>
            <w:rFonts w:ascii="Times New Roman" w:hAnsi="Times New Roman" w:eastAsia="宋体"/>
            <w:color w:val="0000FF"/>
            <w:sz w:val="21"/>
            <w:u w:val="single"/>
          </w:rPr>
          <w:t>https://doi.org/10.1038/s41551-025-01574-7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现有的从临床影像数据定义病理学的深度学习模型依赖于专家注释，缺乏开放临床环境中的泛化能力。在这里，我们提出了一种用于无注释病理定位（AFLoc）的通用视觉语言模型。 AFLoc 的核心优势是基于广泛的多级语义结构的对比学习，它将多粒度医学概念与丰富的图像特征全面结合起来，以适应病理的多样化表达，而不依赖于专家图像注释。我们对 220,000 对图像报告胸部 X 射线图像的数据集进行了初步实验，并在涵盖 34 种胸部病理类型的 8 个外部数据集上进行了验证。结果表明，AFLoc 在无注释定位和分类任务中均优于最先进的方法。此外，我们还评估了 AFLoc 在其他模式上的普遍性，包括组织病理学和视网膜眼底图像。我们证明 AFLoc 表现出强大的泛化能力，甚至在定位五种不同类型的病理图像方面超越了人类基准。这些结果凸显了 AFLoc 在减少注释需求方面的潜力及其在复杂临床环境中的适用性。</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models for defining pathology from clinical imaging data rely on expert annotations and lack generalization capabilities in open clinical environments. Here we present a generalizable vision-language model for Annotation-Free pathology Localization (AFLoc). The core strength of AFLoc is extensive multilevel semantic structure-based contrastive learning, which comprehensively aligns multigranularity medical concepts with abundant image features to adapt to the diverse expressions of pathologies without the reliance on expert image annotations. We conducted primary experiments on a dataset of 220,000 pairs of image-report chest X-ray images and performed validation across 8 external datasets encompassing 34 types of chest pathology. The results demonstrate that AFLoc outperforms state-of-the-art methods in both annotation-free localization and classification tasks. In addition, we assessed the generalizability of AFLoc on other modalities, including histopathology and retinal fundus images. We show that AFLoc exhibits robust generalization capabilities, even surpassing human benchmarks in localizing five different types of pathological image. These results highlight the potential of AFLoc in reducing annotation requirements and its applicability in complex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人体旋转超声和光声断层扫描</w:t>
      </w:r>
    </w:p>
    <w:p>
      <w:r>
        <w:rPr>
          <w:rFonts w:ascii="Times New Roman" w:hAnsi="Times New Roman" w:eastAsia="宋体"/>
          <w:b/>
          <w:color w:val="003264"/>
          <w:sz w:val="24"/>
        </w:rPr>
        <w:t>Rotational ultrasound and photoacoustic tomography of the human body</w:t>
      </w:r>
    </w:p>
    <w:p>
      <w:r>
        <w:rPr>
          <w:rFonts w:ascii="Times New Roman" w:hAnsi="Times New Roman" w:eastAsia="宋体"/>
          <w:sz w:val="21"/>
        </w:rPr>
        <w:t>作者: Yang Zhang, Shuai Na, Jonathan J. Russin, Karteekeya Sastry, Li Lin, Junfu Zheng, Yilin Luo, Xin Tong, Yujin An, Peng Hu, Konstantin Maslov, Tze-Woei Tan, Charles Y. Liu, Lihong V. Wang</w:t>
        <w:br/>
      </w:r>
      <w:r>
        <w:rPr>
          <w:rFonts w:ascii="Times New Roman" w:hAnsi="Times New Roman" w:eastAsia="宋体"/>
          <w:sz w:val="21"/>
        </w:rPr>
        <w:t xml:space="preserve">时间: 2026-01-16 | </w:t>
      </w:r>
      <w:r>
        <w:t xml:space="preserve">链接: </w:t>
      </w:r>
      <w:hyperlink r:id="rId276">
        <w:r>
          <w:rPr>
            <w:rFonts w:ascii="Times New Roman" w:hAnsi="Times New Roman" w:eastAsia="宋体"/>
            <w:color w:val="0000FF"/>
            <w:sz w:val="21"/>
            <w:u w:val="single"/>
          </w:rPr>
          <w:t>https://doi.org/10.1038/s41551-025-01603-5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快速全景旋转超声断层扫描和光声断层扫描集成在一起，可实现混合旋转超声和光声断层扫描，对人体软组织和脉管系统进行三维双对比成像。</w:t>
      </w:r>
    </w:p>
    <w:p>
      <w:pPr>
        <w:spacing w:before="120"/>
      </w:pPr>
      <w:r>
        <w:rPr>
          <w:rFonts w:ascii="Times New Roman" w:hAnsi="Times New Roman" w:eastAsia="宋体"/>
          <w:b/>
          <w:sz w:val="21"/>
        </w:rPr>
        <w:t>English Abstract:</w:t>
      </w:r>
    </w:p>
    <w:p>
      <w:r>
        <w:rPr>
          <w:rFonts w:ascii="Times New Roman" w:hAnsi="Times New Roman" w:eastAsia="宋体"/>
          <w:sz w:val="21"/>
        </w:rPr>
        <w:t>Fast panoramic rotational ultrasound tomography and photoacoustic tomography are integrated for hybrid rotational ultrasound and photoacoustic tomography, for three-dimensional dual-contrast imaging of soft tissue and vasculature across the human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用于人类肝脏恶性肿瘤可视化的无标记组织 NIR-II 自发荧光成像</w:t>
      </w:r>
    </w:p>
    <w:p>
      <w:r>
        <w:rPr>
          <w:rFonts w:ascii="Times New Roman" w:hAnsi="Times New Roman" w:eastAsia="宋体"/>
          <w:b/>
          <w:color w:val="003264"/>
          <w:sz w:val="24"/>
        </w:rPr>
        <w:t>Label-free tissue NIR-II autofluorescence imaging for visualization of human liver malignancy</w:t>
      </w:r>
    </w:p>
    <w:p>
      <w:r>
        <w:rPr>
          <w:rFonts w:ascii="Times New Roman" w:hAnsi="Times New Roman" w:eastAsia="宋体"/>
          <w:sz w:val="21"/>
        </w:rPr>
        <w:t>作者: Haisheng He, Wenwei Zhu, Han Miao, Shangfeng Wang, Zunguo Du, Hongxin Zhang, Jiang Ming, Ben Shi, Hao Wang, Jianping Qi, Yong Fan, Wei Wu, Dongyuan Zhao, Lun-Xiu Qin, Fan Zhang</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https://doi.org/10.1038/s41551-025-01593-4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无标记成像方法可检测人类肝脏恶性肿瘤和邻近组织之间 NIR-II 自发荧光强度的差异。</w:t>
      </w:r>
    </w:p>
    <w:p>
      <w:pPr>
        <w:spacing w:before="120"/>
      </w:pPr>
      <w:r>
        <w:rPr>
          <w:rFonts w:ascii="Times New Roman" w:hAnsi="Times New Roman" w:eastAsia="宋体"/>
          <w:b/>
          <w:sz w:val="21"/>
        </w:rPr>
        <w:t>English Abstract:</w:t>
      </w:r>
    </w:p>
    <w:p>
      <w:r>
        <w:rPr>
          <w:rFonts w:ascii="Times New Roman" w:hAnsi="Times New Roman" w:eastAsia="宋体"/>
          <w:sz w:val="21"/>
        </w:rPr>
        <w:t>A label-free imaging approach detects differences in NIR-II autofluorescence intensity between human liver malignancy and the adjacent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生物医学工程的前景</w:t>
      </w:r>
    </w:p>
    <w:p>
      <w:r>
        <w:rPr>
          <w:rFonts w:ascii="Times New Roman" w:hAnsi="Times New Roman" w:eastAsia="宋体"/>
          <w:b/>
          <w:color w:val="003264"/>
          <w:sz w:val="24"/>
        </w:rPr>
        <w:t>On the horizon in biomedical engineering</w:t>
      </w:r>
    </w:p>
    <w:p>
      <w:r>
        <w:rPr>
          <w:rFonts w:ascii="Times New Roman" w:hAnsi="Times New Roman" w:eastAsia="宋体"/>
          <w:sz w:val="21"/>
        </w:rPr>
        <w:t>作者: Unknown</w:t>
        <w:br/>
      </w:r>
      <w:r>
        <w:rPr>
          <w:rFonts w:ascii="Times New Roman" w:hAnsi="Times New Roman" w:eastAsia="宋体"/>
          <w:sz w:val="21"/>
        </w:rPr>
        <w:t xml:space="preserve">时间: 2026-01-22 | </w:t>
      </w:r>
      <w:r>
        <w:t xml:space="preserve">链接: </w:t>
      </w:r>
      <w:hyperlink r:id="rId278">
        <w:r>
          <w:rPr>
            <w:rFonts w:ascii="Times New Roman" w:hAnsi="Times New Roman" w:eastAsia="宋体"/>
            <w:color w:val="0000FF"/>
            <w:sz w:val="21"/>
            <w:u w:val="single"/>
          </w:rPr>
          <w:t>https://doi.org/10.1038/s41551-026-01611-z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对于生物医学工程来说，这是一个激动人心的时刻，其进步迅速重塑了转化研究和医学的前沿。在这里，我们重点介绍一些我们在未来几年特别兴奋的领域和技术。</w:t>
      </w:r>
    </w:p>
    <w:p>
      <w:pPr>
        <w:spacing w:before="120"/>
      </w:pPr>
      <w:r>
        <w:rPr>
          <w:rFonts w:ascii="Times New Roman" w:hAnsi="Times New Roman" w:eastAsia="宋体"/>
          <w:b/>
          <w:sz w:val="21"/>
        </w:rPr>
        <w:t>English Abstract:</w:t>
      </w:r>
    </w:p>
    <w:p>
      <w:r>
        <w:rPr>
          <w:rFonts w:ascii="Times New Roman" w:hAnsi="Times New Roman" w:eastAsia="宋体"/>
          <w:sz w:val="21"/>
        </w:rPr>
        <w:t>It is an exciting time for biomedical engineering, with advances rapidly reshaping the forefront of translational research and medicine. Here we highlight some areas and technologies that we are particularly excited about for the coming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异种学习：基于深度学习的光谱图像分析中跨物种的知识转移</w:t>
      </w:r>
    </w:p>
    <w:p>
      <w:r>
        <w:rPr>
          <w:rFonts w:ascii="Times New Roman" w:hAnsi="Times New Roman" w:eastAsia="宋体"/>
          <w:b/>
          <w:color w:val="003264"/>
          <w:sz w:val="24"/>
        </w:rPr>
        <w:t>Xeno-learning: knowledge transfer across species in deep learning-based spectral image analysis</w:t>
      </w:r>
    </w:p>
    <w:p>
      <w:r>
        <w:rPr>
          <w:rFonts w:ascii="Times New Roman" w:hAnsi="Times New Roman" w:eastAsia="宋体"/>
          <w:sz w:val="21"/>
        </w:rPr>
        <w:t>作者: Jan Sellner, Alexander Studier-Fischer, Ahmad Bin Qasim, Silvia Seidlitz, Nicholas Schreck, Minu Tizabi, Manuel Wiesenfarth, Annette Kopp-Schneider, Janne Heinecke, Jule Brandt, Samuel Knoedler, Caelan Max Haney, Gabriel Salg, Berkin Özdemir, Maximilian Dietrich, Maurice Stephan Michel, Felix Nickel, Karl-Friedrich Kowalewski, Lena Maier-Hein</w:t>
        <w:br/>
      </w:r>
      <w:r>
        <w:rPr>
          <w:rFonts w:ascii="Times New Roman" w:hAnsi="Times New Roman" w:eastAsia="宋体"/>
          <w:sz w:val="21"/>
        </w:rPr>
        <w:t xml:space="preserve">时间: 2026-01-26 | </w:t>
      </w:r>
      <w:r>
        <w:t xml:space="preserve">链接: </w:t>
      </w:r>
      <w:hyperlink r:id="rId279">
        <w:r>
          <w:rPr>
            <w:rFonts w:ascii="Times New Roman" w:hAnsi="Times New Roman" w:eastAsia="宋体"/>
            <w:color w:val="0000FF"/>
            <w:sz w:val="21"/>
            <w:u w:val="single"/>
          </w:rPr>
          <w:t>https://doi.org/10.1038/s41551-025-01585-4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学成像技术，例如高光谱成像与基于机器学习的分析相结合，有可能彻底改变临床手术成像。然而，这些模式面临着缺乏大规模、有代表性的临床数据来训练基于机器学习的算法。虽然通过标准化实验可以获得大量临床前动物数据，并且可以控制病理组织状态的诱导，但从伦理上讲，从患者那里获得类似的数据是不可能的。为了利用这种情况，我们提出了“异种学习”，这是一种受异种移植启发的跨物种知识转移概念。在这里，我们使用来自人类以及猪和大鼠模型的总共 14,013 张高光谱图像表明，尽管不同物种的器官的光谱特征存在很大差异，但病理或手术操作（例如灌注不良或注射造影剂）引起的相对变化是可比的。在一个物种中学到的这种变化可以通过“基于生理学的数据增强”方法转移到新物种，从而实现临床前动物数据的大规模二次利用以供人类应用。由此产生的好处有望使所提出的知识转移概念对该领域的未来发展产生重大影响。</w:t>
      </w:r>
    </w:p>
    <w:p>
      <w:pPr>
        <w:spacing w:before="120"/>
      </w:pPr>
      <w:r>
        <w:rPr>
          <w:rFonts w:ascii="Times New Roman" w:hAnsi="Times New Roman" w:eastAsia="宋体"/>
          <w:b/>
          <w:sz w:val="21"/>
        </w:rPr>
        <w:t>English Abstract:</w:t>
      </w:r>
    </w:p>
    <w:p>
      <w:r>
        <w:rPr>
          <w:rFonts w:ascii="Times New Roman" w:hAnsi="Times New Roman" w:eastAsia="宋体"/>
          <w:sz w:val="21"/>
        </w:rPr>
        <w:t>Abstract Optical imaging techniques, such as hyperspectral imaging combined with machine learning-based analysis, have the potential to revolutionize clinical surgical imaging. However, these modalities face a shortage of large-scale, representative clinical data for training machine learning-based algorithms. While preclinical animal data are abundantly available through standardized experiments and allow for controlled induction of pathological tissue states, it is not ethically possible to obtain similar data from patients. To leverage this situation, we propose ‘xeno-learning’, a cross-species knowledge-transfer concept inspired by xeno-transplantation. Here, using a total of 14,013 hyperspectral images from humans as well as porcine and rat models, we show that, although spectral signatures of organs differ substantially across species, relative changes resulting from pathologies or surgical manipulation such as malperfusion or injection of contrast agent are comparable. Such changes learnt in one species can be transferred to a new species through a ‘physiology-based data augmentation’ method, enabling the large-scale secondary use of preclinical animal data for human application. The resulting benefits promise a high impact of the proposed knowledge-transfer concept on future developments in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人工智能跨物种学习以解决人类临床成像数据稀疏问题</w:t>
      </w:r>
    </w:p>
    <w:p>
      <w:r>
        <w:rPr>
          <w:rFonts w:ascii="Times New Roman" w:hAnsi="Times New Roman" w:eastAsia="宋体"/>
          <w:b/>
          <w:color w:val="003264"/>
          <w:sz w:val="24"/>
        </w:rPr>
        <w:t>AI learns across species to address human clinical imaging data sparsity</w:t>
      </w:r>
    </w:p>
    <w:p>
      <w:r>
        <w:rPr>
          <w:rFonts w:ascii="Times New Roman" w:hAnsi="Times New Roman" w:eastAsia="宋体"/>
          <w:sz w:val="21"/>
        </w:rPr>
        <w:t>作者: Unknown</w:t>
        <w:br/>
      </w:r>
      <w:r>
        <w:rPr>
          <w:rFonts w:ascii="Times New Roman" w:hAnsi="Times New Roman" w:eastAsia="宋体"/>
          <w:sz w:val="21"/>
        </w:rPr>
        <w:t xml:space="preserve">时间: 2026-01-26 | </w:t>
      </w:r>
      <w:r>
        <w:t xml:space="preserve">链接: </w:t>
      </w:r>
      <w:hyperlink r:id="rId280">
        <w:r>
          <w:rPr>
            <w:rFonts w:ascii="Times New Roman" w:hAnsi="Times New Roman" w:eastAsia="宋体"/>
            <w:color w:val="0000FF"/>
            <w:sz w:val="21"/>
            <w:u w:val="single"/>
          </w:rPr>
          <w:t>https://doi.org/10.1038/s41551-025-01586-3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训练人工智能 (AI) 模型所需的人类数据有限，限制了外科应用高光谱成像 (HSI) 的发展。我们开发了异种学习，这是一种人工智能方法，利用跨物种发现的共享生物反应，允许使用动物的实验数据来训练人工智能模型，以应用于人类的 HSI。</w:t>
      </w:r>
    </w:p>
    <w:p>
      <w:pPr>
        <w:spacing w:before="120"/>
      </w:pPr>
      <w:r>
        <w:rPr>
          <w:rFonts w:ascii="Times New Roman" w:hAnsi="Times New Roman" w:eastAsia="宋体"/>
          <w:b/>
          <w:sz w:val="21"/>
        </w:rPr>
        <w:t>English Abstract:</w:t>
      </w:r>
    </w:p>
    <w:p>
      <w:r>
        <w:rPr>
          <w:rFonts w:ascii="Times New Roman" w:hAnsi="Times New Roman" w:eastAsia="宋体"/>
          <w:sz w:val="21"/>
        </w:rPr>
        <w:t>Limited human data, needed to train artificial intelligence (AI) models, has constrained the development of hyperspectral imaging (HSI) for surgical applications. We developed xeno-learning, an AI method that harnesses shared biological responses found across species, allowing experimental data from animals to be used in training AI models for HSI applications in humans.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12:54 ---</w:t>
      </w:r>
    </w:p>
    <w:p>
      <w:pPr>
        <w:pStyle w:val="Heading2"/>
      </w:pPr>
      <w:r/>
      <w:r>
        <w:rPr>
          <w:rFonts w:ascii="Times New Roman" w:hAnsi="Times New Roman" w:eastAsia="宋体"/>
          <w:b/>
          <w:color w:val="000000"/>
          <w:sz w:val="24"/>
        </w:rPr>
        <w:t>对称星暴的正向和逆向问题</w:t>
      </w:r>
    </w:p>
    <w:p>
      <w:r>
        <w:rPr>
          <w:rFonts w:ascii="Times New Roman" w:hAnsi="Times New Roman" w:eastAsia="宋体"/>
          <w:b/>
          <w:color w:val="003264"/>
          <w:sz w:val="24"/>
        </w:rPr>
        <w:t>Forward and inverse problems for symmetric starbursts</w:t>
      </w:r>
    </w:p>
    <w:p>
      <w:r>
        <w:rPr>
          <w:rFonts w:ascii="Times New Roman" w:hAnsi="Times New Roman" w:eastAsia="宋体"/>
          <w:sz w:val="21"/>
        </w:rPr>
        <w:t>作者: Jacob Rubinstein</w:t>
        <w:br/>
      </w:r>
      <w:r>
        <w:rPr>
          <w:rFonts w:ascii="Times New Roman" w:hAnsi="Times New Roman" w:eastAsia="宋体"/>
          <w:sz w:val="21"/>
        </w:rPr>
        <w:t xml:space="preserve">时间: 2026-02-02 | </w:t>
      </w:r>
      <w:r>
        <w:t xml:space="preserve">链接: </w:t>
      </w:r>
      <w:hyperlink r:id="rId281">
        <w:r>
          <w:rPr>
            <w:rFonts w:ascii="Times New Roman" w:hAnsi="Times New Roman" w:eastAsia="宋体"/>
            <w:color w:val="0000FF"/>
            <w:sz w:val="21"/>
            <w:u w:val="single"/>
          </w:rPr>
          <w:t>https://doi.org/10.1364/josaa.582961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视觉星爆是人们在瞳孔放大的情况下观看明亮光源时感知到的图像。它们是由人眼的光学像差产生的。针对两个对称像差函数族考虑星暴问题。第一个是齐次多项式，第二个是像差函数，对于任何整数 q 旋转 2 π / q 时都保持不变。在这两种情况下都给出了星暴的完整几何特征。该理论用于解决根据观测到的星暴估计高阶像差的反演问题。</w:t>
      </w:r>
    </w:p>
    <w:p>
      <w:pPr>
        <w:spacing w:before="120"/>
      </w:pPr>
      <w:r>
        <w:rPr>
          <w:rFonts w:ascii="Times New Roman" w:hAnsi="Times New Roman" w:eastAsia="宋体"/>
          <w:b/>
          <w:sz w:val="21"/>
        </w:rPr>
        <w:t>English Abstract:</w:t>
      </w:r>
    </w:p>
    <w:p>
      <w:r>
        <w:rPr>
          <w:rFonts w:ascii="Times New Roman" w:hAnsi="Times New Roman" w:eastAsia="宋体"/>
          <w:sz w:val="21"/>
        </w:rPr>
        <w:t>Visual starbursts are images perceived by people watching a bright light source with a dilated pupil. They are generated by the optical aberrations of a person’s eye. The problem of starbursts is considered for two families of symmetric aberration functions. The first is homogeneous polynomials, and the second is aberration functions that are invariants under rotation by 2 π / q for any integer q . A complete geometrical characterization of the starbursts is given in both cases. The theory is used to solve the inverse problem of estimating the high-order aberrations from the observed starbursts.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12:56 ---</w:t>
      </w:r>
    </w:p>
    <w:p>
      <w:pPr>
        <w:pStyle w:val="Heading2"/>
      </w:pPr>
      <w:r/>
      <w:r>
        <w:rPr>
          <w:rFonts w:ascii="Times New Roman" w:hAnsi="Times New Roman" w:eastAsia="宋体"/>
          <w:b/>
          <w:color w:val="000000"/>
          <w:sz w:val="24"/>
        </w:rPr>
        <w:t>束缚于单个外尔点的光子循环轨道</w:t>
      </w:r>
    </w:p>
    <w:p>
      <w:r>
        <w:rPr>
          <w:rFonts w:ascii="Times New Roman" w:hAnsi="Times New Roman" w:eastAsia="宋体"/>
          <w:b/>
          <w:color w:val="003264"/>
          <w:sz w:val="24"/>
        </w:rPr>
        <w:t>Photonic cyclic orbit bound to a single Weyl point</w:t>
      </w:r>
    </w:p>
    <w:p>
      <w:r>
        <w:rPr>
          <w:rFonts w:ascii="Times New Roman" w:hAnsi="Times New Roman" w:eastAsia="宋体"/>
          <w:sz w:val="21"/>
        </w:rPr>
        <w:t>作者: Anonymous</w:t>
        <w:br/>
      </w:r>
      <w:r>
        <w:rPr>
          <w:rFonts w:ascii="Times New Roman" w:hAnsi="Times New Roman" w:eastAsia="宋体"/>
          <w:sz w:val="21"/>
        </w:rPr>
        <w:t xml:space="preserve">时间: 2026-01-27 | </w:t>
      </w:r>
      <w:r>
        <w:t xml:space="preserve">链接: </w:t>
      </w:r>
      <w:hyperlink r:id="rId282">
        <w:r>
          <w:rPr>
            <w:rFonts w:ascii="Times New Roman" w:hAnsi="Times New Roman" w:eastAsia="宋体"/>
            <w:color w:val="0000FF"/>
            <w:sz w:val="21"/>
            <w:u w:val="single"/>
          </w:rPr>
          <w:t>https://doi.org/10.1103/bpjc-8kz7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二聚体投影接触和单一费米气体的时钟偏移</w:t>
      </w:r>
    </w:p>
    <w:p>
      <w:r>
        <w:rPr>
          <w:rFonts w:ascii="Times New Roman" w:hAnsi="Times New Roman" w:eastAsia="宋体"/>
          <w:b/>
          <w:color w:val="003264"/>
          <w:sz w:val="24"/>
        </w:rPr>
        <w:t>Dimer-projection contact and the clock shift of a unitary Fermi gas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3">
        <w:r>
          <w:rPr>
            <w:rFonts w:ascii="Times New Roman" w:hAnsi="Times New Roman" w:eastAsia="宋体"/>
            <w:color w:val="0000FF"/>
            <w:sz w:val="21"/>
            <w:u w:val="single"/>
          </w:rPr>
          <w:t>https://doi.org/10.1103/44rc-34n1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短程关联的动态是强相互作用费米气体的一个核心挑战。在超冷气体中，这些相关性通过接触参数进行量化，但迄今为止的测量仅限于平衡系统或相对缓慢的全局动态。在这里，我们介绍了一种快速光谱技术，该技术基于将相互作用态投影到具有低位二聚体态的替代散射通道上。我们演示了微秒时间尺度上的接触测量——比逆费米能量更快。使用宽$s$波Feshbach共振附近的$^{40}$K，我们表明二聚体投影特征的强度与从射频光谱高频尾部提取的接触参数成比例，这与耦合通道计算一致。对光谱的分析进一步表明，二聚体特征对酉费米气体的时钟移位做出了主要贡献，从而实现了对该数量的第一个实验限制。观察到的与普遍预测的偏差凸显了多渠道效应的重要性。我们的结果为研究接触相关器、流体动力吸引子和量子临界行为开辟了新途径。</w:t>
      </w:r>
    </w:p>
    <w:p>
      <w:pPr>
        <w:spacing w:before="120"/>
      </w:pPr>
      <w:r>
        <w:rPr>
          <w:rFonts w:ascii="Times New Roman" w:hAnsi="Times New Roman" w:eastAsia="宋体"/>
          <w:b/>
          <w:sz w:val="21"/>
        </w:rPr>
        <w:t>English Abstract:</w:t>
      </w:r>
    </w:p>
    <w:p>
      <w:r>
        <w:rPr>
          <w:rFonts w:ascii="Times New Roman" w:hAnsi="Times New Roman" w:eastAsia="宋体"/>
          <w:sz w:val="21"/>
        </w:rPr>
        <w:t>Understanding the dynamics of short-range correlations is a central challenge in strongly interacting Fermi gases. In ultracold gases, these correlations are quantified by the contact parameter, yet measurements to date have been limited to equilibrium systems or relatively slow, global dynamics. Here, we introduce a rapid spectroscopic technique based on projection of the interacting state onto an alternate scattering channel with a low-lying dimer state. We demonstrate contact measurements on the microsecond timescale -- faster than the inverse Fermi energy. Using $^{40}$K near a broad $s$-wave Feshbach resonance, we show that the strength of the dimer-projection feature scales proportionally with the contact parameter extracted from the high-frequency tail of radio-frequency spectroscopy, in agreement with coupled-channels calculations. Analysis of the spectra further reveals that the dimer feature provides the dominant contribution to the clock shift of the unitary Fermi gas, allowing the first experimental bound on this quantity. The observed deviations from universal predictions highlight the importance of multichannel effects. Our results open new avenues for studying contact correlators, hydrodynamic attractors, and quantum critical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采用厘米级扭摆的全光学阿托牛顿力传感</w:t>
      </w:r>
    </w:p>
    <w:p>
      <w:r>
        <w:rPr>
          <w:rFonts w:ascii="Times New Roman" w:hAnsi="Times New Roman" w:eastAsia="宋体"/>
          <w:b/>
          <w:color w:val="003264"/>
          <w:sz w:val="24"/>
        </w:rPr>
        <w:t>All-optically operated atto-Newton force sensing with a centimeter-milligram-scale torsion pendulum</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4">
        <w:r>
          <w:rPr>
            <w:rFonts w:ascii="Times New Roman" w:hAnsi="Times New Roman" w:eastAsia="宋体"/>
            <w:color w:val="0000FF"/>
            <w:sz w:val="21"/>
            <w:u w:val="single"/>
          </w:rPr>
          <w:t>https://doi.org/10.1103/2qrz-5b94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毫米波介电光晕镜对暗光子暗物质的新限制</w:t>
      </w:r>
    </w:p>
    <w:p>
      <w:r>
        <w:rPr>
          <w:rFonts w:ascii="Times New Roman" w:hAnsi="Times New Roman" w:eastAsia="宋体"/>
          <w:b/>
          <w:color w:val="003264"/>
          <w:sz w:val="24"/>
        </w:rPr>
        <w:t>New constraints on dark photon dark matter with a millimeter-wave dielectric haloscope</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5">
        <w:r>
          <w:rPr>
            <w:rFonts w:ascii="Times New Roman" w:hAnsi="Times New Roman" w:eastAsia="宋体"/>
            <w:color w:val="0000FF"/>
            <w:sz w:val="21"/>
            <w:u w:val="single"/>
          </w:rPr>
          <w:t>https://doi.org/10.1103/yk7n-lrpj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具有铁磁势垒的自旋轨道耦合混合纳米线中的自旋分裂超导</w:t>
      </w:r>
    </w:p>
    <w:p>
      <w:r>
        <w:rPr>
          <w:rFonts w:ascii="Times New Roman" w:hAnsi="Times New Roman" w:eastAsia="宋体"/>
          <w:b/>
          <w:color w:val="003264"/>
          <w:sz w:val="24"/>
        </w:rPr>
        <w:t>Spin-split superconductivity in spin-orbit coupled hybrid nanowires with ferromagnetic barriers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6">
        <w:r>
          <w:rPr>
            <w:rFonts w:ascii="Times New Roman" w:hAnsi="Times New Roman" w:eastAsia="宋体"/>
            <w:color w:val="0000FF"/>
            <w:sz w:val="21"/>
            <w:u w:val="single"/>
          </w:rPr>
          <w:t>https://doi.org/10.1103/k8sv-lp1j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我们报告了基于半导体 InAs 纳米线的混合约瑟夫森结的输运研究，该纳米线具有完全重叠的外延铁磁绝缘体 EuS 和超导 Al 部分壳。电流偏置测量揭示了一个磁滞超导窗口，在铁磁绝缘体的矫顽场附近有相当大的超电流，并伴有多次安德烈夫反射。隧道光谱显示了一个以三个峰为特征的超导间隙，我们将其归因于交换分裂超导体之间的隧道效应。理论模型再现了观察到的特征，并表明由相当大的自旋轨道耦合驱动的自旋混合对于它们的形成至关重要。我们的结果证明了通过铁磁绝缘体的邻近感应超导性，并为探索自旋三重态配对建立了一个新平台。</w:t>
      </w:r>
    </w:p>
    <w:p>
      <w:pPr>
        <w:spacing w:before="120"/>
      </w:pPr>
      <w:r>
        <w:rPr>
          <w:rFonts w:ascii="Times New Roman" w:hAnsi="Times New Roman" w:eastAsia="宋体"/>
          <w:b/>
          <w:sz w:val="21"/>
        </w:rPr>
        <w:t>English Abstract:</w:t>
      </w:r>
    </w:p>
    <w:p>
      <w:r>
        <w:rPr>
          <w:rFonts w:ascii="Times New Roman" w:hAnsi="Times New Roman" w:eastAsia="宋体"/>
          <w:sz w:val="21"/>
        </w:rPr>
        <w:t>We report transport studies of hybrid Josephson junctions based on semiconducting InAs nanowires with fully overlapping epitaxial ferromagnetic insulator EuS and superconducting Al partial shells. Current-biased measurements reveal a hysteretic superconducting window with a sizable supercurrent near the coercive field of the ferromagnetic insulator, accompanied by multiple Andreev reflections. Tunneling spectroscopy shows a superconducting gap characterized by three peaks, which we attribute to tunneling between exchange-split superconductors. A theoretical model reproduces the observed features and indicates that spin mixing, driven by sizable spin-orbit coupling, is essential to their formation. Our results demonstrate proximity-induced superconductivity through a ferromagnetic insulator and establish a new platform for exploring spin-triplet pairing.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石墨烯中圆形 p-n 结周围磁传输的纳米级成像</w:t>
      </w:r>
    </w:p>
    <w:p>
      <w:r>
        <w:rPr>
          <w:rFonts w:ascii="Times New Roman" w:hAnsi="Times New Roman" w:eastAsia="宋体"/>
          <w:b/>
          <w:color w:val="003264"/>
          <w:sz w:val="24"/>
        </w:rPr>
        <w:t>Nanoscale imaging of magnetotransport around a circular p-n junction in graphene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7">
        <w:r>
          <w:rPr>
            <w:rFonts w:ascii="Times New Roman" w:hAnsi="Times New Roman" w:eastAsia="宋体"/>
            <w:color w:val="0000FF"/>
            <w:sz w:val="21"/>
            <w:u w:val="single"/>
          </w:rPr>
          <w:t>https://doi.org/10.1103/3ml4-gr6h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在薄膜铌酸锂中实现的片上电光可调窄线宽布里渊微型激光器</w:t>
      </w:r>
    </w:p>
    <w:p>
      <w:r>
        <w:rPr>
          <w:rFonts w:ascii="Times New Roman" w:hAnsi="Times New Roman" w:eastAsia="宋体"/>
          <w:b/>
          <w:color w:val="003264"/>
          <w:sz w:val="24"/>
        </w:rPr>
        <w:t>On-chip electro-optically tunable narrow linewidth Brillouin microlasers implemented in thin film lithium niobate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8">
        <w:r>
          <w:rPr>
            <w:rFonts w:ascii="Times New Roman" w:hAnsi="Times New Roman" w:eastAsia="宋体"/>
            <w:color w:val="0000FF"/>
            <w:sz w:val="21"/>
            <w:u w:val="single"/>
          </w:rPr>
          <w:t>https://doi.org/10.1103/nw4m-s6xy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圆偏振激光场中 Xe 原子电子关联动力学的非偶极效应</w:t>
      </w:r>
    </w:p>
    <w:p>
      <w:r>
        <w:rPr>
          <w:rFonts w:ascii="Times New Roman" w:hAnsi="Times New Roman" w:eastAsia="宋体"/>
          <w:b/>
          <w:color w:val="003264"/>
          <w:sz w:val="24"/>
        </w:rPr>
        <w:t>Nondipole effects on electron correlation dynamics of Xe atoms in circularly polarized laser fields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89">
        <w:r>
          <w:rPr>
            <w:rFonts w:ascii="Times New Roman" w:hAnsi="Times New Roman" w:eastAsia="宋体"/>
            <w:color w:val="0000FF"/>
            <w:sz w:val="21"/>
            <w:u w:val="single"/>
          </w:rPr>
          <w:t>https://doi.org/10.1103/55pk-rxzg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交织受挫向下转换过程的无可争议的贝尔定理</w:t>
      </w:r>
    </w:p>
    <w:p>
      <w:r>
        <w:rPr>
          <w:rFonts w:ascii="Times New Roman" w:hAnsi="Times New Roman" w:eastAsia="宋体"/>
          <w:b/>
          <w:color w:val="003264"/>
          <w:sz w:val="24"/>
        </w:rPr>
        <w:t>Unquestionable Bell theorem for interwoven frustrated down conversion processes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90">
        <w:r>
          <w:rPr>
            <w:rFonts w:ascii="Times New Roman" w:hAnsi="Times New Roman" w:eastAsia="宋体"/>
            <w:color w:val="0000FF"/>
            <w:sz w:val="21"/>
            <w:u w:val="single"/>
          </w:rPr>
          <w:t>https://doi.org/10.1103/h2l1-fcz9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交织的受阻参数下变频 (PDC) 过程会产生基于路径标识的干扰效应 [Phys.莱特牧师。 118, 080401(2017)]。在这封信中，我们展示了过程的贝尔非经典性：当局部测量由最终局部 PDC 过程的开关控制时，对 Clauser-Horne 不等式的适当违反。需要这种非标准方法，因为如果仅将局部相移用于测量设置，如 Sci 中报告的实验中所做的那样。副词。 1794年（2025年）11日，存在干扰的局部现实模型，我们也在这封信中介绍了该模型。然而，所报道的相消干涉足够深，足以违反使用开关时的不等式，因此我们的结果在理论和实验上为新干涉测量的非经典性奠定了坚实的基础。基于路径同一性的干扰的贝尔分析的开关方法形成了寻找新的高度违反直觉的量子现象的新平台。</w:t>
      </w:r>
    </w:p>
    <w:p>
      <w:pPr>
        <w:spacing w:before="120"/>
      </w:pPr>
      <w:r>
        <w:rPr>
          <w:rFonts w:ascii="Times New Roman" w:hAnsi="Times New Roman" w:eastAsia="宋体"/>
          <w:b/>
          <w:sz w:val="21"/>
        </w:rPr>
        <w:t>English Abstract:</w:t>
      </w:r>
    </w:p>
    <w:p>
      <w:r>
        <w:rPr>
          <w:rFonts w:ascii="Times New Roman" w:hAnsi="Times New Roman" w:eastAsia="宋体"/>
          <w:sz w:val="21"/>
        </w:rPr>
        <w:t>Interwoven frustrated parametric down conversion (PDC) processes produce interference effects based on path identity [Phys. Rev. Lett. 118, 080401 (2017)]. In this letter we show Bell nonclassicality of the processes: a proper violation of the Clauser-Horne inequality when the local measurements are controlled by on-off switching of the final local PDC processes. Such a non-standard approach is needed because if only the local phase shifts are used for the measurement settings, as done in the experiment reported in Sci. Adv. 11, 1794 (2025), there exists a local realistic model of the interference, which we also present in this letter. Nevertheless, the reported destructive interference is deep enough to violate the inequality when using on-off switching, so our result establishes a firm footing for non-classicality of the new interferometry, in both theory and experiment. The on-off approach to Bell analysis of path-identity-based interference forms a new platform for seeking new highly counterintuitive quantum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色散光子时间晶体中的宽带偶极子吸收</w:t>
      </w:r>
    </w:p>
    <w:p>
      <w:r>
        <w:rPr>
          <w:rFonts w:ascii="Times New Roman" w:hAnsi="Times New Roman" w:eastAsia="宋体"/>
          <w:b/>
          <w:color w:val="003264"/>
          <w:sz w:val="24"/>
        </w:rPr>
        <w:t>Broadband dipole absorption in dispersive photonic time crystals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1">
        <w:r>
          <w:rPr>
            <w:rFonts w:ascii="Times New Roman" w:hAnsi="Times New Roman" w:eastAsia="宋体"/>
            <w:color w:val="0000FF"/>
            <w:sz w:val="21"/>
            <w:u w:val="single"/>
          </w:rPr>
          <w:t>https://doi.org/10.1103/gttv-6lqc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独立控制谷值电流的瞬时光学选择规则</w:t>
      </w:r>
    </w:p>
    <w:p>
      <w:r>
        <w:rPr>
          <w:rFonts w:ascii="Times New Roman" w:hAnsi="Times New Roman" w:eastAsia="宋体"/>
          <w:b/>
          <w:color w:val="003264"/>
          <w:sz w:val="24"/>
        </w:rPr>
        <w:t>Instantaneous optical selection rule for independent control of valley currents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2">
        <w:r>
          <w:rPr>
            <w:rFonts w:ascii="Times New Roman" w:hAnsi="Times New Roman" w:eastAsia="宋体"/>
            <w:color w:val="0000FF"/>
            <w:sz w:val="21"/>
            <w:u w:val="single"/>
          </w:rPr>
          <w:t>https://doi.org/10.1103/nmbq-w5dm</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超表面的声轨道角动量霍尔效应</w:t>
      </w:r>
    </w:p>
    <w:p>
      <w:r>
        <w:rPr>
          <w:rFonts w:ascii="Times New Roman" w:hAnsi="Times New Roman" w:eastAsia="宋体"/>
          <w:b/>
          <w:color w:val="003264"/>
          <w:sz w:val="24"/>
        </w:rPr>
        <w:t>Acoustic orbital angular momentum Hall effect at metasurfaces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3">
        <w:r>
          <w:rPr>
            <w:rFonts w:ascii="Times New Roman" w:hAnsi="Times New Roman" w:eastAsia="宋体"/>
            <w:color w:val="0000FF"/>
            <w:sz w:val="21"/>
            <w:u w:val="single"/>
          </w:rPr>
          <w:t>https://doi.org/10.1103/wh12-sm3t</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激光驱动从块状晶体到层状材料的结构转变</w:t>
      </w:r>
    </w:p>
    <w:p>
      <w:r>
        <w:rPr>
          <w:rFonts w:ascii="Times New Roman" w:hAnsi="Times New Roman" w:eastAsia="宋体"/>
          <w:b/>
          <w:color w:val="003264"/>
          <w:sz w:val="24"/>
        </w:rPr>
        <w:t>Laser-driven structural transformation from a bulk crystal a layered material</w:t>
      </w:r>
    </w:p>
    <w:p>
      <w:r>
        <w:rPr>
          <w:rFonts w:ascii="Times New Roman" w:hAnsi="Times New Roman" w:eastAsia="宋体"/>
          <w:sz w:val="21"/>
        </w:rPr>
        <w:t>作者: Anonymous</w:t>
        <w:br/>
      </w:r>
      <w:r>
        <w:rPr>
          <w:rFonts w:ascii="Times New Roman" w:hAnsi="Times New Roman" w:eastAsia="宋体"/>
          <w:sz w:val="21"/>
        </w:rPr>
        <w:t xml:space="preserve">时间: 2026-02-03 | </w:t>
      </w:r>
      <w:r>
        <w:t xml:space="preserve">链接: </w:t>
      </w:r>
      <w:hyperlink r:id="rId294">
        <w:r>
          <w:rPr>
            <w:rFonts w:ascii="Times New Roman" w:hAnsi="Times New Roman" w:eastAsia="宋体"/>
            <w:color w:val="0000FF"/>
            <w:sz w:val="21"/>
            <w:u w:val="single"/>
          </w:rPr>
          <w:t>https://doi.org/10.1103/fv5l-rjyv</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X</w:t>
      </w:r>
    </w:p>
    <w:p>
      <w:pPr>
        <w:jc w:val="center"/>
      </w:pPr>
      <w:r>
        <w:t>--- 更新: 12:57 ---</w:t>
      </w:r>
    </w:p>
    <w:p>
      <w:pPr>
        <w:pStyle w:val="Heading2"/>
      </w:pPr>
      <w:r/>
      <w:r>
        <w:rPr>
          <w:rFonts w:ascii="Times New Roman" w:hAnsi="Times New Roman" w:eastAsia="宋体"/>
          <w:b/>
          <w:color w:val="000000"/>
          <w:sz w:val="24"/>
        </w:rPr>
        <w:t>准二维 Ruddlesden-Popper 混合钙钛矿超晶格中的各向异性热传输</w:t>
      </w:r>
    </w:p>
    <w:p>
      <w:r>
        <w:rPr>
          <w:rFonts w:ascii="Times New Roman" w:hAnsi="Times New Roman" w:eastAsia="宋体"/>
          <w:b/>
          <w:color w:val="003264"/>
          <w:sz w:val="24"/>
        </w:rPr>
        <w:t>Anisotropic Thermal Transport in Quasi-2D Ruddlesden-Popper Hybrid Perovskite Superlattices</w:t>
      </w:r>
    </w:p>
    <w:p>
      <w:r>
        <w:rPr>
          <w:rFonts w:ascii="Times New Roman" w:hAnsi="Times New Roman" w:eastAsia="宋体"/>
          <w:sz w:val="21"/>
        </w:rPr>
        <w:t>作者: Du Chen, Thu T. M. Chu, Yanyan Li, Shunran Li, Qixuan Hu, Jee Yung Park, Tyler Wang, Luoqi Dai, Ming Lu, Mengxia Liu, Letian Dou, Xiaotong Li, Yi Xia, Peijun Guo</w:t>
        <w:br/>
      </w:r>
      <w:r>
        <w:rPr>
          <w:rFonts w:ascii="Times New Roman" w:hAnsi="Times New Roman" w:eastAsia="宋体"/>
          <w:sz w:val="21"/>
        </w:rPr>
        <w:t xml:space="preserve">时间: 2025-12-22 | </w:t>
      </w:r>
      <w:r>
        <w:t xml:space="preserve">链接: </w:t>
      </w:r>
      <w:hyperlink r:id="rId295">
        <w:r>
          <w:rPr>
            <w:rFonts w:ascii="Times New Roman" w:hAnsi="Times New Roman" w:eastAsia="宋体"/>
            <w:color w:val="0000FF"/>
            <w:sz w:val="21"/>
            <w:u w:val="single"/>
          </w:rPr>
          <w:t>https://doi.org/10.1103/kh5d-jrxw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混合金属卤化物钙钛矿（2D-MHP）已成为重要的溶液加工半导体，具有良好的光学和电子性能，可用于光伏、光电子和自旋电子学的多种应用。准二维层状结构的特点是有机和无机亚晶格之间存在较大的声阻抗失配，预计将导致沿横向和面内方向的独特且各向异性的热传输特性。在这里，我们介绍了无传感器振动泵可见光探针（VPVP）方法，该方法能够准确量化各种典型单晶 2D-MHP 中的各向异性热传输特性。具体来说，使用 VPVP 光谱和 VPVP 显微镜，我们测量了具有系统变化的 Pb-I 八面体层厚度以及有机间隔物类型和长度的 2D-MHP 的各向异性热扩散率，揭示了这些结构参数如何以不同的方式改变跨平面和面内热传输特性。虽然扩散界面散射在决定跨平面热传输中起着重要作用，但面内热传输主要由互连无机层内的声子传输决定。结合四声子散射的密度泛函理论可以进一步深入了解 2D-MHP 中的低导热率和适度的导热各向异性。我们的工作展示了一种新的全光学和非接触方法，该方法需要最少的样品制备，并允许直接可视化跨平面和面内热传输，可能与样品环境兼容。所展示的 VPVP 方法可以增进对 2D-MHP 以及 2D-MHP 之外的广泛混合和聚合物半导体中热传输的理解。</w:t>
      </w:r>
    </w:p>
    <w:p>
      <w:pPr>
        <w:spacing w:before="120"/>
      </w:pPr>
      <w:r>
        <w:rPr>
          <w:rFonts w:ascii="Times New Roman" w:hAnsi="Times New Roman" w:eastAsia="宋体"/>
          <w:b/>
          <w:sz w:val="21"/>
        </w:rPr>
        <w:t>English Abstract:</w:t>
      </w:r>
    </w:p>
    <w:p>
      <w:r>
        <w:rPr>
          <w:rFonts w:ascii="Times New Roman" w:hAnsi="Times New Roman" w:eastAsia="宋体"/>
          <w:sz w:val="21"/>
        </w:rPr>
        <w:t>Two-dimensional hybrid metal-halide perovskites (2D-MHPs) have emerged as important solution-processed semiconductors with favorable optical and electronic properties for diverse applications in photovoltaics, optoelectronics, and spintronics. The quasi-2D layered structures, featuring large acoustic impedance mismatches between the organic and inorganic sublattices, are expected to result in distinct and anisotropic thermal transport properties along the cross-plane and in-plane directions. Here, we introduce transducer-free vibrational-pump-visible-probe (VPVP) approaches that enable accurate quantification of anisotropic thermal transport properties in various archetypical single-crystalline 2D-MHPs. Specifically, using VPVP spectroscopy and VPVP microscopy, we measure the anisotropic thermal diffusivities of 2D-MHPs with systematically varied Pb-I octahedral layer thicknesses, as well as organic spacer types and lengths, revealing how these structural parameters alter the cross-plane and in-plane thermal transport properties in distinct ways. While diffuse interface scattering plays an important role in dictating cross-plane thermal transport, in-plane thermal transport is primarily determined by phonon transport within interconnected inorganic layers. Density functional theory incorporating four-phonon scatterings provides further insight into the low thermal conductivity and modest thermal conduction anisotropy in 2D-MHPs. Our work demonstrates a new all-optical and noncontact method, which requires minimal sample preparation and allows direct visualization of cross-plane and in-plane thermal transport, potentially compatible with sample environments. The demonstrated VPVP approaches can advance understanding of thermal transport in 2D-MHPs as well as wide-ranging hybrid and polymeric semiconductors beyond 2D-MHPs.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具有顶点校正的超准粒子输运：电子声子相互作用的自洽梯形式主义</w:t>
      </w:r>
    </w:p>
    <w:p>
      <w:r>
        <w:rPr>
          <w:rFonts w:ascii="Times New Roman" w:hAnsi="Times New Roman" w:eastAsia="宋体"/>
          <w:b/>
          <w:color w:val="003264"/>
          <w:sz w:val="24"/>
        </w:rPr>
        <w:t>Beyond-Quasiparticle Transport with Vertex Correction: Self-Consistent Ladder Formalism for Electron-Phonon Interactions</w:t>
      </w:r>
    </w:p>
    <w:p>
      <w:r>
        <w:rPr>
          <w:rFonts w:ascii="Times New Roman" w:hAnsi="Times New Roman" w:eastAsia="宋体"/>
          <w:sz w:val="21"/>
        </w:rPr>
        <w:t>作者: Jae-Mo Lihm, Samuel Poncé</w:t>
        <w:br/>
      </w:r>
      <w:r>
        <w:rPr>
          <w:rFonts w:ascii="Times New Roman" w:hAnsi="Times New Roman" w:eastAsia="宋体"/>
          <w:sz w:val="21"/>
        </w:rPr>
        <w:t xml:space="preserve">时间: 2026-01-13 | </w:t>
      </w:r>
      <w:r>
        <w:t xml:space="preserve">链接: </w:t>
      </w:r>
      <w:hyperlink r:id="rId296">
        <w:r>
          <w:rPr>
            <w:rFonts w:ascii="Times New Roman" w:hAnsi="Times New Roman" w:eastAsia="宋体"/>
            <w:color w:val="0000FF"/>
            <w:sz w:val="21"/>
            <w:u w:val="single"/>
          </w:rPr>
          <w:t>https://doi.org/10.1103/mtjf-ylf7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我们提出了一个自洽的多体框架，用于从第一原理计算声子限制电子传输，结合超准粒子效应和顶点校正。使用最近开发的第一原理 sc G D 0 方法，我们计算具有非微扰效应的谱函数，例如展宽、卫星和能量相关重整化。我们表明，sc G D 0 谱函数在模型哈密顿量和真实材料中优于一次性 G 0 D 0 和累积量近似，消除了非物理谱扭结并正确预测了声子发射连续谱。在此基础上，我们引入了传输的自洽梯形形式，它捕获了由于电子-声子相互作用而产生的顶点校正。这种方法统一并改进了第一原理声子限制输运的两种最先进的方法：气泡近似和玻尔兹曼输运方程。此外，作为电荷守恒近似，它可以对光导率和介电函数进行一致的计算。我们根据稀极化子极限下模型哈密顿量的数值精确结果验证了所开发的方法，并将其应用于实际材料。我们的结果显示与本征半导体Si和ZnO以及SrVO 3 金属的实验直流电导率定量一致，并且与Si和ZnO的实验太赫兹光学和介电性质非常一致。这项工作统一了研究输运的第一原理和多体方法，为将多体理论应用于具有强电子声子相互作用的材料开辟了新的方向。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self-consistent many-body framework for computing phonon-limited electronic transport from first principles, incorporating both beyond-quasiparticle effects and vertex corrections. Using the recently developed first-principles sc G D 0 method, we calculate spectral functions with nonperturbative effects such as broadening, satellites, and energy-dependent renormalization. We show that the sc G D 0 spectral functions outperform one-shot G 0 D 0 and cumulant approximations in model Hamiltonians and real materials, eliminating unphysical spectral kinks and correctly predicting the phonon emission continuum. Building on this, we introduce the self-consistent ladder formalism for transport, which captures vertex corrections due to electron-phonon interactions. This approach unifies and improves upon the two state-of-the-art approaches for first-principles phonon-limited transport: the bubble approximation and the Boltzmann transport equation. Moreover, as a charge-conserving approximation, it enables consistent calculations of the optical conductivity and dielectric function. We validate the developed method against numerically exact results for model Hamiltonians in the dilute polaronic limit and apply it to real materials. Our results show quantitative agreement with the experimental dc conductivities in intrinsic semiconductors Si and ZnO and the SrVO 3 metal, as well as excellent agreement with the experimental THz optical and dielectric properties of Si and ZnO. This work unifies first-principles and many-body approaches for studying transport, opening new directions for applying many-body theory to materials with strong electron-phonon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具有交织密度波序的三层镍酸盐中的晶格电荷耦合</w:t>
      </w:r>
    </w:p>
    <w:p>
      <w:r>
        <w:rPr>
          <w:rFonts w:ascii="Times New Roman" w:hAnsi="Times New Roman" w:eastAsia="宋体"/>
          <w:b/>
          <w:color w:val="003264"/>
          <w:sz w:val="24"/>
        </w:rPr>
        <w:t>Lattice-Charge Coupling in a Trilayer Nickelate with Intertwined Density Wave Order</w:t>
      </w:r>
    </w:p>
    <w:p>
      <w:r>
        <w:rPr>
          <w:rFonts w:ascii="Times New Roman" w:hAnsi="Times New Roman" w:eastAsia="宋体"/>
          <w:sz w:val="21"/>
        </w:rPr>
        <w:t>作者: Xun Jia, Yao Shen, Harrison LaBollita, Xinglong Chen, Junjie Zhang, Yu Li, Hengdi Zhao, Mercouri G. Kanatzidis, Matthew Krogstad, Hong Zheng, Ayman H. Said, Ahmet Alatas, Stephan Rosenkranz, Daniel Phelan, Mark P. M. Dean, M. R. Norman, J. F. Mitchell, Antia S. Botana, Yue Cao</w:t>
        <w:br/>
      </w:r>
      <w:r>
        <w:rPr>
          <w:rFonts w:ascii="Times New Roman" w:hAnsi="Times New Roman" w:eastAsia="宋体"/>
          <w:sz w:val="21"/>
        </w:rPr>
        <w:t xml:space="preserve">时间: 2026-01-23 | </w:t>
      </w:r>
      <w:r>
        <w:t xml:space="preserve">链接: </w:t>
      </w:r>
      <w:hyperlink r:id="rId297">
        <w:r>
          <w:rPr>
            <w:rFonts w:ascii="Times New Roman" w:hAnsi="Times New Roman" w:eastAsia="宋体"/>
            <w:color w:val="0000FF"/>
            <w:sz w:val="21"/>
            <w:u w:val="single"/>
          </w:rPr>
          <w:t>https://doi.org/10.1103/s5j9-cbg7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缠绕的电荷和自旋相关性在各种过渡金属氧化物中普遍存在，并且通常被认为与非常规超导性密切相关。理论上，设想由强电子相关性驱动，通常发现交织有序与晶格强烈耦合，如明显的声子软化所表明的那样。最近，在几种 Ruddlesden-Popper (RP) 镍酸盐，特别是三层镍酸盐 RE 4 Ni 3 O 10 ( RE = Pr , La) 中发现了电荷和自旋密度波（CDW 和 SDW）以及超导性。交织顺序的本质和晶格电荷耦合的作用是有关这些材料的争论的核心。使用非弹性 X 射线散射，我们绘制了 RE 4 Ni 3 O 10 中的低能声子色散，发现在很宽的温度范围内 CDW 波矢量附近没有软化的证据，这与铜酸盐超导体中经常观察到的明显异常形成鲜明对比。电子磁化率的计算揭示了观察到的 SDW 有序向量处的峰值，但 CDW 波向量处没有峰值。我们的实验和理论研究结果强调了自旋自由度的关键作用，并为理解 RP 镍酸盐超导体及其他超导体中的超导性和密度波跃迁之间的相互作用奠定了基础。</w:t>
      </w:r>
    </w:p>
    <w:p>
      <w:pPr>
        <w:spacing w:before="120"/>
      </w:pPr>
      <w:r>
        <w:rPr>
          <w:rFonts w:ascii="Times New Roman" w:hAnsi="Times New Roman" w:eastAsia="宋体"/>
          <w:b/>
          <w:sz w:val="21"/>
        </w:rPr>
        <w:t>English Abstract:</w:t>
      </w:r>
    </w:p>
    <w:p>
      <w:r>
        <w:rPr>
          <w:rFonts w:ascii="Times New Roman" w:hAnsi="Times New Roman" w:eastAsia="宋体"/>
          <w:sz w:val="21"/>
        </w:rPr>
        <w:t>Intertwined charge and spin correlations are ubiquitous in a wide range of transition metal oxides and are often perceived as intimately related to unconventional superconductivity. Theoretically envisioned as driven by strong electronic correlations, the intertwined order is usually found to be strongly coupled to the lattice as signaled by pronounced phonon softening. Recently, both charge and spin density waves (CDW and SDW) and superconductivity have been discovered in several Ruddlesden-Popper (RP) nickelates, in particular trilayer nickelates R E 4 Ni 3 O 10 ( R E = Pr , La). The nature of the intertwined order and the role of lattice-charge coupling are at the heart of the debate about these materials. Using inelastic x-ray scattering, we mapped the low-energy phonon dispersions in R E 4 Ni 3 O 10 and found no evidence of softening near the CDW wave vector over a wide temperature range, which contrasts with the pronounced anomalies frequently observed in cuprate superconductors. Calculations of the electronic susceptibility revealed a peak at the observed SDW ordering vector but not at the CDW wave vector. Our experimental and theoretical findings highlight the crucial role of the spin degree of freedom and establish a foundation for understanding the interplay between superconductivity and density-wave transitions in RP nickelate superconductors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超导电路中四组激励的耗散</w:t>
      </w:r>
    </w:p>
    <w:p>
      <w:r>
        <w:rPr>
          <w:rFonts w:ascii="Times New Roman" w:hAnsi="Times New Roman" w:eastAsia="宋体"/>
          <w:b/>
          <w:color w:val="003264"/>
          <w:sz w:val="24"/>
        </w:rPr>
        <w:t>Dissipating quartets of excitations in a superconducting circuit</w:t>
      </w:r>
    </w:p>
    <w:p>
      <w:r>
        <w:rPr>
          <w:rFonts w:ascii="Times New Roman" w:hAnsi="Times New Roman" w:eastAsia="宋体"/>
          <w:sz w:val="21"/>
        </w:rPr>
        <w:t>作者: Anonymous</w:t>
        <w:br/>
      </w:r>
      <w:r>
        <w:rPr>
          <w:rFonts w:ascii="Times New Roman" w:hAnsi="Times New Roman" w:eastAsia="宋体"/>
          <w:sz w:val="21"/>
        </w:rPr>
        <w:t xml:space="preserve">时间: 2025-12-10 | </w:t>
      </w:r>
      <w:r>
        <w:t xml:space="preserve">链接: </w:t>
      </w:r>
      <w:hyperlink r:id="rId298">
        <w:r>
          <w:rPr>
            <w:rFonts w:ascii="Times New Roman" w:hAnsi="Times New Roman" w:eastAsia="宋体"/>
            <w:color w:val="0000FF"/>
            <w:sz w:val="21"/>
            <w:u w:val="single"/>
          </w:rPr>
          <w:t>https://doi.org/10.1103/bjpc-8xcf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玻色子量子位的自主稳定已成为一种有前途的硬件高效保护量子信息的方法。然而，将这些技术应用于比薛定格猫代码更复杂的编码需要对高阶波混合过程进行精确控制。挑战在于启用特定的多光子耗散通道，同时避免意外的非线性相互作用。在这项工作中，我们利用由近无克尔约瑟夫森元件实现的真正的六波混合过程来强制高阻抗超导谐振器中四组激励的耗散。由于杂散引起的残余非线性由于我们电路中的电感，该耗散通道仅在谐振器保持特定数量的光子时才有效，将其应用于谐振器的第四激发态，我们显示出状态衰减率的一个数量级增强，同时仅略微影响较低能态的弛豫和相干性，因为可以通过电路设计的简单修改来大大减少杂散电感，并且我们的方法可以适应激活更高阶的耗散通道，这些结果为动态稳定铺平了道路。四分量薛定格猫量子位，甚至更复杂的玻色子量子位。</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 autonomous stabilization of bosonic qubits has emerged as a promising approach for hardware-efficient protection of quantum information. However, applying these techniques to more complex encodings than the Schr\"odinger cat code requires exquisite control of high-order wave mixing processes. The challenge is to enable specific multiphotonic dissipation channels while avoiding unintended non-linear interactions. In this work, we leverage a genuine six-wave mixing process enabled by a near Kerr-free Josephson element to enforce dissipation of quartets of excitations in a high-impedance superconducting resonator. Owing to residual non-linearities stemming from stray inductances in our circuit, this dissipation channel is only effective when the resonator holds a specific number of photons. Applying it to the fourth excited state of the resonator, we show an order of magnitude enhancement of the state decay rate while only marginally impacting the relaxation and coherence of lower energy states. Given that stray inductances could be strongly reduced through simple modifications in circuit design and that our methods can be adapted to activate even higher-order dissipation channels, these results pave the way toward the dynamical stabilization of four-component Schr\"odinger cat qubits and even more complex bosonic qubits.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半填充扭曲过渡金属二硫化物中具有费米弧和费米口袋的赝能隙</w:t>
      </w:r>
    </w:p>
    <w:p>
      <w:r>
        <w:rPr>
          <w:rFonts w:ascii="Times New Roman" w:hAnsi="Times New Roman" w:eastAsia="宋体"/>
          <w:b/>
          <w:color w:val="003264"/>
          <w:sz w:val="24"/>
        </w:rPr>
        <w:t>Pseudogap with Fermi Arcs and Fermi Pockets in Half-Filled Twisted Transition Metal Dichalcogenides</w:t>
      </w:r>
    </w:p>
    <w:p>
      <w:r>
        <w:rPr>
          <w:rFonts w:ascii="Times New Roman" w:hAnsi="Times New Roman" w:eastAsia="宋体"/>
          <w:sz w:val="21"/>
        </w:rPr>
        <w:t>作者: Yong-Yue Zong, Zhao-Long Gu, Jian-Xin Li</w:t>
        <w:br/>
      </w:r>
      <w:r>
        <w:rPr>
          <w:rFonts w:ascii="Times New Roman" w:hAnsi="Times New Roman" w:eastAsia="宋体"/>
          <w:sz w:val="21"/>
        </w:rPr>
        <w:t xml:space="preserve">时间: 2026-01-06 | </w:t>
      </w:r>
      <w:r>
        <w:t xml:space="preserve">链接: </w:t>
      </w:r>
      <w:hyperlink r:id="rId299">
        <w:r>
          <w:rPr>
            <w:rFonts w:ascii="Times New Roman" w:hAnsi="Times New Roman" w:eastAsia="宋体"/>
            <w:color w:val="0000FF"/>
            <w:sz w:val="21"/>
            <w:u w:val="single"/>
          </w:rPr>
          <w:t>https://doi.org/10.1103/kmn8-y59j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扭曲过渡金属二硫属化物是实现具有高可调性的强相关物理的新平台。最近的运输实验[A. Ghiotto 报道了通过调整固定在半填充的扭曲 WS e 2 (tWS e 2 ) 中的位移场，莫特绝缘体的带宽驱动演变为奇怪的金属行为。然而，整个过程中涉及的相关态的性质和相关的莫特物理仍有待确定。在这里，我们从理论上揭示了应用于 tWS e 2 的半填充莫尔哈伯德模型的基态演化，从具有费米弧的赝能隙态过渡到 120° Néel 有序莫特绝缘体，然后过渡到另一个具有费米口袋的赝能隙态，并最终通过 Lifshitz 跃迁过渡到费米液体。赝能隙相可以通过费米表面部分上准粒子权重的消失来确定，其余部分形成不连续的费米弧或具有明确准粒子的袋。我们证明了费米弧或袋是由电子关联驱动的电子能带结构重建的结果，其标志是单粒子格林函数的极点和零点共存。通过进一步计算电阻率的温度依赖性，我们将在 tWSe 2 中实验观察到的以线性 T 电阻率为特征的奇怪金属的基态归因于第二赝能隙态。这项工作揭示了莫特内斯莫尔系统的基本方面，并将通过角分辨光电子能谱和扫描隧道显微镜刺激对传输之外的基础物理的直接探索。</w:t>
      </w:r>
    </w:p>
    <w:p>
      <w:pPr>
        <w:spacing w:before="120"/>
      </w:pPr>
      <w:r>
        <w:rPr>
          <w:rFonts w:ascii="Times New Roman" w:hAnsi="Times New Roman" w:eastAsia="宋体"/>
          <w:b/>
          <w:sz w:val="21"/>
        </w:rPr>
        <w:t>English Abstract:</w:t>
      </w:r>
    </w:p>
    <w:p>
      <w:r>
        <w:rPr>
          <w:rFonts w:ascii="Times New Roman" w:hAnsi="Times New Roman" w:eastAsia="宋体"/>
          <w:sz w:val="21"/>
        </w:rPr>
        <w:t>Twisted transition metal dichalcogenides are a new platform for realizing strongly correlated physics with high tunability. Recent transport experiments [A. Ghiotto , ] have reported the bandwidth-driven evolution of a Mott insulator to a strange metal behavior via the tuning of a displacement field in twisted WS e 2 ( tWS e 2 ) fixed at half filling. However, the nature of the correlated states and the related Mott physics involved in the whole process remain to be determined. Here, we unveil theoretically the evolution of the ground state of the half-filled moiré Hubbard model as applied to tWS e 2 , transiting from a pseudogap state with Fermi arcs to a 120° Néel ordered Mott insulator, then to another pseudogap state with Fermi pockets, and eventually to a Fermi liquid via a Lifshitz transition. The pseudogap phases are definitely identified by the vanishing of quasiparticle weights over parts of the Fermi surface, with the remaining parts forming disconnected Fermi arcs or pockets with well-defined quasiparticles. We demonstrate that the Fermi arc or pocket results from the electronic band structure reconstruction driven by electron correlations, marked by the coexistence of the poles and zeros of the single-particle Green’s function. We ascribe the ground state of the strange metal featured by the linear- T resistivity observed experimentally in tWSe 2 to the second pseudogap state by further calculating the temperature dependence of resistivity. This work reveals the fundamental aspects of the Mottness in moiré system and will stimulate the direct probes of the underlying physics beyond transports via the angle-resolved photoemission spectroscopy and scanning tunneling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揭示超快状态下的实时化学位移</w:t>
      </w:r>
    </w:p>
    <w:p>
      <w:r>
        <w:rPr>
          <w:rFonts w:ascii="Times New Roman" w:hAnsi="Times New Roman" w:eastAsia="宋体"/>
          <w:b/>
          <w:color w:val="003264"/>
          <w:sz w:val="24"/>
        </w:rPr>
        <w:t>Unraveling real-time chemical shifts in the ultrafast regime</w:t>
      </w:r>
    </w:p>
    <w:p>
      <w:r>
        <w:rPr>
          <w:rFonts w:ascii="Times New Roman" w:hAnsi="Times New Roman" w:eastAsia="宋体"/>
          <w:sz w:val="21"/>
        </w:rPr>
        <w:t>作者: Anonymous</w:t>
        <w:br/>
      </w:r>
      <w:r>
        <w:rPr>
          <w:rFonts w:ascii="Times New Roman" w:hAnsi="Times New Roman" w:eastAsia="宋体"/>
          <w:sz w:val="21"/>
        </w:rPr>
        <w:t xml:space="preserve">时间: 2025-12-11 | </w:t>
      </w:r>
      <w:r>
        <w:t xml:space="preserve">链接: </w:t>
      </w:r>
      <w:hyperlink r:id="rId300">
        <w:r>
          <w:rPr>
            <w:rFonts w:ascii="Times New Roman" w:hAnsi="Times New Roman" w:eastAsia="宋体"/>
            <w:color w:val="0000FF"/>
            <w:sz w:val="21"/>
            <w:u w:val="single"/>
          </w:rPr>
          <w:t>https://doi.org/10.1103/y6dt-1sfw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 X 射线光电子能谱 (XPS) 依赖于光电子结合能和局部化学环境之间的直接映射，平衡系统的静电部分电荷模型很好地表征了这种映射。然而，由于缺乏能够以高光谱和时间分辨率访问多个原子位点的 X 射线源，以及缺乏解释观察到的信号的简单理论程序，该技术向非平衡系统的扩展受到阻碍。在这项工作中，我们采用多位点 XPS 和窄带飞秒 X 射线探针来揭示多原子分子氟甲烷 (CH$_{3}$F) 的不同超快解离过程。我们证明 XPS 可以实时跟踪 C-F 和 C-H 键的裂解，尽管这些通道的结合能接近。此外，我们应用部分电荷模型来描述这些动态，并通过先进的从头计算和实验数据验证这种扩展。这些结果通过关联来自多个原子位点的实时信息并通过可行的理论模型解释测量结果，使该技术能够应用于更高复杂性的非平衡系统。</w:t>
      </w:r>
    </w:p>
    <w:p>
      <w:pPr>
        <w:spacing w:before="120"/>
      </w:pPr>
      <w:r>
        <w:rPr>
          <w:rFonts w:ascii="Times New Roman" w:hAnsi="Times New Roman" w:eastAsia="宋体"/>
          <w:b/>
          <w:sz w:val="21"/>
        </w:rPr>
        <w:t>English Abstract:</w:t>
      </w:r>
    </w:p>
    <w:p>
      <w:r>
        <w:rPr>
          <w:rFonts w:ascii="Times New Roman" w:hAnsi="Times New Roman" w:eastAsia="宋体"/>
          <w:sz w:val="21"/>
        </w:rPr>
        <w:t>Traditional x-ray photoelectron spectroscopy (XPS) relies upon a direct mapping between the photoelectron binding energies and the local chemical environment, which is well-characterized by an electrostatic partial charges model for systems in equilibrium. However, the extension of this technique to out-of-equilibrium systems has been hampered by the lack of x-ray sources capable of accessing multiple atomic sites with high spectral and temporal resolution, as well as the lack of simple theoretical procedures to interpret the observed signals. In this work we employ multi-site XPS with a narrowband femtosecond x-ray probe to unravel different ultrafast dissociation processes of a polyatomic molecule, fluoromethane (CH$_{3}$F). We show that XPS can follow the cleavage of both the C-F and C-H bonds in real time, despite these channels lying close in binding energy. Additionally, we apply the partial charges model to describe these dynamics, and verify this extension with both advanced ab-initio calculations and experimental data. These results enable the application of this technique to out-of-equilibrium systems of higher complexity, by correlating real-time information from multiple atomic sites and interpreting the measurements through a viable theoretical modelling.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部分填充 Kagome 平带中的向列序和轨道选择性莫特态</w:t>
      </w:r>
    </w:p>
    <w:p>
      <w:r>
        <w:rPr>
          <w:rFonts w:ascii="Times New Roman" w:hAnsi="Times New Roman" w:eastAsia="宋体"/>
          <w:b/>
          <w:color w:val="003264"/>
          <w:sz w:val="24"/>
        </w:rPr>
        <w:t>Nematic Order and Orbital Selective Mott State in a Partially Filled Kagome Flat Band</w:t>
      </w:r>
    </w:p>
    <w:p>
      <w:r>
        <w:rPr>
          <w:rFonts w:ascii="Times New Roman" w:hAnsi="Times New Roman" w:eastAsia="宋体"/>
          <w:sz w:val="21"/>
        </w:rPr>
        <w:t>作者: Caiyun Chen, Jiangchang Zheng, Yuman He, Siqi Wu, Xuzhe Ying, Soumya Sankar, Luanjing Li, Yizhou Wei, Xi Dai, Hoi Chun Po, Berthold Jäck</w:t>
        <w:br/>
      </w:r>
      <w:r>
        <w:rPr>
          <w:rFonts w:ascii="Times New Roman" w:hAnsi="Times New Roman" w:eastAsia="宋体"/>
          <w:sz w:val="21"/>
        </w:rPr>
        <w:t xml:space="preserve">时间: 2026-01-13 | </w:t>
      </w:r>
      <w:r>
        <w:t xml:space="preserve">链接: </w:t>
      </w:r>
      <w:hyperlink r:id="rId301">
        <w:r>
          <w:rPr>
            <w:rFonts w:ascii="Times New Roman" w:hAnsi="Times New Roman" w:eastAsia="宋体"/>
            <w:color w:val="0000FF"/>
            <w:sz w:val="21"/>
            <w:u w:val="single"/>
          </w:rPr>
          <w:t>https://doi.org/10.1103/c93j-k53f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占据电子平带 (FB) 的电荷载流子之间的库仑相互作用可以产生令人着迷的现象，例如量子临界性、莫特-哈伯德态和不同 FB 填充分数下的非常规超导性。因此，寻找具有可调节载流子填充和强相互作用的新型FB材料是一个中心研究主题，以拓宽我们对强相互作用量子系统的基本理解并实现具有新颖功能的材料。在这项工作中，我们提出了从依赖于温度的扫描隧道显微镜测量中获得的实验证据，这些证据出现在Co 1 − x Fe x Sn的部分占据的kagome FB中，其填充可以通过Fe掺杂水平x来控制。在高温（T ≥ 16 K）下，我们发现旋转对称性在广泛的掺杂范围 0.05 &lt; x &lt; 0.25 上被打破的证据。与模型计算的比较表明，强库仑相互作用（U &gt; 100 meV）混合了两个 3 d 轨道衍生 FB 的状态并赋予向列序参数。引入相敏锁定测量作为不可压缩态的局部扫描隧道显微镜探针，我们还在具有理想 Fe 掺杂 ( x = 0.17 ) 的部分填充的 kagome 平坦带中找到了哈伯德带的直接证据。哈伯德模型计算的结果表明，在半填充的戈薇平带中存在轨道选择性莫特态。与掺杂相关的测量表明，轨道选择性莫特态在电子和空穴掺杂后下降到相关金属相，其特征是光谱间隙突然崩溃。我们的观察表明，kagome FBs 的电子基态敏感地取决于不同温度下的几何挫败、强库仑斥力、轨道简并性和填充分数之间的复杂相互作用。更广泛地说，我们的研究将 kagome 晶格材料建立为新颖量子态的独特平台，这些量子态由拓扑非平凡 FB 中的强电子相关性产生。</w:t>
      </w:r>
    </w:p>
    <w:p>
      <w:pPr>
        <w:spacing w:before="120"/>
      </w:pPr>
      <w:r>
        <w:rPr>
          <w:rFonts w:ascii="Times New Roman" w:hAnsi="Times New Roman" w:eastAsia="宋体"/>
          <w:b/>
          <w:sz w:val="21"/>
        </w:rPr>
        <w:t>English Abstract:</w:t>
      </w:r>
    </w:p>
    <w:p>
      <w:r>
        <w:rPr>
          <w:rFonts w:ascii="Times New Roman" w:hAnsi="Times New Roman" w:eastAsia="宋体"/>
          <w:sz w:val="21"/>
        </w:rPr>
        <w:t>Coulomb interactions among charge carriers that occupy an electronic flat band (FB) can give rise to captivating phenomena such as quantum criticality, Mott-Hubbard states, and unconventional superconductivity at different FB filling fractions. Consequently, the search for new FB materials with tunable charge carrier filling and strong interactions is a central research theme to broaden our fundamental understanding of strongly interacting quantum systems and to realize materials with novel functionalities. In this work, we present experimental evidence obtained from temperature-dependent scanning tunneling microscopy measurements for various strongly correlated states that appear in partially occupied kagome FBs of Co 1 − x Fe x Sn whose filling can be controlled by the Fe-doping level x . At elevated temperatures ( T ≥ 16 K ), we find evidence for rotation symmetry breaking across a broad doping range 0.05 &lt; x &lt; 0.25 . Comparison with model calculations reveals that strong Coulomb interactions ( U &gt; 100 meV ) blend the states of two 3 d -orbital-derived FBs and impart a nematic order parameter. Introducing phase-sensitive lock-in measurements as a local scanning tunneling microscopy probe of incompressible states, we also find direct evidence for Hubbard bands in the partially filled kagome flat bands of samples with ideal Fe doping ( x = 0.17 ). Results from Hubbard model calculations suggest the presence of an orbital-selective Mott state in a half-filled kagome flat band. Doping-dependent measurements show that the orbital-selective Mott state descends into a correlated metal phase upon electron and hole doping, marked by a sudden collapse of the spectral gap. Our observations demonstrate that the electronic ground state of the kagome FBs sensitively depends on the complex interplay between geometric frustration, strong Coulomb repulsion, orbital degeneracy, and filling fraction at different temperatures. More broadly, our research establishes kagome lattice materials as a unique platform for novel quantum states that arise from strong electronic correlations in a topologically nontrivial FB.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对玻色子热霍尔传输的外在贡献</w:t>
      </w:r>
    </w:p>
    <w:p>
      <w:r>
        <w:rPr>
          <w:rFonts w:ascii="Times New Roman" w:hAnsi="Times New Roman" w:eastAsia="宋体"/>
          <w:b/>
          <w:color w:val="003264"/>
          <w:sz w:val="24"/>
        </w:rPr>
        <w:t>Extrinsic contribution to bosonic thermal Hall transport</w:t>
      </w:r>
    </w:p>
    <w:p>
      <w:r>
        <w:rPr>
          <w:rFonts w:ascii="Times New Roman" w:hAnsi="Times New Roman" w:eastAsia="宋体"/>
          <w:sz w:val="21"/>
        </w:rPr>
        <w:t>作者: Anonymous</w:t>
        <w:br/>
      </w:r>
      <w:r>
        <w:rPr>
          <w:rFonts w:ascii="Times New Roman" w:hAnsi="Times New Roman" w:eastAsia="宋体"/>
          <w:sz w:val="21"/>
        </w:rPr>
        <w:t xml:space="preserve">时间: 2025-12-12 | </w:t>
      </w:r>
      <w:r>
        <w:t xml:space="preserve">链接: </w:t>
      </w:r>
      <w:hyperlink r:id="rId302">
        <w:r>
          <w:rPr>
            <w:rFonts w:ascii="Times New Roman" w:hAnsi="Times New Roman" w:eastAsia="宋体"/>
            <w:color w:val="0000FF"/>
            <w:sz w:val="21"/>
            <w:u w:val="single"/>
          </w:rPr>
          <w:t>https://doi.org/10.1103/grzx-v6sj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子和磁子等玻色子激发主导着磁绝缘体的低温输运。与电子霍尔响应类似，电荷中性玻色子的热霍尔效应（THE）已被提议作为探测其波函数拓扑性质的有力工具。例如，完全洁净系统的THE的内在贡献直接受贝里曲率分布的控制，并且许多关于拓扑磁子和声子绝缘体的实验都是以这种方式解释的。然而，任何材料中都不可避免地存在无序，并且人们对无序对THE的贡献仍然知之甚少。在这里，我们开发了一个关于外在侧跳对玻色子THE贡献的严格动力学理论。我们表明，外在 THE 可以与内在 THE 具有相同的数量级，但敏感地取决于局部缺陷的类型。我们研究了不同类型的杂质，并表明，THE 甚至可以作为系统中纯粹的杂质引起的效应而出现，而系统的内在贡献正在消失。作为副产品，我们还将电子 AHE 的现有结果推广到超出局部势散射标准假设的一般类型杂质。我们讨论了我们的结果对于正确解释测量结果的重要性。</w:t>
      </w:r>
    </w:p>
    <w:p>
      <w:pPr>
        <w:spacing w:before="120"/>
      </w:pPr>
      <w:r>
        <w:rPr>
          <w:rFonts w:ascii="Times New Roman" w:hAnsi="Times New Roman" w:eastAsia="宋体"/>
          <w:b/>
          <w:sz w:val="21"/>
        </w:rPr>
        <w:t>English Abstract:</w:t>
      </w:r>
    </w:p>
    <w:p>
      <w:r>
        <w:rPr>
          <w:rFonts w:ascii="Times New Roman" w:hAnsi="Times New Roman" w:eastAsia="宋体"/>
          <w:sz w:val="21"/>
        </w:rPr>
        <w:t>Bosonic excitations like phonons and magnons dominate the low-temperature transport of magnetic insulators. Similar to electronic Hall responses, the thermal Hall effect (THE) of charge neutral bosons has been proposed as a powerful tool for probing topological properties of their wavefunctions. For example, the intrinsic contribution of the THE of a perfectly clean system is directly governed by the distribution of Berry curvature, and many experiments on topological magnon and phonon insulators have been interpreted in this way. However, disorder is inevitably present in any material and its contribution to the THE has remained poorly understood. Here we develop a rigorous kinetic theory of the extrinsic side-jump contribution to the THE of bosons. We show that the extrinsic THE can be of the same order as the intrinsic one but sensitively depends on the type of local imperfection. We study different types of impurities and show that a THE can even arise as a pure impurity-induced effect in a system with a vanishing intrinsic contribution. As a side product, we also generalize existing results for the electronic AHE to general types of impurities beyond the standard assumption of local potential scattering. We discuss the importance of our results for the correct interpretation of THE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超导电路中驱动引起的不需要的状态转变的表征</w:t>
      </w:r>
    </w:p>
    <w:p>
      <w:r>
        <w:rPr>
          <w:rFonts w:ascii="Times New Roman" w:hAnsi="Times New Roman" w:eastAsia="宋体"/>
          <w:b/>
          <w:color w:val="003264"/>
          <w:sz w:val="24"/>
        </w:rPr>
        <w:t>Characterization of Drive-Induced Unwanted State Transitions in Superconducting Circuits</w:t>
      </w:r>
    </w:p>
    <w:p>
      <w:r>
        <w:rPr>
          <w:rFonts w:ascii="Times New Roman" w:hAnsi="Times New Roman" w:eastAsia="宋体"/>
          <w:sz w:val="21"/>
        </w:rPr>
        <w:t>作者: W. Dai, S. Hazra, D. K. Weiss, P. D. Kurilovich, T. Connolly, H. K. Babla, S. Singh, V. R. Joshi, A. Z. Ding, P. D. Parakh, J. Venkatraman, X. Xiao, L. Frunzio, M. H. Devoret</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https://doi.org/10.1103/zdpg-mhpc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波驱动器对于在超导量子电路中实现控制和读出操作至关重要。然而，增加驱动强度最终会导致不必要的状态转换，从而限制此类操作的速度和保真度。在这项工作中，我们系统地研究了固定频率量子位中的此类转变，该固定频率量子位受到跨越 9 GHz 频率范围的微波驱动。我们确定了这些转变的物理起源，并将它们分为三类：（1）与寄生两能级系统（TLS）的共振能量交换，由驱动引起的交流斯塔克位移激活，（2）多光子跃迁到非计算状态，这是电路哈密顿量固有的，以及（3）非弹性散射过程，其中驱动引起超导电路中的状态转变，同时将多余的能量转移到寄生电磁模式或TLS材料缺陷。我们证明，Floquet 稳态模拟辅以物理设备的电磁模拟，可以准确预测观察到的不涉及 TLS 的转变。我们的结果提供了这些转换的全面分类，并通过驱动频率的明智选择以及改进的电路设计提供缓解策略。</w:t>
      </w:r>
    </w:p>
    <w:p>
      <w:pPr>
        <w:spacing w:before="120"/>
      </w:pPr>
      <w:r>
        <w:rPr>
          <w:rFonts w:ascii="Times New Roman" w:hAnsi="Times New Roman" w:eastAsia="宋体"/>
          <w:b/>
          <w:sz w:val="21"/>
        </w:rPr>
        <w:t>English Abstract:</w:t>
      </w:r>
    </w:p>
    <w:p>
      <w:r>
        <w:rPr>
          <w:rFonts w:ascii="Times New Roman" w:hAnsi="Times New Roman" w:eastAsia="宋体"/>
          <w:sz w:val="21"/>
        </w:rPr>
        <w:t>Microwave drives are essential for implementing control and readout operations in superconducting quantum circuits. However, increasing the drive strength eventually leads to unwanted state transitions which limit the speed and fidelity of such operations. In this work, we systematically investigate such transitions in a fixed-frequency qubit subjected to microwave drives spanning a 9-GHz frequency range. We identify the physical origins of these transitions and classify them into three categories: (1) resonant energy exchange with parasitic two-level systems (TLSs), activated by drive-induced ac-Stark shifts, (2) multiphoton transitions to noncomputational states, intrinsic to the circuit Hamiltonian, and (3) inelastic scattering processes in which the drive causes a state transition in the superconducting circuit, while transferring excess energy to a spurious electromagnetic mode or TLS material defect. We show that the Floquet steady-state simulation, complemented by an electromagnetic simulation of the physical device, accurately predicts the observed transitions that do not involve TLS. Our results provide a comprehensive classification of these transitions and offer mitigation strategies through informed choices of drive frequency as well as improved circuit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自立式 GaN 微桥的深度弹性应变工程</w:t>
      </w:r>
    </w:p>
    <w:p>
      <w:r>
        <w:rPr>
          <w:rFonts w:ascii="Times New Roman" w:hAnsi="Times New Roman" w:eastAsia="宋体"/>
          <w:b/>
          <w:color w:val="003264"/>
          <w:sz w:val="24"/>
        </w:rPr>
        <w:t>Deep Elastic Strain Engineering of Free-Standing GaN Microbridge</w:t>
      </w:r>
    </w:p>
    <w:p>
      <w:r>
        <w:rPr>
          <w:rFonts w:ascii="Times New Roman" w:hAnsi="Times New Roman" w:eastAsia="宋体"/>
          <w:sz w:val="21"/>
        </w:rPr>
        <w:t>作者: Sufeng Fan, Heyi Wang, Chang-Ti Chou, Juzheng Chen, Ying Han, Jingzhuo Zhou, Xiaocui Li, Jyh-Pin Chou, Ju Li, Yang Lu</w:t>
        <w:br/>
      </w:r>
      <w:r>
        <w:rPr>
          <w:rFonts w:ascii="Times New Roman" w:hAnsi="Times New Roman" w:eastAsia="宋体"/>
          <w:sz w:val="21"/>
        </w:rPr>
        <w:t xml:space="preserve">时间: 2026-01-23 | </w:t>
      </w:r>
      <w:r>
        <w:t xml:space="preserve">链接: </w:t>
      </w:r>
      <w:hyperlink r:id="rId304">
        <w:r>
          <w:rPr>
            <w:rFonts w:ascii="Times New Roman" w:hAnsi="Times New Roman" w:eastAsia="宋体"/>
            <w:color w:val="0000FF"/>
            <w:sz w:val="21"/>
            <w:u w:val="single"/>
          </w:rPr>
          <w:t>https://doi.org/10.1103/x76f-2vj8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镓（GaN）作为直接带隙半导体在高效蓝光发光二极管和激光二极管的历史发展中发挥了核心作用，其中通过添加铟（In）来缩小其固有的宽带隙，从而通过改变化学成分来调节光的颜色。然而，这种合金化方法不允许带隙和发射颜色的动态和可逆调制。在这里，我们证明了可以在微制造的单晶GaN微桥中引入超大拉伸弹性应变，并为通过深度弹性应变工程连续调节其能带结构和光电性能提供了前所未有的机会。通过阴极发光 (CL) 以及扫描电子显微镜内的应变 GaN 器件对弹性应变引起的能带隙调制进行了表征和量化。深度应变 (&gt; 5%) GaN 微桥的 CL 发射显示带隙从 ~ 3.4 大幅降低至 2.96 eV（波长 ~ 365 至 420 nm），使其光发射从不可见或紫外光转移到蓝色可见光区域。实验结果与带隙随应变增加的变化的计算结果非常吻合。这种动态、可逆且可控的应变工程将促进电力电子和光电子领域的新型器件应用。</w:t>
      </w:r>
    </w:p>
    <w:p>
      <w:pPr>
        <w:spacing w:before="120"/>
      </w:pPr>
      <w:r>
        <w:rPr>
          <w:rFonts w:ascii="Times New Roman" w:hAnsi="Times New Roman" w:eastAsia="宋体"/>
          <w:b/>
          <w:sz w:val="21"/>
        </w:rPr>
        <w:t>English Abstract:</w:t>
      </w:r>
    </w:p>
    <w:p>
      <w:r>
        <w:rPr>
          <w:rFonts w:ascii="Times New Roman" w:hAnsi="Times New Roman" w:eastAsia="宋体"/>
          <w:sz w:val="21"/>
        </w:rPr>
        <w:t>Gallium nitride (GaN) as a direct band gap semiconductor played a central role in the historical development of efficient blue light-emitting diode and laser diode, in which its intrinsic wide band gap shrinks through the addition of indium (In), thus tuning the color of the light by changing the chemistry. This alloying approach, however, does not allow for dynamic and reversible modulation of the band gap and emission color. Here we show that ultralarge tensile elastic strain can be introduced in microfabricated single crystal GaN microbridges and offer an unprecedented opportunity to modulate its band structure and optoelectronic properties continuously through deep elastic strain engineering. The elastic strain-induced energy band gap modulation was characterized and quantified by cathodoluminescence (CL) as well as via strained GaN devices inside a scanning electron microscope. The CL emission of deeply strained ( &gt; 5 % ) GaN microbridges has shown substantial band gap reduction from ∼ 3.4 to 2.96 eV ( ∼ 365 to 420 nm in wavelength), making its optical emission shift from invisible or UV to the blue visible regime. Experimental results agree well with calculation of the change in band gap with increased strain. This dynamic, reversible, and well-controllable strain engineering would facilitate novel device applications in power electronics and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扭曲晶体平带中的可编程量子反常霍尔绝缘体</w:t>
      </w:r>
    </w:p>
    <w:p>
      <w:r>
        <w:rPr>
          <w:rFonts w:ascii="Times New Roman" w:hAnsi="Times New Roman" w:eastAsia="宋体"/>
          <w:b/>
          <w:color w:val="003264"/>
          <w:sz w:val="24"/>
        </w:rPr>
        <w:t>Programmable Quantum Anomalous Hall Insulator in Twisted Crystalline Flatbands</w:t>
      </w:r>
    </w:p>
    <w:p>
      <w:r>
        <w:rPr>
          <w:rFonts w:ascii="Times New Roman" w:hAnsi="Times New Roman" w:eastAsia="宋体"/>
          <w:sz w:val="21"/>
        </w:rPr>
        <w:t>作者: Wenxuan Wang, Yijie Wang, Zaizhe Zhang, Zihao Huo, Gengdong Zhou, Shu Zhang, Kenji Watanabe, Takashi Taniguchi, Xiaoxia Yang, Qing Dai, X. C. Xie, Kaihui Liu, Zhida Song, Xiaobo Lu</w:t>
        <w:br/>
      </w:r>
      <w:r>
        <w:rPr>
          <w:rFonts w:ascii="Times New Roman" w:hAnsi="Times New Roman" w:eastAsia="宋体"/>
          <w:sz w:val="21"/>
        </w:rPr>
        <w:t xml:space="preserve">时间: 2026-01-26 | </w:t>
      </w:r>
      <w:r>
        <w:t xml:space="preserve">链接: </w:t>
      </w:r>
      <w:hyperlink r:id="rId305">
        <w:r>
          <w:rPr>
            <w:rFonts w:ascii="Times New Roman" w:hAnsi="Times New Roman" w:eastAsia="宋体"/>
            <w:color w:val="0000FF"/>
            <w:sz w:val="21"/>
            <w:u w:val="single"/>
          </w:rPr>
          <w:t>https://doi.org/10.1103/7m1b-hxy8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凝聚态物质中的同位旋味道可以不断破缺，形成各种对称破缺的量子态。在莫尔晶体中，不同同位旋构型之间的竞争可以通过扭转角度和堆叠顺序来有效调节。在这里，我们报告扭曲双菱面体三层石墨烯作为一种新的扭曲晶体平带系统，表现出丰富的莫尔依赖拓扑现象。在具有小扭转角的器件中，已经观察到在整数莫尔填充 v = 1 时具有陈数 C = 3 的可编程陈绝缘体。我们进一步揭示了一种奇异的隐藏秩序，它可以淬灭陈绝缘体以及不同对称破缺相之间的多个一阶跃迁。有趣的是，在扭转角稍大的器件中，在分数莫尔填充（包括 v = 1 / 4 、 1 / 3 和 1 / 2 ）处观察到了多个 C = 1 的陈绝缘体，而 v = 1 处的陈绝缘体则不存在。我们的研究证明，菱面体多层石墨烯的扭曲平带可以作为研究可调谐高陈绝缘体以及用于量子存储和计算的新设备的新平台。</w:t>
      </w:r>
    </w:p>
    <w:p>
      <w:pPr>
        <w:spacing w:before="120"/>
      </w:pPr>
      <w:r>
        <w:rPr>
          <w:rFonts w:ascii="Times New Roman" w:hAnsi="Times New Roman" w:eastAsia="宋体"/>
          <w:b/>
          <w:sz w:val="21"/>
        </w:rPr>
        <w:t>English Abstract:</w:t>
      </w:r>
    </w:p>
    <w:p>
      <w:r>
        <w:rPr>
          <w:rFonts w:ascii="Times New Roman" w:hAnsi="Times New Roman" w:eastAsia="宋体"/>
          <w:sz w:val="21"/>
        </w:rPr>
        <w:t>The isospin flavors in condensed matters can be continuously broken, forming various symmetry-broken quantum states. In moiré crystals, the competition between different isospin configurations can be effectively tuned by the twist angles and stacking orders. Here we report twisted double rhombohedral-trilayer-graphene as a new twisted crystalline flatband system showing rich moiré dependent topological phenomena. In devices with small twist angles, programmable Chern insulators with Chern number C = 3 at integer moiré filling v = 1 have been observed. We have further revealed an exotic hidden order which can quench the Chern insulator as well as multiple first-order transitions between different symmetry-broken phases. Interestly, in the device with a slightly larger twist angle, multiple Chern insulators with C = 1 at fractional moiré fillings including v = 1 / 4 , 1 / 3 , and 1 / 2 have been observed, whereas the Chern insulator at v = 1 is absent. Our study demonstrated the twisted flatbands form rhombohedral-multilayer-graphene as a new platform to study tunable high Chern insulators as well as new devices for quantum storage and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频率编码光子陈绝缘体中的量化霍尔漂移</w:t>
      </w:r>
    </w:p>
    <w:p>
      <w:r>
        <w:rPr>
          <w:rFonts w:ascii="Times New Roman" w:hAnsi="Times New Roman" w:eastAsia="宋体"/>
          <w:b/>
          <w:color w:val="003264"/>
          <w:sz w:val="24"/>
        </w:rPr>
        <w:t>Quantized Hall drift in a frequency-encoded photonic Chern insulator</w:t>
      </w:r>
    </w:p>
    <w:p>
      <w:r>
        <w:rPr>
          <w:rFonts w:ascii="Times New Roman" w:hAnsi="Times New Roman" w:eastAsia="宋体"/>
          <w:sz w:val="21"/>
        </w:rPr>
        <w:t>作者: Anonymous</w:t>
        <w:br/>
      </w:r>
      <w:r>
        <w:rPr>
          <w:rFonts w:ascii="Times New Roman" w:hAnsi="Times New Roman" w:eastAsia="宋体"/>
          <w:sz w:val="21"/>
        </w:rPr>
        <w:t xml:space="preserve">时间: 2026-01-07 | </w:t>
      </w:r>
      <w:r>
        <w:t xml:space="preserve">链接: </w:t>
      </w:r>
      <w:hyperlink r:id="rId306">
        <w:r>
          <w:rPr>
            <w:rFonts w:ascii="Times New Roman" w:hAnsi="Times New Roman" w:eastAsia="宋体"/>
            <w:color w:val="0000FF"/>
            <w:sz w:val="21"/>
            <w:u w:val="single"/>
          </w:rPr>
          <w:t>https://doi.org/10.1103/2dyh-yhrb</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探索调制一维准晶中二维材料的光致相</w:t>
      </w:r>
    </w:p>
    <w:p>
      <w:r>
        <w:rPr>
          <w:rFonts w:ascii="Times New Roman" w:hAnsi="Times New Roman" w:eastAsia="宋体"/>
          <w:b/>
          <w:color w:val="003264"/>
          <w:sz w:val="24"/>
        </w:rPr>
        <w:t>Exploring light-induced phases of 2D materials in a modulated 1D quasicrystal</w:t>
      </w:r>
    </w:p>
    <w:p>
      <w:r>
        <w:rPr>
          <w:rFonts w:ascii="Times New Roman" w:hAnsi="Times New Roman" w:eastAsia="宋体"/>
          <w:sz w:val="21"/>
        </w:rPr>
        <w:t>作者: Anonymous</w:t>
        <w:br/>
      </w:r>
      <w:r>
        <w:rPr>
          <w:rFonts w:ascii="Times New Roman" w:hAnsi="Times New Roman" w:eastAsia="宋体"/>
          <w:sz w:val="21"/>
        </w:rPr>
        <w:t xml:space="preserve">时间: 2026-01-09 | </w:t>
      </w:r>
      <w:r>
        <w:t xml:space="preserve">链接: </w:t>
      </w:r>
      <w:hyperlink r:id="rId307">
        <w:r>
          <w:rPr>
            <w:rFonts w:ascii="Times New Roman" w:hAnsi="Times New Roman" w:eastAsia="宋体"/>
            <w:color w:val="0000FF"/>
            <w:sz w:val="21"/>
            <w:u w:val="single"/>
          </w:rPr>
          <w:t>https://doi.org/10.1103/37vk-qz71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诱导量子相提供了简单而强大的材料特性调整的潜力。例如，预计用偏振光简单地照射整数量子霍尔体系中的二维材料即可驱动量子相变。由于激光强度和材料纯度的技术限制，这种现象很大程度上超出了当前固态实验的前沿。然而，将二维整数量子霍尔系统与一维准晶体联系起来的哈珀-霍夫施塔特映射使得能够使用驱动准周期光学晶格中的量子气体来观察相同的偏振相关光致相变。我们报告了此类实验的结果。我们观察到局域-离域相变的交错相图作为驱动偏振和振幅的函数。椭圆偏振驱动可以稳定具有多重分形波函数的扩展临界相；我们在异常偏振相关的次扩散传输中观察到这种现象的特征。在这种情况下，增加准周期势的强度可以增强而不是抑制传输。这些实验展示了一种合成奇异多重分形态并探索不同维度的光诱导量子相的简单方法。</w:t>
      </w:r>
    </w:p>
    <w:p>
      <w:pPr>
        <w:spacing w:before="120"/>
      </w:pPr>
      <w:r>
        <w:rPr>
          <w:rFonts w:ascii="Times New Roman" w:hAnsi="Times New Roman" w:eastAsia="宋体"/>
          <w:b/>
          <w:sz w:val="21"/>
        </w:rPr>
        <w:t>English Abstract:</w:t>
      </w:r>
    </w:p>
    <w:p>
      <w:r>
        <w:rPr>
          <w:rFonts w:ascii="Times New Roman" w:hAnsi="Times New Roman" w:eastAsia="宋体"/>
          <w:sz w:val="21"/>
        </w:rPr>
        <w:t>Light-induced quantum phases offer the potential for simple and powerful tuning of material properties. For example, simply illuminating 2D materials in the integer quantum Hall regime with polarized light is predicted to drive quantum phase transitions. Such phenomena are largely beyond the current frontier of solid state experiments due to technical limitations on laser intensity and material purity. However, the Harper-Hofstadter mapping which relates a two-dimensional integer quantum Hall system to a 1D quasicrystal enables the same polarization-dependent light-induced phase transitions to be observed using a quantum gas in a driven quasiperiodic optical lattice. We report results of such an experiment. We observe an interlaced phase diagram of localization-delocalization phase transitions as a function of drive polarization and amplitude. Elliptically polarized driving can stabilize an extended critical phase featuring multifractal wavefunctions; we observe signatures of this phenomenon in anomalous polarization-dependent subdiffusive transport. In this regime, increasing the strength of the quasiperiodic potential can enhance rather than suppress transport. These experiments demonstrate a simple method for synthesizing exotic multifractal states and exploring light-induced quantum phases across different dimensionalities.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晶格孤子分数拓扑泵浦的量子理论</w:t>
      </w:r>
    </w:p>
    <w:p>
      <w:r>
        <w:rPr>
          <w:rFonts w:ascii="Times New Roman" w:hAnsi="Times New Roman" w:eastAsia="宋体"/>
          <w:b/>
          <w:color w:val="003264"/>
          <w:sz w:val="24"/>
        </w:rPr>
        <w:t>Quantum theory of fractional topological pumping of lattice solitons</w:t>
      </w:r>
    </w:p>
    <w:p>
      <w:r>
        <w:rPr>
          <w:rFonts w:ascii="Times New Roman" w:hAnsi="Times New Roman" w:eastAsia="宋体"/>
          <w:sz w:val="21"/>
        </w:rPr>
        <w:t>作者: Anonymous</w:t>
        <w:br/>
      </w:r>
      <w:r>
        <w:rPr>
          <w:rFonts w:ascii="Times New Roman" w:hAnsi="Times New Roman" w:eastAsia="宋体"/>
          <w:sz w:val="21"/>
        </w:rPr>
        <w:t xml:space="preserve">时间: 2026-01-26 | </w:t>
      </w:r>
      <w:r>
        <w:t xml:space="preserve">链接: </w:t>
      </w:r>
      <w:hyperlink r:id="rId308">
        <w:r>
          <w:rPr>
            <w:rFonts w:ascii="Times New Roman" w:hAnsi="Times New Roman" w:eastAsia="宋体"/>
            <w:color w:val="0000FF"/>
            <w:sz w:val="21"/>
            <w:u w:val="single"/>
          </w:rPr>
          <w:t>https://doi.org/10.1103/hhgy-9rd4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拓扑系统的标志之一是粒子传输的鲁棒量化。它是整数值量子霍尔电导率的起源，也是量子信息技术的潜在工具。最近使用光子波导阵列构建并由（晶格平移不变量）Aubry-Andr'e-Harper (AAH) 模型描述的拓扑泵实验已经证明了晶格孤子的整数和分数传输。在这些系统中，背景介质通过克尔非线性介导光子之间的相互作用，并导致自束缚多光子态的形成。在增加相互作用强度时，观察到从泵循环中具有整数传输的相通过分数传输的不同相到没有传输的相的一系列转变。我们在这里根据质心 (COM) 运动的有效哈密顿量提出自束缚多粒子态拓扑泵的量子描述，这允许引入有效的能带结构 $E_\mu(K)$，其中 $K$ 是 COM 动量，并根据广义对称性对拓扑相进行分类。我们提供了强相互作用极限下少数粒子的有效哈密顿量的显式解析表达式，并给出了更一般情况下的数值结果。我们确定了一个拓扑不变量，即有效的单粒子陈数，它完全控制着孤子输运。增加 AAH 模型中的相互作用强度会导致 COM 带的连续合并，这是观察到的拓扑相变序列的起源，也是某些相互作用强度的拓扑量子化的潜在崩溃。</w:t>
      </w:r>
    </w:p>
    <w:p>
      <w:pPr>
        <w:spacing w:before="120"/>
      </w:pPr>
      <w:r>
        <w:rPr>
          <w:rFonts w:ascii="Times New Roman" w:hAnsi="Times New Roman" w:eastAsia="宋体"/>
          <w:b/>
          <w:sz w:val="21"/>
        </w:rPr>
        <w:t>English Abstract:</w:t>
      </w:r>
    </w:p>
    <w:p>
      <w:r>
        <w:rPr>
          <w:rFonts w:ascii="Times New Roman" w:hAnsi="Times New Roman" w:eastAsia="宋体"/>
          <w:sz w:val="21"/>
        </w:rPr>
        <w:t>One of the hallmarks of topological systems is the robust quantization of particle transport. It is the origin of the integer-valued quantum Hall conductivity and a potential tool for quantum information technology. Recent experiments on topological pumps constructed by using arrays of photonic waveguides and described by the (lattice-translational invariant) Aubry-Andr\'e-Harper (AAH) model, have demonstrated both integer and fractional transport of lattice solitons. In these systems, a background medium mediates interactions between photons via a Kerr nonlinearity and leads to the formation of self-bound multi-photon states. Upon increasing the interaction strength a sequence of transitions was observed from a phase with integer transport in a pump cycle through different phases of fractional transport to a phase with no transport. We here present a quantum description of topological pumps of self-bound many-particle states in terms of an effective Hamiltonian of their center-of-mass (COM) motion, which allows to introduce an effective band structure $E_\mu(K)$ with $K$ being the COM momentum, and to classify topological phases in terms of generalized symmetries. We provide an explicit analytic expression of the effective Hamiltonian for few particles in the strong interaction limit and present numerical results in the more general case. We identify a topological invariant, an effective single-particle Chern number, which fully governs the soliton transport. Increasing the interaction strength in the AAH model leads to a successive merging of COM bands, which is the origin of the observed sequence of topological phase transitions and also the potential breakdown of topological quantization for some interaction strength.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使用磁振子模拟 2D 材料</w:t>
      </w:r>
    </w:p>
    <w:p>
      <w:r>
        <w:rPr>
          <w:rFonts w:ascii="Times New Roman" w:hAnsi="Times New Roman" w:eastAsia="宋体"/>
          <w:b/>
          <w:color w:val="003264"/>
          <w:sz w:val="24"/>
        </w:rPr>
        <w:t>Emulating 2D materials with magnons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309">
        <w:r>
          <w:rPr>
            <w:rFonts w:ascii="Times New Roman" w:hAnsi="Times New Roman" w:eastAsia="宋体"/>
            <w:color w:val="0000FF"/>
            <w:sz w:val="21"/>
            <w:u w:val="single"/>
          </w:rPr>
          <w:t>https://doi.org/10.1103/t7tm-nxyl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中的自旋波（磁振子）由于其独特的状态和可调谐潜力而受到越来越多的关注。然而，这些系统的许多有趣的特征，包括狄拉克点和拓扑状态，都在高频下出现，而实验探针是有限的。在这里，我们研究了通过在垂直磁化薄膜中形成六边形孔阵列图案而形成的晶体。通过模拟，我们发现波能带结构模仿了石墨烯的能带结构，但还具有一些类似 kagome 的特征，并包含一些平带。令人惊讶的是，它的性质可以使用 9 频带紧束缚哈密顿量来理解。这种与 2D 材料的清晰类比使得 2D 中的带隙工程、沿 1D 相边界的拓扑磁振子以及 0D 点缺陷处的光谱隔离模式成为可能。有趣的是，一维相边界允许通过量子谷霍尔绝缘体的波角模拟来获得谷自由度。这些方法可以扩展到其他磁波系统，但由于模型的简单性，它可​​能更通用，类似于电子、声子、光子和冷原子系统的现有结果。这一发现将二维材料中的自旋波物理学带到了更容易通过实验获得的尺度，对其进行了增强，并概述了控制波角态的一些原则。</w:t>
      </w:r>
    </w:p>
    <w:p>
      <w:pPr>
        <w:spacing w:before="120"/>
      </w:pPr>
      <w:r>
        <w:rPr>
          <w:rFonts w:ascii="Times New Roman" w:hAnsi="Times New Roman" w:eastAsia="宋体"/>
          <w:b/>
          <w:sz w:val="21"/>
        </w:rPr>
        <w:t>English Abstract:</w:t>
      </w:r>
    </w:p>
    <w:p>
      <w:r>
        <w:rPr>
          <w:rFonts w:ascii="Times New Roman" w:hAnsi="Times New Roman" w:eastAsia="宋体"/>
          <w:sz w:val="21"/>
        </w:rPr>
        <w:t>Spin waves (magnons) in 2D materials have received increasing interest due to their unique states and potential for tunability. However, many interesting features of these systems, including Dirac points and topological states, occur at high frequencies, where experimental probes are limited. Here, we study a crystal formed by patterning a hexagonal array of holes in a perpendicularly magnetized thin film. Through simulation, we find that the magnonic band structure imitates that of graphene, but additionally has some kagome-like character and includes a few flat bands. Surprisingly, its nature can be understood using a 9-band tight-binding Hamiltonian. This clear analogy to 2D materials enables band-gap engineering in 2D, topological magnons along 1D phase boundaries, and spectrally isolated modes at 0D point defects. Interestingly, the 1D phase boundaries allow access to the valley degree of freedom through a magnonic analog of the quantum valley-Hall insulator. These approaches can be extended to other magnonic systems, but are potentially more general due to the simplicity of the model, which resembles existing results from electron, phonon, photon, and cold atom systems. This finding brings the physics of spin waves in 2D materials to more experimentally accessible scales, augments it, and outlines a few principles for controlling magnonic states.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13:05 ---</w:t>
      </w:r>
    </w:p>
    <w:p>
      <w:pPr>
        <w:pStyle w:val="Heading2"/>
      </w:pPr>
      <w:r/>
      <w:r>
        <w:rPr>
          <w:rFonts w:ascii="Times New Roman" w:hAnsi="Times New Roman" w:eastAsia="宋体"/>
          <w:b/>
          <w:color w:val="000000"/>
          <w:sz w:val="24"/>
        </w:rPr>
        <w:t>Ostα/β 的结构揭示了独特的折叠和胆汁酸转运机制</w:t>
      </w:r>
    </w:p>
    <w:p>
      <w:r>
        <w:rPr>
          <w:rFonts w:ascii="Times New Roman" w:hAnsi="Times New Roman" w:eastAsia="宋体"/>
          <w:b/>
          <w:color w:val="003264"/>
          <w:sz w:val="24"/>
        </w:rPr>
        <w:t>Structures of Ostα/β reveal a unique fold and bile acid transport mechanism</w:t>
      </w:r>
    </w:p>
    <w:p>
      <w:r>
        <w:rPr>
          <w:rFonts w:ascii="Times New Roman" w:hAnsi="Times New Roman" w:eastAsia="宋体"/>
          <w:sz w:val="21"/>
        </w:rPr>
        <w:t>作者: Xuemei Yang, Nana Cui, Tianyu Li, Xinheng He, Heng Zhang, Canrong Wu, Yang Li, Xiong Ma, H. Eric Xu</w:t>
        <w:br/>
      </w:r>
      <w:r>
        <w:rPr>
          <w:rFonts w:ascii="Times New Roman" w:hAnsi="Times New Roman" w:eastAsia="宋体"/>
          <w:sz w:val="21"/>
        </w:rPr>
        <w:t xml:space="preserve">时间: 2026-01-28 | </w:t>
      </w:r>
      <w:r>
        <w:t xml:space="preserve">链接: </w:t>
      </w:r>
      <w:hyperlink r:id="rId310">
        <w:r>
          <w:rPr>
            <w:rFonts w:ascii="Times New Roman" w:hAnsi="Times New Roman" w:eastAsia="宋体"/>
            <w:color w:val="0000FF"/>
            <w:sz w:val="21"/>
            <w:u w:val="single"/>
          </w:rPr>
          <w:t>https://doi.org/10.1038/s41586-025-10029-7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 Ostα/β 的低温电子显微镜结构揭示了一种独特的转运途径，该途径具有通过两亲性螺旋门控导管连接的两个底物结合位点，电生理学研究证明了电压敏感的双向转运，显示了其在体内的流出作用。</w:t>
      </w:r>
    </w:p>
    <w:p>
      <w:pPr>
        <w:spacing w:before="120"/>
      </w:pPr>
      <w:r>
        <w:rPr>
          <w:rFonts w:ascii="Times New Roman" w:hAnsi="Times New Roman" w:eastAsia="宋体"/>
          <w:b/>
          <w:sz w:val="21"/>
        </w:rPr>
        <w:t>English Abstract:</w:t>
      </w:r>
    </w:p>
    <w:p>
      <w:r>
        <w:rPr>
          <w:rFonts w:ascii="Times New Roman" w:hAnsi="Times New Roman" w:eastAsia="宋体"/>
          <w:sz w:val="21"/>
        </w:rPr>
        <w:t>Cryogenic electron microscopy structures of human Ostα/β uncover a unique transport pathway featuring two substrate-binding sites connected by an amphipathic helix-gated conduit, and electrophysiological studies demonstrate voltage-sensitive, bidirectional transport, showing its efflux role in vivo.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 ≈ 5.7 处发射 X 射线的原星团揭示了快速的结构生长</w:t>
      </w:r>
    </w:p>
    <w:p>
      <w:r>
        <w:rPr>
          <w:rFonts w:ascii="Times New Roman" w:hAnsi="Times New Roman" w:eastAsia="宋体"/>
          <w:b/>
          <w:color w:val="003264"/>
          <w:sz w:val="24"/>
        </w:rPr>
        <w:t>An X-ray-emitting protocluster at z ≈ 5.7 reveals rapid structure growth</w:t>
      </w:r>
    </w:p>
    <w:p>
      <w:r>
        <w:rPr>
          <w:rFonts w:ascii="Times New Roman" w:hAnsi="Times New Roman" w:eastAsia="宋体"/>
          <w:sz w:val="21"/>
        </w:rPr>
        <w:t>作者: Ákos Bogdán, Gerrit Schellenberger, Qiong Li, Christopher J. Conselice</w:t>
        <w:br/>
      </w:r>
      <w:r>
        <w:rPr>
          <w:rFonts w:ascii="Times New Roman" w:hAnsi="Times New Roman" w:eastAsia="宋体"/>
          <w:sz w:val="21"/>
        </w:rPr>
        <w:t xml:space="preserve">时间: 2026-01-28 | </w:t>
      </w:r>
      <w:r>
        <w:t xml:space="preserve">链接: </w:t>
      </w:r>
      <w:hyperlink r:id="rId311">
        <w:r>
          <w:rPr>
            <w:rFonts w:ascii="Times New Roman" w:hAnsi="Times New Roman" w:eastAsia="宋体"/>
            <w:color w:val="0000FF"/>
            <w:sz w:val="21"/>
            <w:u w:val="single"/>
          </w:rPr>
          <w:t>https://doi.org/10.1038/s41586-025-09973-1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星系团是宇宙中质量最大的引力束缚结构，可作为大规模结构组装的示踪剂1。研究它们的祖先，原星团，揭示了星团形成的最早阶段。然而，检测原星系团的要求很高：它们的成员星系是松散束缚的，并且新兴的热星系团内介质（ICM）可能仅处于病毒化的初始阶段2、3-4。最近的詹姆斯·韦伯太空望远镜 (JWST) 观测通过识别 z ≳ 5 星系 5、6、7、8-9 的过密度，找到了几个候选原星系团。然而，这些候选者都没有被 X 射线观测发现，而 X 射线观测提供了揭示热 ICM 的有力方法。在这里，我们报告了钱德拉和 JWST 对原星团 JADES-ID1 的联合检测，其 z ≈ 5.68，距离大爆炸仅 10 亿年。我们测量辐射热X射线光度 Lbol=(1.5−0.6+0.5)×1044ergs−1\documentclass[12pt]{minimal} \usepackage{amsmath} \usepackage{wasysym} \usepackage{amsfonts} \usepackage{amssymb} \usepackage{amsbsy} \usepackage{mathrsfs} \usepackage{upgreek} \setlength{\oddsidemargin}{-69pt} \begin{document}$${L}_{{\rm{bol}}}=(1.{5}_{-0.6}^{+0.5})\times 1{0}^{44}\,{\rm{erg}}\,{{\rm{s}}}^{-1}$$\end{document} 并推断总引力质量为M500=(1.8−0.7+0.6)×1013M⊙\documentclass[12pt]{minimal} \usepackage{amsmath} \usepackage{wasysym} \usepackage{amsfonts} \usepackage{amssymb} \usepackage{amsbsy} \usepackage{mathrsfs} \usepackage{upgreek} \setlength{\oddsidemargin}{-69pt} \begin{document}$${M}_{500}=(1.{8}_{-0.7}^{+0.6})\times 1{0}^{13}\,{M}_{\odot }$$\end{document}，使该系统成为当今最大质量星系团的祖先。对扩展的冲击加热气体的检测表明，早在 z ≈ 5.7 时，大量的 ICM 加热就可能在大质量晕中发生。此外，鉴于调查量有限，从统计上来说，发现如此巨大的星团是不可能的10，这意味着在早期宇宙的某些区域，大规模结构的形成一定比标准宇宙学模型预测的要快。在大爆炸后仅仅十亿年，在 z = 5.68 处发现了一个原星团，这表明早期宇宙的某些区域中大规模结构的形成速度一定比之前认为的要快。</w:t>
      </w:r>
    </w:p>
    <w:p>
      <w:pPr>
        <w:spacing w:before="120"/>
      </w:pPr>
      <w:r>
        <w:rPr>
          <w:rFonts w:ascii="Times New Roman" w:hAnsi="Times New Roman" w:eastAsia="宋体"/>
          <w:b/>
          <w:sz w:val="21"/>
        </w:rPr>
        <w:t>English Abstract:</w:t>
      </w:r>
    </w:p>
    <w:p>
      <w:r>
        <w:rPr>
          <w:rFonts w:ascii="Times New Roman" w:hAnsi="Times New Roman" w:eastAsia="宋体"/>
          <w:sz w:val="21"/>
        </w:rPr>
        <w:t>Galaxy clusters are the most massive gravitationally bound structures in the universe and serve as tracers of the assembly of large-scale structure1. Studying their progenitors, protoclusters, sheds light on the earliest stages of cluster formation. However, detecting protoclusters is demanding: their member galaxies are loosely bound and the emerging hot intracluster medium (ICM) may only be in the initial stages of virialization2, 3–4. Recent James Webb Space Telescope (JWST) observations located several protocluster candidates by identifying overdensities of z ≳ 5 galaxies5, 6, 7, 8–9. However, none of these candidates was detected by X-ray observations, which offer a powerful way to unveil the hot ICM. Here we report the combined Chandra and JWST detection of a protocluster, JADES-ID1, at z ≈ 5.68, merely one billion years after the Big Bang. We measure a bolometric X-ray luminosity of Lbol=(1.5−0.6+0.5)×1044ergs−1\documentclass[12pt]{minimal} \usepackage{amsmath} \usepackage{wasysym} \usepackage{amsfonts} \usepackage{amssymb} \usepackage{amsbsy} \usepackage{mathrsfs} \usepackage{upgreek} \setlength{\oddsidemargin}{-69pt} \begin{document}$${L}_{{\rm{bol}}}=(1.{5}_{-0.6}^{+0.5})\times 1{0}^{44}\,{\rm{erg}}\,{{\rm{s}}}^{-1}$$\end{document} and infer a total gravitating mass of M500=(1.8−0.7+0.6)×1013M⊙\documentclass[12pt]{minimal} \usepackage{amsmath} \usepackage{wasysym} \usepackage{amsfonts} \usepackage{amssymb} \usepackage{amsbsy} \usepackage{mathrsfs} \usepackage{upgreek} \setlength{\oddsidemargin}{-69pt} \begin{document}$${M}_{500}=(1.{8}_{-0.7}^{+0.6})\times 1{0}^{13}\,{M}_{\odot }$$\end{document}, making this system a progenitor of today’s most massive galaxy clusters. The detection of extended, shock-heated gas indicates that substantial ICM heating can occur in massive halos as early as z ≈ 5.7. Also, given the limited survey volume, the discovery of such a massive cluster is statistically unlikely10, implying that the formation of the large-scale structure must have occurred more rapidly in some regions of the early universe than standard cosmological models predict. Discovery of a protocluster at z = 5.68, merely one billion years after the Big Bang, suggests that large-scale structure must have formed more rapidly in some regions of the early universe than previously thought.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莫尔条纹 WSe2 中的带宽调谐莫特跃迁和超导性</w:t>
      </w:r>
    </w:p>
    <w:p>
      <w:r>
        <w:rPr>
          <w:rFonts w:ascii="Times New Roman" w:hAnsi="Times New Roman" w:eastAsia="宋体"/>
          <w:b/>
          <w:color w:val="003264"/>
          <w:sz w:val="24"/>
        </w:rPr>
        <w:t>Bandwidth-tuned Mott transition and superconductivity in moiré WSe2</w:t>
      </w:r>
    </w:p>
    <w:p>
      <w:r>
        <w:rPr>
          <w:rFonts w:ascii="Times New Roman" w:hAnsi="Times New Roman" w:eastAsia="宋体"/>
          <w:sz w:val="21"/>
        </w:rPr>
        <w:t>作者: Yiyu Xia, Zhongdong Han, Jiacheng Zhu, Yichi Zhang, Patrick Knüppel, Kenji Watanabe, Takashi Taniguchi, Kin Fai Mak, Jie Shan</w:t>
        <w:br/>
      </w:r>
      <w:r>
        <w:rPr>
          <w:rFonts w:ascii="Times New Roman" w:hAnsi="Times New Roman" w:eastAsia="宋体"/>
          <w:sz w:val="21"/>
        </w:rPr>
        <w:t xml:space="preserve">时间: 2026-01-28 | </w:t>
      </w:r>
      <w:r>
        <w:t xml:space="preserve">链接: </w:t>
      </w:r>
      <w:hyperlink r:id="rId312">
        <w:r>
          <w:rPr>
            <w:rFonts w:ascii="Times New Roman" w:hAnsi="Times New Roman" w:eastAsia="宋体"/>
            <w:color w:val="0000FF"/>
            <w:sz w:val="21"/>
            <w:u w:val="single"/>
          </w:rPr>
          <w:t>https://doi.org/10.1038/s41586-025-10049-3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强相关材料中高转变温度（T c ）超导的出现仍然是物理学中未解决的主要问题。铜酸盐等高温材料通常很复杂且不易调节，这使得理论建模变得困难。尽管哈伯德模型（晶格上电子相互作用的简单理论模型）被认为捕获了高温 c 材料的基本物理特性 1-5，但获得该模型的精确解（特别是在中等相关性的相关范围内）具有挑战性 6 。最近演示了莫尔 WSe 2 中的鲁棒超导性（参考文献 7,8），其中低能电子带可以通过哈伯德模型描述并且高度可调 9-11 ，为研究高温 c 问题提供了一个新平台。在这里，我们通过扭转角将莫尔条纹 WSe 2 双层调整到中等相关状态，并通过静电门控、电传输和磁光测量来绘制每个莫尔晶胞一个孔 (ν = 1) 周围的相图。我们观察到一系列高温现象，包括 ν = 1 时的反铁磁绝缘体、电子和空穴掺杂的超导圆顶，以及不寻常的金属态，例如奇怪的金属 12-14 。扭转角度依赖性研究进一步表明，最高 T c 总是出现在莫特跃迁附近 3,15 。我们的结果表明强相关性是莫尔纹WSe 2 超导性的关键，并建立了一种以可控方式研究高温超导性的新材料系统。</w:t>
      </w:r>
    </w:p>
    <w:p>
      <w:pPr>
        <w:spacing w:before="120"/>
      </w:pPr>
      <w:r>
        <w:rPr>
          <w:rFonts w:ascii="Times New Roman" w:hAnsi="Times New Roman" w:eastAsia="宋体"/>
          <w:b/>
          <w:sz w:val="21"/>
        </w:rPr>
        <w:t>English Abstract:</w:t>
      </w:r>
    </w:p>
    <w:p>
      <w:r>
        <w:rPr>
          <w:rFonts w:ascii="Times New Roman" w:hAnsi="Times New Roman" w:eastAsia="宋体"/>
          <w:sz w:val="21"/>
        </w:rPr>
        <w:t>Abstract The emergence of high-transition-temperature ( T c ) superconductivity in strongly correlated materials remains the main unsolved problem in physics. High- T c materials, such as cuprates, are generally complex and not easily tunable, making theoretical modelling difficult. Although the Hubbard model—a simple theoretical model of interacting electrons on a lattice—is believed to capture the essential physics of high- T c materials 1–5 , obtaining accurate solutions of the model, especially in the relevant regime of moderate correlation, is challenging 6 . The recent demonstration of robust superconductivity in moiré WSe 2 (refs. 7,8 ), in which low-energy electronic bands can be described by the Hubbard model and are highly tunable 9–11 , presents a new platform for studying the high- T c problem. Here we tune moiré WSe 2 bilayers to the moderate correlation regime through the twist angle and map the phase diagram around one hole per moiré unit cell ( ν = 1) by electrostatic gating and electrical transport and magneto-optical measurements. We observe a range of high- T c phenomenology, including an antiferromagnetic insulator at ν = 1, superconducting domes on electron and hole doping, and unusual metallic states such as strange metals 12–14 . Twist-angle dependence studies further show that the highest T c always occurs adjacent to the Mott transition 3,15 . Our results indicate strong correlation as the key to superconductivity in moiré WSe 2 and establish a new material system for studying high- T c superconductivity in a controllable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光动力细菌成为活的化学工厂</w:t>
      </w:r>
    </w:p>
    <w:p>
      <w:r>
        <w:rPr>
          <w:rFonts w:ascii="Times New Roman" w:hAnsi="Times New Roman" w:eastAsia="宋体"/>
          <w:b/>
          <w:color w:val="003264"/>
          <w:sz w:val="24"/>
        </w:rPr>
        <w:t>Light-powered bacteria become living chemical factories</w:t>
      </w:r>
    </w:p>
    <w:p>
      <w:r>
        <w:rPr>
          <w:rFonts w:ascii="Times New Roman" w:hAnsi="Times New Roman" w:eastAsia="宋体"/>
          <w:sz w:val="21"/>
        </w:rPr>
        <w:t>作者: Unknown</w:t>
        <w:br/>
      </w:r>
      <w:r>
        <w:rPr>
          <w:rFonts w:ascii="Times New Roman" w:hAnsi="Times New Roman" w:eastAsia="宋体"/>
          <w:sz w:val="21"/>
        </w:rPr>
        <w:t xml:space="preserve">时间: 2026-01-30 | </w:t>
      </w:r>
      <w:r>
        <w:t xml:space="preserve">链接: </w:t>
      </w:r>
      <w:hyperlink r:id="rId313">
        <w:r>
          <w:rPr>
            <w:rFonts w:ascii="Times New Roman" w:hAnsi="Times New Roman" w:eastAsia="宋体"/>
            <w:color w:val="0000FF"/>
            <w:sz w:val="21"/>
            <w:u w:val="single"/>
          </w:rPr>
          <w:t>https://doi.org/10.1038/d41586-026-00275-8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工程大肠杆菌可以为新药和其他化学品的更可持续途径打开大门。</w:t>
      </w:r>
    </w:p>
    <w:p>
      <w:pPr>
        <w:spacing w:before="120"/>
      </w:pPr>
      <w:r>
        <w:rPr>
          <w:rFonts w:ascii="Times New Roman" w:hAnsi="Times New Roman" w:eastAsia="宋体"/>
          <w:b/>
          <w:sz w:val="21"/>
        </w:rPr>
        <w:t>English Abstract:</w:t>
      </w:r>
    </w:p>
    <w:p>
      <w:r>
        <w:rPr>
          <w:rFonts w:ascii="Times New Roman" w:hAnsi="Times New Roman" w:eastAsia="宋体"/>
          <w:sz w:val="21"/>
        </w:rPr>
        <w:t>Engineered Escherichia coli could open the door to more sustainable routes to new drugs and other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中国正在押注“光学”计算机芯片——它们会为人工智能提供动力吗？</w:t>
      </w:r>
    </w:p>
    <w:p>
      <w:r>
        <w:rPr>
          <w:rFonts w:ascii="Times New Roman" w:hAnsi="Times New Roman" w:eastAsia="宋体"/>
          <w:b/>
          <w:color w:val="003264"/>
          <w:sz w:val="24"/>
        </w:rPr>
        <w:t>China is betting on ‘optical’ computer chips — will they power AI?</w:t>
      </w:r>
    </w:p>
    <w:p>
      <w:r>
        <w:rPr>
          <w:rFonts w:ascii="Times New Roman" w:hAnsi="Times New Roman" w:eastAsia="宋体"/>
          <w:sz w:val="21"/>
        </w:rPr>
        <w:t>作者: Mohana Basu</w:t>
        <w:br/>
      </w:r>
      <w:r>
        <w:rPr>
          <w:rFonts w:ascii="Times New Roman" w:hAnsi="Times New Roman" w:eastAsia="宋体"/>
          <w:sz w:val="21"/>
        </w:rPr>
        <w:t xml:space="preserve">时间: 2026-01-30 | </w:t>
      </w:r>
      <w:r>
        <w:t xml:space="preserve">链接: </w:t>
      </w:r>
      <w:hyperlink r:id="rId314">
        <w:r>
          <w:rPr>
            <w:rFonts w:ascii="Times New Roman" w:hAnsi="Times New Roman" w:eastAsia="宋体"/>
            <w:color w:val="0000FF"/>
            <w:sz w:val="21"/>
            <w:u w:val="single"/>
          </w:rPr>
          <w:t>https://doi.org/10.1038/d41586-026-00274-9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处理光而不是电的半导体芯片可以提高处理速度并减少能源消耗。</w:t>
      </w:r>
    </w:p>
    <w:p>
      <w:pPr>
        <w:spacing w:before="120"/>
      </w:pPr>
      <w:r>
        <w:rPr>
          <w:rFonts w:ascii="Times New Roman" w:hAnsi="Times New Roman" w:eastAsia="宋体"/>
          <w:b/>
          <w:sz w:val="21"/>
        </w:rPr>
        <w:t>English Abstract:</w:t>
      </w:r>
    </w:p>
    <w:p>
      <w:r>
        <w:rPr>
          <w:rFonts w:ascii="Times New Roman" w:hAnsi="Times New Roman" w:eastAsia="宋体"/>
          <w:sz w:val="21"/>
        </w:rPr>
        <w:t>Semiconductor chips that process light rather than electricity could boost processing speeds and reduce energy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最大的星系调查证实宇宙还不够块状</w:t>
      </w:r>
    </w:p>
    <w:p>
      <w:r>
        <w:rPr>
          <w:rFonts w:ascii="Times New Roman" w:hAnsi="Times New Roman" w:eastAsia="宋体"/>
          <w:b/>
          <w:color w:val="003264"/>
          <w:sz w:val="24"/>
        </w:rPr>
        <w:t>Largest galaxy survey yet confirms that the Universe is not clumpy enough</w:t>
      </w:r>
    </w:p>
    <w:p>
      <w:r>
        <w:rPr>
          <w:rFonts w:ascii="Times New Roman" w:hAnsi="Times New Roman" w:eastAsia="宋体"/>
          <w:sz w:val="21"/>
        </w:rPr>
        <w:t>作者: Unknown</w:t>
        <w:br/>
      </w:r>
      <w:r>
        <w:rPr>
          <w:rFonts w:ascii="Times New Roman" w:hAnsi="Times New Roman" w:eastAsia="宋体"/>
          <w:sz w:val="21"/>
        </w:rPr>
        <w:t xml:space="preserve">时间: 2026-01-30 | </w:t>
      </w:r>
      <w:r>
        <w:t xml:space="preserve">链接: </w:t>
      </w:r>
      <w:hyperlink r:id="rId315">
        <w:r>
          <w:rPr>
            <w:rFonts w:ascii="Times New Roman" w:hAnsi="Times New Roman" w:eastAsia="宋体"/>
            <w:color w:val="0000FF"/>
            <w:sz w:val="21"/>
            <w:u w:val="single"/>
          </w:rPr>
          <w:t>https://doi.org/10.1038/d41586-026-00276-7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暗能量调查的六年结果凸显了标准宇宙学理论中尚未解决的紧张局势。</w:t>
      </w:r>
    </w:p>
    <w:p>
      <w:pPr>
        <w:spacing w:before="120"/>
      </w:pPr>
      <w:r>
        <w:rPr>
          <w:rFonts w:ascii="Times New Roman" w:hAnsi="Times New Roman" w:eastAsia="宋体"/>
          <w:b/>
          <w:sz w:val="21"/>
        </w:rPr>
        <w:t>English Abstract:</w:t>
      </w:r>
    </w:p>
    <w:p>
      <w:r>
        <w:rPr>
          <w:rFonts w:ascii="Times New Roman" w:hAnsi="Times New Roman" w:eastAsia="宋体"/>
          <w:sz w:val="21"/>
        </w:rPr>
        <w:t>The six-year results from the Dark Energy Survey highlight unresolved tensions in standard cosmological theory.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观察太阳像河豚一样膨胀和收缩——一月最佳科学图片</w:t>
      </w:r>
    </w:p>
    <w:p>
      <w:r>
        <w:rPr>
          <w:rFonts w:ascii="Times New Roman" w:hAnsi="Times New Roman" w:eastAsia="宋体"/>
          <w:b/>
          <w:color w:val="003264"/>
          <w:sz w:val="24"/>
        </w:rPr>
        <w:t>See the Sun expand and contract like a pufferfish — January’s best science images</w:t>
      </w:r>
    </w:p>
    <w:p>
      <w:r>
        <w:rPr>
          <w:rFonts w:ascii="Times New Roman" w:hAnsi="Times New Roman" w:eastAsia="宋体"/>
          <w:sz w:val="21"/>
        </w:rPr>
        <w:t>作者: Fred Schwaller</w:t>
        <w:br/>
      </w:r>
      <w:r>
        <w:rPr>
          <w:rFonts w:ascii="Times New Roman" w:hAnsi="Times New Roman" w:eastAsia="宋体"/>
          <w:sz w:val="21"/>
        </w:rPr>
        <w:t xml:space="preserve">时间: 2026-02-02 | </w:t>
      </w:r>
      <w:r>
        <w:t xml:space="preserve">链接: </w:t>
      </w:r>
      <w:hyperlink r:id="rId316">
        <w:r>
          <w:rPr>
            <w:rFonts w:ascii="Times New Roman" w:hAnsi="Times New Roman" w:eastAsia="宋体"/>
            <w:color w:val="0000FF"/>
            <w:sz w:val="21"/>
            <w:u w:val="single"/>
          </w:rPr>
          <w:t>https://doi.org/10.1038/d41586-026-00307-3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用于可扩展量子中继器的长寿命远程离子纠缠</w:t>
      </w:r>
    </w:p>
    <w:p>
      <w:r>
        <w:rPr>
          <w:rFonts w:ascii="Times New Roman" w:hAnsi="Times New Roman" w:eastAsia="宋体"/>
          <w:b/>
          <w:color w:val="003264"/>
          <w:sz w:val="24"/>
        </w:rPr>
        <w:t>Long-lived remote ion-ion entanglement for scalable quantum repeaters</w:t>
      </w:r>
    </w:p>
    <w:p>
      <w:r>
        <w:rPr>
          <w:rFonts w:ascii="Times New Roman" w:hAnsi="Times New Roman" w:eastAsia="宋体"/>
          <w:sz w:val="21"/>
        </w:rPr>
        <w:t>作者: Wen-Zhao Liu, Ya-Bin Zhou, Jiu-Peng Chen, Bin Wang, Ao Teng, Xiao-Wen Han, Guang-Cheng Liu, Zhi-Jiong Zhang, Yi Yang, Feng-Guang Liu, Chao-Hui Xue, Bo-Wen Yang, Jin Yang, Chao Zeng, Du-Ruo Pan, Ming-Yang Zheng, Xingjian Zhang, Shen Cao, Yi-Zheng Zhen, You Xiao, Hao Li, Lixing You, Xiongfeng Ma, Qi Zhao, Feihu Xu, Ye Wang, Yong Wan, Qiang Zhang, Jian-Wei Pan</w:t>
        <w:br/>
      </w:r>
      <w:r>
        <w:rPr>
          <w:rFonts w:ascii="Times New Roman" w:hAnsi="Times New Roman" w:eastAsia="宋体"/>
          <w:sz w:val="21"/>
        </w:rPr>
        <w:t xml:space="preserve">时间: 2026-02-02 | </w:t>
      </w:r>
      <w:r>
        <w:t xml:space="preserve">链接: </w:t>
      </w:r>
      <w:hyperlink r:id="rId317">
        <w:r>
          <w:rPr>
            <w:rFonts w:ascii="Times New Roman" w:hAnsi="Times New Roman" w:eastAsia="宋体"/>
            <w:color w:val="0000FF"/>
            <w:sz w:val="21"/>
            <w:u w:val="single"/>
          </w:rPr>
          <w:t>https://doi.org/10.1038/s41586-026-10177-4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网络集成了量子通信、量子计量和分布式量子计算，可以提供安全高效的信息传输、高分辨率传感和信息处理的指数级加速1。长距离确定性纠缠分布是可扩展量子网络的先决条件2-5。然而，光纤中的指数光子损耗阻碍了有效且确定性的纠缠分布。量子中继器6将纠缠交换4、7、8和纠缠净化9-11与量子存储器相结合，为克服基于光纤的量子网络中的这一限制提供了最有前途的方法。尽管做出了许多开创性的努力12-25，但一个关键的瓶颈仍然存在，因为远程记忆-记忆纠缠发生退相干的速度比长距离建立和净化的速度更快。在这里，我们演示了由 10 公里缠绕光纤连接的两个节点之间的内存-内存纠缠，其存活时间超出了平均纠缠建立时间。这是通过长寿命俘获离子存储器、高效电信接口和高可见度单光子纠缠协议的开发来实现的26,27。作为一个应用，我们报告了原理验证的设备无关量子密钥分配（DI-QKD）演示，在渐近极限下进行了超过 10 公里的有限尺寸分析和超过 101 公里的正密钥率，这两个距离都超出了之前的工作两个数量级以上28-30。我们的工作为量子中继器提供了关键的构建模块，标志着迈向可扩展量子网络的重要一步。</w:t>
      </w:r>
    </w:p>
    <w:p>
      <w:pPr>
        <w:spacing w:before="120"/>
      </w:pPr>
      <w:r>
        <w:rPr>
          <w:rFonts w:ascii="Times New Roman" w:hAnsi="Times New Roman" w:eastAsia="宋体"/>
          <w:b/>
          <w:sz w:val="21"/>
        </w:rPr>
        <w:t>English Abstract:</w:t>
      </w:r>
    </w:p>
    <w:p>
      <w:r>
        <w:rPr>
          <w:rFonts w:ascii="Times New Roman" w:hAnsi="Times New Roman" w:eastAsia="宋体"/>
          <w:sz w:val="21"/>
        </w:rPr>
        <w:t>Quantum networks, integrating quantum communication, quantum metrology, and distributed quantum computing, could provide secure and efficient information transfer, high-resolution sensing, and an exponential speed-up in information processing1. Deterministic entanglement distribution over long distances is a prerequisite for scalable quantum networks2–5. However, the exponential photon loss in optical fibres prohibits efficient and deterministic entanglement distribution. Quantum repeaters6, incorporating entanglement swapping4,7,8 and entanglement purification9–11 with quantum memories, offer the most promising means to overcome this limitation in fibre-based quantum networks. Despite numerous pioneering efforts12–25, a critical bottleneck remains, as remote memory-memory entanglement suffers from decoherence more rapidly than it can be established and purified over long distances. Here, we demonstrate memory-memory entanglement between two nodes connected by 10 km of spooled fibre surviving beyond the average entanglement establishment time. This is enabled by the development of long-lived trapped-ion memories, an efficient telecom interface, and a high-visibility single-photon entanglement protocol26,27. As an application, we report a proof-of-principle device-independent quantum key distributio (DI-QKD) demonstration with finite-size analysis over 10 km and a positive key rate over 101 km in the asymptotic limit, with both distances exceeding previous work by more than two orders of magnitude28–30. Our work provides a critical building block for quantum repeaters and marks an important step toward scalable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许多人没有心理意象。他们的脑子里在想什么？</w:t>
      </w:r>
    </w:p>
    <w:p>
      <w:r>
        <w:rPr>
          <w:rFonts w:ascii="Times New Roman" w:hAnsi="Times New Roman" w:eastAsia="宋体"/>
          <w:b/>
          <w:color w:val="003264"/>
          <w:sz w:val="24"/>
        </w:rPr>
        <w:t>Many people have no mental imagery. What’s going on in their brains?</w:t>
      </w:r>
    </w:p>
    <w:p>
      <w:r>
        <w:rPr>
          <w:rFonts w:ascii="Times New Roman" w:hAnsi="Times New Roman" w:eastAsia="宋体"/>
          <w:sz w:val="21"/>
        </w:rPr>
        <w:t>作者: Elizabeth Quill</w:t>
        <w:br/>
      </w:r>
      <w:r>
        <w:rPr>
          <w:rFonts w:ascii="Times New Roman" w:hAnsi="Times New Roman" w:eastAsia="宋体"/>
          <w:sz w:val="21"/>
        </w:rPr>
        <w:t xml:space="preserve">时间: 2026-02-03 | </w:t>
      </w:r>
      <w:r>
        <w:t xml:space="preserve">链接: </w:t>
      </w:r>
      <w:hyperlink r:id="rId318">
        <w:r>
          <w:rPr>
            <w:rFonts w:ascii="Times New Roman" w:hAnsi="Times New Roman" w:eastAsia="宋体"/>
            <w:color w:val="0000FF"/>
            <w:sz w:val="21"/>
            <w:u w:val="single"/>
          </w:rPr>
          <w:t>https://doi.org/10.1038/d41586-026-00311-7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每日简报：科学家深入研究历史的味道</w:t>
      </w:r>
    </w:p>
    <w:p>
      <w:r>
        <w:rPr>
          <w:rFonts w:ascii="Times New Roman" w:hAnsi="Times New Roman" w:eastAsia="宋体"/>
          <w:b/>
          <w:color w:val="003264"/>
          <w:sz w:val="24"/>
        </w:rPr>
        <w:t>Daily briefing: Scientists delve into the smells of history</w:t>
      </w:r>
    </w:p>
    <w:p>
      <w:r>
        <w:rPr>
          <w:rFonts w:ascii="Times New Roman" w:hAnsi="Times New Roman" w:eastAsia="宋体"/>
          <w:sz w:val="21"/>
        </w:rPr>
        <w:t>作者: Flora Graham</w:t>
        <w:br/>
      </w:r>
      <w:r>
        <w:rPr>
          <w:rFonts w:ascii="Times New Roman" w:hAnsi="Times New Roman" w:eastAsia="宋体"/>
          <w:sz w:val="21"/>
        </w:rPr>
        <w:t xml:space="preserve">时间: 2026-02-02 | </w:t>
      </w:r>
      <w:r>
        <w:t xml:space="preserve">链接: </w:t>
      </w:r>
      <w:hyperlink r:id="rId319">
        <w:r>
          <w:rPr>
            <w:rFonts w:ascii="Times New Roman" w:hAnsi="Times New Roman" w:eastAsia="宋体"/>
            <w:color w:val="0000FF"/>
            <w:sz w:val="21"/>
            <w:u w:val="single"/>
          </w:rPr>
          <w:t>https://doi.org/10.1038/d41586-026-00353-x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研究人员正在努力重现从木乃伊到滑铁卢战役的遗产和历史的气味。另外，本月最佳科学图像以及我们是否已经实现了“通用人工智能”。</w:t>
      </w:r>
    </w:p>
    <w:p>
      <w:pPr>
        <w:spacing w:before="120"/>
      </w:pPr>
      <w:r>
        <w:rPr>
          <w:rFonts w:ascii="Times New Roman" w:hAnsi="Times New Roman" w:eastAsia="宋体"/>
          <w:b/>
          <w:sz w:val="21"/>
        </w:rPr>
        <w:t>English Abstract:</w:t>
      </w:r>
    </w:p>
    <w:p>
      <w:r>
        <w:rPr>
          <w:rFonts w:ascii="Times New Roman" w:hAnsi="Times New Roman" w:eastAsia="宋体"/>
          <w:sz w:val="21"/>
        </w:rPr>
        <w:t>Researchers are working to reproduce the smells of heritage and history, from mummies to the Battle of Waterloo. Plus, the best science images of the month and whether we’ve already achieved ‘artificial general intelligence’.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13:05 ---</w:t>
      </w:r>
    </w:p>
    <w:p>
      <w:pPr>
        <w:pStyle w:val="Heading2"/>
      </w:pPr>
      <w:r/>
      <w:r>
        <w:rPr>
          <w:rFonts w:ascii="Times New Roman" w:hAnsi="Times New Roman" w:eastAsia="宋体"/>
          <w:b/>
          <w:color w:val="000000"/>
          <w:sz w:val="24"/>
        </w:rPr>
        <w:t>1.43亿年海水锇同位素记录：火山活动和构造的趋势、节奏和动态</w:t>
      </w:r>
    </w:p>
    <w:p>
      <w:r>
        <w:rPr>
          <w:rFonts w:ascii="Times New Roman" w:hAnsi="Times New Roman" w:eastAsia="宋体"/>
          <w:b/>
          <w:color w:val="003264"/>
          <w:sz w:val="24"/>
        </w:rPr>
        <w:t>143–million-year seawater osmium isotopic record: Trends, rhythms, and dynamics of volcanism and tectonics</w:t>
      </w:r>
    </w:p>
    <w:p>
      <w:r>
        <w:rPr>
          <w:rFonts w:ascii="Times New Roman" w:hAnsi="Times New Roman" w:eastAsia="宋体"/>
          <w:sz w:val="21"/>
        </w:rPr>
        <w:t>作者: Hironao Matsumoto, Yasuto Watanabe, Rodolfo Coccioni, Fabrizio Frontalini, Toshihiro Yoshimura, Junichiro Kuroda, Katsuhiko Suzuki</w:t>
        <w:br/>
      </w:r>
      <w:r>
        <w:rPr>
          <w:rFonts w:ascii="Times New Roman" w:hAnsi="Times New Roman" w:eastAsia="宋体"/>
          <w:sz w:val="21"/>
        </w:rPr>
        <w:t xml:space="preserve">时间: 2026-01-22 | </w:t>
      </w:r>
      <w:r>
        <w:t xml:space="preserve">链接: </w:t>
      </w:r>
      <w:hyperlink r:id="rId320">
        <w:r>
          <w:rPr>
            <w:rFonts w:ascii="Times New Roman" w:hAnsi="Times New Roman" w:eastAsia="宋体"/>
            <w:color w:val="0000FF"/>
            <w:sz w:val="21"/>
            <w:u w:val="single"/>
          </w:rPr>
          <w:t>https://doi.org/10.1126/science.adw8301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构造事件和形成大型火成岩省（LIP）的火山脉冲改变了地球的古气候。锇 (Os) 和锶 (Sr) 同位素比是过去大陆风化和 LIP 喷发的关键示踪剂。然而，有限的白垩纪海水 Os 和河流 Os-Sr 数据阻碍了定量重建。在这项研究中，我们提出了从白垩纪至今的长期锇同位素记录，揭示了白垩纪期间约 10 至 2000 万年的周期，与有节奏的 LIP 喷发一致。海水Os-Sr同位素趋势表明，白垩纪晚期[约9000万年前(Ma)]和古近纪(约35 Ma)期间大陆风化模式的转变分别归因于大西洋张开和喜马拉雅山隆起和冰川作用期间冈瓦纳内陆风化的加剧。我们的骨同位素记录强调了其在追踪长期 LIP 周期和识别主要古地理转折点方面的实用性。</w:t>
      </w:r>
    </w:p>
    <w:p>
      <w:pPr>
        <w:spacing w:before="120"/>
      </w:pPr>
      <w:r>
        <w:rPr>
          <w:rFonts w:ascii="Times New Roman" w:hAnsi="Times New Roman" w:eastAsia="宋体"/>
          <w:b/>
          <w:sz w:val="21"/>
        </w:rPr>
        <w:t>English Abstract:</w:t>
      </w:r>
    </w:p>
    <w:p>
      <w:r>
        <w:rPr>
          <w:rFonts w:ascii="Times New Roman" w:hAnsi="Times New Roman" w:eastAsia="宋体"/>
          <w:sz w:val="21"/>
        </w:rPr>
        <w:t>Tectonic events and volcanic pulses forming large igneous provinces (LIPs) have altered Earth’s paleoclimate. Osmium (Os) and strontium (Sr) isotopic ratios are key tracers of past continental weathering and LIP eruptions. However, limited Cretaceous seawater Os and riverine Os–Sr data have hindered quantitative reconstructions. In this study, we present a long-term Os isotopic record from the Cretaceous to the present, revealing ~10– to 20–million-year cycles during the Cretaceous that align with rhythmic LIP eruptions. Seawater Os–Sr isotopic trends indicate transitions in continental weathering patterns during the Late Cretaceous [~90 million years ago (Ma)] and Paleogene (~35 Ma) ascribed to intensified weathering of interior Gondwana during the opening of the Atlantic Ocean and the uplift and glaciation of the Himalaya, respectively. Our Os isotopic record highlights its utility in tracing long-term LIP cycles and identifying major paleogeographic turning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Angela Hessler, Jelena Stajic, Keith T. Smith, Jake S. Yeston, Phil Szuromi, Yikyung Park, Annalisa VanHook, Courtney Malo, Madeleine Seale, Stella M. Hurtley, Mattia Maroso, Sarah H. Ross, Corinne Simonti, Leoma Bere</w:t>
        <w:br/>
      </w:r>
      <w:r>
        <w:rPr>
          <w:rFonts w:ascii="Times New Roman" w:hAnsi="Times New Roman" w:eastAsia="宋体"/>
          <w:sz w:val="21"/>
        </w:rPr>
        <w:t xml:space="preserve">时间: 2026-01-22 | </w:t>
      </w:r>
      <w:r>
        <w:t xml:space="preserve">链接: </w:t>
      </w:r>
      <w:hyperlink r:id="rId321">
        <w:r>
          <w:rPr>
            <w:rFonts w:ascii="Times New Roman" w:hAnsi="Times New Roman" w:eastAsia="宋体"/>
            <w:color w:val="0000FF"/>
            <w:sz w:val="21"/>
            <w:u w:val="single"/>
          </w:rPr>
          <w:t>https://doi.org/10.1126/science.aef5688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玻色-爱因斯坦凝聚体中爱因斯坦-德哈斯效应的观察</w:t>
      </w:r>
    </w:p>
    <w:p>
      <w:r>
        <w:rPr>
          <w:rFonts w:ascii="Times New Roman" w:hAnsi="Times New Roman" w:eastAsia="宋体"/>
          <w:b/>
          <w:color w:val="003264"/>
          <w:sz w:val="24"/>
        </w:rPr>
        <w:t>Observation of the Einstein–de Haas effect in a Bose–Einstein condensate</w:t>
      </w:r>
    </w:p>
    <w:p>
      <w:r>
        <w:rPr>
          <w:rFonts w:ascii="Times New Roman" w:hAnsi="Times New Roman" w:eastAsia="宋体"/>
          <w:sz w:val="21"/>
        </w:rPr>
        <w:t>作者: Hiroki Matsui, Yuki Miyazawa, Ryoto Goto, Chihiro Nakano, Yuki Kawaguchi, Masahito Ueda, Mikio Kozuma</w:t>
        <w:br/>
      </w:r>
      <w:r>
        <w:rPr>
          <w:rFonts w:ascii="Times New Roman" w:hAnsi="Times New Roman" w:eastAsia="宋体"/>
          <w:sz w:val="21"/>
        </w:rPr>
        <w:t xml:space="preserve">时间: 2026-01-22 | </w:t>
      </w:r>
      <w:r>
        <w:t xml:space="preserve">链接: </w:t>
      </w:r>
      <w:hyperlink r:id="rId322">
        <w:r>
          <w:rPr>
            <w:rFonts w:ascii="Times New Roman" w:hAnsi="Times New Roman" w:eastAsia="宋体"/>
            <w:color w:val="0000FF"/>
            <w:sz w:val="21"/>
            <w:u w:val="single"/>
          </w:rPr>
          <w:t>https://doi.org/10.1126/science.adx2872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爱因斯坦-德哈斯效应是一种角动量从微观自旋转移到宏观刚体机械旋转的现象。我们报告了在自旋偶极玻色-爱因斯坦凝聚体中观察到的爱因斯坦-德哈斯效应，其中固有的磁偶极子-偶极子相互作用介导了角动量从原子自旋到量子流体集体循环的相干转移。去偏振的旋量分量显示出环形密度分布，通过物质波干涉测量证实其为量子化涡旋，揭示了自旋和轨道角动量之间的相干转换。这一观察结果为探索手性对称性破缺、自旋结构和质量循环以及偶极量子气体中的巴尼特效应的基态相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Einstein–de Haas effect is a phenomenon in which angular momentum is transferred from microscopic spins to mechanical rotation of a macroscopic rigid body. We report an observation of the Einstein–de Haas effect in a spinor-dipolar Bose–Einstein condensate, in which the intrinsic magnetic dipole-dipole interaction mediates coherent transfer of angular momentum from atomic spins to collective circulation of a quantum fluid. The depolarized spinor components displayed ring-shaped density distributions that were confirmed as quantized vortices through matter-wave interferometry, revealing a coherent conversion between spin and orbital angular momentum. This observation opens a pathway to exploring ground-state phases with broken chiral symmetry, spin textures, and mass circulation, as well as the Barnett effect in dipolar quantum gases.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FAP 定向免疫疗法靶向调节动脉粥样硬化中的血管平滑肌细胞</w:t>
      </w:r>
    </w:p>
    <w:p>
      <w:r>
        <w:rPr>
          <w:rFonts w:ascii="Times New Roman" w:hAnsi="Times New Roman" w:eastAsia="宋体"/>
          <w:b/>
          <w:color w:val="003264"/>
          <w:sz w:val="24"/>
        </w:rPr>
        <w:t>Targeting modulated vascular smooth muscle cells in atherosclerosis via FAP-directed immunotherapy</w:t>
      </w:r>
    </w:p>
    <w:p>
      <w:r>
        <w:rPr>
          <w:rFonts w:ascii="Times New Roman" w:hAnsi="Times New Roman" w:eastAsia="宋体"/>
          <w:sz w:val="21"/>
        </w:rPr>
        <w:t>作者: Junedh M. Amrute, In-Hyuk Jung, Tracy Yamawaki, Wen-Ling Lin, Andrea Bredemeyer, Johanna Diekmann, Sikander Hayat, Xianglong Zhang, Devin L. Wakefield, Xin Luo, Sidrah Maryam, Gyu Seong Heo, Steven Yang, Chang Jie Mick Lee, Chen Wang, Caroline Chou, Christoph Kuppe, Kevin D. Cook, Atilla Kovacs, Vishnu Chintalgattu, Danielle Pruitt, Jose Barreda, Nathan O. Stitziel, Paul Cheng, Yongjian Liu, Rafael Kramann, Daniel Kreisel, Roger S-Y Foo, Ingrid C. Rulifson, Scott Martin, David Grunert, Melissa Thomas, Jixin Cui, Thomas Quertermous, Frank M. Bengel, Simon Jackson, Chi-Ming Li, Brandon Ason, Kory J. Lavine</w:t>
        <w:br/>
      </w:r>
      <w:r>
        <w:rPr>
          <w:rFonts w:ascii="Times New Roman" w:hAnsi="Times New Roman" w:eastAsia="宋体"/>
          <w:sz w:val="21"/>
        </w:rPr>
        <w:t xml:space="preserve">时间: 2026-01-29 | </w:t>
      </w:r>
      <w:r>
        <w:t xml:space="preserve">链接: </w:t>
      </w:r>
      <w:hyperlink r:id="rId323">
        <w:r>
          <w:rPr>
            <w:rFonts w:ascii="Times New Roman" w:hAnsi="Times New Roman" w:eastAsia="宋体"/>
            <w:color w:val="0000FF"/>
            <w:sz w:val="21"/>
            <w:u w:val="single"/>
          </w:rPr>
          <w:t>https://doi.org/10.1126/science.adx1736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血管平滑肌细胞 (VSMC) 多样化导致动脉粥样硬化性冠状动脉疾病 (CAD)。控制这些细胞状态转变的机制仍不清楚。我们在 27 条人类冠状动脉中应用了多组学单细胞分析、表位作图和空间转录组学，确定成纤维细胞激活蛋白 (FAP) 作为调节 VSMC 的标记物。小鼠谱系追踪表明 FAP + 细胞源自 Myh11 + VSMC，CAD 患者的 FAP PET 成像显示斑块摄取。 FAP + 细胞状态位于富含巨噬细胞的新内膜中。在治疗上，我们开发了一种抗 FAP 双特异性 T 细胞接合剂，它可以减少斑块负担并通过 T 细胞克隆扩张重塑基质免疫微环境。我们的研究提供了人类 CAD 的单细胞和空间图谱，将 FAP 确立为调节 VSMC 的标记，并强调了针对脂质独立靶标的免疫治疗。</w:t>
      </w:r>
    </w:p>
    <w:p>
      <w:pPr>
        <w:spacing w:before="120"/>
      </w:pPr>
      <w:r>
        <w:rPr>
          <w:rFonts w:ascii="Times New Roman" w:hAnsi="Times New Roman" w:eastAsia="宋体"/>
          <w:b/>
          <w:sz w:val="21"/>
        </w:rPr>
        <w:t>English Abstract:</w:t>
      </w:r>
    </w:p>
    <w:p>
      <w:r>
        <w:rPr>
          <w:rFonts w:ascii="Times New Roman" w:hAnsi="Times New Roman" w:eastAsia="宋体"/>
          <w:sz w:val="21"/>
        </w:rPr>
        <w:t>Vascular smooth muscle cell (VSMC) diversification drives atherosclerotic coronary artery disease (CAD). Mechanisms governing these cell state transitions remain unclear. We applied multiomic single-cell profiling, epitope mapping, and spatial transcriptomics across 27 human coronary arteries, identifying fibroblast activation protein (FAP) as a marker of modulated VSMCs. Lineage tracing in mice indicated that FAP + cells originate from Myh11 + VSMCs, and FAP PET imaging in CAD patients showed plaque uptake. FAP + cells states resided in the macrophage-rich neo-intima. Therapeutically, we developed an anti-FAP bispecific T-cell engager, which reduced plaque burden and remodeled the stromal–immune microenvironment through T-cell clonal expansion. Our study delivers a single-cell and spatial atlas of human CAD, establishes FAP as a marker of modulated VSMCs, and highlights immunotherapy for lipid-independent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DNA-蛋白质交联促进 cGAS-STING 驱动的过早衰老和胚胎致死</w:t>
      </w:r>
    </w:p>
    <w:p>
      <w:r>
        <w:rPr>
          <w:rFonts w:ascii="Times New Roman" w:hAnsi="Times New Roman" w:eastAsia="宋体"/>
          <w:b/>
          <w:color w:val="003264"/>
          <w:sz w:val="24"/>
        </w:rPr>
        <w:t>DNA-protein cross-links promote cGAS-STING–driven premature aging and embryonic lethality</w:t>
      </w:r>
    </w:p>
    <w:p>
      <w:r>
        <w:rPr>
          <w:rFonts w:ascii="Times New Roman" w:hAnsi="Times New Roman" w:eastAsia="宋体"/>
          <w:sz w:val="21"/>
        </w:rPr>
        <w:t>作者: Ines Tomaskovic, Cristian Prieto-Garcia, Maria Boskovic, Mateo Glumac, Tsung-Lin Tsai, Thorsten Mosler, Rubina Kazi, Rajeshwari Rathore, Jorge Andrade, Marina Hoffmann, Giulio Giuliani, Anne-Claire Jacomin, Raquel S. Pereira, Elias Knop, Laurens Wachsmuth, Petra Beli, Koraljka Husnjak, Manolis Pasparakis, Andrea Ablasser, Daniela S. Krause, Michael Potente, Stamatis Papathanasiou, Janos Terzic, Ivan Dikic</w:t>
        <w:br/>
      </w:r>
      <w:r>
        <w:rPr>
          <w:rFonts w:ascii="Times New Roman" w:hAnsi="Times New Roman" w:eastAsia="宋体"/>
          <w:sz w:val="21"/>
        </w:rPr>
        <w:t xml:space="preserve">时间: 2026-01-29 | </w:t>
      </w:r>
      <w:r>
        <w:t xml:space="preserve">链接: </w:t>
      </w:r>
      <w:hyperlink r:id="rId324">
        <w:r>
          <w:rPr>
            <w:rFonts w:ascii="Times New Roman" w:hAnsi="Times New Roman" w:eastAsia="宋体"/>
            <w:color w:val="0000FF"/>
            <w:sz w:val="21"/>
            <w:u w:val="single"/>
          </w:rPr>
          <w:t>https://doi.org/10.1126/science.adx9445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DNA-蛋白质交联 (DPC) 是一种剧毒 DNA 损伤，可阻止复制和转录，但其对生物体生理学的影响尚不清楚。我们确定了金属蛋白酶 SPRTN 在预防 DPC 驱动的免疫及其病理后果中的作用。复制和有丝分裂期间 SPRTN 活性的丧失会导致未解决的 DNA 损伤、染色体分离错误、微核形成和胞质 DNA 释放，从而激活环 GMP-AMP 合酶 (cGAS)——干扰素基因刺激剂 (STING) 途径。在 Ruijs-Aalfs 早衰综合征的 Sprtn 敲入小鼠模型中，慢性 cGas-Sting 信号通过炎症和先天免疫反应导致胚胎死亡。幸存的小鼠从胚胎发生开始就表现出衰老表型，并一直持续到成年。 cGas-Sting 的遗传或药理学抑制可挽救胚胎致死性并减轻早衰表型。</w:t>
      </w:r>
    </w:p>
    <w:p>
      <w:pPr>
        <w:spacing w:before="120"/>
      </w:pPr>
      <w:r>
        <w:rPr>
          <w:rFonts w:ascii="Times New Roman" w:hAnsi="Times New Roman" w:eastAsia="宋体"/>
          <w:b/>
          <w:sz w:val="21"/>
        </w:rPr>
        <w:t>English Abstract:</w:t>
      </w:r>
    </w:p>
    <w:p>
      <w:r>
        <w:rPr>
          <w:rFonts w:ascii="Times New Roman" w:hAnsi="Times New Roman" w:eastAsia="宋体"/>
          <w:sz w:val="21"/>
        </w:rPr>
        <w:t>DNA-protein cross-links (DPCs) are highly toxic DNA lesions that block replication and transcription, but their impact on organismal physiology is unclear. We identified a role for the metalloprotease SPRTN in preventing DPC-driven immunity and its pathological consequences. Loss of SPRTN activity during replication and mitosis lead to unresolved DNA damage, chromosome segregation errors, micronuclei formation, and cytosolic DNA release that activates the cyclic GMP-AMP synthase (cGAS)–stimulator of interferon genes (STING) pathway. In a Sprtn knock-in mouse model of Ruijs-Aalfs progeria syndrome, chronic cGas-Sting signaling caused embryonic lethality through inflammation and innate immune responses. Surviving mice displayed aging phenotypes beginning in embryogenesis, which persisted into adulthood. Genetic or pharmacological inhibition of cGas-Sting rescued embryonic lethality and alleviated progeroid phenotypes.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用光控制塑料行为</w:t>
      </w:r>
    </w:p>
    <w:p>
      <w:r>
        <w:rPr>
          <w:rFonts w:ascii="Times New Roman" w:hAnsi="Times New Roman" w:eastAsia="宋体"/>
          <w:b/>
          <w:color w:val="003264"/>
          <w:sz w:val="24"/>
        </w:rPr>
        <w:t>Controlling plastic behavior with light</w:t>
      </w:r>
    </w:p>
    <w:p>
      <w:r>
        <w:rPr>
          <w:rFonts w:ascii="Times New Roman" w:hAnsi="Times New Roman" w:eastAsia="宋体"/>
          <w:sz w:val="21"/>
        </w:rPr>
        <w:t>作者: Jake L. Nicholson, Quentin Michaudel</w:t>
        <w:br/>
      </w:r>
      <w:r>
        <w:rPr>
          <w:rFonts w:ascii="Times New Roman" w:hAnsi="Times New Roman" w:eastAsia="宋体"/>
          <w:sz w:val="21"/>
        </w:rPr>
        <w:t xml:space="preserve">时间: 2026-01-29 | </w:t>
      </w:r>
      <w:r>
        <w:t xml:space="preserve">链接: </w:t>
      </w:r>
      <w:hyperlink r:id="rId325">
        <w:r>
          <w:rPr>
            <w:rFonts w:ascii="Times New Roman" w:hAnsi="Times New Roman" w:eastAsia="宋体"/>
            <w:color w:val="0000FF"/>
            <w:sz w:val="21"/>
            <w:u w:val="single"/>
          </w:rPr>
          <w:t>https://doi.org/10.1126/science.aee7263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在三维 (3D) 打印过程中，热塑性塑料的特性会随着光强度进行空间调节</w:t>
      </w:r>
    </w:p>
    <w:p>
      <w:pPr>
        <w:spacing w:before="120"/>
      </w:pPr>
      <w:r>
        <w:rPr>
          <w:rFonts w:ascii="Times New Roman" w:hAnsi="Times New Roman" w:eastAsia="宋体"/>
          <w:b/>
          <w:sz w:val="21"/>
        </w:rPr>
        <w:t>English Abstract:</w:t>
      </w:r>
    </w:p>
    <w:p>
      <w:r>
        <w:rPr>
          <w:rFonts w:ascii="Times New Roman" w:hAnsi="Times New Roman" w:eastAsia="宋体"/>
          <w:sz w:val="21"/>
        </w:rPr>
        <w:t>Thermoplastic properties are spatially tuned with light intensity during three-dimensional (3D) printing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从序列到功能：连接单分子动力学和分子多样性</w:t>
      </w:r>
    </w:p>
    <w:p>
      <w:r>
        <w:rPr>
          <w:rFonts w:ascii="Times New Roman" w:hAnsi="Times New Roman" w:eastAsia="宋体"/>
          <w:b/>
          <w:color w:val="003264"/>
          <w:sz w:val="24"/>
        </w:rPr>
        <w:t>From sequence to function: Bridging single-molecule kinetics and molecular diversity</w:t>
      </w:r>
    </w:p>
    <w:p>
      <w:r>
        <w:rPr>
          <w:rFonts w:ascii="Times New Roman" w:hAnsi="Times New Roman" w:eastAsia="宋体"/>
          <w:sz w:val="21"/>
        </w:rPr>
        <w:t>作者: A. N. Kapanidis, L. Muras, K. Sreenivasa, J. P. Hazra, J. van Noort, C. Joo, S. Deindl</w:t>
        <w:br/>
      </w:r>
      <w:r>
        <w:rPr>
          <w:rFonts w:ascii="Times New Roman" w:hAnsi="Times New Roman" w:eastAsia="宋体"/>
          <w:sz w:val="21"/>
        </w:rPr>
        <w:t xml:space="preserve">时间: 2026-01-29 | </w:t>
      </w:r>
      <w:r>
        <w:t xml:space="preserve">链接: </w:t>
      </w:r>
      <w:hyperlink r:id="rId326">
        <w:r>
          <w:rPr>
            <w:rFonts w:ascii="Times New Roman" w:hAnsi="Times New Roman" w:eastAsia="宋体"/>
            <w:color w:val="0000FF"/>
            <w:sz w:val="21"/>
            <w:u w:val="single"/>
          </w:rPr>
          <w:t>https://doi.org/10.1126/science.adv4503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学功能从根本上是由核酸和蛋白质序列决定的。除了编码遗传信息之外，核酸还显示出影响结构、动力学和相互作用的复杂物理化学参数。了解序列变异如何塑造这些特性背后的能量景观需要捕获分子多样性和动态行为的方法。单分子技术非常适合这项任务，但传统格式仍然需要大量时间和成本。最近的突破使得高度多元化的方法能够用于观察代表数千个序列或条形码实体的数百万个单个分子的分子动力学。尽管仍在开发中，这些方法已经开始大规模连接序列、结构、动力学和功能，为药物发现、分子诊断和功能基因组学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Biological function is fundamentally determined by nucleic acid and protein sequence. Beyond encoding genetic information, nucleic acids also display complex physicochemical parameters that shape structure, dynamics, and interactions. Understanding how sequence variation sculpts the energetic landscapes underlying these properties requires methods that capture both molecular diversity and dynamic behavior. Single-molecule techniques are ideally suited to this task, but conventional formats remain time and cost intensive. Recent breakthroughs have enabled highly multiplexed approaches for observing molecular dynamics across millions of individual molecules representing thousands of sequences or barcoded entities. Though still in development, these methods have begun to bridge sequence, structure, dynamics, and function at scale, opening new opportunities in drug discovery, molecular diagnostics, and functional genomics.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衰老驱动植物器官 DNA 甲基化衰变程序</w:t>
      </w:r>
    </w:p>
    <w:p>
      <w:r>
        <w:rPr>
          <w:rFonts w:ascii="Times New Roman" w:hAnsi="Times New Roman" w:eastAsia="宋体"/>
          <w:b/>
          <w:color w:val="003264"/>
          <w:sz w:val="24"/>
        </w:rPr>
        <w:t>Aging drives a program of DNA methylation decay in plant organs</w:t>
      </w:r>
    </w:p>
    <w:p>
      <w:r>
        <w:rPr>
          <w:rFonts w:ascii="Times New Roman" w:hAnsi="Times New Roman" w:eastAsia="宋体"/>
          <w:sz w:val="21"/>
        </w:rPr>
        <w:t>作者: Dawei Dai, Ken Chen, Jingwen Tao, Ben P. Williams</w:t>
        <w:br/>
      </w:r>
      <w:r>
        <w:rPr>
          <w:rFonts w:ascii="Times New Roman" w:hAnsi="Times New Roman" w:eastAsia="宋体"/>
          <w:sz w:val="21"/>
        </w:rPr>
        <w:t xml:space="preserve">时间: 2026-01-29 | </w:t>
      </w:r>
      <w:r>
        <w:t xml:space="preserve">链接: </w:t>
      </w:r>
      <w:hyperlink r:id="rId327">
        <w:r>
          <w:rPr>
            <w:rFonts w:ascii="Times New Roman" w:hAnsi="Times New Roman" w:eastAsia="宋体"/>
            <w:color w:val="0000FF"/>
            <w:sz w:val="21"/>
            <w:u w:val="single"/>
          </w:rPr>
          <w:t>https://doi.org/10.1126/science.adu2392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植物的寿命和衰老速度各不相同。尽管DNA甲基化的动态变化是哺乳动物衰老的标志，但尚不清楚类似的分子特征是否反映了植物的衰老速度和有机体寿命。在这项工作中，我们发现寿命较短的模式植物拟南芥在衰老过程中表现出表观遗传完整性的丧失，从而导致 DNA 甲基化衰退和转座元件的表达。我们表明，表观遗传衰老的速度可以通过延长或缩短寿命来控制，并且茎尖分生组织免受这些表观遗传变化的影响。我们证明了转录抑制程序在衰老过程中抑制了 DNA 甲基化维持途径，并且该程序的突变体表现出完全不存在表观遗传衰退，而物理衰老不受影响。</w:t>
      </w:r>
    </w:p>
    <w:p>
      <w:pPr>
        <w:spacing w:before="120"/>
      </w:pPr>
      <w:r>
        <w:rPr>
          <w:rFonts w:ascii="Times New Roman" w:hAnsi="Times New Roman" w:eastAsia="宋体"/>
          <w:b/>
          <w:sz w:val="21"/>
        </w:rPr>
        <w:t>English Abstract:</w:t>
      </w:r>
    </w:p>
    <w:p>
      <w:r>
        <w:rPr>
          <w:rFonts w:ascii="Times New Roman" w:hAnsi="Times New Roman" w:eastAsia="宋体"/>
          <w:sz w:val="21"/>
        </w:rPr>
        <w:t>Plants display a wide range of life spans and aging rates. Although dynamic changes to DNA methylation are a hallmark of aging in mammals, it is unclear whether similar molecular signatures reflect rates of aging and organism life span in plants. In this work, we show that the short-lived model plant Arabidopsis thaliana exhibits a loss of epigenetic integrity during aging, which causes DNA methylation decay and the expression of transposable elements. We show that the rate of epigenetic aging can be manipulated by extending or curtailing life span and that shoot apical meristems are protected from these epigenetic changes. We demonstrate that a program of transcriptional repression suppresses DNA methylation maintenance pathways during aging and that mutants of this program display a complete absence of epigenetic decay while physical aging remains unaffected.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Angela Hessler, Stella M. Hurtley, Madeleine Seale, Michael A. Funk, Yevgeniya Nusinovich, Jelena Stajic, Phil Szuromi, Seth Thomas Scanlon, Di Jiang, Bianca Lopez, Marc S. Lavine, L. Bryan Ray, Mattia Maroso, Daniela Neuhofer, Leslie Ferrarelli</w:t>
        <w:br/>
      </w:r>
      <w:r>
        <w:rPr>
          <w:rFonts w:ascii="Times New Roman" w:hAnsi="Times New Roman" w:eastAsia="宋体"/>
          <w:sz w:val="21"/>
        </w:rPr>
        <w:t xml:space="preserve">时间: 2026-01-29 | </w:t>
      </w:r>
      <w:r>
        <w:t xml:space="preserve">链接: </w:t>
      </w:r>
      <w:hyperlink r:id="rId328">
        <w:r>
          <w:rPr>
            <w:rFonts w:ascii="Times New Roman" w:hAnsi="Times New Roman" w:eastAsia="宋体"/>
            <w:color w:val="0000FF"/>
            <w:sz w:val="21"/>
            <w:u w:val="single"/>
          </w:rPr>
          <w:t>https://doi.org/10.1126/science.aef8478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FoldMason 进行大规模多蛋白质结构比对</w:t>
      </w:r>
    </w:p>
    <w:p>
      <w:r>
        <w:rPr>
          <w:rFonts w:ascii="Times New Roman" w:hAnsi="Times New Roman" w:eastAsia="宋体"/>
          <w:b/>
          <w:color w:val="003264"/>
          <w:sz w:val="24"/>
        </w:rPr>
        <w:t>Multiple protein structure alignment at scale with FoldMason</w:t>
      </w:r>
    </w:p>
    <w:p>
      <w:r>
        <w:rPr>
          <w:rFonts w:ascii="Times New Roman" w:hAnsi="Times New Roman" w:eastAsia="宋体"/>
          <w:sz w:val="21"/>
        </w:rPr>
        <w:t>作者: Cameron L. M. Gilchrist, Milot Mirdita, Martin Steinegger</w:t>
        <w:br/>
      </w:r>
      <w:r>
        <w:rPr>
          <w:rFonts w:ascii="Times New Roman" w:hAnsi="Times New Roman" w:eastAsia="宋体"/>
          <w:sz w:val="21"/>
        </w:rPr>
        <w:t xml:space="preserve">时间: 2026-01-29 | </w:t>
      </w:r>
      <w:r>
        <w:t xml:space="preserve">链接: </w:t>
      </w:r>
      <w:hyperlink r:id="rId329">
        <w:r>
          <w:rPr>
            <w:rFonts w:ascii="Times New Roman" w:hAnsi="Times New Roman" w:eastAsia="宋体"/>
            <w:color w:val="0000FF"/>
            <w:sz w:val="21"/>
            <w:u w:val="single"/>
          </w:rPr>
          <w:t>https://doi.org/10.1126/science.ads6733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蛋白质结构在序列之外是保守的，因此多重结构比对 (MSTA) 对于分析关系较远的蛋白质至关重要。计算预测方法极大地扩展了我们可用蛋白质结构的存储库，需要快速准确的 MSTA 方法。我们推出了 FoldMason，这是一种先进的 MSTA 方法，它利用成对结构对准器 Foldseek 和 TM-align 对数十万个蛋白质结构进行多重比对，匹配或超过最先进的 MSTA 方法的比对质量，同时速度提高两个数量级。使用黄病毒科糖蛋白，我们证明了 FoldMason 的 MSTA 支持“暮光区”之外的系统发育分析。 FoldMason 计算置信度分数，提供交互式可视化，并为精确结构预测时代的大规模蛋白质结构分析提供必要的速度和准确性。 FoldMason 是免费的开源软件。</w:t>
      </w:r>
    </w:p>
    <w:p>
      <w:pPr>
        <w:spacing w:before="120"/>
      </w:pPr>
      <w:r>
        <w:rPr>
          <w:rFonts w:ascii="Times New Roman" w:hAnsi="Times New Roman" w:eastAsia="宋体"/>
          <w:b/>
          <w:sz w:val="21"/>
        </w:rPr>
        <w:t>English Abstract:</w:t>
      </w:r>
    </w:p>
    <w:p>
      <w:r>
        <w:rPr>
          <w:rFonts w:ascii="Times New Roman" w:hAnsi="Times New Roman" w:eastAsia="宋体"/>
          <w:sz w:val="21"/>
        </w:rPr>
        <w:t>Protein structure is conserved beyond sequence, making multiple structural alignment (MSTA) essential for analyzing distantly related proteins. Computational prediction methods have vastly extended our repository of available protein structures, requiring fast and accurate MSTA methods. We introduce FoldMason, a progressive MSTA method that leverages the pairwise structural aligners Foldseek and TM-align for the multiple alignment of hundreds of thousands of protein structures, matching or exceeding the alignment quality of state-of-the-art MSTA methods while being two orders of magnitude faster. Using Flaviviridae glycoproteins, we demonstrate that FoldMason’s MSTAs support phylogenetic analysis beyond the “twilight zone.” FoldMason computes confidence scores, offers interactive visualizations, and provides essential speed and accuracy for large-scale protein structure analysis in the era of accurate structure prediction. FoldMason is free, open-source software.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热塑性塑料增材制造 (CRAFT) 中的光刻结晶度调节</w:t>
      </w:r>
    </w:p>
    <w:p>
      <w:r>
        <w:rPr>
          <w:rFonts w:ascii="Times New Roman" w:hAnsi="Times New Roman" w:eastAsia="宋体"/>
          <w:b/>
          <w:color w:val="003264"/>
          <w:sz w:val="24"/>
        </w:rPr>
        <w:t>Lithographic crystallinity regulation in additive fabrication of thermoplastics (CRAFT)</w:t>
      </w:r>
    </w:p>
    <w:p>
      <w:r>
        <w:rPr>
          <w:rFonts w:ascii="Times New Roman" w:hAnsi="Times New Roman" w:eastAsia="宋体"/>
          <w:sz w:val="21"/>
        </w:rPr>
        <w:t>作者: Alex J. Commisso, Eric M. Nagel, Meghan T. Kiker, Elizabeth A. Recker, Adam Bischoff, Michael J. Holzmann, Hayden E. Fowler, Minh Nhat Pham, Chi Phuong H. Nguyen, Esteban Baca, Hernán Villanueva, Nirvana T. Almada, Keldy S. Mason, Claire Jolowsky, Guddi Suman, Keith J. Fritzsching, Bryan Kaehr, Johanna J. Schwartz, Leah N. Appelhans, Brad H. Jones, Caitlin S. Sample, Devin J. Roach, Zachariah A. Page, Samuel C. Leguizamon</w:t>
        <w:br/>
      </w:r>
      <w:r>
        <w:rPr>
          <w:rFonts w:ascii="Times New Roman" w:hAnsi="Times New Roman" w:eastAsia="宋体"/>
          <w:sz w:val="21"/>
        </w:rPr>
        <w:t xml:space="preserve">时间: 2026-01-29 | </w:t>
      </w:r>
      <w:r>
        <w:t xml:space="preserve">链接: </w:t>
      </w:r>
      <w:hyperlink r:id="rId330">
        <w:r>
          <w:rPr>
            <w:rFonts w:ascii="Times New Roman" w:hAnsi="Times New Roman" w:eastAsia="宋体"/>
            <w:color w:val="0000FF"/>
            <w:sz w:val="21"/>
            <w:u w:val="single"/>
          </w:rPr>
          <w:t>https://doi.org/10.1126/science.aeb3637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对于半结晶聚烯烃热塑性塑料，互连有序结晶区域和无序无定形区域之间的平衡对其性能和加工性能至关重要。然而，从注塑成型到三维 (3D) 打印的当代制造策略会导致整体物体无法对结晶度进行空间编码。我们开发了一种基于光的方法，用于制造机械坚固的聚烯烃热塑性塑料，并在 3D 空间中对结晶度进行微观控制。轻剂量控制聚合物立体化学，从而获得一系列材料，从坚固的刚性塑料（例如高密度聚乙烯）到更具延展性的材料（例如低密度聚乙烯），所有这些都只需轻按一下开关即可。利用平版灰度 3D 打印中的这一发现，可以通过对光学和机械特性进行体素级控制来实现快速多材料制造，从而在信息存储、软机器人和能量阻尼方面开辟新途径。</w:t>
      </w:r>
    </w:p>
    <w:p>
      <w:pPr>
        <w:spacing w:before="120"/>
      </w:pPr>
      <w:r>
        <w:rPr>
          <w:rFonts w:ascii="Times New Roman" w:hAnsi="Times New Roman" w:eastAsia="宋体"/>
          <w:b/>
          <w:sz w:val="21"/>
        </w:rPr>
        <w:t>English Abstract:</w:t>
      </w:r>
    </w:p>
    <w:p>
      <w:r>
        <w:rPr>
          <w:rFonts w:ascii="Times New Roman" w:hAnsi="Times New Roman" w:eastAsia="宋体"/>
          <w:sz w:val="21"/>
        </w:rPr>
        <w:t>For semicrystalline polyolefin thermoplastics, the balance between interconnected ordered crystalline and disordered amorphous regions is paramount to their performance and processability. However, contemporary manufacturing strategies, from injection molding to three-dimensional (3D) printing, result in monolithic objects, unable to spatially encode crystallinity. We develop a light-based approach for fabricating mechanically robust polyolefin thermoplastics with microscopic control over crystallinity in 3D space. Light dosage governs polymer stereochemistry giving access to a continuum of materials, from strong rigid plastics, such as high-density polyethylene, to more extensible materials akin to low-density polyethylene, all at the flick of a switch. Leveraging this finding in lithographic grayscale 3D printing enables rapid multimaterial fabrication with voxel-level control over optical and mechanical properties, opening avenues in information storage, soft robotics, and energy damping.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用于酰胺键形成的工程醛脱氢酶</w:t>
      </w:r>
    </w:p>
    <w:p>
      <w:r>
        <w:rPr>
          <w:rFonts w:ascii="Times New Roman" w:hAnsi="Times New Roman" w:eastAsia="宋体"/>
          <w:b/>
          <w:color w:val="003264"/>
          <w:sz w:val="24"/>
        </w:rPr>
        <w:t>Engineered aldehyde dehydrogenases for amide bond formation</w:t>
      </w:r>
    </w:p>
    <w:p>
      <w:r>
        <w:rPr>
          <w:rFonts w:ascii="Times New Roman" w:hAnsi="Times New Roman" w:eastAsia="宋体"/>
          <w:sz w:val="21"/>
        </w:rPr>
        <w:t>作者: Lei Gao, Xiang Qiu, Jun Yang, Kangdelong Hu, Peilin Li, Wei Li, Feng Gao, Fabrice Gallou, Florian Kleinbeck, Xiaoguang Lei</w:t>
        <w:br/>
      </w:r>
      <w:r>
        <w:rPr>
          <w:rFonts w:ascii="Times New Roman" w:hAnsi="Times New Roman" w:eastAsia="宋体"/>
          <w:sz w:val="21"/>
        </w:rPr>
        <w:t xml:space="preserve">时间: 2026-01-29 | </w:t>
      </w:r>
      <w:r>
        <w:t xml:space="preserve">链接: </w:t>
      </w:r>
      <w:hyperlink r:id="rId331">
        <w:r>
          <w:rPr>
            <w:rFonts w:ascii="Times New Roman" w:hAnsi="Times New Roman" w:eastAsia="宋体"/>
            <w:color w:val="0000FF"/>
            <w:sz w:val="21"/>
            <w:u w:val="single"/>
          </w:rPr>
          <w:t>https://doi.org/10.1126/science.adw3365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酰胺键的形成广泛用于药物合成，通常涉及化学计量偶联试剂来激活羧酸底物以进行缩合反应。作为一种替代方法，我们通过为胺创建一个更疏水、更宽敞的催化口袋来捕获硫酯中间体，将醛脱氢酶重新转变为氧化酰胺酶。这种生物催化剂有效地促进了不同醛和胺之间酰胺键的形成。我们还开发了一种两步酶级联，从广泛可用的脂肪醇中合成酰胺。这种生物催化策略使得能够重新设计五种药物分子的合成路线。我们的研究结果强调了氧化酰胺酶通过有效的酰胺键形成促进结构多样的药物分子合成的潜力。</w:t>
      </w:r>
    </w:p>
    <w:p>
      <w:pPr>
        <w:spacing w:before="120"/>
      </w:pPr>
      <w:r>
        <w:rPr>
          <w:rFonts w:ascii="Times New Roman" w:hAnsi="Times New Roman" w:eastAsia="宋体"/>
          <w:b/>
          <w:sz w:val="21"/>
        </w:rPr>
        <w:t>English Abstract:</w:t>
      </w:r>
    </w:p>
    <w:p>
      <w:r>
        <w:rPr>
          <w:rFonts w:ascii="Times New Roman" w:hAnsi="Times New Roman" w:eastAsia="宋体"/>
          <w:sz w:val="21"/>
        </w:rPr>
        <w:t>Amide bond formation is widely used in pharmaceutical synthesis, typically involving stoichiometric coupling reagents to activate carboxylic acid substrates for a condensation reaction. As an alternative approach, we repurposed aldehyde dehydrogenases into oxidative amidases by creating a more hydrophobic and spacious catalytic pocket for amines to capture the thioester intermediate. This biocatalyst efficiently facilitates the formation of amide bonds between diverse aldehydes and amines. We also developed a two-step enzymatic cascade to synthesize amides from broadly available aliphatic alcohols. This biocatalytic strategy enabled the redesign of synthetic routes for five drug molecules. Our findings highlight the potential of oxidative amidases in advancing the synthesis of structurally diverse drug molecules through efficient amide bond 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通过自旋轨道耦合玻色-爱因斯坦凝聚体中的激发探测超固体</w:t>
      </w:r>
    </w:p>
    <w:p>
      <w:r>
        <w:rPr>
          <w:rFonts w:ascii="Times New Roman" w:hAnsi="Times New Roman" w:eastAsia="宋体"/>
          <w:b/>
          <w:color w:val="003264"/>
          <w:sz w:val="24"/>
        </w:rPr>
        <w:t>Probing supersolidity through excitations in a spin-orbit–coupled Bose-Einstein condensate</w:t>
      </w:r>
    </w:p>
    <w:p>
      <w:r>
        <w:rPr>
          <w:rFonts w:ascii="Times New Roman" w:hAnsi="Times New Roman" w:eastAsia="宋体"/>
          <w:sz w:val="21"/>
        </w:rPr>
        <w:t>作者: C. S. Chisholm, S. Hirthe, V. B. Makhalov, R. Ramos, R. Vatré, J. Cabedo, A. Celi, L. Tarruell</w:t>
        <w:br/>
      </w:r>
      <w:r>
        <w:rPr>
          <w:rFonts w:ascii="Times New Roman" w:hAnsi="Times New Roman" w:eastAsia="宋体"/>
          <w:sz w:val="21"/>
        </w:rPr>
        <w:t xml:space="preserve">时间: 2026-01-29 | </w:t>
      </w:r>
      <w:r>
        <w:t xml:space="preserve">链接: </w:t>
      </w:r>
      <w:hyperlink r:id="rId332">
        <w:r>
          <w:rPr>
            <w:rFonts w:ascii="Times New Roman" w:hAnsi="Times New Roman" w:eastAsia="宋体"/>
            <w:color w:val="0000FF"/>
            <w:sz w:val="21"/>
            <w:u w:val="single"/>
          </w:rPr>
          <w:t>https://doi.org/10.1126/science.adv1209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轨道耦合玻色-爱因斯坦凝聚体是设计合成量子多体系统的灵活实验平台。特别是，它们具有所谓的条纹相，这是物质超固态的一个例子。条纹相的特殊激发光谱是其超固体的明确足迹，很难通过实验测量。在这项工作中，我们对条纹进行了原位成像，并直接观察了超流体和晶体激发。我们研究了超流体流体动力学并揭示了条带压缩模式，从而证明该系统具有可压缩的晶体结构。通过该模式的频率软化，我们找到了超固体转变点。我们的结果将自旋轨道耦合超固体确立为研究超固体及其丰富动力学的理想系统。</w:t>
      </w:r>
    </w:p>
    <w:p>
      <w:pPr>
        <w:spacing w:before="120"/>
      </w:pPr>
      <w:r>
        <w:rPr>
          <w:rFonts w:ascii="Times New Roman" w:hAnsi="Times New Roman" w:eastAsia="宋体"/>
          <w:b/>
          <w:sz w:val="21"/>
        </w:rPr>
        <w:t>English Abstract:</w:t>
      </w:r>
    </w:p>
    <w:p>
      <w:r>
        <w:rPr>
          <w:rFonts w:ascii="Times New Roman" w:hAnsi="Times New Roman" w:eastAsia="宋体"/>
          <w:sz w:val="21"/>
        </w:rPr>
        <w:t>Spin-orbit–coupled Bose-Einstein condensates are a flexible experimental platform to engineer synthetic quantum many-body systems. In particular, they host the so-called stripe phase, an instance of a supersolid state of matter. The peculiar excitation spectrum of the stripe phase, a definite footprint of its supersolidity, has been difficult to measure experimentally. In this work, we performed in situ imaging of the stripes and directly observed both superfluid and crystal excitations. We investigated superfluid hydrodynamics and revealed a stripe compression mode, thus demonstrating that the system possesses a compressible crystalline structure. Through the frequency softening of this mode, we located the supersolid transition point. Our results establish spin-orbit–coupled supersolids as ideal systems to investigate supersolidity and its rich dynamics.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 Id="rId33" Type="http://schemas.openxmlformats.org/officeDocument/2006/relationships/hyperlink" Target="https://doi.org/10.1016/j.optlastec.2026.114849" TargetMode="External"/><Relationship Id="rId34" Type="http://schemas.openxmlformats.org/officeDocument/2006/relationships/hyperlink" Target="https://doi.org/10.1364/oe.584928" TargetMode="External"/><Relationship Id="rId35" Type="http://schemas.openxmlformats.org/officeDocument/2006/relationships/hyperlink" Target="https://doi.org/10.1364/oe.588352" TargetMode="External"/><Relationship Id="rId36" Type="http://schemas.openxmlformats.org/officeDocument/2006/relationships/hyperlink" Target="https://doi.org/10.1364/oe.585827" TargetMode="External"/><Relationship Id="rId37" Type="http://schemas.openxmlformats.org/officeDocument/2006/relationships/hyperlink" Target="https://doi.org/10.1364/oe.583281" TargetMode="External"/><Relationship Id="rId38" Type="http://schemas.openxmlformats.org/officeDocument/2006/relationships/hyperlink" Target="https://doi.org/10.1364/oe.582786" TargetMode="External"/><Relationship Id="rId39" Type="http://schemas.openxmlformats.org/officeDocument/2006/relationships/hyperlink" Target="https://doi.org/10.1364/oe.582616" TargetMode="External"/><Relationship Id="rId40" Type="http://schemas.openxmlformats.org/officeDocument/2006/relationships/hyperlink" Target="https://doi.org/10.1364/oe.582795" TargetMode="External"/><Relationship Id="rId41" Type="http://schemas.openxmlformats.org/officeDocument/2006/relationships/hyperlink" Target="https://doi.org/10.1364/oe.584559" TargetMode="External"/><Relationship Id="rId42" Type="http://schemas.openxmlformats.org/officeDocument/2006/relationships/hyperlink" Target="https://arxiv.org/abs/2602.03005v1" TargetMode="External"/><Relationship Id="rId43" Type="http://schemas.openxmlformats.org/officeDocument/2006/relationships/hyperlink" Target="https://arxiv.org/abs/2602.03042v1" TargetMode="External"/><Relationship Id="rId44" Type="http://schemas.openxmlformats.org/officeDocument/2006/relationships/hyperlink" Target="https://arxiv.org/abs/2602.03281v1" TargetMode="External"/><Relationship Id="rId45" Type="http://schemas.openxmlformats.org/officeDocument/2006/relationships/hyperlink" Target="https://arxiv.org/abs/2602.02721v1" TargetMode="External"/><Relationship Id="rId46" Type="http://schemas.openxmlformats.org/officeDocument/2006/relationships/hyperlink" Target="https://arxiv.org/abs/2602.02755v1" TargetMode="External"/><Relationship Id="rId47" Type="http://schemas.openxmlformats.org/officeDocument/2006/relationships/hyperlink" Target="https://arxiv.org/abs/2602.02795v1" TargetMode="External"/><Relationship Id="rId48" Type="http://schemas.openxmlformats.org/officeDocument/2006/relationships/hyperlink" Target="https://arxiv.org/abs/2602.02798v1" TargetMode="External"/><Relationship Id="rId49" Type="http://schemas.openxmlformats.org/officeDocument/2006/relationships/hyperlink" Target="https://arxiv.org/abs/2602.03302v1" TargetMode="External"/><Relationship Id="rId50" Type="http://schemas.openxmlformats.org/officeDocument/2006/relationships/hyperlink" Target="https://arxiv.org/abs/2602.02737v1" TargetMode="External"/><Relationship Id="rId51" Type="http://schemas.openxmlformats.org/officeDocument/2006/relationships/hyperlink" Target="https://arxiv.org/abs/2602.02756v1" TargetMode="External"/><Relationship Id="rId52" Type="http://schemas.openxmlformats.org/officeDocument/2006/relationships/hyperlink" Target="https://arxiv.org/abs/2602.02757v1" TargetMode="External"/><Relationship Id="rId53" Type="http://schemas.openxmlformats.org/officeDocument/2006/relationships/hyperlink" Target="https://arxiv.org/abs/2602.02901v1" TargetMode="External"/><Relationship Id="rId54" Type="http://schemas.openxmlformats.org/officeDocument/2006/relationships/hyperlink" Target="https://arxiv.org/abs/2602.02906v1" TargetMode="External"/><Relationship Id="rId55" Type="http://schemas.openxmlformats.org/officeDocument/2006/relationships/hyperlink" Target="https://arxiv.org/abs/2602.02968v1" TargetMode="External"/><Relationship Id="rId56" Type="http://schemas.openxmlformats.org/officeDocument/2006/relationships/hyperlink" Target="https://arxiv.org/abs/2602.03008v1" TargetMode="External"/><Relationship Id="rId57" Type="http://schemas.openxmlformats.org/officeDocument/2006/relationships/hyperlink" Target="https://arxiv.org/abs/2602.03062v1" TargetMode="External"/><Relationship Id="rId58" Type="http://schemas.openxmlformats.org/officeDocument/2006/relationships/hyperlink" Target="https://arxiv.org/abs/2602.03116v1" TargetMode="External"/><Relationship Id="rId59" Type="http://schemas.openxmlformats.org/officeDocument/2006/relationships/hyperlink" Target="https://arxiv.org/abs/2602.03142v1" TargetMode="External"/><Relationship Id="rId60" Type="http://schemas.openxmlformats.org/officeDocument/2006/relationships/hyperlink" Target="https://arxiv.org/abs/2602.03196v1" TargetMode="External"/><Relationship Id="rId61" Type="http://schemas.openxmlformats.org/officeDocument/2006/relationships/hyperlink" Target="https://arxiv.org/abs/2602.03199v1" TargetMode="External"/><Relationship Id="rId62" Type="http://schemas.openxmlformats.org/officeDocument/2006/relationships/hyperlink" Target="https://arxiv.org/abs/2602.03243v1" TargetMode="External"/><Relationship Id="rId63" Type="http://schemas.openxmlformats.org/officeDocument/2006/relationships/hyperlink" Target="https://arxiv.org/abs/2602.03248v1" TargetMode="External"/><Relationship Id="rId64" Type="http://schemas.openxmlformats.org/officeDocument/2006/relationships/hyperlink" Target="https://arxiv.org/abs/2602.03252v1" TargetMode="External"/><Relationship Id="rId65" Type="http://schemas.openxmlformats.org/officeDocument/2006/relationships/hyperlink" Target="https://arxiv.org/abs/2602.03335v1" TargetMode="External"/><Relationship Id="rId66" Type="http://schemas.openxmlformats.org/officeDocument/2006/relationships/hyperlink" Target="https://arxiv.org/abs/2602.03453v1" TargetMode="External"/><Relationship Id="rId67" Type="http://schemas.openxmlformats.org/officeDocument/2006/relationships/hyperlink" Target="https://arxiv.org/abs/2602.03479v1" TargetMode="External"/><Relationship Id="rId68" Type="http://schemas.openxmlformats.org/officeDocument/2006/relationships/hyperlink" Target="https://arxiv.org/abs/2602.03744v1" TargetMode="External"/><Relationship Id="rId69" Type="http://schemas.openxmlformats.org/officeDocument/2006/relationships/hyperlink" Target="https://arxiv.org/abs/2602.03752v1" TargetMode="External"/><Relationship Id="rId70" Type="http://schemas.openxmlformats.org/officeDocument/2006/relationships/hyperlink" Target="https://arxiv.org/abs/2602.02713v1" TargetMode="External"/><Relationship Id="rId71" Type="http://schemas.openxmlformats.org/officeDocument/2006/relationships/hyperlink" Target="https://arxiv.org/abs/2602.02758v1" TargetMode="External"/><Relationship Id="rId72" Type="http://schemas.openxmlformats.org/officeDocument/2006/relationships/hyperlink" Target="https://arxiv.org/abs/2602.03264v1" TargetMode="External"/><Relationship Id="rId73" Type="http://schemas.openxmlformats.org/officeDocument/2006/relationships/hyperlink" Target="https://arxiv.org/abs/2602.03294v1" TargetMode="External"/><Relationship Id="rId74" Type="http://schemas.openxmlformats.org/officeDocument/2006/relationships/hyperlink" Target="https://arxiv.org/abs/2602.03669v1" TargetMode="External"/><Relationship Id="rId75" Type="http://schemas.openxmlformats.org/officeDocument/2006/relationships/hyperlink" Target="https://arxiv.org/abs/2602.02722v1" TargetMode="External"/><Relationship Id="rId76" Type="http://schemas.openxmlformats.org/officeDocument/2006/relationships/hyperlink" Target="https://arxiv.org/abs/2602.02820v1" TargetMode="External"/><Relationship Id="rId77" Type="http://schemas.openxmlformats.org/officeDocument/2006/relationships/hyperlink" Target="https://arxiv.org/abs/2602.02850v1" TargetMode="External"/><Relationship Id="rId78" Type="http://schemas.openxmlformats.org/officeDocument/2006/relationships/hyperlink" Target="https://arxiv.org/abs/2602.02894v1" TargetMode="External"/><Relationship Id="rId79" Type="http://schemas.openxmlformats.org/officeDocument/2006/relationships/hyperlink" Target="https://arxiv.org/abs/2602.02908v1" TargetMode="External"/><Relationship Id="rId80" Type="http://schemas.openxmlformats.org/officeDocument/2006/relationships/hyperlink" Target="https://arxiv.org/abs/2602.02918v1" TargetMode="External"/><Relationship Id="rId81" Type="http://schemas.openxmlformats.org/officeDocument/2006/relationships/hyperlink" Target="https://arxiv.org/abs/2602.02944v1" TargetMode="External"/><Relationship Id="rId82" Type="http://schemas.openxmlformats.org/officeDocument/2006/relationships/hyperlink" Target="https://arxiv.org/abs/2602.02963v1" TargetMode="External"/><Relationship Id="rId83" Type="http://schemas.openxmlformats.org/officeDocument/2006/relationships/hyperlink" Target="https://arxiv.org/abs/2602.02969v1" TargetMode="External"/><Relationship Id="rId84" Type="http://schemas.openxmlformats.org/officeDocument/2006/relationships/hyperlink" Target="https://arxiv.org/abs/2602.02977v1" TargetMode="External"/><Relationship Id="rId85" Type="http://schemas.openxmlformats.org/officeDocument/2006/relationships/hyperlink" Target="https://arxiv.org/abs/2602.03013v1" TargetMode="External"/><Relationship Id="rId86" Type="http://schemas.openxmlformats.org/officeDocument/2006/relationships/hyperlink" Target="https://arxiv.org/abs/2602.03015v1" TargetMode="External"/><Relationship Id="rId87" Type="http://schemas.openxmlformats.org/officeDocument/2006/relationships/hyperlink" Target="https://arxiv.org/abs/2602.03038v1" TargetMode="External"/><Relationship Id="rId88" Type="http://schemas.openxmlformats.org/officeDocument/2006/relationships/hyperlink" Target="https://arxiv.org/abs/2602.03039v1" TargetMode="External"/><Relationship Id="rId89" Type="http://schemas.openxmlformats.org/officeDocument/2006/relationships/hyperlink" Target="https://arxiv.org/abs/2602.03076v1" TargetMode="External"/><Relationship Id="rId90" Type="http://schemas.openxmlformats.org/officeDocument/2006/relationships/hyperlink" Target="https://arxiv.org/abs/2602.03105v1" TargetMode="External"/><Relationship Id="rId91" Type="http://schemas.openxmlformats.org/officeDocument/2006/relationships/hyperlink" Target="https://arxiv.org/abs/2602.03123v1" TargetMode="External"/><Relationship Id="rId92" Type="http://schemas.openxmlformats.org/officeDocument/2006/relationships/hyperlink" Target="https://arxiv.org/abs/2602.03126v1" TargetMode="External"/><Relationship Id="rId93" Type="http://schemas.openxmlformats.org/officeDocument/2006/relationships/hyperlink" Target="https://arxiv.org/abs/2602.03130v1" TargetMode="External"/><Relationship Id="rId94" Type="http://schemas.openxmlformats.org/officeDocument/2006/relationships/hyperlink" Target="https://arxiv.org/abs/2602.03139v1" TargetMode="External"/><Relationship Id="rId95" Type="http://schemas.openxmlformats.org/officeDocument/2006/relationships/hyperlink" Target="https://arxiv.org/abs/2602.03156v1" TargetMode="External"/><Relationship Id="rId96" Type="http://schemas.openxmlformats.org/officeDocument/2006/relationships/hyperlink" Target="https://arxiv.org/abs/2602.03176v1" TargetMode="External"/><Relationship Id="rId97" Type="http://schemas.openxmlformats.org/officeDocument/2006/relationships/hyperlink" Target="https://arxiv.org/abs/2602.03210v1" TargetMode="External"/><Relationship Id="rId98" Type="http://schemas.openxmlformats.org/officeDocument/2006/relationships/hyperlink" Target="https://arxiv.org/abs/2602.03220v1" TargetMode="External"/><Relationship Id="rId99" Type="http://schemas.openxmlformats.org/officeDocument/2006/relationships/hyperlink" Target="https://arxiv.org/abs/2602.03227v1" TargetMode="External"/><Relationship Id="rId100" Type="http://schemas.openxmlformats.org/officeDocument/2006/relationships/hyperlink" Target="https://arxiv.org/abs/2602.03230v1" TargetMode="External"/><Relationship Id="rId101" Type="http://schemas.openxmlformats.org/officeDocument/2006/relationships/hyperlink" Target="https://arxiv.org/abs/2602.03292v1" TargetMode="External"/><Relationship Id="rId102" Type="http://schemas.openxmlformats.org/officeDocument/2006/relationships/hyperlink" Target="https://arxiv.org/abs/2602.03314v1" TargetMode="External"/><Relationship Id="rId103" Type="http://schemas.openxmlformats.org/officeDocument/2006/relationships/hyperlink" Target="https://arxiv.org/abs/2602.03316v1" TargetMode="External"/><Relationship Id="rId104" Type="http://schemas.openxmlformats.org/officeDocument/2006/relationships/hyperlink" Target="https://arxiv.org/abs/2602.03320v1" TargetMode="External"/><Relationship Id="rId105" Type="http://schemas.openxmlformats.org/officeDocument/2006/relationships/hyperlink" Target="https://arxiv.org/abs/2602.03327v1" TargetMode="External"/><Relationship Id="rId106" Type="http://schemas.openxmlformats.org/officeDocument/2006/relationships/hyperlink" Target="https://arxiv.org/abs/2602.03339v1" TargetMode="External"/><Relationship Id="rId107" Type="http://schemas.openxmlformats.org/officeDocument/2006/relationships/hyperlink" Target="https://arxiv.org/abs/2602.03342v1" TargetMode="External"/><Relationship Id="rId108" Type="http://schemas.openxmlformats.org/officeDocument/2006/relationships/hyperlink" Target="https://arxiv.org/abs/2602.03361v1" TargetMode="External"/><Relationship Id="rId109" Type="http://schemas.openxmlformats.org/officeDocument/2006/relationships/hyperlink" Target="https://arxiv.org/abs/2602.03371v1" TargetMode="External"/><Relationship Id="rId110" Type="http://schemas.openxmlformats.org/officeDocument/2006/relationships/hyperlink" Target="https://arxiv.org/abs/2602.03372v1" TargetMode="External"/><Relationship Id="rId111" Type="http://schemas.openxmlformats.org/officeDocument/2006/relationships/hyperlink" Target="https://arxiv.org/abs/2602.03410v1" TargetMode="External"/><Relationship Id="rId112" Type="http://schemas.openxmlformats.org/officeDocument/2006/relationships/hyperlink" Target="https://arxiv.org/abs/2602.03414v1" TargetMode="External"/><Relationship Id="rId113" Type="http://schemas.openxmlformats.org/officeDocument/2006/relationships/hyperlink" Target="https://arxiv.org/abs/2602.03423v1" TargetMode="External"/><Relationship Id="rId114" Type="http://schemas.openxmlformats.org/officeDocument/2006/relationships/hyperlink" Target="https://arxiv.org/abs/2602.03448v1" TargetMode="External"/><Relationship Id="rId115" Type="http://schemas.openxmlformats.org/officeDocument/2006/relationships/hyperlink" Target="https://arxiv.org/abs/2602.03454v1" TargetMode="External"/><Relationship Id="rId116" Type="http://schemas.openxmlformats.org/officeDocument/2006/relationships/hyperlink" Target="https://arxiv.org/abs/2602.03472v1" TargetMode="External"/><Relationship Id="rId117" Type="http://schemas.openxmlformats.org/officeDocument/2006/relationships/hyperlink" Target="https://arxiv.org/abs/2602.03491v1" TargetMode="External"/><Relationship Id="rId118" Type="http://schemas.openxmlformats.org/officeDocument/2006/relationships/hyperlink" Target="https://arxiv.org/abs/2602.03510v1" TargetMode="External"/><Relationship Id="rId119" Type="http://schemas.openxmlformats.org/officeDocument/2006/relationships/hyperlink" Target="https://arxiv.org/abs/2602.03530v1" TargetMode="External"/><Relationship Id="rId120" Type="http://schemas.openxmlformats.org/officeDocument/2006/relationships/hyperlink" Target="https://arxiv.org/abs/2602.03531v1" TargetMode="External"/><Relationship Id="rId121" Type="http://schemas.openxmlformats.org/officeDocument/2006/relationships/hyperlink" Target="https://arxiv.org/abs/2602.03555v1" TargetMode="External"/><Relationship Id="rId122" Type="http://schemas.openxmlformats.org/officeDocument/2006/relationships/hyperlink" Target="https://arxiv.org/abs/2602.03558v1" TargetMode="External"/><Relationship Id="rId123" Type="http://schemas.openxmlformats.org/officeDocument/2006/relationships/hyperlink" Target="https://arxiv.org/abs/2602.03594v1" TargetMode="External"/><Relationship Id="rId124" Type="http://schemas.openxmlformats.org/officeDocument/2006/relationships/hyperlink" Target="https://arxiv.org/abs/2602.03604v1" TargetMode="External"/><Relationship Id="rId125" Type="http://schemas.openxmlformats.org/officeDocument/2006/relationships/hyperlink" Target="https://arxiv.org/abs/2602.03615v1" TargetMode="External"/><Relationship Id="rId126" Type="http://schemas.openxmlformats.org/officeDocument/2006/relationships/hyperlink" Target="https://arxiv.org/abs/2602.03622v1" TargetMode="External"/><Relationship Id="rId127" Type="http://schemas.openxmlformats.org/officeDocument/2006/relationships/hyperlink" Target="https://arxiv.org/abs/2602.03625v1" TargetMode="External"/><Relationship Id="rId128" Type="http://schemas.openxmlformats.org/officeDocument/2006/relationships/hyperlink" Target="https://arxiv.org/abs/2602.03665v1" TargetMode="External"/><Relationship Id="rId129" Type="http://schemas.openxmlformats.org/officeDocument/2006/relationships/hyperlink" Target="https://arxiv.org/abs/2602.03742v1" TargetMode="External"/><Relationship Id="rId130" Type="http://schemas.openxmlformats.org/officeDocument/2006/relationships/hyperlink" Target="https://arxiv.org/abs/2602.03749v1" TargetMode="External"/><Relationship Id="rId131" Type="http://schemas.openxmlformats.org/officeDocument/2006/relationships/hyperlink" Target="https://arxiv.org/abs/2602.03750v1" TargetMode="External"/><Relationship Id="rId132" Type="http://schemas.openxmlformats.org/officeDocument/2006/relationships/hyperlink" Target="https://arxiv.org/abs/2602.03753v1" TargetMode="External"/><Relationship Id="rId133" Type="http://schemas.openxmlformats.org/officeDocument/2006/relationships/hyperlink" Target="https://arxiv.org/abs/2602.03760v1" TargetMode="External"/><Relationship Id="rId134" Type="http://schemas.openxmlformats.org/officeDocument/2006/relationships/hyperlink" Target="https://arxiv.org/abs/2602.03766v1" TargetMode="External"/><Relationship Id="rId135" Type="http://schemas.openxmlformats.org/officeDocument/2006/relationships/hyperlink" Target="https://arxiv.org/abs/2602.03785v1" TargetMode="External"/><Relationship Id="rId136" Type="http://schemas.openxmlformats.org/officeDocument/2006/relationships/hyperlink" Target="https://arxiv.org/abs/2602.03793v1" TargetMode="External"/><Relationship Id="rId137" Type="http://schemas.openxmlformats.org/officeDocument/2006/relationships/hyperlink" Target="https://arxiv.org/abs/2602.03796v1" TargetMode="External"/><Relationship Id="rId138" Type="http://schemas.openxmlformats.org/officeDocument/2006/relationships/hyperlink" Target="https://arxiv.org/abs/2602.03811v1" TargetMode="External"/><Relationship Id="rId139" Type="http://schemas.openxmlformats.org/officeDocument/2006/relationships/hyperlink" Target="https://arxiv.org/abs/2602.03826v1" TargetMode="External"/><Relationship Id="rId140" Type="http://schemas.openxmlformats.org/officeDocument/2006/relationships/hyperlink" Target="https://arxiv.org/abs/2602.03838v1" TargetMode="External"/><Relationship Id="rId141" Type="http://schemas.openxmlformats.org/officeDocument/2006/relationships/hyperlink" Target="https://arxiv.org/abs/2602.03847v1" TargetMode="External"/><Relationship Id="rId142" Type="http://schemas.openxmlformats.org/officeDocument/2006/relationships/hyperlink" Target="https://doi.org/10.1038/s41467-026-68701-z" TargetMode="External"/><Relationship Id="rId143" Type="http://schemas.openxmlformats.org/officeDocument/2006/relationships/hyperlink" Target="https://doi.org/10.1038/s41467-026-68940-0" TargetMode="External"/><Relationship Id="rId144" Type="http://schemas.openxmlformats.org/officeDocument/2006/relationships/hyperlink" Target="https://doi.org/10.1038/s41467-025-68032-5" TargetMode="External"/><Relationship Id="rId145" Type="http://schemas.openxmlformats.org/officeDocument/2006/relationships/hyperlink" Target="https://doi.org/10.1038/s41467-026-68931-1" TargetMode="External"/><Relationship Id="rId146" Type="http://schemas.openxmlformats.org/officeDocument/2006/relationships/hyperlink" Target="https://doi.org/10.1038/s41467-026-69101-z" TargetMode="External"/><Relationship Id="rId147" Type="http://schemas.openxmlformats.org/officeDocument/2006/relationships/hyperlink" Target="https://doi.org/10.1038/s41467-025-68260-9" TargetMode="External"/><Relationship Id="rId148" Type="http://schemas.openxmlformats.org/officeDocument/2006/relationships/hyperlink" Target="https://doi.org/10.1038/s41467-026-68653-4" TargetMode="External"/><Relationship Id="rId149" Type="http://schemas.openxmlformats.org/officeDocument/2006/relationships/hyperlink" Target="https://doi.org/10.1038/s41467-026-69065-0" TargetMode="External"/><Relationship Id="rId150" Type="http://schemas.openxmlformats.org/officeDocument/2006/relationships/hyperlink" Target="https://doi.org/10.1038/s41467-026-69112-w" TargetMode="External"/><Relationship Id="rId151" Type="http://schemas.openxmlformats.org/officeDocument/2006/relationships/hyperlink" Target="https://doi.org/10.1038/s41467-026-69087-8" TargetMode="External"/><Relationship Id="rId152" Type="http://schemas.openxmlformats.org/officeDocument/2006/relationships/hyperlink" Target="https://doi.org/10.1038/s41467-026-68918-y" TargetMode="External"/><Relationship Id="rId153" Type="http://schemas.openxmlformats.org/officeDocument/2006/relationships/hyperlink" Target="https://doi.org/10.1038/s41467-026-69042-7" TargetMode="External"/><Relationship Id="rId154" Type="http://schemas.openxmlformats.org/officeDocument/2006/relationships/hyperlink" Target="https://doi.org/10.1038/s41467-025-68264-5" TargetMode="External"/><Relationship Id="rId155" Type="http://schemas.openxmlformats.org/officeDocument/2006/relationships/hyperlink" Target="https://doi.org/10.1038/s41467-026-68936-w" TargetMode="External"/><Relationship Id="rId156" Type="http://schemas.openxmlformats.org/officeDocument/2006/relationships/hyperlink" Target="https://doi.org/10.1126/sciadv.aeb3022" TargetMode="External"/><Relationship Id="rId157" Type="http://schemas.openxmlformats.org/officeDocument/2006/relationships/hyperlink" Target="https://doi.org/10.1126/sciadv.adx7204" TargetMode="External"/><Relationship Id="rId158" Type="http://schemas.openxmlformats.org/officeDocument/2006/relationships/hyperlink" Target="https://doi.org/10.1126/sciadv.aea3960" TargetMode="External"/><Relationship Id="rId159" Type="http://schemas.openxmlformats.org/officeDocument/2006/relationships/hyperlink" Target="https://doi.org/10.1126/sciadv.adz4585" TargetMode="External"/><Relationship Id="rId160" Type="http://schemas.openxmlformats.org/officeDocument/2006/relationships/hyperlink" Target="https://doi.org/10.1126/sciadv.adz1565" TargetMode="External"/><Relationship Id="rId161" Type="http://schemas.openxmlformats.org/officeDocument/2006/relationships/hyperlink" Target="https://doi.org/10.1126/sciadv.aea2831" TargetMode="External"/><Relationship Id="rId162" Type="http://schemas.openxmlformats.org/officeDocument/2006/relationships/hyperlink" Target="https://doi.org/10.1126/sciadv.aea4466" TargetMode="External"/><Relationship Id="rId163" Type="http://schemas.openxmlformats.org/officeDocument/2006/relationships/hyperlink" Target="https://doi.org/10.1126/sciadv.aea8571" TargetMode="External"/><Relationship Id="rId164" Type="http://schemas.openxmlformats.org/officeDocument/2006/relationships/hyperlink" Target="https://doi.org/10.1126/sciadv.adx6539" TargetMode="External"/><Relationship Id="rId165" Type="http://schemas.openxmlformats.org/officeDocument/2006/relationships/hyperlink" Target="https://doi.org/10.1126/sciadv.aeb4073" TargetMode="External"/><Relationship Id="rId166" Type="http://schemas.openxmlformats.org/officeDocument/2006/relationships/hyperlink" Target="https://doi.org/10.1126/sciadv.adx2075" TargetMode="External"/><Relationship Id="rId167" Type="http://schemas.openxmlformats.org/officeDocument/2006/relationships/hyperlink" Target="https://doi.org/10.1126/sciadv.ady6978" TargetMode="External"/><Relationship Id="rId168" Type="http://schemas.openxmlformats.org/officeDocument/2006/relationships/hyperlink" Target="https://doi.org/10.1126/sciadv.aed1952" TargetMode="External"/><Relationship Id="rId169" Type="http://schemas.openxmlformats.org/officeDocument/2006/relationships/hyperlink" Target="https://doi.org/10.1126/sciadv.aed2184" TargetMode="External"/><Relationship Id="rId170" Type="http://schemas.openxmlformats.org/officeDocument/2006/relationships/hyperlink" Target="https://doi.org/10.1126/sciadv.aea7983" TargetMode="External"/><Relationship Id="rId171" Type="http://schemas.openxmlformats.org/officeDocument/2006/relationships/hyperlink" Target="https://doi.org/10.1126/sciadv.aeb7242" TargetMode="External"/><Relationship Id="rId172" Type="http://schemas.openxmlformats.org/officeDocument/2006/relationships/hyperlink" Target="https://doi.org/10.1126/sciadv.ady0545" TargetMode="External"/><Relationship Id="rId173" Type="http://schemas.openxmlformats.org/officeDocument/2006/relationships/hyperlink" Target="https://doi.org/10.1126/sciadv.aeb1158" TargetMode="External"/><Relationship Id="rId174" Type="http://schemas.openxmlformats.org/officeDocument/2006/relationships/hyperlink" Target="https://doi.org/10.1126/sciadv.aeb1378" TargetMode="External"/><Relationship Id="rId175" Type="http://schemas.openxmlformats.org/officeDocument/2006/relationships/hyperlink" Target="https://doi.org/10.1126/sciadv.adz8962" TargetMode="External"/><Relationship Id="rId176" Type="http://schemas.openxmlformats.org/officeDocument/2006/relationships/hyperlink" Target="https://doi.org/10.1126/sciadv.aea5236" TargetMode="External"/><Relationship Id="rId177" Type="http://schemas.openxmlformats.org/officeDocument/2006/relationships/hyperlink" Target="https://doi.org/10.1126/sciadv.adx5130" TargetMode="External"/><Relationship Id="rId178" Type="http://schemas.openxmlformats.org/officeDocument/2006/relationships/hyperlink" Target="https://doi.org/10.1126/sciadv.aea5313" TargetMode="External"/><Relationship Id="rId179" Type="http://schemas.openxmlformats.org/officeDocument/2006/relationships/hyperlink" Target="https://doi.org/10.1126/sciadv.adv0423" TargetMode="External"/><Relationship Id="rId180" Type="http://schemas.openxmlformats.org/officeDocument/2006/relationships/hyperlink" Target="https://doi.org/10.1126/sciadv.aeb6329" TargetMode="External"/><Relationship Id="rId181" Type="http://schemas.openxmlformats.org/officeDocument/2006/relationships/hyperlink" Target="https://doi.org/10.1126/sciadv.aeb5769" TargetMode="External"/><Relationship Id="rId182" Type="http://schemas.openxmlformats.org/officeDocument/2006/relationships/hyperlink" Target="https://doi.org/10.1126/sciadv.aec5309" TargetMode="External"/><Relationship Id="rId183" Type="http://schemas.openxmlformats.org/officeDocument/2006/relationships/hyperlink" Target="https://doi.org/10.1126/sciadv.ady8981" TargetMode="External"/><Relationship Id="rId184" Type="http://schemas.openxmlformats.org/officeDocument/2006/relationships/hyperlink" Target="https://doi.org/10.1126/sciadv.adu5874" TargetMode="External"/><Relationship Id="rId185" Type="http://schemas.openxmlformats.org/officeDocument/2006/relationships/hyperlink" Target="https://doi.org/10.1038/s41598-026-37958-1" TargetMode="External"/><Relationship Id="rId186" Type="http://schemas.openxmlformats.org/officeDocument/2006/relationships/hyperlink" Target="https://doi.org/10.1038/s41598-025-31319-0" TargetMode="External"/><Relationship Id="rId187" Type="http://schemas.openxmlformats.org/officeDocument/2006/relationships/hyperlink" Target="https://doi.org/10.1038/s41598-026-37788-1" TargetMode="External"/><Relationship Id="rId188" Type="http://schemas.openxmlformats.org/officeDocument/2006/relationships/hyperlink" Target="https://doi.org/10.1038/s41598-025-27311-3" TargetMode="External"/><Relationship Id="rId189" Type="http://schemas.openxmlformats.org/officeDocument/2006/relationships/hyperlink" Target="https://doi.org/10.1038/s41598-026-38617-1" TargetMode="External"/><Relationship Id="rId190" Type="http://schemas.openxmlformats.org/officeDocument/2006/relationships/hyperlink" Target="https://doi.org/10.1038/s41598-026-38383-0" TargetMode="External"/><Relationship Id="rId191" Type="http://schemas.openxmlformats.org/officeDocument/2006/relationships/hyperlink" Target="https://doi.org/10.1038/s41598-026-36163-4" TargetMode="External"/><Relationship Id="rId192" Type="http://schemas.openxmlformats.org/officeDocument/2006/relationships/hyperlink" Target="https://doi.org/10.1038/s41598-026-36056-6" TargetMode="External"/><Relationship Id="rId193" Type="http://schemas.openxmlformats.org/officeDocument/2006/relationships/hyperlink" Target="https://doi.org/10.1038/s41598-026-38348-3" TargetMode="External"/><Relationship Id="rId194" Type="http://schemas.openxmlformats.org/officeDocument/2006/relationships/hyperlink" Target="https://doi.org/10.1038/s41598-026-35701-4" TargetMode="External"/><Relationship Id="rId195" Type="http://schemas.openxmlformats.org/officeDocument/2006/relationships/hyperlink" Target="https://doi.org/10.1038/s41598-026-37642-4" TargetMode="External"/><Relationship Id="rId196" Type="http://schemas.openxmlformats.org/officeDocument/2006/relationships/hyperlink" Target="https://doi.org/10.1038/s41598-026-37562-3" TargetMode="External"/><Relationship Id="rId197" Type="http://schemas.openxmlformats.org/officeDocument/2006/relationships/hyperlink" Target="https://doi.org/10.1038/s41598-026-37069-x" TargetMode="External"/><Relationship Id="rId198" Type="http://schemas.openxmlformats.org/officeDocument/2006/relationships/hyperlink" Target="https://doi.org/10.1038/s41598-026-36966-5" TargetMode="External"/><Relationship Id="rId199" Type="http://schemas.openxmlformats.org/officeDocument/2006/relationships/hyperlink" Target="https://doi.org/10.1038/s41598-026-35527-0" TargetMode="External"/><Relationship Id="rId200" Type="http://schemas.openxmlformats.org/officeDocument/2006/relationships/hyperlink" Target="https://doi.org/10.1038/s41598-026-35601-7" TargetMode="External"/><Relationship Id="rId201" Type="http://schemas.openxmlformats.org/officeDocument/2006/relationships/hyperlink" Target="https://doi.org/10.1038/s41598-026-37836-w" TargetMode="External"/><Relationship Id="rId202" Type="http://schemas.openxmlformats.org/officeDocument/2006/relationships/hyperlink" Target="https://doi.org/10.1038/s41598-026-38219-x" TargetMode="External"/><Relationship Id="rId203" Type="http://schemas.openxmlformats.org/officeDocument/2006/relationships/hyperlink" Target="https://doi.org/10.1038/s41598-026-38476-w" TargetMode="External"/><Relationship Id="rId204" Type="http://schemas.openxmlformats.org/officeDocument/2006/relationships/hyperlink" Target="https://doi.org/10.1038/s41598-026-38249-5" TargetMode="External"/><Relationship Id="rId205" Type="http://schemas.openxmlformats.org/officeDocument/2006/relationships/hyperlink" Target="https://doi.org/10.1038/s41598-026-38419-5" TargetMode="External"/><Relationship Id="rId206" Type="http://schemas.openxmlformats.org/officeDocument/2006/relationships/hyperlink" Target="https://doi.org/10.1038/s41598-026-37659-9" TargetMode="External"/><Relationship Id="rId207" Type="http://schemas.openxmlformats.org/officeDocument/2006/relationships/hyperlink" Target="https://doi.org/10.1038/s41598-026-37219-1" TargetMode="External"/><Relationship Id="rId208" Type="http://schemas.openxmlformats.org/officeDocument/2006/relationships/hyperlink" Target="https://doi.org/10.1038/s41598-026-37692-8" TargetMode="External"/><Relationship Id="rId209" Type="http://schemas.openxmlformats.org/officeDocument/2006/relationships/hyperlink" Target="https://doi.org/10.1038/s41598-026-38321-0" TargetMode="External"/><Relationship Id="rId210" Type="http://schemas.openxmlformats.org/officeDocument/2006/relationships/hyperlink" Target="https://doi.org/10.1038/s41598-026-38402-0" TargetMode="External"/><Relationship Id="rId211" Type="http://schemas.openxmlformats.org/officeDocument/2006/relationships/hyperlink" Target="https://doi.org/10.1038/s41598-026-38107-4" TargetMode="External"/><Relationship Id="rId212" Type="http://schemas.openxmlformats.org/officeDocument/2006/relationships/hyperlink" Target="https://doi.org/10.1038/s41598-026-38050-4" TargetMode="External"/><Relationship Id="rId213" Type="http://schemas.openxmlformats.org/officeDocument/2006/relationships/hyperlink" Target="https://doi.org/10.1016/j.optcom.2026.132992" TargetMode="External"/><Relationship Id="rId214" Type="http://schemas.openxmlformats.org/officeDocument/2006/relationships/hyperlink" Target="https://doi.org/10.1364/ol.584145" TargetMode="External"/><Relationship Id="rId215" Type="http://schemas.openxmlformats.org/officeDocument/2006/relationships/hyperlink" Target="https://doi.org/10.1364/optica.571318" TargetMode="External"/><Relationship Id="rId216" Type="http://schemas.openxmlformats.org/officeDocument/2006/relationships/hyperlink" Target="https://doi.org/10.1038/s41592-025-02945-3" TargetMode="External"/><Relationship Id="rId217" Type="http://schemas.openxmlformats.org/officeDocument/2006/relationships/hyperlink" Target="https://doi.org/10.1038/s41592-025-02943-5" TargetMode="External"/><Relationship Id="rId218" Type="http://schemas.openxmlformats.org/officeDocument/2006/relationships/hyperlink" Target="https://doi.org/10.1038/s41592-025-02906-w" TargetMode="External"/><Relationship Id="rId219" Type="http://schemas.openxmlformats.org/officeDocument/2006/relationships/hyperlink" Target="https://doi.org/10.1038/s41592-025-02971-1" TargetMode="External"/><Relationship Id="rId220" Type="http://schemas.openxmlformats.org/officeDocument/2006/relationships/hyperlink" Target="https://doi.org/10.1038/s41592-025-02985-9" TargetMode="External"/><Relationship Id="rId221" Type="http://schemas.openxmlformats.org/officeDocument/2006/relationships/hyperlink" Target="https://doi.org/10.1038/s41592-025-02988-6" TargetMode="External"/><Relationship Id="rId222" Type="http://schemas.openxmlformats.org/officeDocument/2006/relationships/hyperlink" Target="https://doi.org/10.1038/s41592-025-02925-7" TargetMode="External"/><Relationship Id="rId223" Type="http://schemas.openxmlformats.org/officeDocument/2006/relationships/hyperlink" Target="https://doi.org/10.1038/s41592-025-02966-y" TargetMode="External"/><Relationship Id="rId224" Type="http://schemas.openxmlformats.org/officeDocument/2006/relationships/hyperlink" Target="https://doi.org/10.1038/s41592-025-02869-y" TargetMode="External"/><Relationship Id="rId225" Type="http://schemas.openxmlformats.org/officeDocument/2006/relationships/hyperlink" Target="https://doi.org/10.1038/s41592-025-02905-x" TargetMode="External"/><Relationship Id="rId226" Type="http://schemas.openxmlformats.org/officeDocument/2006/relationships/hyperlink" Target="https://doi.org/10.1038/s41592-025-02935-5" TargetMode="External"/><Relationship Id="rId227" Type="http://schemas.openxmlformats.org/officeDocument/2006/relationships/hyperlink" Target="https://doi.org/10.1038/s41592-025-02968-w" TargetMode="External"/><Relationship Id="rId228" Type="http://schemas.openxmlformats.org/officeDocument/2006/relationships/hyperlink" Target="https://doi.org/10.1038/s41592-025-02960-4" TargetMode="External"/><Relationship Id="rId229" Type="http://schemas.openxmlformats.org/officeDocument/2006/relationships/hyperlink" Target="https://doi.org/10.1038/s41592-025-02964-0" TargetMode="External"/><Relationship Id="rId230" Type="http://schemas.openxmlformats.org/officeDocument/2006/relationships/hyperlink" Target="https://doi.org/10.1038/s41592-025-02973-z" TargetMode="External"/><Relationship Id="rId231" Type="http://schemas.openxmlformats.org/officeDocument/2006/relationships/hyperlink" Target="https://doi.org/10.1038/s41592-025-02992-w" TargetMode="External"/><Relationship Id="rId232" Type="http://schemas.openxmlformats.org/officeDocument/2006/relationships/hyperlink" Target="https://doi.org/10.1038/s41592-025-02965-z" TargetMode="External"/><Relationship Id="rId233" Type="http://schemas.openxmlformats.org/officeDocument/2006/relationships/hyperlink" Target="https://doi.org/10.1038/s41592-025-02897-8" TargetMode="External"/><Relationship Id="rId234" Type="http://schemas.openxmlformats.org/officeDocument/2006/relationships/hyperlink" Target="https://doi.org/10.1038/s41592-025-02929-3" TargetMode="External"/><Relationship Id="rId235" Type="http://schemas.openxmlformats.org/officeDocument/2006/relationships/hyperlink" Target="https://doi.org/10.1038/s41592-025-02934-6" TargetMode="External"/><Relationship Id="rId236" Type="http://schemas.openxmlformats.org/officeDocument/2006/relationships/hyperlink" Target="https://doi.org/10.1038/s41592-025-02930-w" TargetMode="External"/><Relationship Id="rId237" Type="http://schemas.openxmlformats.org/officeDocument/2006/relationships/hyperlink" Target="https://doi.org/10.1038/s41592-025-02871-4" TargetMode="External"/><Relationship Id="rId238" Type="http://schemas.openxmlformats.org/officeDocument/2006/relationships/hyperlink" Target="https://doi.org/10.1038/s41592-025-02997-5" TargetMode="External"/><Relationship Id="rId239" Type="http://schemas.openxmlformats.org/officeDocument/2006/relationships/hyperlink" Target="https://doi.org/10.1038/s41592-025-02948-0" TargetMode="External"/><Relationship Id="rId240" Type="http://schemas.openxmlformats.org/officeDocument/2006/relationships/hyperlink" Target="https://doi.org/10.1038/s41567-025-03086-2" TargetMode="External"/><Relationship Id="rId241" Type="http://schemas.openxmlformats.org/officeDocument/2006/relationships/hyperlink" Target="https://doi.org/10.1038/s41567-025-03095-1" TargetMode="External"/><Relationship Id="rId242" Type="http://schemas.openxmlformats.org/officeDocument/2006/relationships/hyperlink" Target="https://doi.org/10.1038/s41567-025-03101-6" TargetMode="External"/><Relationship Id="rId243" Type="http://schemas.openxmlformats.org/officeDocument/2006/relationships/hyperlink" Target="https://doi.org/10.1038/s41567-025-03116-z" TargetMode="External"/><Relationship Id="rId244" Type="http://schemas.openxmlformats.org/officeDocument/2006/relationships/hyperlink" Target="https://doi.org/10.1038/s41567-025-03115-0" TargetMode="External"/><Relationship Id="rId245" Type="http://schemas.openxmlformats.org/officeDocument/2006/relationships/hyperlink" Target="https://doi.org/10.1038/s41567-025-03094-2" TargetMode="External"/><Relationship Id="rId246" Type="http://schemas.openxmlformats.org/officeDocument/2006/relationships/hyperlink" Target="https://doi.org/10.1038/s41567-025-03107-0" TargetMode="External"/><Relationship Id="rId247" Type="http://schemas.openxmlformats.org/officeDocument/2006/relationships/hyperlink" Target="https://doi.org/10.1038/s41567-025-03113-2" TargetMode="External"/><Relationship Id="rId248" Type="http://schemas.openxmlformats.org/officeDocument/2006/relationships/hyperlink" Target="https://doi.org/10.1038/s41567-025-03133-y" TargetMode="External"/><Relationship Id="rId249" Type="http://schemas.openxmlformats.org/officeDocument/2006/relationships/hyperlink" Target="https://doi.org/10.1038/s41567-025-03123-0" TargetMode="External"/><Relationship Id="rId250" Type="http://schemas.openxmlformats.org/officeDocument/2006/relationships/hyperlink" Target="https://doi.org/10.1038/s41567-025-03122-1" TargetMode="External"/><Relationship Id="rId251" Type="http://schemas.openxmlformats.org/officeDocument/2006/relationships/hyperlink" Target="https://doi.org/10.1038/s41567-025-03136-9" TargetMode="External"/><Relationship Id="rId252" Type="http://schemas.openxmlformats.org/officeDocument/2006/relationships/hyperlink" Target="https://doi.org/10.1038/s41567-025-03117-y" TargetMode="External"/><Relationship Id="rId253" Type="http://schemas.openxmlformats.org/officeDocument/2006/relationships/hyperlink" Target="https://doi.org/10.1038/s41567-025-03124-z" TargetMode="External"/><Relationship Id="rId254" Type="http://schemas.openxmlformats.org/officeDocument/2006/relationships/hyperlink" Target="https://doi.org/10.1038/s41567-025-03132-z" TargetMode="External"/><Relationship Id="rId255" Type="http://schemas.openxmlformats.org/officeDocument/2006/relationships/hyperlink" Target="https://doi.org/10.1038/s41567-025-03131-0" TargetMode="External"/><Relationship Id="rId256" Type="http://schemas.openxmlformats.org/officeDocument/2006/relationships/hyperlink" Target="https://doi.org/10.1038/s41567-025-03161-8" TargetMode="External"/><Relationship Id="rId257" Type="http://schemas.openxmlformats.org/officeDocument/2006/relationships/hyperlink" Target="https://doi.org/10.1038/s41567-026-03172-z" TargetMode="External"/><Relationship Id="rId258" Type="http://schemas.openxmlformats.org/officeDocument/2006/relationships/hyperlink" Target="https://doi.org/10.1038/s42256-025-01105-8" TargetMode="External"/><Relationship Id="rId259" Type="http://schemas.openxmlformats.org/officeDocument/2006/relationships/hyperlink" Target="https://doi.org/10.1038/s42256-025-01116-5" TargetMode="External"/><Relationship Id="rId260" Type="http://schemas.openxmlformats.org/officeDocument/2006/relationships/hyperlink" Target="https://doi.org/10.1038/s42256-025-01131-6" TargetMode="External"/><Relationship Id="rId261" Type="http://schemas.openxmlformats.org/officeDocument/2006/relationships/hyperlink" Target="https://doi.org/10.1038/s42256-025-01139-y" TargetMode="External"/><Relationship Id="rId262" Type="http://schemas.openxmlformats.org/officeDocument/2006/relationships/hyperlink" Target="https://doi.org/10.1038/s42256-025-01130-7" TargetMode="External"/><Relationship Id="rId263" Type="http://schemas.openxmlformats.org/officeDocument/2006/relationships/hyperlink" Target="https://doi.org/10.1038/s42256-025-01142-3" TargetMode="External"/><Relationship Id="rId264" Type="http://schemas.openxmlformats.org/officeDocument/2006/relationships/hyperlink" Target="https://doi.org/10.1038/s42256-025-01144-1" TargetMode="External"/><Relationship Id="rId265" Type="http://schemas.openxmlformats.org/officeDocument/2006/relationships/hyperlink" Target="https://doi.org/10.1038/s42256-025-01122-7" TargetMode="External"/><Relationship Id="rId266" Type="http://schemas.openxmlformats.org/officeDocument/2006/relationships/hyperlink" Target="https://doi.org/10.1038/s42256-025-01166-9" TargetMode="External"/><Relationship Id="rId267" Type="http://schemas.openxmlformats.org/officeDocument/2006/relationships/hyperlink" Target="https://doi.org/10.1038/s42256-025-01161-0" TargetMode="External"/><Relationship Id="rId268" Type="http://schemas.openxmlformats.org/officeDocument/2006/relationships/hyperlink" Target="https://doi.org/10.1038/s42256-025-01162-z" TargetMode="External"/><Relationship Id="rId269" Type="http://schemas.openxmlformats.org/officeDocument/2006/relationships/hyperlink" Target="https://doi.org/10.1038/s42256-025-01167-8" TargetMode="External"/><Relationship Id="rId270" Type="http://schemas.openxmlformats.org/officeDocument/2006/relationships/hyperlink" Target="https://doi.org/10.1038/s41551-025-01542-1" TargetMode="External"/><Relationship Id="rId271" Type="http://schemas.openxmlformats.org/officeDocument/2006/relationships/hyperlink" Target="https://doi.org/10.1038/s41551-025-01544-z" TargetMode="External"/><Relationship Id="rId272" Type="http://schemas.openxmlformats.org/officeDocument/2006/relationships/hyperlink" Target="https://doi.org/10.1038/s41551-025-01561-y" TargetMode="External"/><Relationship Id="rId273" Type="http://schemas.openxmlformats.org/officeDocument/2006/relationships/hyperlink" Target="https://doi.org/10.1038/s41551-025-01554-x" TargetMode="External"/><Relationship Id="rId274" Type="http://schemas.openxmlformats.org/officeDocument/2006/relationships/hyperlink" Target="https://doi.org/10.1038/s41551-025-01581-8" TargetMode="External"/><Relationship Id="rId275" Type="http://schemas.openxmlformats.org/officeDocument/2006/relationships/hyperlink" Target="https://doi.org/10.1038/s41551-025-01574-7" TargetMode="External"/><Relationship Id="rId276" Type="http://schemas.openxmlformats.org/officeDocument/2006/relationships/hyperlink" Target="https://doi.org/10.1038/s41551-025-01603-5" TargetMode="External"/><Relationship Id="rId277" Type="http://schemas.openxmlformats.org/officeDocument/2006/relationships/hyperlink" Target="https://doi.org/10.1038/s41551-025-01593-4" TargetMode="External"/><Relationship Id="rId278" Type="http://schemas.openxmlformats.org/officeDocument/2006/relationships/hyperlink" Target="https://doi.org/10.1038/s41551-026-01611-z" TargetMode="External"/><Relationship Id="rId279" Type="http://schemas.openxmlformats.org/officeDocument/2006/relationships/hyperlink" Target="https://doi.org/10.1038/s41551-025-01585-4" TargetMode="External"/><Relationship Id="rId280" Type="http://schemas.openxmlformats.org/officeDocument/2006/relationships/hyperlink" Target="https://doi.org/10.1038/s41551-025-01586-3" TargetMode="External"/><Relationship Id="rId281" Type="http://schemas.openxmlformats.org/officeDocument/2006/relationships/hyperlink" Target="https://doi.org/10.1364/josaa.582961" TargetMode="External"/><Relationship Id="rId282" Type="http://schemas.openxmlformats.org/officeDocument/2006/relationships/hyperlink" Target="https://doi.org/10.1103/bpjc-8kz7" TargetMode="External"/><Relationship Id="rId283" Type="http://schemas.openxmlformats.org/officeDocument/2006/relationships/hyperlink" Target="https://doi.org/10.1103/44rc-34n1" TargetMode="External"/><Relationship Id="rId284" Type="http://schemas.openxmlformats.org/officeDocument/2006/relationships/hyperlink" Target="https://doi.org/10.1103/2qrz-5b94" TargetMode="External"/><Relationship Id="rId285" Type="http://schemas.openxmlformats.org/officeDocument/2006/relationships/hyperlink" Target="https://doi.org/10.1103/yk7n-lrpj" TargetMode="External"/><Relationship Id="rId286" Type="http://schemas.openxmlformats.org/officeDocument/2006/relationships/hyperlink" Target="https://doi.org/10.1103/k8sv-lp1j" TargetMode="External"/><Relationship Id="rId287" Type="http://schemas.openxmlformats.org/officeDocument/2006/relationships/hyperlink" Target="https://doi.org/10.1103/3ml4-gr6h" TargetMode="External"/><Relationship Id="rId288" Type="http://schemas.openxmlformats.org/officeDocument/2006/relationships/hyperlink" Target="https://doi.org/10.1103/nw4m-s6xy" TargetMode="External"/><Relationship Id="rId289" Type="http://schemas.openxmlformats.org/officeDocument/2006/relationships/hyperlink" Target="https://doi.org/10.1103/55pk-rxzg" TargetMode="External"/><Relationship Id="rId290" Type="http://schemas.openxmlformats.org/officeDocument/2006/relationships/hyperlink" Target="https://doi.org/10.1103/h2l1-fcz9" TargetMode="External"/><Relationship Id="rId291" Type="http://schemas.openxmlformats.org/officeDocument/2006/relationships/hyperlink" Target="https://doi.org/10.1103/gttv-6lqc" TargetMode="External"/><Relationship Id="rId292" Type="http://schemas.openxmlformats.org/officeDocument/2006/relationships/hyperlink" Target="https://doi.org/10.1103/nmbq-w5dm" TargetMode="External"/><Relationship Id="rId293" Type="http://schemas.openxmlformats.org/officeDocument/2006/relationships/hyperlink" Target="https://doi.org/10.1103/wh12-sm3t" TargetMode="External"/><Relationship Id="rId294" Type="http://schemas.openxmlformats.org/officeDocument/2006/relationships/hyperlink" Target="https://doi.org/10.1103/fv5l-rjyv" TargetMode="External"/><Relationship Id="rId295" Type="http://schemas.openxmlformats.org/officeDocument/2006/relationships/hyperlink" Target="https://doi.org/10.1103/kh5d-jrxw" TargetMode="External"/><Relationship Id="rId296" Type="http://schemas.openxmlformats.org/officeDocument/2006/relationships/hyperlink" Target="https://doi.org/10.1103/mtjf-ylf7" TargetMode="External"/><Relationship Id="rId297" Type="http://schemas.openxmlformats.org/officeDocument/2006/relationships/hyperlink" Target="https://doi.org/10.1103/s5j9-cbg7" TargetMode="External"/><Relationship Id="rId298" Type="http://schemas.openxmlformats.org/officeDocument/2006/relationships/hyperlink" Target="https://doi.org/10.1103/bjpc-8xcf" TargetMode="External"/><Relationship Id="rId299" Type="http://schemas.openxmlformats.org/officeDocument/2006/relationships/hyperlink" Target="https://doi.org/10.1103/kmn8-y59j" TargetMode="External"/><Relationship Id="rId300" Type="http://schemas.openxmlformats.org/officeDocument/2006/relationships/hyperlink" Target="https://doi.org/10.1103/y6dt-1sfw" TargetMode="External"/><Relationship Id="rId301" Type="http://schemas.openxmlformats.org/officeDocument/2006/relationships/hyperlink" Target="https://doi.org/10.1103/c93j-k53f" TargetMode="External"/><Relationship Id="rId302" Type="http://schemas.openxmlformats.org/officeDocument/2006/relationships/hyperlink" Target="https://doi.org/10.1103/grzx-v6sj" TargetMode="External"/><Relationship Id="rId303" Type="http://schemas.openxmlformats.org/officeDocument/2006/relationships/hyperlink" Target="https://doi.org/10.1103/zdpg-mhpc" TargetMode="External"/><Relationship Id="rId304" Type="http://schemas.openxmlformats.org/officeDocument/2006/relationships/hyperlink" Target="https://doi.org/10.1103/x76f-2vj8" TargetMode="External"/><Relationship Id="rId305" Type="http://schemas.openxmlformats.org/officeDocument/2006/relationships/hyperlink" Target="https://doi.org/10.1103/7m1b-hxy8" TargetMode="External"/><Relationship Id="rId306" Type="http://schemas.openxmlformats.org/officeDocument/2006/relationships/hyperlink" Target="https://doi.org/10.1103/2dyh-yhrb" TargetMode="External"/><Relationship Id="rId307" Type="http://schemas.openxmlformats.org/officeDocument/2006/relationships/hyperlink" Target="https://doi.org/10.1103/37vk-qz71" TargetMode="External"/><Relationship Id="rId308" Type="http://schemas.openxmlformats.org/officeDocument/2006/relationships/hyperlink" Target="https://doi.org/10.1103/hhgy-9rd4" TargetMode="External"/><Relationship Id="rId309" Type="http://schemas.openxmlformats.org/officeDocument/2006/relationships/hyperlink" Target="https://doi.org/10.1103/t7tm-nxyl" TargetMode="External"/><Relationship Id="rId310" Type="http://schemas.openxmlformats.org/officeDocument/2006/relationships/hyperlink" Target="https://doi.org/10.1038/s41586-025-10029-7" TargetMode="External"/><Relationship Id="rId311" Type="http://schemas.openxmlformats.org/officeDocument/2006/relationships/hyperlink" Target="https://doi.org/10.1038/s41586-025-09973-1" TargetMode="External"/><Relationship Id="rId312" Type="http://schemas.openxmlformats.org/officeDocument/2006/relationships/hyperlink" Target="https://doi.org/10.1038/s41586-025-10049-3" TargetMode="External"/><Relationship Id="rId313" Type="http://schemas.openxmlformats.org/officeDocument/2006/relationships/hyperlink" Target="https://doi.org/10.1038/d41586-026-00275-8" TargetMode="External"/><Relationship Id="rId314" Type="http://schemas.openxmlformats.org/officeDocument/2006/relationships/hyperlink" Target="https://doi.org/10.1038/d41586-026-00274-9" TargetMode="External"/><Relationship Id="rId315" Type="http://schemas.openxmlformats.org/officeDocument/2006/relationships/hyperlink" Target="https://doi.org/10.1038/d41586-026-00276-7" TargetMode="External"/><Relationship Id="rId316" Type="http://schemas.openxmlformats.org/officeDocument/2006/relationships/hyperlink" Target="https://doi.org/10.1038/d41586-026-00307-3" TargetMode="External"/><Relationship Id="rId317" Type="http://schemas.openxmlformats.org/officeDocument/2006/relationships/hyperlink" Target="https://doi.org/10.1038/s41586-026-10177-4" TargetMode="External"/><Relationship Id="rId318" Type="http://schemas.openxmlformats.org/officeDocument/2006/relationships/hyperlink" Target="https://doi.org/10.1038/d41586-026-00311-7" TargetMode="External"/><Relationship Id="rId319" Type="http://schemas.openxmlformats.org/officeDocument/2006/relationships/hyperlink" Target="https://doi.org/10.1038/d41586-026-00353-x" TargetMode="External"/><Relationship Id="rId320" Type="http://schemas.openxmlformats.org/officeDocument/2006/relationships/hyperlink" Target="https://doi.org/10.1126/science.adw8301" TargetMode="External"/><Relationship Id="rId321" Type="http://schemas.openxmlformats.org/officeDocument/2006/relationships/hyperlink" Target="https://doi.org/10.1126/science.aef5688" TargetMode="External"/><Relationship Id="rId322" Type="http://schemas.openxmlformats.org/officeDocument/2006/relationships/hyperlink" Target="https://doi.org/10.1126/science.adx2872" TargetMode="External"/><Relationship Id="rId323" Type="http://schemas.openxmlformats.org/officeDocument/2006/relationships/hyperlink" Target="https://doi.org/10.1126/science.adx1736" TargetMode="External"/><Relationship Id="rId324" Type="http://schemas.openxmlformats.org/officeDocument/2006/relationships/hyperlink" Target="https://doi.org/10.1126/science.adx9445" TargetMode="External"/><Relationship Id="rId325" Type="http://schemas.openxmlformats.org/officeDocument/2006/relationships/hyperlink" Target="https://doi.org/10.1126/science.aee7263" TargetMode="External"/><Relationship Id="rId326" Type="http://schemas.openxmlformats.org/officeDocument/2006/relationships/hyperlink" Target="https://doi.org/10.1126/science.adv4503" TargetMode="External"/><Relationship Id="rId327" Type="http://schemas.openxmlformats.org/officeDocument/2006/relationships/hyperlink" Target="https://doi.org/10.1126/science.adu2392" TargetMode="External"/><Relationship Id="rId328" Type="http://schemas.openxmlformats.org/officeDocument/2006/relationships/hyperlink" Target="https://doi.org/10.1126/science.aef8478" TargetMode="External"/><Relationship Id="rId329" Type="http://schemas.openxmlformats.org/officeDocument/2006/relationships/hyperlink" Target="https://doi.org/10.1126/science.ads6733" TargetMode="External"/><Relationship Id="rId330" Type="http://schemas.openxmlformats.org/officeDocument/2006/relationships/hyperlink" Target="https://doi.org/10.1126/science.aeb3637" TargetMode="External"/><Relationship Id="rId331" Type="http://schemas.openxmlformats.org/officeDocument/2006/relationships/hyperlink" Target="https://doi.org/10.1126/science.adw3365" TargetMode="External"/><Relationship Id="rId332" Type="http://schemas.openxmlformats.org/officeDocument/2006/relationships/hyperlink" Target="https://doi.org/10.1126/science.adv1209" TargetMode="External"/><Relationship Id="rId333" Type="http://schemas.openxmlformats.org/officeDocument/2006/relationships/hyperlink" Target="https://doi.org/10.1016/j.optlastec.2026.1148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