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IEEE Trans. Image Processing</w:t>
      </w:r>
    </w:p>
    <w:p>
      <w:pPr>
        <w:jc w:val="center"/>
      </w:pPr>
      <w:r>
        <w:t>--- 更新: 00:27 ---</w:t>
      </w:r>
    </w:p>
    <w:p>
      <w:pPr>
        <w:pStyle w:val="Heading2"/>
      </w:pPr>
      <w:r/>
      <w:r>
        <w:rPr>
          <w:rFonts w:ascii="Times New Roman" w:hAnsi="Times New Roman" w:eastAsia="宋体"/>
          <w:b/>
          <w:color w:val="000000"/>
          <w:sz w:val="24"/>
        </w:rPr>
        <w:t>Unc-SOD：用于小物体检测的不确定性学习框架</w:t>
      </w:r>
    </w:p>
    <w:p>
      <w:r>
        <w:rPr>
          <w:rFonts w:ascii="Times New Roman" w:hAnsi="Times New Roman" w:eastAsia="宋体"/>
          <w:b/>
          <w:color w:val="003264"/>
          <w:sz w:val="24"/>
        </w:rPr>
        <w:t>Unc-SOD: An Uncertainty Learning Framework for Small Object Detection</w:t>
      </w:r>
    </w:p>
    <w:p>
      <w:r>
        <w:rPr>
          <w:rFonts w:ascii="Times New Roman" w:hAnsi="Times New Roman" w:eastAsia="宋体"/>
          <w:sz w:val="21"/>
        </w:rPr>
        <w:t>作者: Xiang Yuan, Gong Cheng, Jiacheng Cheng, Ruixiang Yao, Junwei Han</w:t>
        <w:br/>
      </w:r>
      <w:r>
        <w:rPr>
          <w:rFonts w:ascii="Times New Roman" w:hAnsi="Times New Roman" w:eastAsia="宋体"/>
          <w:sz w:val="21"/>
        </w:rPr>
        <w:t xml:space="preserve">时间: 2026 | </w:t>
      </w:r>
      <w:r>
        <w:t xml:space="preserve">链接: </w:t>
      </w:r>
      <w:hyperlink r:id="rId10">
        <w:r>
          <w:rPr>
            <w:rFonts w:ascii="Times New Roman" w:hAnsi="Times New Roman" w:eastAsia="宋体"/>
            <w:color w:val="0000FF"/>
            <w:sz w:val="21"/>
            <w:u w:val="single"/>
          </w:rPr>
          <w:t>https://doi.org/10.1109/tip.2026.3654892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物体检测（SOD）是一项值得注意但极其艰巨的任务，源于尺寸有限实例中固有的有限信息区域，这进一步引发了超出当前两级探测器能力的高度不确定性。具体来说，小物体固有的模糊性破坏了流行的采样范式，并可能误导模型对那些无法识别的目标进行徒劳的努力，而两个阶段用于检测的特征的不一致进一步暴露了层次的不确定性。在本文中，我们开发了一个用于小目标检测的不确定性学习框架，称为 Unc-SOD。通过将辅助不确定性分支合并到传统的区域提议网络（RPN）中，我们对实例级别的不确定性进行建模，随后将其用作采样的替代标准，从而根据不同程度的不确定性动态地挖掘足够的候选者，并促进提议网络的学习。与此同时，通过优化原始金字塔和指定金字塔的区域特征的内在属性，设计了一种感知与交互策略来捕获丰富且有区别的表示，其中感知过程在相互范式中展开。作为 SOD 任务中不确定性建模的开创性尝试，我们的 Unc-SOD 在两个大规模小目标检测基准 SODA-D 和 SODA-A 上产生了最先进的性能，并且在包括 COCO、VisDrone 和 Tsinghua-Tencent 100K 在内的几个面向 SOD 的数据集上的结果也显示出对基线检测器的提升。这强调了我们的方法的有效性及其在处理小实例时相对于主流检测器的优越性。</w:t>
      </w:r>
    </w:p>
    <w:p>
      <w:pPr>
        <w:spacing w:before="120"/>
      </w:pPr>
      <w:r>
        <w:rPr>
          <w:rFonts w:ascii="Times New Roman" w:hAnsi="Times New Roman" w:eastAsia="宋体"/>
          <w:b/>
          <w:sz w:val="21"/>
        </w:rPr>
        <w:t>English Abstract:</w:t>
      </w:r>
    </w:p>
    <w:p>
      <w:r>
        <w:rPr>
          <w:rFonts w:ascii="Times New Roman" w:hAnsi="Times New Roman" w:eastAsia="宋体"/>
          <w:sz w:val="21"/>
        </w:rPr>
        <w:t>Small object detection (SOD) constitutes a notable yet immensely arduous task, stemming from the restricted informative regions inherent in size-limited instances, which further sparks off heightened uncertainty beyond the capacity of current two-stage detectors. Specifically, the intrinsic ambiguity in small objects undermines the prevailing sampling paradigms and may mislead the model to devote futile effort to those unrecognizable targets, while the inconsistency of features utilized for the detection at two stages further exposes the hierarchical uncertainty. In this paper, we develop an Uncertainty learning framework for Small Object Detection, dubbed as Unc-SOD. By incorporating an auxiliary uncertainty branch to conventional Region Proposal Network (RPN), we model the indeterminacy at instance-level which later on serves as a surrogate criterion for sampling, thereby unearthing adequate candidates dynamically based on the varying degrees of uncertainty and facilitating the learning of proposal networks. In parallel, a Perception-and-Interaction strategy is devised to capture rich and discriminative representations, through optimizing the intrinsic properties from the regional features at the original pyramid and the assigned one, in which the perceptual process unfolds in a mutual paradigm. As the seminal attempt to model uncertainty in SOD task, our Unc-SOD yields state-of-the-art performance on two large-scale small object detection benchmarks, SODA-D and SODA-A, and the results on several SOD-oriented datasets including COCO, VisDrone, and Tsinghua-Tencent 100K also exhibit the promotion to baseline detector. This underscores the efficacy of our approach and its superiority over prevailing detectors when dealing with small instances.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基于光谱和声学模态融合的大气碳浓度情景分类</w:t>
      </w:r>
    </w:p>
    <w:p>
      <w:r>
        <w:rPr>
          <w:rFonts w:ascii="Times New Roman" w:hAnsi="Times New Roman" w:eastAsia="宋体"/>
          <w:b/>
          <w:color w:val="003264"/>
          <w:sz w:val="24"/>
        </w:rPr>
        <w:t>Atmospheric Carbon Concentration Scenario Classification Based on the Fusion of Spectral and Acoustic Modalities</w:t>
      </w:r>
    </w:p>
    <w:p>
      <w:r>
        <w:rPr>
          <w:rFonts w:ascii="Times New Roman" w:hAnsi="Times New Roman" w:eastAsia="宋体"/>
          <w:sz w:val="21"/>
        </w:rPr>
        <w:t>作者: ShiHao Liu, Yu Zhang, Jun Feng, Wenhan Gao, TianLong Li, Yuzhu Liu</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https://doi.org/10.1364/ol.576900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PRISM：一种基于激光诱导光谱-声学融合的新型峰区识别和特征映射方法，用于金属腐蚀辨别</w:t>
      </w:r>
    </w:p>
    <w:p>
      <w:r>
        <w:rPr>
          <w:rFonts w:ascii="Times New Roman" w:hAnsi="Times New Roman" w:eastAsia="宋体"/>
          <w:b/>
          <w:color w:val="003264"/>
          <w:sz w:val="24"/>
        </w:rPr>
        <w:t>PRISM: A novel Peak Region Identification and Signature Mapping method based on Laser-Induced Spectroscopy-Acoustics Fusion for metal corrosion discrimination</w:t>
      </w:r>
    </w:p>
    <w:p>
      <w:r>
        <w:rPr>
          <w:rFonts w:ascii="Times New Roman" w:hAnsi="Times New Roman" w:eastAsia="宋体"/>
          <w:sz w:val="21"/>
        </w:rPr>
        <w:t>作者: Wenkang Sun, Wenhan Gao, Yu Zhang, dongdong Deng, Tianzhuang Wu, Boyuan Han, Junjie Li, Ziwei Wang, Yuzhu Liu</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https://doi.org/10.1364/ol.585954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使用循环剪切干涉测量法的自参考偏振增强琼斯矩阵成像</w:t>
      </w:r>
    </w:p>
    <w:p>
      <w:r>
        <w:rPr>
          <w:rFonts w:ascii="Times New Roman" w:hAnsi="Times New Roman" w:eastAsia="宋体"/>
          <w:b/>
          <w:color w:val="003264"/>
          <w:sz w:val="24"/>
        </w:rPr>
        <w:t>Self-referenced polarization augmented Jones matrix imaging using cyclic shearing interferometry</w:t>
      </w:r>
    </w:p>
    <w:p>
      <w:r>
        <w:rPr>
          <w:rFonts w:ascii="Times New Roman" w:hAnsi="Times New Roman" w:eastAsia="宋体"/>
          <w:sz w:val="21"/>
        </w:rPr>
        <w:t>作者: VIPIN TIWARI, Davood Khodadad</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https://doi.org/10.1364/ol.586227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3D打印微光学暗场聚光镜</w:t>
      </w:r>
    </w:p>
    <w:p>
      <w:r>
        <w:rPr>
          <w:rFonts w:ascii="Times New Roman" w:hAnsi="Times New Roman" w:eastAsia="宋体"/>
          <w:b/>
          <w:color w:val="003264"/>
          <w:sz w:val="24"/>
        </w:rPr>
        <w:t>3D-printed micro-optical dark-field condenser</w:t>
      </w:r>
    </w:p>
    <w:p>
      <w:r>
        <w:rPr>
          <w:rFonts w:ascii="Times New Roman" w:hAnsi="Times New Roman" w:eastAsia="宋体"/>
          <w:sz w:val="21"/>
        </w:rPr>
        <w:t>作者: Robert Horvat, Leander Siegle, Luca Schmid, Pavel Ruchka, Philipp Flad, Monika Ubl, Michael Schmid, Lukas Wesemann, Harald Giessen</w:t>
        <w:br/>
      </w:r>
      <w:r>
        <w:rPr>
          <w:rFonts w:ascii="Times New Roman" w:hAnsi="Times New Roman" w:eastAsia="宋体"/>
          <w:sz w:val="21"/>
        </w:rPr>
        <w:t xml:space="preserve">时间: 2026-01-23 | </w:t>
      </w:r>
      <w:r>
        <w:t xml:space="preserve">链接: </w:t>
      </w:r>
      <w:hyperlink r:id="rId15">
        <w:r>
          <w:rPr>
            <w:rFonts w:ascii="Times New Roman" w:hAnsi="Times New Roman" w:eastAsia="宋体"/>
            <w:color w:val="0000FF"/>
            <w:sz w:val="21"/>
            <w:u w:val="single"/>
          </w:rPr>
          <w:t>https://doi.org/10.1364/ol.585515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利用光纤色散的光混频器阵列产生太赫兹多光束的光子</w:t>
      </w:r>
    </w:p>
    <w:p>
      <w:r>
        <w:rPr>
          <w:rFonts w:ascii="Times New Roman" w:hAnsi="Times New Roman" w:eastAsia="宋体"/>
          <w:b/>
          <w:color w:val="003264"/>
          <w:sz w:val="24"/>
        </w:rPr>
        <w:t>Photonic Generation of Terahertz Multi-Beams by Photomixer Arrays Exploiting Fiber Chromatic Dispersion</w:t>
      </w:r>
    </w:p>
    <w:p>
      <w:r>
        <w:rPr>
          <w:rFonts w:ascii="Times New Roman" w:hAnsi="Times New Roman" w:eastAsia="宋体"/>
          <w:sz w:val="21"/>
        </w:rPr>
        <w:t>作者: Yoshiki Kamiura, Masato Kawano, Yuya Mikami, Kazutoshi Kato</w:t>
        <w:br/>
      </w:r>
      <w:r>
        <w:rPr>
          <w:rFonts w:ascii="Times New Roman" w:hAnsi="Times New Roman" w:eastAsia="宋体"/>
          <w:sz w:val="21"/>
        </w:rPr>
        <w:t xml:space="preserve">时间: 2026-01-23 | </w:t>
      </w:r>
      <w:r>
        <w:t xml:space="preserve">链接: </w:t>
      </w:r>
      <w:hyperlink r:id="rId16">
        <w:r>
          <w:rPr>
            <w:rFonts w:ascii="Times New Roman" w:hAnsi="Times New Roman" w:eastAsia="宋体"/>
            <w:color w:val="0000FF"/>
            <w:sz w:val="21"/>
            <w:u w:val="single"/>
          </w:rPr>
          <w:t>https://doi.org/10.1364/ol.583514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基于二次扩束镜的大口径望远镜系统，跟踪精度达100纳弧度</w:t>
      </w:r>
    </w:p>
    <w:p>
      <w:r>
        <w:rPr>
          <w:rFonts w:ascii="Times New Roman" w:hAnsi="Times New Roman" w:eastAsia="宋体"/>
          <w:b/>
          <w:color w:val="003264"/>
          <w:sz w:val="24"/>
        </w:rPr>
        <w:t>A large aperture telescope system based on a secondary optical beam expander with tracking precision in 100 nanoradians</w:t>
      </w:r>
    </w:p>
    <w:p>
      <w:r>
        <w:rPr>
          <w:rFonts w:ascii="Times New Roman" w:hAnsi="Times New Roman" w:eastAsia="宋体"/>
          <w:sz w:val="21"/>
        </w:rPr>
        <w:t>作者: Chenglin Zhou, rui xiu, Zeng Chenchen, Tingting Wang, Jianan Sun, YunPeng Liu, Jincai Wu, Liang Zhang</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https://doi.org/10.1364/ol.586687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基于全电介质氮化硅（Si &lt;sub&gt;3&lt;/sub&gt; N &lt;sub&gt;4&lt;/sub&gt;）的超宽广角高温稳定性红外超材料吸收体</w:t>
      </w:r>
    </w:p>
    <w:p>
      <w:r>
        <w:rPr>
          <w:rFonts w:ascii="Times New Roman" w:hAnsi="Times New Roman" w:eastAsia="宋体"/>
          <w:b/>
          <w:color w:val="003264"/>
          <w:sz w:val="24"/>
        </w:rPr>
        <w:t>Ultrabroad and Wide‐Angle High‐Temperature‐Stability Infrared Metamaterial Absorber Based on All‐Dielectric Silicon Nitride (Si                     &lt;sub&gt;3&lt;/sub&gt;                     N                     &lt;sub&gt;4&lt;/sub&gt;                     )</w:t>
      </w:r>
    </w:p>
    <w:p>
      <w:r>
        <w:rPr>
          <w:rFonts w:ascii="Times New Roman" w:hAnsi="Times New Roman" w:eastAsia="宋体"/>
          <w:sz w:val="21"/>
        </w:rPr>
        <w:t>作者: Jiayu Jia, Yanfang Xiao, Lingling Yang, Bin Cai, Yongzhi Cheng, Hui Luo, Xiangcheng Li</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https://doi.org/10.1002/adpr.202500200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长波和超长波红外（LWIR/ULWIR）光谱的超宽带吸收对于从热成像到光谱学的各种应用至关重要，但仍然是一个持续存在的挑战。在此，由四个垂直锥形氮化硅（Si</w:t>
        <w:br/>
        <w:t xml:space="preserve">                    &lt;贾茨：子&gt;3&lt;/贾茨：子&gt;</w:t>
        <w:br/>
        <w:t xml:space="preserve">                    氮</w:t>
        <w:br/>
        <w:t xml:space="preserve">                    &lt;贾茨：子&gt;4&lt;/贾茨：子&gt;</w:t>
        <w:br/>
        <w:t xml:space="preserve">                    ）提出了钨基板上的棒。有限元法（FEM）模拟表明，MMA在7.15~31.62μm范围内的吸光度达到90%以上，相对带宽为126.23%。值得注意的是，MMA的吸光度峰分别在7.653、9.045、16.762和26.731μm处高达99.97%、97.92%、98.42%和99.96%。等效电路模型证实了这些结果并阐明了潜在的阻抗匹配。超宽带性能源自多种谐振模式的协同耦合，包括高阶波导谐振（WGR）、法布里-珀罗（F-P）腔谐振（FPCR）、局域表面/传播等离子体谐振（LSPR/PPR）以及Si的固有损耗</w:t>
        <w:br/>
        <w:t xml:space="preserve">                    &lt;贾茨：子&gt;3&lt;/贾茨：子&gt;</w:t>
        <w:br/>
        <w:t xml:space="preserve">                    氮</w:t>
        <w:br/>
        <w:t xml:space="preserve">                    &lt;贾茨：子&gt;4&lt;/贾茨：子&gt;</w:t>
        <w:br/>
        <w:t xml:space="preserve">                    材料。 MMA 还表现出广角稳定性，在 TE 和 TM 偏振下保持高达 50° 的入射效率。它具有简单、可调的几何形状和全介电成分，有利于制造并确保高温弹性。该设计为先进的红外系统提供了一个强大的平台，包括热能收集和光谱成像。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Ultrabroadband absorption across the long‐wave and ultralong‐wave infrared (LWIR/ULWIR) spectrum is essential for applications ranging from thermal imaging to spectroscopy, yet remains a persistent challenge. Herein, a refractory metamaterial absorber (MMA) composed of four vertically tapered silicon nitride (Si</w:t>
        <w:br/>
        <w:t xml:space="preserve">                    &lt;jats:sub&gt;3&lt;/jats:sub&gt;</w:t>
        <w:br/>
        <w:t xml:space="preserve">                    N</w:t>
        <w:br/>
        <w:t xml:space="preserve">                    &lt;jats:sub&gt;4&lt;/jats:sub&gt;</w:t>
        <w:br/>
        <w:t xml:space="preserve">                    ) rods on a tungsten substrate is proposed. Finite element method (FEM) simulations show that the MMA achieves an absorbance of over 90% from 7.15 to 31.62 μm, with a relative bandwidth of 126.23%. Notably, the absorbance peak of the MMA is up to 99.97%, 97.92%, 98.42%, and 99.96% at 7.653, 9.045, 16.762, and 26.731 μm, respectively. An equivalent circuit model corroborates these results and elucidates the underlying impedance matching. The ultra‐broadband performance arises from synergistic coupling of multiple resonant modes, including waveguide resonance (WGR) with higher‐order, Fabry–Pérot (F–P) cavity resonance (FPCR), local surface/propagating plasmon resonance (LSPR/PPR), as well as intrinsic losses of Si</w:t>
        <w:br/>
        <w:t xml:space="preserve">                    &lt;jats:sub&gt;3&lt;/jats:sub&gt;</w:t>
        <w:br/>
        <w:t xml:space="preserve">                    N</w:t>
        <w:br/>
        <w:t xml:space="preserve">                    &lt;jats:sub&gt;4&lt;/jats:sub&gt;</w:t>
        <w:br/>
        <w:t xml:space="preserve">                    material. The MMA also exhibits wide‐angle stability, maintaining high efficiency for incidence up to 50° under both TE and TM polarizations. It's simple, tunable geometry and fully dielectric composition facilitate fabrication and ensure high‐temperature resilience. This design offers a robust platform for advanced infrared systems, including thermal energy harvesting and spectral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超过 10μm 的可调谐光学多模微腔中极化子介导的能量传输</w:t>
      </w:r>
    </w:p>
    <w:p>
      <w:r>
        <w:rPr>
          <w:rFonts w:ascii="Times New Roman" w:hAnsi="Times New Roman" w:eastAsia="宋体"/>
          <w:b/>
          <w:color w:val="003264"/>
          <w:sz w:val="24"/>
        </w:rPr>
        <w:t>Polariton‐Mediated Energy Transfer in a Tunable Optical Multimode Microcavity Exceeding 10 μm</w:t>
      </w:r>
    </w:p>
    <w:p>
      <w:r>
        <w:rPr>
          <w:rFonts w:ascii="Times New Roman" w:hAnsi="Times New Roman" w:eastAsia="宋体"/>
          <w:sz w:val="21"/>
        </w:rPr>
        <w:t>作者: Christoph Kertzscher, Michael Mauch, Jakob Keck, Alfred J. Meixner</w:t>
        <w:br/>
      </w:r>
      <w:r>
        <w:rPr>
          <w:rFonts w:ascii="Times New Roman" w:hAnsi="Times New Roman" w:eastAsia="宋体"/>
          <w:sz w:val="21"/>
        </w:rPr>
        <w:t xml:space="preserve">时间: 2026-01-23 | </w:t>
      </w:r>
      <w:r>
        <w:t xml:space="preserve">链接: </w:t>
      </w:r>
      <w:hyperlink r:id="rId23">
        <w:r>
          <w:rPr>
            <w:rFonts w:ascii="Times New Roman" w:hAnsi="Times New Roman" w:eastAsia="宋体"/>
            <w:color w:val="0000FF"/>
            <w:sz w:val="21"/>
            <w:u w:val="single"/>
          </w:rPr>
          <w:t>https://doi.org/10.1002/adpr.202500296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&lt;jats:p&gt;研究了 J 聚集染料的供体-受体对之间的能量转移，这些染料被旋涂到可调谐法布里-珀罗微谐振器的镜子上。研究发现，供体和受体都与谐振器的光学模式强烈耦合，并形成混合光-物质态（极化子）。荧光光谱的形状显示了从供体到受体的有效能量转移，其间隔可达 11μm。在相同的测量中，能量转移效率似乎与供体-受体分离无关。现象学哈密顿量可以很好地解释观察到的荧光特征，该哈密顿量模拟了新兴的极化子模式和速率方程。&lt;/jats:p&gt;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&lt;jats:p&gt;Energy transfer between a donor‐acceptor pair of J‐aggregated dyes, which are spin‐coated onto the mirrors of a tunable Fabry–Pérot microresonator, is studied. It is found that both donor and acceptor are strongly coupled to the optical modes of the resonator and form hybrid light–matter states (polaritons). The shapes of the fluorescence spectra show efficient energy transfer from donor to acceptor, which are separated up to 11 μm. Within the same measurement, the energy transfer efficiency appears to be independent of donor–acceptor separation. The observed fluorescence features are well explained by a phenomenological Hamiltonian, which models the emerging polariton modes and rate equations.&lt;/jats:p&gt;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用于抑制非封装有机发光二极管中水分引起的降解的菲咯啉修饰电极</w:t>
      </w:r>
    </w:p>
    <w:p>
      <w:r>
        <w:rPr>
          <w:rFonts w:ascii="Times New Roman" w:hAnsi="Times New Roman" w:eastAsia="宋体"/>
          <w:b/>
          <w:color w:val="003264"/>
          <w:sz w:val="24"/>
        </w:rPr>
        <w:t>Phenanthroline‐Modified Electrodes for Suppressing Moisture‐Induced Degradation in Nonencapsulated Organic Light‐Emitting Diodes</w:t>
      </w:r>
    </w:p>
    <w:p>
      <w:r>
        <w:rPr>
          <w:rFonts w:ascii="Times New Roman" w:hAnsi="Times New Roman" w:eastAsia="宋体"/>
          <w:sz w:val="21"/>
        </w:rPr>
        <w:t>作者: Takuya Okada, Tsubasa Sasaki, Taku Oono, Hirohiko Fukagawa, Takahisa Shimizu</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https://doi.org/10.1002/adpr.202500245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&lt;jats:p&gt;电子注入稳定性对于有机半导体至关重要。尽管菲咯啉（Phen）衍生物是稳定高效的电极修饰材料，但其空气稳定性尚未得到充分研究，环境因素对 Phen 修饰电极的影响尚不清楚。本研究通过监测未封装的环境空气暴露下发光区域的时间变化来研究 Phen 修饰的有机发光二极管 (OLED) 的降解情况。结果表明，Phen 修饰可以在室温和大气压条件下稳定电子注入。降解行为符合菲克扩散定律。降解速率和相对湿度之间的强相关性表明水分子扩散控制降解过程的机制。 Phen 衍生物的膜密度是使用分子动力学模拟计算的。高密度改性剂膜可能会物理阻碍水扩散，从而抑制降解。这些发现凸显了 Phen 基材料在实现高性能有机电子器件方面的潜力，在最小封装下具有高效的电子注入和增强的稳定性。&lt;/jats:p&gt;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&lt;jats:p&gt;Electron injection stability is crucial for organic semiconductors. Although phenanthroline (Phen) derivatives are stable and efficient electrode modification materials, their air stability is underexplored, and the impacts of environmental factors on Phen‐modified electrodes are not well understood. This study investigates the degradation of Phen‐modified organic light‐emitting diodes (OLEDs) by monitoring temporal changes in the light‐emitting area under ambient air exposure without encapsulation. The results demonstrate that Phen modification stabilizes electron injection under room‐temperature and atmospheric‐pressure conditions. The degradation behavior is consistent with Fick's law of diffusion. A strong correlation between the degradation rate and relative humidity indicates a mechanism wherein water molecule diffusion governs the degradation process. The film densities of Phen derivatives are calculated using molecular dynamics simulations. High‐density modifier films may physically hinder water diffusion, suppressing degradation. These findings highlight the potential of Phen‐based materials to enable high‐performance organic electronics with efficient electron injection and enhanced stability under minimal encapsulation.&lt;/jats:p&gt;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硫代没食子酸银在宽中红外范围内的色散分析</w:t>
      </w:r>
    </w:p>
    <w:p>
      <w:r>
        <w:rPr>
          <w:rFonts w:ascii="Times New Roman" w:hAnsi="Times New Roman" w:eastAsia="宋体"/>
          <w:b/>
          <w:color w:val="003264"/>
          <w:sz w:val="24"/>
        </w:rPr>
        <w:t>Dispersion Analysis of Silver Thiogallate in a Broad Mid‐Infrared Range</w:t>
      </w:r>
    </w:p>
    <w:p>
      <w:r>
        <w:rPr>
          <w:rFonts w:ascii="Times New Roman" w:hAnsi="Times New Roman" w:eastAsia="宋体"/>
          <w:sz w:val="21"/>
        </w:rPr>
        <w:t>作者: Evgeniy S. Zatsepin, Artem S. Sabanin, Dmitriy V. Badikov, Sergei P. Kulik, Anna V. Paterova</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https://doi.org/10.1002/adpr.202500267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专为中红外应用而设计的非线性光学材料在光子学和量子光学研究中引起了越来越多的兴趣。然而，由于合适设备的可用性有限，许多这些材料在广泛的中红外范围内仍未得到探索。硫代镓酸银 (AgGaS</w:t>
        <w:br/>
        <w:t xml:space="preserve">                    &lt;贾茨：子&gt;2&lt;/贾茨：子&gt;</w:t>
        <w:br/>
        <w:t xml:space="preserve">                    ）是用于中红外频率转换应用的广为人知的非线性晶体之一。虽然其透射率和折射率在 10.6μm 以内的波长范围内得到了很好的表征，但超过该波长的色散特性仍未有报道。在这项工作中，采用量子光学方法来确定 AgGaS 的折射率</w:t>
        <w:br/>
        <w:t xml:space="preserve">                    &lt;贾茨：子&gt;2&lt;/贾茨：子&gt;</w:t>
        <w:br/>
        <w:t xml:space="preserve">                    跨越扩展的中红外波长范围。晶体中会产生相关的光子对，其中一对光子中的一个光子在近红外波长下产生，另一个在中红外波长下产生。由于相关性，检测近红外光子的光谱可以推断晶体在高达 21μm 的中红外区域的色散特性，而不需要红外光源或探测器。进一步提出了 Sellmeier 方程，可以准确地描述晶体整个透明度范围内的寻常折射率和非常折射率。结果与之前报道的 10μm 以下数据一致，证明了 AgGaS 的适用性</w:t>
        <w:br/>
        <w:t xml:space="preserve">                    &lt;贾茨：子&gt;2&lt;/贾茨：子&gt;</w:t>
        <w:br/>
        <w:t xml:space="preserve">                    用于扩展波长范围内的频率转换过程。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materials designed for mid‐infrared applications gain increasing interest in photonics and quantum‐optical research. However, many of these materials remain unexplored in the broad mid‐infrared range due to the limited availability of suitable equipment. Silver thiogallate (AgGaS</w:t>
        <w:br/>
        <w:t xml:space="preserve">                    &lt;jats:sub&gt;2&lt;/jats:sub&gt;</w:t>
        <w:br/>
        <w:t xml:space="preserve">                    ) is one of the widely known nonlinear crystals used in mid‐infrared frequency‐conversion applications. While its transmission and refractive indices are well characterized up to 10.6 μm, dispersion properties beyond this wavelength remain unreported. In this work, a quantum‐optical approach is employed to determine the refractive indices of AgGaS</w:t>
        <w:br/>
        <w:t xml:space="preserve">                    &lt;jats:sub&gt;2&lt;/jats:sub&gt;</w:t>
        <w:br/>
        <w:t xml:space="preserve">                    across an extended mid‐infrared wavelength range. Correlated photon pairs are generated in the crystal, where one photon in a pair is generated at a near‐infrared wavelength and the other in the mid‐infrared. Due to the correlations, detecting the spectrum of the near‐infrared photons allows inferring the crystal's dispersion properties in the mid‐infrared region up to 21 μm, without the need for infrared light sources or detectors. Sellmeier equations are further proposed that accurately describe both ordinary and extraordinary refractive indices across the entire transparency range of the crystal. The results are consistent with previously reported data below 10 μm and demonstrate the suitability of AgGaS</w:t>
        <w:br/>
        <w:t xml:space="preserve">                    &lt;jats:sub&gt;2&lt;/jats:sub&gt;</w:t>
        <w:br/>
        <w:t xml:space="preserve">                    for frequency‐conversion processes over an extended wavelength range.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9">
        <w:r>
          <w:rPr>
            <w:rFonts w:ascii="Times New Roman" w:hAnsi="Times New Roman" w:eastAsia="宋体"/>
            <w:color w:val="0000FF"/>
            <w:sz w:val="21"/>
            <w:u w:val="single"/>
          </w:rPr>
          <w:t>https://www.sciencedirect.com/science/article/pii/S0141938226000247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0">
        <w:r>
          <w:rPr>
            <w:rFonts w:ascii="Times New Roman" w:hAnsi="Times New Roman" w:eastAsia="宋体"/>
            <w:color w:val="0000FF"/>
            <w:sz w:val="21"/>
            <w:u w:val="single"/>
          </w:rPr>
          <w:t>https://www.sciencedirect.com/science/article/pii/S0030399226001283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06:27 ---</w:t>
      </w:r>
    </w:p>
    <w:p>
      <w:pPr>
        <w:pStyle w:val="Heading2"/>
      </w:pPr>
      <w:r/>
      <w:r>
        <w:rPr>
          <w:rFonts w:ascii="Times New Roman" w:hAnsi="Times New Roman" w:eastAsia="宋体"/>
          <w:b/>
          <w:color w:val="000000"/>
          <w:sz w:val="24"/>
        </w:rPr>
        <w:t>全面回顾基于石墨烯的自供电光电探测器的最新进展，以实现灵活和可持续的光子技术</w:t>
      </w:r>
    </w:p>
    <w:p>
      <w:r>
        <w:rPr>
          <w:rFonts w:ascii="Times New Roman" w:hAnsi="Times New Roman" w:eastAsia="宋体"/>
          <w:b/>
          <w:color w:val="003264"/>
          <w:sz w:val="24"/>
        </w:rPr>
        <w:t>A Comprehensive Review of Recent Advances in Graphene-Based Self-Powered Photodetectors for Flexible and Sustainable Photonic Technologies</w:t>
      </w:r>
    </w:p>
    <w:p>
      <w:r>
        <w:rPr>
          <w:rFonts w:ascii="Times New Roman" w:hAnsi="Times New Roman" w:eastAsia="宋体"/>
          <w:sz w:val="21"/>
        </w:rPr>
        <w:t>作者: Muhammad Sulaman, Ammarah Afzal, Muhammad Qasim, Shareen Shafique, Yang Wang, Chuanbo li, Xin Tang</w:t>
        <w:br/>
      </w:r>
      <w:r>
        <w:rPr>
          <w:rFonts w:ascii="Times New Roman" w:hAnsi="Times New Roman" w:eastAsia="宋体"/>
          <w:sz w:val="21"/>
        </w:rPr>
        <w:t xml:space="preserve">时间: 2026-01-23 | </w:t>
      </w:r>
      <w:r>
        <w:t xml:space="preserve">链接: </w:t>
      </w:r>
      <w:hyperlink r:id="rId21">
        <w:r>
          <w:rPr>
            <w:rFonts w:ascii="Times New Roman" w:hAnsi="Times New Roman" w:eastAsia="宋体"/>
            <w:color w:val="0000FF"/>
            <w:sz w:val="21"/>
            <w:u w:val="single"/>
          </w:rPr>
          <w:t>https://doi.org/10.1364/prj.577410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具有高制造公差的高性能宽带全电介质红外超表面吸收器的神经网络辅助设计</w:t>
      </w:r>
    </w:p>
    <w:p>
      <w:r>
        <w:rPr>
          <w:rFonts w:ascii="Times New Roman" w:hAnsi="Times New Roman" w:eastAsia="宋体"/>
          <w:b/>
          <w:color w:val="003264"/>
          <w:sz w:val="24"/>
        </w:rPr>
        <w:t>Neural Network Assisted Design of High-performance Broadband All-dielectric Infrared Metasurface Absorber with High Fabrication Tolerance</w:t>
      </w:r>
    </w:p>
    <w:p>
      <w:r>
        <w:rPr>
          <w:rFonts w:ascii="Times New Roman" w:hAnsi="Times New Roman" w:eastAsia="宋体"/>
          <w:sz w:val="21"/>
        </w:rPr>
        <w:t>作者: wenqian zhang, Ruoxin Fan, Yan Miao, Jinguo Chen, Youxin Chen, Qingkang WANG</w:t>
        <w:br/>
      </w:r>
      <w:r>
        <w:rPr>
          <w:rFonts w:ascii="Times New Roman" w:hAnsi="Times New Roman" w:eastAsia="宋体"/>
          <w:sz w:val="21"/>
        </w:rPr>
        <w:t xml:space="preserve">时间: 2026-01-23 | </w:t>
      </w:r>
      <w:r>
        <w:t xml:space="preserve">链接: </w:t>
      </w:r>
      <w:hyperlink r:id="rId22">
        <w:r>
          <w:rPr>
            <w:rFonts w:ascii="Times New Roman" w:hAnsi="Times New Roman" w:eastAsia="宋体"/>
            <w:color w:val="0000FF"/>
            <w:sz w:val="21"/>
            <w:u w:val="single"/>
          </w:rPr>
          <w:t>https://doi.org/10.1364/prj.584792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出版商更正：钙钛矿太阳能电池埋入界面处自发形成的二维钙钛矿增强了结晶均匀性和缺陷钝化</w:t>
      </w:r>
    </w:p>
    <w:p>
      <w:r>
        <w:rPr>
          <w:rFonts w:ascii="Times New Roman" w:hAnsi="Times New Roman" w:eastAsia="宋体"/>
          <w:b/>
          <w:color w:val="003264"/>
          <w:sz w:val="24"/>
        </w:rPr>
        <w:t>Publisher Correction: Spontaneous 2D perovskite formation at the buried interface of perovskite solar cells enhances crystallization uniformity and defect passivation</w:t>
      </w:r>
    </w:p>
    <w:p>
      <w:r>
        <w:rPr>
          <w:rFonts w:ascii="Times New Roman" w:hAnsi="Times New Roman" w:eastAsia="宋体"/>
          <w:sz w:val="21"/>
        </w:rPr>
        <w:t>作者: Yongsheng Liu</w:t>
        <w:br/>
      </w:r>
      <w:r>
        <w:rPr>
          <w:rFonts w:ascii="Times New Roman" w:hAnsi="Times New Roman" w:eastAsia="宋体"/>
          <w:sz w:val="21"/>
        </w:rPr>
        <w:t xml:space="preserve">时间:  | </w:t>
      </w:r>
      <w:r>
        <w:t xml:space="preserve">链接: </w:t>
      </w:r>
      <w:hyperlink r:id="rId25">
        <w:r>
          <w:rPr>
            <w:rFonts w:ascii="Times New Roman" w:hAnsi="Times New Roman" w:eastAsia="宋体"/>
            <w:color w:val="0000FF"/>
            <w:sz w:val="21"/>
            <w:u w:val="single"/>
          </w:rPr>
          <w:t>https://www.nature.com/articles/s41566-026-01853-y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08:27 ---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Yuji Zhao, Tao Li, Boon Ooi</w:t>
        <w:br/>
      </w:r>
      <w:r>
        <w:rPr>
          <w:rFonts w:ascii="Times New Roman" w:hAnsi="Times New Roman" w:eastAsia="宋体"/>
          <w:sz w:val="21"/>
        </w:rPr>
        <w:t xml:space="preserve">时间: 2026-01-23 | </w:t>
      </w:r>
      <w:r>
        <w:t xml:space="preserve">链接: </w:t>
      </w:r>
      <w:hyperlink r:id="rId27">
        <w:r>
          <w:rPr>
            <w:rFonts w:ascii="Times New Roman" w:hAnsi="Times New Roman" w:eastAsia="宋体"/>
            <w:color w:val="0000FF"/>
            <w:sz w:val="21"/>
            <w:u w:val="single"/>
          </w:rPr>
          <w:t>https://doi.org/10.1038/s41377-025-02132-1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 AlGaN/GaN 级联光电二极管阵列演示了在紫外区域运行的高性能小型片上光谱成像仪。这项工作利用成熟的III族氮化物技术将光谱成像扩展到紫外区域，并为大规模生产紧凑型高分辨率光谱成像仪建立了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high-performance miniaturized on-chip spectral imager operating in the ultraviolet region is demonstrated based on an AlGaN/GaN cascaded photodiode array. This work extends spectral imaging into the ultraviolet regimes by leveraging the mature III-nitride technologies and establishes a scalable pathway toward massive production of compact, high-resolution spectral imagers.&lt;/jats:p&gt;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09/tip.2026.3654892" TargetMode="External"/><Relationship Id="rId11" Type="http://schemas.openxmlformats.org/officeDocument/2006/relationships/hyperlink" Target="https://doi.org/10.1364/optica.586220" TargetMode="External"/><Relationship Id="rId12" Type="http://schemas.openxmlformats.org/officeDocument/2006/relationships/hyperlink" Target="https://doi.org/10.1364/ol.576900" TargetMode="External"/><Relationship Id="rId13" Type="http://schemas.openxmlformats.org/officeDocument/2006/relationships/hyperlink" Target="https://doi.org/10.1364/ol.585954" TargetMode="External"/><Relationship Id="rId14" Type="http://schemas.openxmlformats.org/officeDocument/2006/relationships/hyperlink" Target="https://doi.org/10.1364/ol.586227" TargetMode="External"/><Relationship Id="rId15" Type="http://schemas.openxmlformats.org/officeDocument/2006/relationships/hyperlink" Target="https://doi.org/10.1364/ol.585515" TargetMode="External"/><Relationship Id="rId16" Type="http://schemas.openxmlformats.org/officeDocument/2006/relationships/hyperlink" Target="https://doi.org/10.1364/ol.583514" TargetMode="External"/><Relationship Id="rId17" Type="http://schemas.openxmlformats.org/officeDocument/2006/relationships/hyperlink" Target="https://doi.org/10.1364/ol.586687" TargetMode="External"/><Relationship Id="rId18" Type="http://schemas.openxmlformats.org/officeDocument/2006/relationships/hyperlink" Target="https://doi.org/10.1002/adpr.202500200" TargetMode="External"/><Relationship Id="rId19" Type="http://schemas.openxmlformats.org/officeDocument/2006/relationships/hyperlink" Target="https://www.sciencedirect.com/science/article/pii/S0141938226000247" TargetMode="External"/><Relationship Id="rId20" Type="http://schemas.openxmlformats.org/officeDocument/2006/relationships/hyperlink" Target="https://www.sciencedirect.com/science/article/pii/S0030399226001283" TargetMode="External"/><Relationship Id="rId21" Type="http://schemas.openxmlformats.org/officeDocument/2006/relationships/hyperlink" Target="https://doi.org/10.1364/prj.577410" TargetMode="External"/><Relationship Id="rId22" Type="http://schemas.openxmlformats.org/officeDocument/2006/relationships/hyperlink" Target="https://doi.org/10.1364/prj.584792" TargetMode="External"/><Relationship Id="rId23" Type="http://schemas.openxmlformats.org/officeDocument/2006/relationships/hyperlink" Target="https://doi.org/10.1002/adpr.202500296" TargetMode="External"/><Relationship Id="rId24" Type="http://schemas.openxmlformats.org/officeDocument/2006/relationships/hyperlink" Target="https://doi.org/10.1002/adpr.202500245" TargetMode="External"/><Relationship Id="rId25" Type="http://schemas.openxmlformats.org/officeDocument/2006/relationships/hyperlink" Target="https://www.nature.com/articles/s41566-026-01853-y" TargetMode="External"/><Relationship Id="rId26" Type="http://schemas.openxmlformats.org/officeDocument/2006/relationships/hyperlink" Target="https://doi.org/10.1002/adpr.202500267" TargetMode="External"/><Relationship Id="rId27" Type="http://schemas.openxmlformats.org/officeDocument/2006/relationships/hyperlink" Target="https://doi.org/10.1038/s41377-025-0213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