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宋体"/>
          <w:b/>
          <w:sz w:val="32"/>
        </w:rPr>
        <w:t>目 录</w:t>
      </w:r>
    </w:p>
    <w:p>
      <w:r>
        <w:fldChar w:fldCharType="begin"/>
        <w:instrText xml:space="preserve">TOC \o "1-3" \h \z \u</w:instrText>
        <w:fldChar w:fldCharType="separate"/>
        <w:fldChar w:fldCharType="end"/>
      </w:r>
    </w:p>
    <w:p>
      <w:r>
        <w:br/>
      </w:r>
    </w:p>
    <w:p>
      <w:pPr>
        <w:pStyle w:val="Heading1"/>
      </w:pPr>
      <w:r>
        <w:rPr>
          <w:rFonts w:ascii="Times New Roman" w:hAnsi="Times New Roman" w:eastAsia="宋体"/>
          <w:b/>
          <w:color w:val="000000"/>
          <w:sz w:val="32"/>
        </w:rPr>
        <w:t>Optics and Lasers in Engineering</w:t>
      </w:r>
    </w:p>
    <w:p>
      <w:pPr>
        <w:jc w:val="center"/>
      </w:pPr>
      <w:r>
        <w:t>--- 更新: 00:27 ---</w:t>
      </w:r>
    </w:p>
    <w:p>
      <w:pPr>
        <w:pStyle w:val="Heading2"/>
      </w:pPr>
      <w:r/>
      <w:r>
        <w:rPr>
          <w:rFonts w:ascii="Times New Roman" w:hAnsi="Times New Roman" w:eastAsia="宋体"/>
          <w:b/>
          <w:color w:val="000000"/>
          <w:sz w:val="24"/>
        </w:rPr>
        <w:t>可调谐双环完美光学涡旋光束及其传播特性</w:t>
      </w:r>
    </w:p>
    <w:p>
      <w:r>
        <w:rPr>
          <w:rFonts w:ascii="Times New Roman" w:hAnsi="Times New Roman" w:eastAsia="宋体"/>
          <w:b/>
          <w:color w:val="003264"/>
          <w:sz w:val="24"/>
        </w:rPr>
        <w:t>Tunable twin-ring perfect optical vortex beams and their propagation characteristics</w:t>
      </w:r>
    </w:p>
    <w:p>
      <w:r>
        <w:rPr>
          <w:rFonts w:ascii="Times New Roman" w:hAnsi="Times New Roman" w:eastAsia="宋体"/>
          <w:sz w:val="21"/>
        </w:rPr>
        <w:t>作者: Aswathi K Sivarajan, Harsh Vardhan, Sakshi Choudhary, Salla Gangi Reddy, Ravi Kumar</w:t>
        <w:br/>
      </w:r>
      <w:r>
        <w:rPr>
          <w:rFonts w:ascii="Times New Roman" w:hAnsi="Times New Roman" w:eastAsia="宋体"/>
          <w:sz w:val="21"/>
        </w:rPr>
        <w:t xml:space="preserve">时间: 2026-06-01 | </w:t>
      </w:r>
      <w:r>
        <w:t xml:space="preserve">链接: </w:t>
      </w:r>
      <w:hyperlink r:id="rId10">
        <w:r>
          <w:rPr>
            <w:rFonts w:ascii="Times New Roman" w:hAnsi="Times New Roman" w:eastAsia="宋体"/>
            <w:color w:val="0000FF"/>
            <w:sz w:val="21"/>
            <w:u w:val="single"/>
          </w:rPr>
          <w:t>https://doi.org/10.1016/j.optlaseng.2026.109665</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（摘要暂缺，等待官方补全）</w:t>
      </w:r>
    </w:p>
    <w:p>
      <w:pPr>
        <w:spacing w:before="120"/>
      </w:pPr>
      <w:r>
        <w:rPr>
          <w:rFonts w:ascii="Times New Roman" w:hAnsi="Times New Roman" w:eastAsia="宋体"/>
          <w:b/>
          <w:sz w:val="21"/>
        </w:rPr>
        <w:t>English Abstract:</w:t>
      </w:r>
    </w:p>
    <w:p>
      <w:r>
        <w:rPr>
          <w:rFonts w:ascii="Times New Roman" w:hAnsi="Times New Roman" w:eastAsia="宋体"/>
          <w:sz w:val="21"/>
        </w:rPr>
        <w:t>Abstract not available.</w:t>
      </w:r>
    </w:p>
    <w:p>
      <w:r>
        <w:rPr>
          <w:rFonts w:ascii="Times New Roman" w:hAnsi="Times New Roman" w:eastAsia="宋体"/>
          <w:sz w:val="21"/>
        </w:rPr>
        <w:t>__________________________________________________</w:t>
      </w:r>
    </w:p>
    <w:p>
      <w:pPr>
        <w:pStyle w:val="Heading1"/>
      </w:pPr>
      <w:r>
        <w:rPr>
          <w:rFonts w:ascii="Times New Roman" w:hAnsi="Times New Roman" w:eastAsia="宋体"/>
          <w:b/>
          <w:color w:val="000000"/>
          <w:sz w:val="32"/>
        </w:rPr>
        <w:t>Optics Express</w:t>
      </w:r>
    </w:p>
    <w:p>
      <w:pPr>
        <w:jc w:val="center"/>
      </w:pPr>
      <w:r>
        <w:t>--- 更新: 00:27 ---</w:t>
      </w:r>
    </w:p>
    <w:p>
      <w:pPr>
        <w:pStyle w:val="Heading2"/>
      </w:pPr>
      <w:r/>
      <w:r>
        <w:rPr>
          <w:rFonts w:ascii="Times New Roman" w:hAnsi="Times New Roman" w:eastAsia="宋体"/>
          <w:b/>
          <w:color w:val="000000"/>
          <w:sz w:val="24"/>
        </w:rPr>
        <w:t>散射介质偏振分辨测量中分析仪角度和管几何形状对等路径长度点的影响</w:t>
      </w:r>
    </w:p>
    <w:p>
      <w:r>
        <w:rPr>
          <w:rFonts w:ascii="Times New Roman" w:hAnsi="Times New Roman" w:eastAsia="宋体"/>
          <w:b/>
          <w:color w:val="003264"/>
          <w:sz w:val="24"/>
        </w:rPr>
        <w:t>Impact of analyzer angle and tube geometry on the iso-pathlength point in polarization-resolved measurements of scattering media</w:t>
      </w:r>
    </w:p>
    <w:p>
      <w:r>
        <w:rPr>
          <w:rFonts w:ascii="Times New Roman" w:hAnsi="Times New Roman" w:eastAsia="宋体"/>
          <w:sz w:val="21"/>
        </w:rPr>
        <w:t>作者: Daniel Himelstein, Alon Tzroya, Hamootal Duadi, Dror Fixler</w:t>
        <w:br/>
      </w:r>
      <w:r>
        <w:rPr>
          <w:rFonts w:ascii="Times New Roman" w:hAnsi="Times New Roman" w:eastAsia="宋体"/>
          <w:sz w:val="21"/>
        </w:rPr>
        <w:t xml:space="preserve">时间: 2026-01-30 | </w:t>
      </w:r>
      <w:r>
        <w:t xml:space="preserve">链接: </w:t>
      </w:r>
      <w:hyperlink r:id="rId11">
        <w:r>
          <w:rPr>
            <w:rFonts w:ascii="Times New Roman" w:hAnsi="Times New Roman" w:eastAsia="宋体"/>
            <w:color w:val="0000FF"/>
            <w:sz w:val="21"/>
            <w:u w:val="single"/>
          </w:rPr>
          <w:t>https://doi.org/10.1364/oe.583206</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光学偏振技术为浑浊生物介质的非侵入式传感提供了宝贵的工具，但多重散射会导致去偏振并使信号解释变得复杂。在这项工作中，我们研究了偏振对等光程 (IPL) 点的影响，这是一种几何特征，检测到的强度与散射系数无关。使用线性偏振照明并分析共偏振和交叉偏振检测到的光，我们观察到明显的偏振相关 IPL 偏移。对于 10 mm 管，对于交叉偏振、非偏振和共偏振检测，IPL 发生的方位角分别为 100.3 ∘ 、104.9 ∘ 和 111.7 ∘ 。 IPL 角度随管直径线性增加，基于斯托克斯矢量形式的偏振敏感蒙特卡罗模拟证实了这一趋势。</w:t>
      </w:r>
    </w:p>
    <w:p>
      <w:pPr>
        <w:spacing w:before="120"/>
      </w:pPr>
      <w:r>
        <w:rPr>
          <w:rFonts w:ascii="Times New Roman" w:hAnsi="Times New Roman" w:eastAsia="宋体"/>
          <w:b/>
          <w:sz w:val="21"/>
        </w:rPr>
        <w:t>English Abstract:</w:t>
      </w:r>
    </w:p>
    <w:p>
      <w:r>
        <w:rPr>
          <w:rFonts w:ascii="Times New Roman" w:hAnsi="Times New Roman" w:eastAsia="宋体"/>
          <w:sz w:val="21"/>
        </w:rPr>
        <w:t>Optical polarization techniques provide valuable tools for non-invasive sensing of turbid biological media, yet multiple scattering induces depolarization and complicates signal interpretation. In this work, we investigate the effect of polarization on the iso-pathlength (IPL) point - a geometrical feature where detected intensity becomes independent of the scattering coefficient. Using linearly polarized illumination and analyzing the co-polarized and cross-polarized detected light, we observe a distinct polarization-dependent IPL shift. For a 10 mm tube, the IPL occurs at an azimuthal angle of 100.3 ∘ ,104.9 ∘ , and 111.7 ∘ for cross-polarized, unpolarized, and co-polarized detection, respectively. The IPL angle increases linearly with tube diameter, a trend confirmed by polarization-sensitive Monte Carlo simulations based on Stokes vector formalism.</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适用于 BDFA 应用的 O + E + S 波段双波长窄带波分复用器</w:t>
      </w:r>
    </w:p>
    <w:p>
      <w:r>
        <w:rPr>
          <w:rFonts w:ascii="Times New Roman" w:hAnsi="Times New Roman" w:eastAsia="宋体"/>
          <w:b/>
          <w:color w:val="003264"/>
          <w:sz w:val="24"/>
        </w:rPr>
        <w:t>Dual-wavelength narrowband wavelength division multiplexer operating in the O + E + S bands for BDFA applications</w:t>
      </w:r>
    </w:p>
    <w:p>
      <w:r>
        <w:rPr>
          <w:rFonts w:ascii="Times New Roman" w:hAnsi="Times New Roman" w:eastAsia="宋体"/>
          <w:sz w:val="21"/>
        </w:rPr>
        <w:t>作者: Shuyuan Zhang, Kai He, Jingjing Zheng, Li Pei, Tigang Ning</w:t>
        <w:br/>
      </w:r>
      <w:r>
        <w:rPr>
          <w:rFonts w:ascii="Times New Roman" w:hAnsi="Times New Roman" w:eastAsia="宋体"/>
          <w:sz w:val="21"/>
        </w:rPr>
        <w:t xml:space="preserve">时间: 2026-01-20 | </w:t>
      </w:r>
      <w:r>
        <w:t xml:space="preserve">链接: </w:t>
      </w:r>
      <w:hyperlink r:id="rId12">
        <w:r>
          <w:rPr>
            <w:rFonts w:ascii="Times New Roman" w:hAnsi="Times New Roman" w:eastAsia="宋体"/>
            <w:color w:val="0000FF"/>
            <w:sz w:val="21"/>
            <w:u w:val="single"/>
          </w:rPr>
          <w:t>https://doi.org/10.1364/oe.580828</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掺铋光纤放大器 (BDFA) 在整个 O + E + S 频段上表现出高效的增益覆盖，使其成为利用单模光纤中未充分利用的带宽窗口的核心技术选择。然而，现有的波分复用器（WDM）很难同时匹配超宽带信号光和与超宽带信号部分重叠的窄带泵浦。针对BDFA对超宽带信号波分复用和窄带泵浦的需求，提出一种基于硅带超表面的波分复用器，结合光栅设计理论。使用有限元法（FEM）模拟，可以调整嵌入熔融石英基板中的硅条的尺寸以及这些硅条之间的间距。通过这样的调整，实现了1200~1530 nm范围内超宽带信号的波分复用功能和两个波长的窄带泵浦功能。通过数学拟合，推导出窄带泵浦中心波长与模型参数的关系式，实现关键性能的简单快速设计。关键性能简单快速设计的平均误差为1.3375 nm。这项工作为BDFA设计的WDM器件提供了新的解决方案，并为超表面器件的设计提供了新的思路。</w:t>
      </w:r>
    </w:p>
    <w:p>
      <w:pPr>
        <w:spacing w:before="120"/>
      </w:pPr>
      <w:r>
        <w:rPr>
          <w:rFonts w:ascii="Times New Roman" w:hAnsi="Times New Roman" w:eastAsia="宋体"/>
          <w:b/>
          <w:sz w:val="21"/>
        </w:rPr>
        <w:t>English Abstract:</w:t>
      </w:r>
    </w:p>
    <w:p>
      <w:r>
        <w:rPr>
          <w:rFonts w:ascii="Times New Roman" w:hAnsi="Times New Roman" w:eastAsia="宋体"/>
          <w:sz w:val="21"/>
        </w:rPr>
        <w:t>Bismuth-doped fiber amplifiers (BDFA) exhibit efficient gain coverage across the full O + E + S bands, making them a core technical choice for tapping into the underutilized bandwidth windows in single-mode fibers. However, existing wavelength division multiplexers (WDM) struggle to simultaneously match ultra-broadband signal light and narrowband pumping that partially overlaps with the ultra-broadband signal. Aiming at the demand of BDFA for wavelength division multiplexing of ultra-broadband signals and narrowband pumping, this paper proposes a WDM based on silicon strip metasurfaces, combined with grating design theory. Using finite element method (FEM) simulations, the dimensions of silicon strips embedded in a fused silica substrate and the spacing between these silicon strips are adjusted. Through this adjustment, wavelength-division multiplexing function of ultra-broadband signals in the 1200–1530 nm range and narrowband pumping at two wavelengths are achieved. By means of mathematical fitting, a relational formula between the central wavelength of the narrowband pump and the model parameters is derived, thereby realizing the simple and rapid design of key performances. The average error of the simple and rapid design of key performances is 1.3375 nm. This work provides a new solution for WDM devices designed for BDFA and offers new ideas for the design of metasurface devices.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使用混合振镜-AOD 扫描系统对复杂轨迹进行频率分解，实现高速精密激光加工</w:t>
      </w:r>
    </w:p>
    <w:p>
      <w:r>
        <w:rPr>
          <w:rFonts w:ascii="Times New Roman" w:hAnsi="Times New Roman" w:eastAsia="宋体"/>
          <w:b/>
          <w:color w:val="003264"/>
          <w:sz w:val="24"/>
        </w:rPr>
        <w:t>Frequency-decomposition of complex trajectory for high-speed and precise laser processing using a hybrid galvo-AOD scanning system</w:t>
      </w:r>
    </w:p>
    <w:p>
      <w:r>
        <w:rPr>
          <w:rFonts w:ascii="Times New Roman" w:hAnsi="Times New Roman" w:eastAsia="宋体"/>
          <w:sz w:val="21"/>
        </w:rPr>
        <w:t>作者: Haoran Wang, Yihan Le, Shuqi Zhang, Chen Pu, Boyu Zhang, Hailin Wang, Guangzhi Zhu, Xiao Zhu</w:t>
        <w:br/>
      </w:r>
      <w:r>
        <w:rPr>
          <w:rFonts w:ascii="Times New Roman" w:hAnsi="Times New Roman" w:eastAsia="宋体"/>
          <w:sz w:val="21"/>
        </w:rPr>
        <w:t xml:space="preserve">时间: 2026-01-22 | </w:t>
      </w:r>
      <w:r>
        <w:t xml:space="preserve">链接: </w:t>
      </w:r>
      <w:hyperlink r:id="rId13">
        <w:r>
          <w:rPr>
            <w:rFonts w:ascii="Times New Roman" w:hAnsi="Times New Roman" w:eastAsia="宋体"/>
            <w:color w:val="0000FF"/>
            <w:sz w:val="21"/>
            <w:u w:val="single"/>
          </w:rPr>
          <w:t>https://doi.org/10.1364/oe.582128</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本研究提出了一种基于频率分解的激光加工方法，用于由振镜扫描仪（galvos）和声光偏转器（AOD）组成的混合扫描系统，以提高激光微加工应用的精度和效率。设计数字椭圆低通滤波器对预离散轨迹进行分解，然后根据AOD的视场进行优化，产生优化的振镜轨迹和AOD偏转数据。通过考虑振镜的最大响应频率和最大加速度限制，确定允许的加工参数。实验结果表明，所提出的方法实现了 190 kHz 的处理频率，与仅使用检流计的处理系统相比，效率至少提高了 3.8 倍，同时保持了轮廓精度。频域分解方法为混合扫描系统中的复杂轨迹分解提供了实用的解决方案，为工业高端制造应用提供了有效的参数优化方法。</w:t>
      </w:r>
    </w:p>
    <w:p>
      <w:pPr>
        <w:spacing w:before="120"/>
      </w:pPr>
      <w:r>
        <w:rPr>
          <w:rFonts w:ascii="Times New Roman" w:hAnsi="Times New Roman" w:eastAsia="宋体"/>
          <w:b/>
          <w:sz w:val="21"/>
        </w:rPr>
        <w:t>English Abstract:</w:t>
      </w:r>
    </w:p>
    <w:p>
      <w:r>
        <w:rPr>
          <w:rFonts w:ascii="Times New Roman" w:hAnsi="Times New Roman" w:eastAsia="宋体"/>
          <w:sz w:val="21"/>
        </w:rPr>
        <w:t>This study proposes a frequency-decomposition-based laser processing method for a hybrid scanning system comprising galvanometer scanners (galvos) and acousto-optical deflectors (AODs) to improve the precision and efficiency of laser micro-processing applications. A digital elliptic low-pass filter is designed to decompose the pre-discrete trajectory, which is then optimized according to the field of view of AODs, yielding an optimized galvanometer trajectory and AODs deflection data. By considering the maximum response frequency and maximum acceleration limit of the galvanometer, the allowable processing parameters are determined. Experimental results demonstrate that the proposed method achieves a processing frequency of 190 kHz, with at least a 3.8-fold efficiency improvement over a galvanometer-only processing system while maintaining contour accuracy. The frequency-domain decomposition method provides a practical solution to the complex trajectory decomposition in a hybrid scanning system, offering an effective parameter optimization methodology for industrial high-end manufacturing applications.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衍射光学的蒙特卡罗光线追踪模拟</w:t>
      </w:r>
    </w:p>
    <w:p>
      <w:r>
        <w:rPr>
          <w:rFonts w:ascii="Times New Roman" w:hAnsi="Times New Roman" w:eastAsia="宋体"/>
          <w:b/>
          <w:color w:val="003264"/>
          <w:sz w:val="24"/>
        </w:rPr>
        <w:t>Monte Carlo ray-tracing simulations for diffractive optics</w:t>
      </w:r>
    </w:p>
    <w:p>
      <w:r>
        <w:rPr>
          <w:rFonts w:ascii="Times New Roman" w:hAnsi="Times New Roman" w:eastAsia="宋体"/>
          <w:sz w:val="21"/>
        </w:rPr>
        <w:t>作者: Kalani H. Ellepola, Tharindu D. Rajapaksha, Emma E. Remley, Minh L. P. Nguyen, Dave G. Macdonnell, John P. Leckey, Nguyen Q. Vinh</w:t>
        <w:br/>
      </w:r>
      <w:r>
        <w:rPr>
          <w:rFonts w:ascii="Times New Roman" w:hAnsi="Times New Roman" w:eastAsia="宋体"/>
          <w:sz w:val="21"/>
        </w:rPr>
        <w:t xml:space="preserve">时间: 2026-01-30 | </w:t>
      </w:r>
      <w:r>
        <w:t xml:space="preserve">链接: </w:t>
      </w:r>
      <w:hyperlink r:id="rId14">
        <w:r>
          <w:rPr>
            <w:rFonts w:ascii="Times New Roman" w:hAnsi="Times New Roman" w:eastAsia="宋体"/>
            <w:color w:val="0000FF"/>
            <w:sz w:val="21"/>
            <w:u w:val="single"/>
          </w:rPr>
          <w:t>https://doi.org/10.1364/oe.581470</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衍射光学元件在光学系统设计中具有显着的优势，与传统的折射和反射元件相比，可实现轻质且紧凑的架构。然而，在此类系统中准确建模波光效应仍然具有挑战性，因为光的特征波长比典型光学组件的整体尺寸小得多。传统的光线追踪方法通常会忽略这些影响，而全波模拟对于大型系统来说在计算上变得令人望而却步。为了克服这些限制，我们引入了基于惠更斯-菲涅耳原理的蒙特卡罗光线追踪方法的数值实现，以预测关键光学参数，包括聚焦效率、焦斑尺寸和高保真度的衍射图案。该方法通过专门的实验、理论和数值结果的系统比较得到验证，证明了在各种光学配置上的准确性能。我们进一步证明，包含分布在菲涅耳区的大量针孔的光子筛可以将光聚焦到小于最小针孔直径的光点，同时强烈抑制更高的衍射级和旁瓣。这些结果凸显了光线追踪方法作为下一代衍射光学元件设计和优化的实用工具的潜力。</w:t>
      </w:r>
    </w:p>
    <w:p>
      <w:pPr>
        <w:spacing w:before="120"/>
      </w:pPr>
      <w:r>
        <w:rPr>
          <w:rFonts w:ascii="Times New Roman" w:hAnsi="Times New Roman" w:eastAsia="宋体"/>
          <w:b/>
          <w:sz w:val="21"/>
        </w:rPr>
        <w:t>English Abstract:</w:t>
      </w:r>
    </w:p>
    <w:p>
      <w:r>
        <w:rPr>
          <w:rFonts w:ascii="Times New Roman" w:hAnsi="Times New Roman" w:eastAsia="宋体"/>
          <w:sz w:val="21"/>
        </w:rPr>
        <w:t>Diffractive optic elements offer significant advantages in optical system design, enabling lightweight and compact architectures compared with conventional refractive and reflective components. However, accurately modeling wave-optical effects in such systems remains challenging because characteristic wavelengths of light are much smaller than the overall dimensions of typical optical assemblies. Conventional ray-tracing methods generally neglect these effects, while full-wave simulations become computationally prohibitive for large-scale systems. To overcome these limitations, we introduce a numerical implementation of the Monte Carlo ray-tracing approach based on the Huygens–Fresnel principle to predict key optical parameters, including focusing efficiency, focal spot size, and diffraction patterns with high fidelity. This approach is validated through systematic comparisons of dedicated experimental, theoretical, and numerical results, demonstrating accurate performance over a broad range of optical configurations. We further demonstrate that photon sieves incorporating large numbers of pinholes distributed across Fresnel zones can focus light into spots smaller than the smallest pinhole diameter while strongly suppressing higher diffractive orders and sidelobes. These results highlight the potential of the ray-tracing approach as a practical tool for both the design and optimization of next-generation diffractive optical elements.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使用拓扑结构光解析复杂的亚波长光栅结构</w:t>
      </w:r>
    </w:p>
    <w:p>
      <w:r>
        <w:rPr>
          <w:rFonts w:ascii="Times New Roman" w:hAnsi="Times New Roman" w:eastAsia="宋体"/>
          <w:b/>
          <w:color w:val="003264"/>
          <w:sz w:val="24"/>
        </w:rPr>
        <w:t>Resolving complex subwavelength grating structures using topologically structured light</w:t>
      </w:r>
    </w:p>
    <w:p>
      <w:r>
        <w:rPr>
          <w:rFonts w:ascii="Times New Roman" w:hAnsi="Times New Roman" w:eastAsia="宋体"/>
          <w:sz w:val="21"/>
        </w:rPr>
        <w:t>作者: Thomas A. Grant, Eric Plum, Nikolay I. Zheludev, Kevin F. MacDonald</w:t>
        <w:br/>
      </w:r>
      <w:r>
        <w:rPr>
          <w:rFonts w:ascii="Times New Roman" w:hAnsi="Times New Roman" w:eastAsia="宋体"/>
          <w:sz w:val="21"/>
        </w:rPr>
        <w:t xml:space="preserve">时间: 2026-01-21 | </w:t>
      </w:r>
      <w:r>
        <w:t xml:space="preserve">链接: </w:t>
      </w:r>
      <w:hyperlink r:id="rId15">
        <w:r>
          <w:rPr>
            <w:rFonts w:ascii="Times New Roman" w:hAnsi="Times New Roman" w:eastAsia="宋体"/>
            <w:color w:val="0000FF"/>
            <w:sz w:val="21"/>
            <w:u w:val="single"/>
          </w:rPr>
          <w:t>https://doi.org/10.1364/oe.580365</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最近发现，当探测纳米级物体以确定例如通过光散射的尺寸或位置时，通过利用拓扑结构的入射光场中的相位奇点可以获得测量精度的显着优势。在这里，我们证明了这一优势，源于散射强度分布对入射场中强局部（亚波长尺度）强度和相位变化的依赖性，可以扩展到成像应用：在超振荡照明下对任意二元光栅的散射图案进行分析，成功地将单次测量中的特征尺寸解析为~λ/6.6（比平面波照明实现的尺寸小1.3倍），在位置位移少次测量中解析为~λ/10.5 （这对平面波情况没有任何改善）。有趣的是，在某些情况下，更复杂的物体比简单的结构能更好地解析，因为干涉效应增加了其散射图案的信息内容。</w:t>
      </w:r>
    </w:p>
    <w:p>
      <w:pPr>
        <w:spacing w:before="120"/>
      </w:pPr>
      <w:r>
        <w:rPr>
          <w:rFonts w:ascii="Times New Roman" w:hAnsi="Times New Roman" w:eastAsia="宋体"/>
          <w:b/>
          <w:sz w:val="21"/>
        </w:rPr>
        <w:t>English Abstract:</w:t>
      </w:r>
    </w:p>
    <w:p>
      <w:r>
        <w:rPr>
          <w:rFonts w:ascii="Times New Roman" w:hAnsi="Times New Roman" w:eastAsia="宋体"/>
          <w:sz w:val="21"/>
        </w:rPr>
        <w:t>It has been seen recently that when probing a nanoscale object to determine, for example, size or position via light scattering, a significant advantage in measurement precision can be gained from exploiting phase singularities in a topologically structured incident light field. Here, we demonstrate that this advantage, derived from the dependence of scattered intensity profiles on strong local (subwavelength-scale) intensity and phase variations in the incident field, can be extended towards imaging applications: analysis of scattering patterns from arbitrary binary gratings under superoscillatory illumination successfully resolves feature sizes down to ∼λ/6.6 in single-shot measurements (a factor of 1.3× smaller than is achieved with plane wave illumination), and ∼λ/10.5 in positionally-displaced few-shot measurements (which yields no improvement in the plane wave case). Interestingly, there are circumstances in which more complex objects are better resolved than simple structures, because interference effects increase the information content of their scattering patterns.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法诺共振不对称性可在较宽的厚度范围内可靠地表征介电薄膜</w:t>
      </w:r>
    </w:p>
    <w:p>
      <w:r>
        <w:rPr>
          <w:rFonts w:ascii="Times New Roman" w:hAnsi="Times New Roman" w:eastAsia="宋体"/>
          <w:b/>
          <w:color w:val="003264"/>
          <w:sz w:val="24"/>
        </w:rPr>
        <w:t>Fano resonance asymmetry for reliable characterization of dielectric film over a broad thickness range</w:t>
      </w:r>
    </w:p>
    <w:p>
      <w:r>
        <w:rPr>
          <w:rFonts w:ascii="Times New Roman" w:hAnsi="Times New Roman" w:eastAsia="宋体"/>
          <w:sz w:val="21"/>
        </w:rPr>
        <w:t>作者: Yi-Wen Lin, Hsin-Yu Yao, Tsun-Hsu Chang</w:t>
        <w:br/>
      </w:r>
      <w:r>
        <w:rPr>
          <w:rFonts w:ascii="Times New Roman" w:hAnsi="Times New Roman" w:eastAsia="宋体"/>
          <w:sz w:val="21"/>
        </w:rPr>
        <w:t xml:space="preserve">时间: 2026-01-20 | </w:t>
      </w:r>
      <w:r>
        <w:t xml:space="preserve">链接: </w:t>
      </w:r>
      <w:hyperlink r:id="rId16">
        <w:r>
          <w:rPr>
            <w:rFonts w:ascii="Times New Roman" w:hAnsi="Times New Roman" w:eastAsia="宋体"/>
            <w:color w:val="0000FF"/>
            <w:sz w:val="21"/>
            <w:u w:val="single"/>
          </w:rPr>
          <w:t>https://doi.org/10.1364/oe.579191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使用高对比度光栅 (HCG) 激发 Fano 共振，开发了用于薄膜介电表征的亚太赫兹非接触平台。通过精确设计和调整光栅几何形状，离散谐振模式和连续背景之间的干扰得到有效控制，产生高Q、不对称的法诺光谱。这些光谱能够根据共振波长和有效品质因数从等高线图中定量检索薄膜的复杂介电常数。采用校准方法来减轻系统不确定性（包括气隙），从而减少检索错误。即使在极端条件下（气隙厚度t air / Λ = 10 −4 ，超过薄膜厚度t f / Λ = 10 −5 ），介电常数实部和虚部的反演误差仍分别低于4.5%和10%，表现出较高的可靠性。此外，使用 Fano 参数 q 进行光谱不对称分析定义了薄膜厚度的可靠工作范围 ( t f / Λ &lt; 3.5 × 10 -3 )，使其适用于纳米级到微米级薄膜。作为一种可靠的非接触表征技术，该平台可应用于薄膜材料研究、光电器件设计和高频元件开发，在6G等未来高频无线通信技术中具有广阔的应用前景。</w:t>
      </w:r>
    </w:p>
    <w:p>
      <w:pPr>
        <w:spacing w:before="120"/>
      </w:pPr>
      <w:r>
        <w:rPr>
          <w:rFonts w:ascii="Times New Roman" w:hAnsi="Times New Roman" w:eastAsia="宋体"/>
          <w:b/>
          <w:sz w:val="21"/>
        </w:rPr>
        <w:t>English Abstract:</w:t>
      </w:r>
    </w:p>
    <w:p>
      <w:r>
        <w:rPr>
          <w:rFonts w:ascii="Times New Roman" w:hAnsi="Times New Roman" w:eastAsia="宋体"/>
          <w:sz w:val="21"/>
        </w:rPr>
        <w:t>A sub-THz non-contact platform for thin-film dielectric characterization was developed using high-contrast gratings (HCGs) to excite Fano resonances. By precisely designing and tuning the grating geometry, the interference between discrete resonant modes and the continuum background was effectively controlled, producing high-Q, asymmetric Fano spectra. These spectra enable quantitative retrieval of the film's complex dielectric constants from contour maps based on the resonance wavelength and effective quality factor. Calibration methods were implemented to mitigate system uncertainties, including air gaps, thereby reducing retrieval errors. Even under extreme conditions (air gap thickness t air / Λ = 10 −4 , exceeding the film thickness t f / Λ = 10 −5 ), the retrieval errors for the real and imaginary parts of the dielectric constant remain below 4.5% and 10%, respectively, demonstrating high reliability. Furthermore, analysis of spectral asymmetry using the Fano parameter q defines a reliable operating range for thin-film thicknesses ( t f / Λ &lt; 3.5 × 10 −3 ), making it suitable for nanoscale to microscale films. As a reliable non-contact characterization technique, this platform can be applied to thin-film materials research, optoelectronic device design, and high-frequency component development, with promising potential for future high-frequency wireless communication technologies such as 6G.</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超越临界耦合：微环谐振器中自发四波混频的优化设计考虑</w:t>
      </w:r>
    </w:p>
    <w:p>
      <w:r>
        <w:rPr>
          <w:rFonts w:ascii="Times New Roman" w:hAnsi="Times New Roman" w:eastAsia="宋体"/>
          <w:b/>
          <w:color w:val="003264"/>
          <w:sz w:val="24"/>
        </w:rPr>
        <w:t>Beyond critical coupling: optimal design considerations for spontaneous four-wave mixing in microring resonators</w:t>
      </w:r>
    </w:p>
    <w:p>
      <w:r>
        <w:rPr>
          <w:rFonts w:ascii="Times New Roman" w:hAnsi="Times New Roman" w:eastAsia="宋体"/>
          <w:sz w:val="21"/>
        </w:rPr>
        <w:t>作者: Joseph M. Lukens, Karthik V. Myilswamy, Alexander Miloshevsky, Hsuan-Hao Lu</w:t>
        <w:br/>
      </w:r>
      <w:r>
        <w:rPr>
          <w:rFonts w:ascii="Times New Roman" w:hAnsi="Times New Roman" w:eastAsia="宋体"/>
          <w:sz w:val="21"/>
        </w:rPr>
        <w:t xml:space="preserve">时间: 2026-01-21 | </w:t>
      </w:r>
      <w:r>
        <w:t xml:space="preserve">链接: </w:t>
      </w:r>
      <w:hyperlink r:id="rId17">
        <w:r>
          <w:rPr>
            <w:rFonts w:ascii="Times New Roman" w:hAnsi="Times New Roman" w:eastAsia="宋体"/>
            <w:color w:val="0000FF"/>
            <w:sz w:val="21"/>
            <w:u w:val="single"/>
          </w:rPr>
          <w:t>https://doi.org/10.1364/oe.585584</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我们提出了一种用于微环谐振器中双光子生成的独立分析模型。我们基于交互图像的方法涵盖全通和加分几何结构、相同和不同的泵浦和双光子耦合系数以及连续波和脉冲泵浦，揭示了时频双光子相关性，同时还预测了绝对生成率。在连续波激发下，我们发现泵浦和双光子的临界耦合可以最大化从微环提取的单光子速率，而泵浦的临界耦合但双光子的过耦合可以最大化双光子速率。在脉冲泵浦下，泵浦和双光子的过度耦合（不同程度）最大化了光子提取概率，尽管我们需要权衡光谱因子，我们通过对一系列耦合器配对进行参数扫描来量化光谱因子。总的来说，我们的形式主义对于集成光子源的实际设计应该是有价值的，它将灵活直观的以双光子为中心的描述与与实验参数密切相关的定量预测相结合。</w:t>
      </w:r>
    </w:p>
    <w:p>
      <w:pPr>
        <w:spacing w:before="120"/>
      </w:pPr>
      <w:r>
        <w:rPr>
          <w:rFonts w:ascii="Times New Roman" w:hAnsi="Times New Roman" w:eastAsia="宋体"/>
          <w:b/>
          <w:sz w:val="21"/>
        </w:rPr>
        <w:t>English Abstract:</w:t>
      </w:r>
    </w:p>
    <w:p>
      <w:r>
        <w:rPr>
          <w:rFonts w:ascii="Times New Roman" w:hAnsi="Times New Roman" w:eastAsia="宋体"/>
          <w:sz w:val="21"/>
        </w:rPr>
        <w:t>We present a self-contained analytical model for biphoton generation in microring resonators. Encompassing both all-pass and add-drop geometries, identical and distinct pump and biphoton coupling coefficients, and continuous-wave and pulsed pumping, our interaction-picture-based approach reveals time-frequency biphoton correlations while also predicting absolute generation rates. Under continuous-wave excitation, we find critical coupling of both the pump and biphoton to maximize the rate of single photons extracted from the microring, whereas critical coupling of the pump but overcoupling of the biphoton maximizes the two-photon rate. Under pulsed pumping, overcoupling of both pump and biphoton (to different degrees) maximizes photon extraction probabilities, albeit under a tradeoff with spectral factorability that we quantify via parameter scans over a range of coupler pairings. As a whole, our formalism should prove valuable for the practical design of integrated photon sources, merging a flexible and intuitive biphoton-centric depiction with quantitative predictions closely tied to experimental parameters.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使用 IACO ℝ -NM 混合全局算法自动构建无遮挡离轴四镜成像系统</w:t>
      </w:r>
    </w:p>
    <w:p>
      <w:r>
        <w:rPr>
          <w:rFonts w:ascii="Times New Roman" w:hAnsi="Times New Roman" w:eastAsia="宋体"/>
          <w:b/>
          <w:color w:val="003264"/>
          <w:sz w:val="24"/>
        </w:rPr>
        <w:t>Automated construction of unobscured off-axis four-mirror imaging systems with the IACO ℝ -NM hybrid global algorithm</w:t>
      </w:r>
    </w:p>
    <w:p>
      <w:r>
        <w:rPr>
          <w:rFonts w:ascii="Times New Roman" w:hAnsi="Times New Roman" w:eastAsia="宋体"/>
          <w:sz w:val="21"/>
        </w:rPr>
        <w:t>作者: Liwei Zhu, Junpeng Lin, Jie Chen, Tong Yang, Lei Yang, Hongbo Xie</w:t>
        <w:br/>
      </w:r>
      <w:r>
        <w:rPr>
          <w:rFonts w:ascii="Times New Roman" w:hAnsi="Times New Roman" w:eastAsia="宋体"/>
          <w:sz w:val="21"/>
        </w:rPr>
        <w:t xml:space="preserve">时间: 2026-01-23 | </w:t>
      </w:r>
      <w:r>
        <w:t xml:space="preserve">链接: </w:t>
      </w:r>
      <w:hyperlink r:id="rId18">
        <w:r>
          <w:rPr>
            <w:rFonts w:ascii="Times New Roman" w:hAnsi="Times New Roman" w:eastAsia="宋体"/>
            <w:color w:val="0000FF"/>
            <w:sz w:val="21"/>
            <w:u w:val="single"/>
          </w:rPr>
          <w:t>https://doi.org/10.1364/oe.584369</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为离轴四镜成像系统获得清晰的起点是一项艰巨的任务，传统上很大程度上依赖于设计师的专业知识和广泛的反复试验。为了应对这一挑战，我们提出了一种自动化框架，能够有效地构建具有不同几何形状的初始离轴四镜结构。通过结合一阶约束、使用节点像差理论（NAT）的三阶像差约束和“射线四边形”遮蔽误差函数来制定评估函数。通过将连续域改进蚁群优化（IACO R）与Nelder-Mead（NM）单纯形法相结合，提出了一种名为IACO R -NM的混合全局优化策略，能够实现独立于设计者的全局探索并快速获得清晰的系统。 IACO R 快速找到一个清晰的、粗略的全局最优值，NM 在此基础上执行精细的局部优化。该框架使设计人员能够有效评估不同初始结构的优化潜力，并快速选择合适的几何形状以进行进一步优化。利用该方法构建了紧凑的离轴四镜自由曲面成像系统，实现了衍射极限性能。此外，与其他全局优化器和基于梯度的局部方法的比较研究证明了所提出的混合算法的卓越优化能力。</w:t>
      </w:r>
    </w:p>
    <w:p>
      <w:pPr>
        <w:spacing w:before="120"/>
      </w:pPr>
      <w:r>
        <w:rPr>
          <w:rFonts w:ascii="Times New Roman" w:hAnsi="Times New Roman" w:eastAsia="宋体"/>
          <w:b/>
          <w:sz w:val="21"/>
        </w:rPr>
        <w:t>English Abstract:</w:t>
      </w:r>
    </w:p>
    <w:p>
      <w:r>
        <w:rPr>
          <w:rFonts w:ascii="Times New Roman" w:hAnsi="Times New Roman" w:eastAsia="宋体"/>
          <w:sz w:val="21"/>
        </w:rPr>
        <w:t>Obtaining an unobscured starting point for off-axis four-mirror imaging systems is a non-trivial task that traditionally relies heavily on designer expertise and extensive trial-and-error. To address this challenge, we propose an automated framework capable of efficiently constructing initial off-axis four-mirror structures with diverse geometries. An evaluation function is formulated by combining first-order constraints, third-order aberration constraints using nodal aberration theory (NAT), and a "ray-quadrangle" obscuration error function. A hybrid global optimization strategy, named IACO R -NM, is proposed by integrating the Improved ant colony optimization for continuous domains (IACO R ) with the Nelder–Mead (NM) simplex method, enabling designer-independent global exploration and rapid obtain unobscured systems. The IACO R quickly locates an unobscured, coarse global optimum, upon which NM performs refined local optimization. This framework allows designers to efficiently assess the optimization potential of different initial structures and rapidly select suitable geometries for further optimization. Using this method, a compact off-axis four-mirror freeform imaging system is constructed, achieving diffraction-limited performance. Moreover, comparative studies against other global optimizers and gradient-based local methods demonstrate the superior optimization capability of the proposed hybrid algorithm.</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二极管泵浦高功率 1.9 µm 和 2.3 µm 级联 Tm:CALGO 激光器</w:t>
      </w:r>
    </w:p>
    <w:p>
      <w:r>
        <w:rPr>
          <w:rFonts w:ascii="Times New Roman" w:hAnsi="Times New Roman" w:eastAsia="宋体"/>
          <w:b/>
          <w:color w:val="003264"/>
          <w:sz w:val="24"/>
        </w:rPr>
        <w:t>Diode-pumped high-power 1.9 µm and 2.3 µm cascade Tm:CALGO laser</w:t>
      </w:r>
    </w:p>
    <w:p>
      <w:r>
        <w:rPr>
          <w:rFonts w:ascii="Times New Roman" w:hAnsi="Times New Roman" w:eastAsia="宋体"/>
          <w:sz w:val="21"/>
        </w:rPr>
        <w:t>作者: Xiaoxu Yu, Zhongben Pan, Han Pan, Hongwei Chu, Dechun Li</w:t>
        <w:br/>
      </w:r>
      <w:r>
        <w:rPr>
          <w:rFonts w:ascii="Times New Roman" w:hAnsi="Times New Roman" w:eastAsia="宋体"/>
          <w:sz w:val="21"/>
        </w:rPr>
        <w:t xml:space="preserve">时间: 2026-01-22 | </w:t>
      </w:r>
      <w:r>
        <w:t xml:space="preserve">链接: </w:t>
      </w:r>
      <w:hyperlink r:id="rId19">
        <w:r>
          <w:rPr>
            <w:rFonts w:ascii="Times New Roman" w:hAnsi="Times New Roman" w:eastAsia="宋体"/>
            <w:color w:val="0000FF"/>
            <w:sz w:val="21"/>
            <w:u w:val="single"/>
          </w:rPr>
          <w:t>https://doi.org/10.1364/oe.588166</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我们报道了一种二极管泵浦高功率级联 Tm:CALGO 激光器，可同时在 3 F 4 → 3 H 6 (1.9 µm) 和 3 H 4 → 3 H 5 (2.3 µm) Tm 3+ 跃迁上运行（非竞争性）。对于 1.5 at.% Tm 3+ 掺杂水平，级联 Tm:CALGO 激光器产生的最大总连续波激光输出功率为 6.95 W，最大斜率效率为 40.3%。 3 F 4 → 3 H 6 和3 H 4 → 3 H 5 激光发射功率分别对应于4.89 W和2.07 W，最大斜率效率分别为28.7%和12.7%。据我们所知，2.07 W 的 2.3 µm 激光功率代表（无）级联 Tm:CALGO 激光器中最高的功率。此外，首次证明了当 Tm:CALGO 激光器在级联状态下工作时，3 F 4 状态的粒子群对 2.3 µm 激光性能的影响。</w:t>
      </w:r>
    </w:p>
    <w:p>
      <w:pPr>
        <w:spacing w:before="120"/>
      </w:pPr>
      <w:r>
        <w:rPr>
          <w:rFonts w:ascii="Times New Roman" w:hAnsi="Times New Roman" w:eastAsia="宋体"/>
          <w:b/>
          <w:sz w:val="21"/>
        </w:rPr>
        <w:t>English Abstract:</w:t>
      </w:r>
    </w:p>
    <w:p>
      <w:r>
        <w:rPr>
          <w:rFonts w:ascii="Times New Roman" w:hAnsi="Times New Roman" w:eastAsia="宋体"/>
          <w:sz w:val="21"/>
        </w:rPr>
        <w:t>We reported a diode-pumped high-power cascade Tm:CALGO laser simultaneously operating on the 3 F 4 → 3 H 6 (1.9 µm) and 3 H 4 → 3 H 5 (2.3 µm) Tm 3+ transitions (non-competitive). For 1.5 at.% Tm 3+ doping level, the cascade Tm:CALGO laser yielded a maximum total continuous wave laser output power of 6.95 W with a maximum slope efficiency of 40.3%. The 3 F 4 → 3 H 6 and 3 H 4 → 3 H 5 laser emissions corresponded to 4.89 W and 2.07 W with a maximum slope efficiency of 28.7% and 12.7%, respectively. To the best of our knowledge, the 2.3 µm laser power of 2.07 W represented the highest one amongst the (no) cascade Tm:CALGO lasers. Furthermore, the effect of the populations at the 3 F 4 state on the 2.3 µm laser performance when the Tm:CALGO laser operated at the cascade state was demonstrated for the first time.</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熔融石英双壳谐振器的芯片级精密光学位移读数</w:t>
      </w:r>
    </w:p>
    <w:p>
      <w:r>
        <w:rPr>
          <w:rFonts w:ascii="Times New Roman" w:hAnsi="Times New Roman" w:eastAsia="宋体"/>
          <w:b/>
          <w:color w:val="003264"/>
          <w:sz w:val="24"/>
        </w:rPr>
        <w:t>Chip-scale precision optical displacement readout of fused silica dual-shell resonators</w:t>
      </w:r>
    </w:p>
    <w:p>
      <w:r>
        <w:rPr>
          <w:rFonts w:ascii="Times New Roman" w:hAnsi="Times New Roman" w:eastAsia="宋体"/>
          <w:sz w:val="21"/>
        </w:rPr>
        <w:t>作者: Ozan Berk Boyraz, Lois Meira Lopez, Austin R. Parrish, Md Shafiqul Islam, Ceren Babayigit, Ataberk Atalar, Xun Li, Andrei M. Shkel, Ozdal Boyraz</w:t>
        <w:br/>
      </w:r>
      <w:r>
        <w:rPr>
          <w:rFonts w:ascii="Times New Roman" w:hAnsi="Times New Roman" w:eastAsia="宋体"/>
          <w:sz w:val="21"/>
        </w:rPr>
        <w:t xml:space="preserve">时间: 2026-01-28 | </w:t>
      </w:r>
      <w:r>
        <w:t xml:space="preserve">链接: </w:t>
      </w:r>
      <w:hyperlink r:id="rId20">
        <w:r>
          <w:rPr>
            <w:rFonts w:ascii="Times New Roman" w:hAnsi="Times New Roman" w:eastAsia="宋体"/>
            <w:color w:val="0000FF"/>
            <w:sz w:val="21"/>
            <w:u w:val="single"/>
          </w:rPr>
          <w:t>https://doi.org/10.1364/oe.584123</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我们提出并演示了一种基于光子集成电路（PIC）的光学位移检测读出器，用于表征熔融石英双壳半球形谐振器。该系统采用片上零差干涉测量法来测量在基本 n = 2 酒杯模式下工作的双壳熔融石英谐振器的皮米至纳米级位移。 PIC 实施利用硅光子组件，包括用于自由空间光学询问的定制设计的光栅耦合器、集成锗光电探测器和用于正交控制的热光移相器。真空封装双壳谐振器的实验表征显示，n = 2 模式谐振频率为 f 1 = 34664.8 Hz 和 f 2 = 34791.4 Hz，频率分割为 126.6 Hz，与参考激光多普勒振动计 (LDV) 测量结果非常吻合。该系统的双通道功能可以在多个边缘位置同时进行位移测量，并能够区分正交酒杯模式。这种集成光学方法为 MEMS 陀螺仪中的高精度位移传感提供了紧凑、可扩展的解决方案，在需要亚纳米位移分辨率的惯性导航系统中具有潜在应用。</w:t>
      </w:r>
    </w:p>
    <w:p>
      <w:pPr>
        <w:spacing w:before="120"/>
      </w:pPr>
      <w:r>
        <w:rPr>
          <w:rFonts w:ascii="Times New Roman" w:hAnsi="Times New Roman" w:eastAsia="宋体"/>
          <w:b/>
          <w:sz w:val="21"/>
        </w:rPr>
        <w:t>English Abstract:</w:t>
      </w:r>
    </w:p>
    <w:p>
      <w:r>
        <w:rPr>
          <w:rFonts w:ascii="Times New Roman" w:hAnsi="Times New Roman" w:eastAsia="宋体"/>
          <w:sz w:val="21"/>
        </w:rPr>
        <w:t>We propose and demonstrate a photonic integrated circuit (PIC) based optical displacement detection readout for characterizing fused silica Dual-Shell hemispherical resonators. The system employs on-chip homodyne interferometry to measure picometer to nanometer-scale displacements of Dual-Shell fused silica resonators operating in their fundamental n = 2 wineglass mode. The PIC implementation leverages silicon photonic components, including custom-designed grating couplers for free-space optical interrogation, integrated germanium photodetectors, and thermo-optic phase shifters for quadrature control. Experimental characterization of a vacuum-packaged dual shell resonator revealed n = 2 mode resonance frequencies of f 1 = 34664.8 Hz and f 2 = 34791.4 Hz, with a frequency split of 126.6 Hz, showing excellent agreement with reference laser Doppler vibrometer (LDV) measurements. The system’s dual-channel capability enables simultaneous displacement measurements at multiple rim locations and the ability to distinguish between orthogonal wineglass modes. This integrated optical approach offers a compact, scalable solution for high-precision displacement sensing in MEMS gyroscopes, with potential applications in inertial navigation systems requiring sub-nanometer displacement resolution.</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通过双层纳米结构的整体协同优化协同增强深紫外 LED 的光提取</w:t>
      </w:r>
    </w:p>
    <w:p>
      <w:r>
        <w:rPr>
          <w:rFonts w:ascii="Times New Roman" w:hAnsi="Times New Roman" w:eastAsia="宋体"/>
          <w:b/>
          <w:color w:val="003264"/>
          <w:sz w:val="24"/>
        </w:rPr>
        <w:t>Synergistic enhancement of light extraction in deep ultraviolet LEDs via holistic co-optimization of dual-layer nanostructures</w:t>
      </w:r>
    </w:p>
    <w:p>
      <w:r>
        <w:rPr>
          <w:rFonts w:ascii="Times New Roman" w:hAnsi="Times New Roman" w:eastAsia="宋体"/>
          <w:sz w:val="21"/>
        </w:rPr>
        <w:t>作者: ShiBo Shang, Wei Wan, Jiachen Lu, Zhenwei Zhang, Zhanxu Chen</w:t>
        <w:br/>
      </w:r>
      <w:r>
        <w:rPr>
          <w:rFonts w:ascii="Times New Roman" w:hAnsi="Times New Roman" w:eastAsia="宋体"/>
          <w:sz w:val="21"/>
        </w:rPr>
        <w:t xml:space="preserve">时间: 2026-01-20 | </w:t>
      </w:r>
      <w:r>
        <w:t xml:space="preserve">链接: </w:t>
      </w:r>
      <w:hyperlink r:id="rId21">
        <w:r>
          <w:rPr>
            <w:rFonts w:ascii="Times New Roman" w:hAnsi="Times New Roman" w:eastAsia="宋体"/>
            <w:color w:val="0000FF"/>
            <w:sz w:val="21"/>
            <w:u w:val="single"/>
          </w:rPr>
          <w:t>https://doi.org/10.1364/oe.586116</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基于 AlGaN 的深紫外发光二极管 (DUV-LED) 的光提取效率 (LEE) 较低，主要受到 p-GaN 层中强光吸收和全内反射 (TIR) 的限制，特别是对于占主导地位的横磁 (TM) 偏振。为了解决这个问题，我们引入了一种双层纳米结构设计，将表面抛物锥体与嵌入式 p-GaN 纳米柱相结合。我们证明了传统的逐层优化（策略 A）受到低效的层间模式耦合的限制，而我们提出的整体协同优化（策略 B）利用基于粒子群优化（PSO）的时域有限差分（FDTD）模拟有效地利用了层间协同效应。结果表明，策略 B 将 280 nm 处的总 LEE 提高到 12.98%。至关重要的是，TM 模式提取增强了约 36 倍（从 0.29% 到 10.70%），有效地将捕获的横向引导模式转换为向上提取的辐射。这项工作证明，整体协同优化是最大化耦合多参数光子器件性能的必要条件。</w:t>
      </w:r>
    </w:p>
    <w:p>
      <w:pPr>
        <w:spacing w:before="120"/>
      </w:pPr>
      <w:r>
        <w:rPr>
          <w:rFonts w:ascii="Times New Roman" w:hAnsi="Times New Roman" w:eastAsia="宋体"/>
          <w:b/>
          <w:sz w:val="21"/>
        </w:rPr>
        <w:t>English Abstract:</w:t>
      </w:r>
    </w:p>
    <w:p>
      <w:r>
        <w:rPr>
          <w:rFonts w:ascii="Times New Roman" w:hAnsi="Times New Roman" w:eastAsia="宋体"/>
          <w:sz w:val="21"/>
        </w:rPr>
        <w:t>AlGaN-based deep-ultraviolet light-emitting diodes (DUV-LEDs) suffer from low light extraction efficiency (LEE), primarily constrained by strong optical absorption in the p-GaN layer and total internal reflection (TIR), particularly for the dominant transverse-magnetic (TM) polarization. To address this, we introduce a dual-layer nanostructure design combining surface parabolic cones with embedded p-GaN nanopillars. We demonstrate that conventional layer-by-layer optimization (Strategy A) is limited by inefficient inter-layer mode coupling, whereas our proposed holistic co-optimization (Strategy B) utilizing particle swarm optimization (PSO)-based finite-difference time-domain (FDTD) simulations effectively harnesses the inter-layer synergistic effect. Results reveal that Strategy B boosts the total LEE to 12.98% at 280 nm. Crucially, the TM-mode extraction is enhanced by ∼36-fold (from 0.29% to 10.70%), effectively converting trapped lateral guided modes into upward extracted radiation. This work proves that holistic co-optimization is a necessity for maximizing the performance of coupled multi-parameter photonic devices.</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混合锁模掺铒光纤激光器中孤子态的可逆成对切换</w:t>
      </w:r>
    </w:p>
    <w:p>
      <w:r>
        <w:rPr>
          <w:rFonts w:ascii="Times New Roman" w:hAnsi="Times New Roman" w:eastAsia="宋体"/>
          <w:b/>
          <w:color w:val="003264"/>
          <w:sz w:val="24"/>
        </w:rPr>
        <w:t>Reversible pairwise switching of soliton states in a hybrid mode-locked Erbium-doped fiber laser</w:t>
      </w:r>
    </w:p>
    <w:p>
      <w:r>
        <w:rPr>
          <w:rFonts w:ascii="Times New Roman" w:hAnsi="Times New Roman" w:eastAsia="宋体"/>
          <w:sz w:val="21"/>
        </w:rPr>
        <w:t>作者: Hongbo Jiang, Kun Zhou, Chengbo Mou, Lilong Dai, Xiaoyun Tang, Lei Jin</w:t>
        <w:br/>
      </w:r>
      <w:r>
        <w:rPr>
          <w:rFonts w:ascii="Times New Roman" w:hAnsi="Times New Roman" w:eastAsia="宋体"/>
          <w:sz w:val="21"/>
        </w:rPr>
        <w:t xml:space="preserve">时间: 2026-01-23 | </w:t>
      </w:r>
      <w:r>
        <w:t xml:space="preserve">链接: </w:t>
      </w:r>
      <w:hyperlink r:id="rId25">
        <w:r>
          <w:rPr>
            <w:rFonts w:ascii="Times New Roman" w:hAnsi="Times New Roman" w:eastAsia="宋体"/>
            <w:color w:val="0000FF"/>
            <w:sz w:val="21"/>
            <w:u w:val="single"/>
          </w:rPr>
          <w:t>https://doi.org/10.1364/oe.586863</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可靠且可控的状态切换能力对于开发可编程和可重构超快激光源至关重要。虽然已经报道了具有各种锁模机制的传统双态切换，但单腔内多状态切换的可访问性以及相应的瞬态动力学仍未得到探索。在这里，我们使用非线性偏振旋转（NPR）与碳纳米管可饱和吸收器（CNT-SA）相结合的混合方案研究掺铒光纤激光器的状态切换特性。我们证明了混合方案支持三次谐波锁模、基波孤子和束缚态之间的可逆切换，并且具有高再现性。实时光谱表征证实，CNT-SA 抑制了 NPR 对应物在状态转换期间的内在不稳定性，正如呼吸振荡的扩展所反映的那样。我们通过实验证明，混合方案有效支持多个孤子态的生成并减轻过渡过程中的不稳定性，为激光动力学研究和智能激光源应用建立了可逆成对状态切换平台。</w:t>
      </w:r>
    </w:p>
    <w:p>
      <w:pPr>
        <w:spacing w:before="120"/>
      </w:pPr>
      <w:r>
        <w:rPr>
          <w:rFonts w:ascii="Times New Roman" w:hAnsi="Times New Roman" w:eastAsia="宋体"/>
          <w:b/>
          <w:sz w:val="21"/>
        </w:rPr>
        <w:t>English Abstract:</w:t>
      </w:r>
    </w:p>
    <w:p>
      <w:r>
        <w:rPr>
          <w:rFonts w:ascii="Times New Roman" w:hAnsi="Times New Roman" w:eastAsia="宋体"/>
          <w:sz w:val="21"/>
        </w:rPr>
        <w:t>Reliable and controllable state-switching capabilities are essential for the development of programmable and reconfigurable ultrafast laser sources. While conventional dual-state switching with various mode-locking mechanisms has been reported, the accessibility of multiple state-switching within a single cavity and the corresponding transient dynamics remain unexplored. Here, we investigate the state-switching characteristics of an Erbium-doped fiber laser using a hybrid scheme combining nonlinear polarization rotation (NPR) with a carbon nanotube saturable absorber (CNT-SA). We show that the hybrid scheme supports reversible switching among the third harmonic mode-locking, fundamental soliton, and bound states with high reproducibility. Real-time spectral characterizations confirm that the CNT-SA suppresses the intrinsic instability of the NPR counterpart during state transitions, as reflected in the extension of breathing oscillations. We experimentally demonstrate that the hybrid scheme effectively supports generation of multiple soliton states and mitigates the instabilities during the transition process, establishing a reversible pairwise state-switching platform for laser dynamics studies and intelligent laser source applications.</w:t>
      </w:r>
    </w:p>
    <w:p>
      <w:r>
        <w:rPr>
          <w:rFonts w:ascii="Times New Roman" w:hAnsi="Times New Roman" w:eastAsia="宋体"/>
          <w:sz w:val="21"/>
        </w:rPr>
        <w:t>__________________________________________________</w:t>
      </w:r>
    </w:p>
    <w:p>
      <w:pPr>
        <w:pStyle w:val="Heading1"/>
      </w:pPr>
      <w:r>
        <w:rPr>
          <w:rFonts w:ascii="Times New Roman" w:hAnsi="Times New Roman" w:eastAsia="宋体"/>
          <w:b/>
          <w:color w:val="000000"/>
          <w:sz w:val="32"/>
        </w:rPr>
        <w:t>Optica</w:t>
      </w:r>
    </w:p>
    <w:p>
      <w:pPr>
        <w:jc w:val="center"/>
      </w:pPr>
      <w:r>
        <w:t>--- 更新: 00:28 ---</w:t>
      </w:r>
    </w:p>
    <w:p>
      <w:pPr>
        <w:pStyle w:val="Heading2"/>
      </w:pPr>
      <w:r/>
      <w:r>
        <w:rPr>
          <w:rFonts w:ascii="Times New Roman" w:hAnsi="Times New Roman" w:eastAsia="宋体"/>
          <w:b/>
          <w:color w:val="000000"/>
          <w:sz w:val="24"/>
        </w:rPr>
        <w:t>胶质母细胞瘤球体对治疗反应的纵向、无标记、高分辨率成像：化疗、放疗和免疫治疗临床前评估的转化工具</w:t>
      </w:r>
    </w:p>
    <w:p>
      <w:r>
        <w:rPr>
          <w:rFonts w:ascii="Times New Roman" w:hAnsi="Times New Roman" w:eastAsia="宋体"/>
          <w:b/>
          <w:color w:val="003264"/>
          <w:sz w:val="24"/>
        </w:rPr>
        <w:t>Longitudinal, label-free, high-resolution imaging of glioblastoma spheroid response to therapy: a translational tool for preclinical evaluation of chemotherapy, radiation, and immunotherapy</w:t>
      </w:r>
    </w:p>
    <w:p>
      <w:r>
        <w:rPr>
          <w:rFonts w:ascii="Times New Roman" w:hAnsi="Times New Roman" w:eastAsia="宋体"/>
          <w:sz w:val="21"/>
        </w:rPr>
        <w:t>作者: Caroline E. Serafini, Amin Davarzani, Dan Cappabianca, Zhenmin Li, Daniela Baez Collazos, Deniz Mamaghani, Leidong Mao, Krishanu Saha, Lohitash Karumbaiah, Francisco E. Robles</w:t>
        <w:br/>
      </w:r>
      <w:r>
        <w:rPr>
          <w:rFonts w:ascii="Times New Roman" w:hAnsi="Times New Roman" w:eastAsia="宋体"/>
          <w:sz w:val="21"/>
        </w:rPr>
        <w:t xml:space="preserve">时间: 2026-01-27 | </w:t>
      </w:r>
      <w:r>
        <w:t xml:space="preserve">链接: </w:t>
      </w:r>
      <w:hyperlink r:id="rId22">
        <w:r>
          <w:rPr>
            <w:rFonts w:ascii="Times New Roman" w:hAnsi="Times New Roman" w:eastAsia="宋体"/>
            <w:color w:val="0000FF"/>
            <w:sz w:val="21"/>
            <w:u w:val="single"/>
          </w:rPr>
          <w:t>https://doi.org/10.1364/optica.574860</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胶质母细胞瘤（GBM）是一种侵袭性脑肿瘤，治疗选择有限，患者生存率低，这凸显了对新的、据我们所知的治疗策略和改进的临床前模型的需求。患者来源的肿瘤球体 (PDTS) 提供了一个生理相关的体外平台，用于评估嵌合抗原受体 (CAR) T 细胞疗法、化疗和放疗等治疗方法。然而，监测 GBM PDTS 复杂的三维 (3D) 微环境仍然存在重大挑战。目前用于此目的的成像技术主要是终点分析，缺乏关键的实时、非侵入性功能，最终无法进行纵向和连续监测。在这项研究中，我们引入了定量倾斜背照显微镜（qOBM）作为一种无标记和非侵入性成像方法，用于在治疗过程中纵向、连续、高分辨率监测 GBM PDTS。 qOBM 通过利用基于断层折射率的定量成像，实现细胞过程的实时可视化，包括细胞凋亡、细胞迁移和 T 细胞介导的细胞毒性。我们构建了一个适合普通培养箱的紧凑型 qOBM 系统，并将其应用于研究放射、化疗和免疫疗法对三种患者来源的 GBM 细胞系的影响，提取 72 小时治疗期内的静态和动态图像特征。此外，我们开发了机器学习模型来预测球体活力和细胞毒性，证明了 qOBM 增强治疗评估的潜力。我们的研究结果确立了 qOBM 作为纵向和连续球体监测的强大工具，为传统终点检测提供了一种非破坏性、高分辨率的替代方案，并改进了 GBM 临床前治疗的评估。</w:t>
      </w:r>
    </w:p>
    <w:p>
      <w:pPr>
        <w:spacing w:before="120"/>
      </w:pPr>
      <w:r>
        <w:rPr>
          <w:rFonts w:ascii="Times New Roman" w:hAnsi="Times New Roman" w:eastAsia="宋体"/>
          <w:b/>
          <w:sz w:val="21"/>
        </w:rPr>
        <w:t>English Abstract:</w:t>
      </w:r>
    </w:p>
    <w:p>
      <w:r>
        <w:rPr>
          <w:rFonts w:ascii="Times New Roman" w:hAnsi="Times New Roman" w:eastAsia="宋体"/>
          <w:sz w:val="21"/>
        </w:rPr>
        <w:t>Glioblastoma (GBM) is an aggressive brain tumor with limited treatment options and poor patient survival, underscoring the need for novel, to our knowledge, therapeutic strategies and improved preclinical models. Patient-derived tumor spheroids (PDTSs) offer a physiologically relevant in vitro platform for evaluating treatments such as chimeric antigen receptor (CAR) T cell therapy, chemotherapy, and radiation. However, significant challenges remain in monitoring the complex three-dimensional (3D) microenvironment of the GBM PDTSs. Current imaging techniques used for this purpose are primarily endpoint analyses which lack critical real-time, non-invasive capabilities that ultimately preclude longitudinal and continuous monitoring. In this study, we introduce quantitative oblique back-illumination microscopy (qOBM) as a label-free and non-invasive imaging approach for longitudinal and continuous, high-resolution monitoring of GBM PDTSs during treatment. qOBM enables real-time visualization of cellular processes, including apoptosis, cell migration, and T cell-mediated cytotoxicity by leveraging tomographic refractive index-based quantitative imaging. We construct a compact qOBM system that fits within common incubators and apply it to study the effects of radiation, chemotherapy, and immunotherapy on three patient-derived GBM cell lines, extracting both static and dynamic image features over a 72 h treatment period. Additionally, we develop machine learning models to predict spheroid viability and cytotoxicity, demonstrating the potential of qOBM to enhance treatment evaluation. Our findings establish qOBM as a powerful tool for longitudinal and continuous spheroid monitoring, offering a non-destructive, high-resolution alternative to conventional endpoint assays and improving the evaluation of preclinical treatments for GBM.</w:t>
      </w:r>
    </w:p>
    <w:p>
      <w:r>
        <w:rPr>
          <w:rFonts w:ascii="Times New Roman" w:hAnsi="Times New Roman" w:eastAsia="宋体"/>
          <w:sz w:val="21"/>
        </w:rPr>
        <w:t>__________________________________________________</w:t>
      </w:r>
    </w:p>
    <w:p>
      <w:pPr>
        <w:pStyle w:val="Heading2"/>
      </w:pPr>
      <w:r/>
      <w:r>
        <w:rPr>
          <w:rFonts w:ascii="Times New Roman" w:hAnsi="Times New Roman" w:eastAsia="宋体"/>
          <w:b/>
          <w:color w:val="000000"/>
          <w:sz w:val="24"/>
        </w:rPr>
        <w:t>片上输入隐藏层简并光学衍射非线性神经网络</w:t>
      </w:r>
    </w:p>
    <w:p>
      <w:r>
        <w:rPr>
          <w:rFonts w:ascii="Times New Roman" w:hAnsi="Times New Roman" w:eastAsia="宋体"/>
          <w:b/>
          <w:color w:val="003264"/>
          <w:sz w:val="24"/>
        </w:rPr>
        <w:t>On-chip input-hidden-layer-degenerate optical diffractive nonlinear neural network</w:t>
      </w:r>
    </w:p>
    <w:p>
      <w:r>
        <w:rPr>
          <w:rFonts w:ascii="Times New Roman" w:hAnsi="Times New Roman" w:eastAsia="宋体"/>
          <w:sz w:val="21"/>
        </w:rPr>
        <w:t>作者: Wenguang Xu, Bo Wu, Shiji Zhang, Hailong Zhou, Yilun Wang, Jianji Dong, Xinliang Zhang</w:t>
        <w:br/>
      </w:r>
      <w:r>
        <w:rPr>
          <w:rFonts w:ascii="Times New Roman" w:hAnsi="Times New Roman" w:eastAsia="宋体"/>
          <w:sz w:val="21"/>
        </w:rPr>
        <w:t xml:space="preserve">时间: 2026-01-20 | </w:t>
      </w:r>
      <w:r>
        <w:t xml:space="preserve">链接: </w:t>
      </w:r>
      <w:hyperlink r:id="rId23">
        <w:r>
          <w:rPr>
            <w:rFonts w:ascii="Times New Roman" w:hAnsi="Times New Roman" w:eastAsia="宋体"/>
            <w:color w:val="0000FF"/>
            <w:sz w:val="21"/>
            <w:u w:val="single"/>
          </w:rPr>
          <w:t>https://doi.org/10.1364/optica.578963</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集成光子计算具有引人注目的优势，包括超高带宽、超低延迟和固有的低功耗，使其成为人工智能 (AI) 应用的一个有前景的平台。然而，当前光子计算芯片的输入规模从根本上仍然受到其一维接口的限制。在这里，我们提出并通过实验演示了一种输入隐藏层简并光学衍射非线性神经网络（IHD-ODN 3 ），它将片上光学网络的输入维度从 N 扩展至 N 2 在紧凑的占地面积内。通过在结构上将输入层与线性衍射隐藏层合并，输入数据被直接编码到光学神经元中。利用衍射的固有特性，这些神经元之间的多层衍射相互作用促进了充分的数据混合，从而执行等效的非线性函数并将数据映射到占地面积为0.5mm 2 的高维空间中。我们通过四级螺旋和手写数字分类任务验证了 IHD-ODN 3 的非线性计算能力，分别实现了 88% 和 98% 的准确率。此外，我们还展示了高性能图像压缩和重建，压缩比高达256:1。这种输入隐藏层简并架构不仅解锁了 N 二维输入编码，而且还通过线性光子硬件提供低功耗、高度集成和可编程的光学非线性计算。我们的方法与主流线性光学神经网络架构完全兼容，为下一代大规模、高度集成的非线性光学深度神经网络铺平了道路。</w:t>
      </w:r>
    </w:p>
    <w:p>
      <w:pPr>
        <w:spacing w:before="120"/>
      </w:pPr>
      <w:r>
        <w:rPr>
          <w:rFonts w:ascii="Times New Roman" w:hAnsi="Times New Roman" w:eastAsia="宋体"/>
          <w:b/>
          <w:sz w:val="21"/>
        </w:rPr>
        <w:t>English Abstract:</w:t>
      </w:r>
    </w:p>
    <w:p>
      <w:r>
        <w:rPr>
          <w:rFonts w:ascii="Times New Roman" w:hAnsi="Times New Roman" w:eastAsia="宋体"/>
          <w:sz w:val="21"/>
        </w:rPr>
        <w:t>Integrated photonic computing offers compelling advantages, including ultrahigh bandwidth, ultralow latency, and inherently low power consumption, positioning it as a promising platform for artificial intelligence (AI) applications. However, the input scale of current photonic computing chips remains fundamentally constrained by their one-dimensional interface. Here, we propose and experimentally demonstrate an input-hidden-layer-degenerate optical diffractive nonlinear neural network (IHD-ODN 3 ), which expands the input dimension of on-chip optical networks from N to N 2 within a compact footprint. By structurally merging the input layer with linear diffractive hidden layers, input data are directly encoded into optical neurons. Leveraging the intrinsic properties of diffraction, multilayer diffraction interactions among these neurons promote sufficient data mixing, thereby executing an equivalent nonlinear function and mapping the data into a high-dimensional space with a footprint of 0.5mm 2 . We validate the nonlinear computational capability of IHD-ODN 3 through four-class spiral and handwritten digit classification tasks, achieving accuracies of 88% and 98%, respectively. Furthermore, we demonstrate high-performance image compression and reconstruction, with a compression ratio of up to 256:1. This input-hidden-layer-degenerate architecture not only unlocks N 2 dimensional input encoding, but also delivers low-power, highly integrated and programmable optical nonlinear computing with linear photonic hardware. Our approach is fully compatible with mainstream linear optical neural network architectures, paving the way for next generation of large-scale, highly integrated nonlinear optical deep neural networks.</w:t>
      </w:r>
    </w:p>
    <w:p>
      <w:r>
        <w:rPr>
          <w:rFonts w:ascii="Times New Roman" w:hAnsi="Times New Roman" w:eastAsia="宋体"/>
          <w:sz w:val="21"/>
        </w:rPr>
        <w:t>__________________________________________________</w:t>
      </w:r>
    </w:p>
    <w:p>
      <w:pPr>
        <w:pStyle w:val="Heading1"/>
      </w:pPr>
      <w:r>
        <w:rPr>
          <w:rFonts w:ascii="Times New Roman" w:hAnsi="Times New Roman" w:eastAsia="宋体"/>
          <w:b/>
          <w:color w:val="000000"/>
          <w:sz w:val="32"/>
        </w:rPr>
        <w:t>Optics Communications</w:t>
      </w:r>
    </w:p>
    <w:p>
      <w:pPr>
        <w:jc w:val="center"/>
      </w:pPr>
      <w:r>
        <w:t>--- 更新: 06:27 ---</w:t>
      </w:r>
    </w:p>
    <w:p>
      <w:pPr>
        <w:pStyle w:val="Heading2"/>
      </w:pPr>
      <w:r/>
      <w:r>
        <w:rPr>
          <w:rFonts w:ascii="Times New Roman" w:hAnsi="Times New Roman" w:eastAsia="宋体"/>
          <w:b/>
          <w:color w:val="000000"/>
          <w:sz w:val="24"/>
        </w:rPr>
        <w:t>Q开关锁模和连续波锁模之间的过渡动​​力学</w:t>
      </w:r>
    </w:p>
    <w:p>
      <w:r>
        <w:rPr>
          <w:rFonts w:ascii="Times New Roman" w:hAnsi="Times New Roman" w:eastAsia="宋体"/>
          <w:b/>
          <w:color w:val="003264"/>
          <w:sz w:val="24"/>
        </w:rPr>
        <w:t>Transition dynamics between Q-switched mode-locking and continuous wave mode-locking</w:t>
      </w:r>
    </w:p>
    <w:p>
      <w:r>
        <w:rPr>
          <w:rFonts w:ascii="Times New Roman" w:hAnsi="Times New Roman" w:eastAsia="宋体"/>
          <w:sz w:val="21"/>
        </w:rPr>
        <w:t>作者: Xiaotong Wu, Jiajing Lang, Chenyue Lv, Jintao Bai, Baole Lu</w:t>
        <w:br/>
      </w:r>
      <w:r>
        <w:rPr>
          <w:rFonts w:ascii="Times New Roman" w:hAnsi="Times New Roman" w:eastAsia="宋体"/>
          <w:sz w:val="21"/>
        </w:rPr>
        <w:t xml:space="preserve">时间: 2026-02-01 | </w:t>
      </w:r>
      <w:r>
        <w:t xml:space="preserve">链接: </w:t>
      </w:r>
      <w:hyperlink r:id="rId24">
        <w:r>
          <w:rPr>
            <w:rFonts w:ascii="Times New Roman" w:hAnsi="Times New Roman" w:eastAsia="宋体"/>
            <w:color w:val="0000FF"/>
            <w:sz w:val="21"/>
            <w:u w:val="single"/>
          </w:rPr>
          <w:t>https://doi.org/10.1016/j.optcom.2026.132991</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（摘要暂缺，等待官方补全）</w:t>
      </w:r>
    </w:p>
    <w:p>
      <w:pPr>
        <w:spacing w:before="120"/>
      </w:pPr>
      <w:r>
        <w:rPr>
          <w:rFonts w:ascii="Times New Roman" w:hAnsi="Times New Roman" w:eastAsia="宋体"/>
          <w:b/>
          <w:sz w:val="21"/>
        </w:rPr>
        <w:t>English Abstract:</w:t>
      </w:r>
    </w:p>
    <w:p>
      <w:r>
        <w:rPr>
          <w:rFonts w:ascii="Times New Roman" w:hAnsi="Times New Roman" w:eastAsia="宋体"/>
          <w:sz w:val="21"/>
        </w:rPr>
        <w:t>Abstract not available.</w:t>
      </w:r>
    </w:p>
    <w:p>
      <w:r>
        <w:rPr>
          <w:rFonts w:ascii="Times New Roman" w:hAnsi="Times New Roman" w:eastAsia="宋体"/>
          <w:sz w:val="21"/>
        </w:rPr>
        <w:t>__________________________________________________</w:t>
      </w:r>
    </w:p>
    <w:p>
      <w:pPr>
        <w:pStyle w:val="Heading1"/>
      </w:pPr>
      <w:r>
        <w:rPr>
          <w:rFonts w:ascii="Times New Roman" w:hAnsi="Times New Roman" w:eastAsia="宋体"/>
          <w:b/>
          <w:color w:val="000000"/>
          <w:sz w:val="32"/>
        </w:rPr>
        <w:t>Biomedical Optics Express</w:t>
      </w:r>
    </w:p>
    <w:p>
      <w:pPr>
        <w:jc w:val="center"/>
      </w:pPr>
      <w:r>
        <w:t>--- 更新: 06:27 ---</w:t>
      </w:r>
    </w:p>
    <w:p>
      <w:pPr>
        <w:pStyle w:val="Heading2"/>
      </w:pPr>
      <w:r/>
      <w:r>
        <w:rPr>
          <w:rFonts w:ascii="Times New Roman" w:hAnsi="Times New Roman" w:eastAsia="宋体"/>
          <w:b/>
          <w:color w:val="000000"/>
          <w:sz w:val="24"/>
        </w:rPr>
        <w:t>偏振分辨二次谐波发生显微镜表征内耳颗粒体</w:t>
      </w:r>
    </w:p>
    <w:p>
      <w:r>
        <w:rPr>
          <w:rFonts w:ascii="Times New Roman" w:hAnsi="Times New Roman" w:eastAsia="宋体"/>
          <w:b/>
          <w:color w:val="003264"/>
          <w:sz w:val="24"/>
        </w:rPr>
        <w:t>Characterization of inner ear granular bodies by polarization-resolved second harmonic generation microscopy</w:t>
      </w:r>
    </w:p>
    <w:p>
      <w:r>
        <w:rPr>
          <w:rFonts w:ascii="Times New Roman" w:hAnsi="Times New Roman" w:eastAsia="宋体"/>
          <w:sz w:val="21"/>
        </w:rPr>
        <w:t>作者: Katherine Zinck, MacAulay Harvey, Richard Cisek, Saranyan Pillai, Sean D. Christie, Danielle Tokarz</w:t>
        <w:br/>
      </w:r>
      <w:r>
        <w:rPr>
          <w:rFonts w:ascii="Times New Roman" w:hAnsi="Times New Roman" w:eastAsia="宋体"/>
          <w:sz w:val="21"/>
        </w:rPr>
        <w:t xml:space="preserve">时间: 2026-01-21 | </w:t>
      </w:r>
      <w:r>
        <w:t xml:space="preserve">链接: </w:t>
      </w:r>
      <w:hyperlink r:id="rId26">
        <w:r>
          <w:rPr>
            <w:rFonts w:ascii="Times New Roman" w:hAnsi="Times New Roman" w:eastAsia="宋体"/>
            <w:color w:val="0000FF"/>
            <w:sz w:val="21"/>
            <w:u w:val="single"/>
          </w:rPr>
          <w:t>https://doi.org/10.1364/boe.581202</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使用偏振分辨二次谐波发生显微镜（PSHG）研究从小鼠内耳解剖的耳石和小体，以提取超微结构参数。针对每个图像像素计算 PSHG 参数 ρ（通常与胶原蛋白的螺旋倾斜相关），发现小体的平均 ρ 值为 4.6，耳石的平均 ρ 值为 -3.3。来自耳石的负 ρ 被明确测量，表明二次谐波发射体的对称性并非主要是单轴的，与典型的生物二次谐波发射体（例如胶原蛋白、肌球蛋白或淀粉）相反。粒细胞ρ值的内部分布呈放射状，类似于淀粉的平均ρ值。将耳石结构模拟为由具有两个相距 &gt; 90° 的相似发射器的双轴系统组成，预测无序会改变测量的 ρ 值，使它们变得越来越负。对降解过程中的耳石进行了 SHG 测量，结果表明耳石的 ρ 值随着降解而显着降低，与该模型一致。</w:t>
      </w:r>
    </w:p>
    <w:p>
      <w:pPr>
        <w:spacing w:before="120"/>
      </w:pPr>
      <w:r>
        <w:rPr>
          <w:rFonts w:ascii="Times New Roman" w:hAnsi="Times New Roman" w:eastAsia="宋体"/>
          <w:b/>
          <w:sz w:val="21"/>
        </w:rPr>
        <w:t>English Abstract:</w:t>
      </w:r>
    </w:p>
    <w:p>
      <w:r>
        <w:rPr>
          <w:rFonts w:ascii="Times New Roman" w:hAnsi="Times New Roman" w:eastAsia="宋体"/>
          <w:sz w:val="21"/>
        </w:rPr>
        <w:t>Otoconia and corpuscles dissected from the inner ear of mice were investigated using polarization-resolved second harmonic generation microscopy (PSHG) to extract ultrastructural parameters. The PSHG parameter, ρ , typically related to helical tilt in collagen, was calculated for each image pixel, and the average ρ values were found to be 4.6 for corpuscles and -3.3 for otoconia. The negative ρ from otoconia was measured unambiguously, indicating that the symmetry of SHG emitters is not predominantly uniaxial, in contrast to typical biological SHG emitters such as collagen, myosin, or starch. The internal distribution of ρ values of corpuscles was radial and resembled the average ρ values of starch. Simulating otoconia structure as consisting of a biaxial system with two similar emitters &gt; 90° apart predicts that disorder alters the measured ρ values, making them increasingly negative. An SHG measurement of otoconia during degradation was performed, revealing that the ρ values of otoconia significantly decrease with degradation in agreement with this model.</w:t>
      </w:r>
    </w:p>
    <w:p>
      <w:r>
        <w:rPr>
          <w:rFonts w:ascii="Times New Roman" w:hAnsi="Times New Roman" w:eastAsia="宋体"/>
          <w:sz w:val="21"/>
        </w:rPr>
        <w:t>__________________________________________________</w:t>
      </w:r>
    </w:p>
    <w:p>
      <w:pPr>
        <w:pStyle w:val="Heading1"/>
      </w:pPr>
      <w:r>
        <w:rPr>
          <w:rFonts w:ascii="Times New Roman" w:hAnsi="Times New Roman" w:eastAsia="宋体"/>
          <w:b/>
          <w:color w:val="000000"/>
          <w:sz w:val="32"/>
        </w:rPr>
        <w:t>Laser &amp; Photonics Reviews</w:t>
      </w:r>
    </w:p>
    <w:p>
      <w:pPr>
        <w:jc w:val="center"/>
      </w:pPr>
      <w:r>
        <w:t>--- 更新: 06:27 ---</w:t>
      </w:r>
    </w:p>
    <w:p>
      <w:pPr>
        <w:pStyle w:val="Heading2"/>
      </w:pPr>
      <w:r/>
      <w:r>
        <w:rPr>
          <w:rFonts w:ascii="Times New Roman" w:hAnsi="Times New Roman" w:eastAsia="宋体"/>
          <w:b/>
          <w:color w:val="000000"/>
          <w:sz w:val="24"/>
        </w:rPr>
        <w:t>硅芯片上的拓扑自旋动量流</w:t>
      </w:r>
    </w:p>
    <w:p>
      <w:r>
        <w:rPr>
          <w:rFonts w:ascii="Times New Roman" w:hAnsi="Times New Roman" w:eastAsia="宋体"/>
          <w:b/>
          <w:color w:val="003264"/>
          <w:sz w:val="24"/>
        </w:rPr>
        <w:t>Topological Spin‐Momentum Flows on a Silicon Chip</w:t>
      </w:r>
    </w:p>
    <w:p>
      <w:r>
        <w:rPr>
          <w:rFonts w:ascii="Times New Roman" w:hAnsi="Times New Roman" w:eastAsia="宋体"/>
          <w:sz w:val="21"/>
        </w:rPr>
        <w:t>作者: Peilin Liu, Jiayi Zhang, Jinman Chen, Qinjun Chen, Chujun Zhao, Liang Fang</w:t>
        <w:br/>
      </w:r>
      <w:r>
        <w:rPr>
          <w:rFonts w:ascii="Times New Roman" w:hAnsi="Times New Roman" w:eastAsia="宋体"/>
          <w:sz w:val="21"/>
        </w:rPr>
        <w:t xml:space="preserve">时间: 2026-02-02 | </w:t>
      </w:r>
      <w:r>
        <w:t xml:space="preserve">链接: </w:t>
      </w:r>
      <w:hyperlink r:id="rId27">
        <w:r>
          <w:rPr>
            <w:rFonts w:ascii="Times New Roman" w:hAnsi="Times New Roman" w:eastAsia="宋体"/>
            <w:color w:val="0000FF"/>
            <w:sz w:val="21"/>
            <w:u w:val="single"/>
          </w:rPr>
          <w:t>https://doi.org/10.1002/lpor.202501647</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摘要 电磁场中新兴的拓扑结构因其独特的性质和潜在的应用而引起了人们的极大兴趣。在这里，我们介绍了硅基波导上有趣的电磁自旋动量拓扑，其特征是自旋斯格明子（meron-antitimeron）阵列与动量涡旋重叠，产生局部横向轨道角动量。这些复合纹理源自坡印廷涡街，是由两种不同阶的反向传播模式的矢量叠加产生的。重要的是，这些拓扑结构可以通过分别调制反向传播模式之间的相对振幅和相位（或频率）来​​动态控制横向位移和纵向流动。这里发现的可控拓扑自旋动量流可能为片上光学操纵、排序、波导量子电动力学和光流控技术打开新的大门。</w:t>
      </w:r>
    </w:p>
    <w:p>
      <w:pPr>
        <w:spacing w:before="120"/>
      </w:pPr>
      <w:r>
        <w:rPr>
          <w:rFonts w:ascii="Times New Roman" w:hAnsi="Times New Roman" w:eastAsia="宋体"/>
          <w:b/>
          <w:sz w:val="21"/>
        </w:rPr>
        <w:t>English Abstract:</w:t>
      </w:r>
    </w:p>
    <w:p>
      <w:r>
        <w:rPr>
          <w:rFonts w:ascii="Times New Roman" w:hAnsi="Times New Roman" w:eastAsia="宋体"/>
          <w:sz w:val="21"/>
        </w:rPr>
        <w:t>ABSTRACT The emerging topological structures within electromagnetic fields have attracted great interest because of their unique properties and potential applications. Here, we introduce interesting electromagnetic spin‐momentum topologies on silicon‐based waveguides, characterized by spin skyrmion (meron‐antimeron) arrays overlapped with momentum vortices yielding local transverse orbital angular momentum. These composite textures, derived from Poynting vortex streets, are produced by vectorial superpositions of two counter‐propagating modes with different orders. Importantly, these topological structures can be dynamically controlled to transverse shift and longitudinal flow by modulating the relative amplitudes and phases (or frequencies) between the counter‐propagating modes, respectively. The controllable topological spin‐momentum flows uncovered here may open new doors to on‐chip optical manipulation, sorting, waveguide quantum electrodynamics, and optofluidic techniques.</w:t>
      </w:r>
    </w:p>
    <w:p>
      <w:r>
        <w:rPr>
          <w:rFonts w:ascii="Times New Roman" w:hAnsi="Times New Roman" w:eastAsia="宋体"/>
          <w:sz w:val="21"/>
        </w:rPr>
        <w:t>__________________________________________________</w:t>
      </w:r>
    </w:p>
    <w:p>
      <w:pPr>
        <w:pStyle w:val="Heading1"/>
      </w:pPr>
      <w:r>
        <w:rPr>
          <w:rFonts w:ascii="Times New Roman" w:hAnsi="Times New Roman" w:eastAsia="宋体"/>
          <w:b/>
          <w:color w:val="000000"/>
          <w:sz w:val="32"/>
        </w:rPr>
        <w:t>Light: Science &amp; Applications</w:t>
      </w:r>
    </w:p>
    <w:p>
      <w:pPr>
        <w:jc w:val="center"/>
      </w:pPr>
      <w:r>
        <w:t>--- 更新: 06:28 ---</w:t>
      </w:r>
    </w:p>
    <w:p>
      <w:pPr>
        <w:pStyle w:val="Heading2"/>
      </w:pPr>
      <w:r/>
      <w:r>
        <w:rPr>
          <w:rFonts w:ascii="Times New Roman" w:hAnsi="Times New Roman" w:eastAsia="宋体"/>
          <w:b/>
          <w:color w:val="000000"/>
          <w:sz w:val="24"/>
        </w:rPr>
        <w:t>用于高通量生物颗粒操作的灵活、可拉伸的片上光镊</w:t>
      </w:r>
    </w:p>
    <w:p>
      <w:r>
        <w:rPr>
          <w:rFonts w:ascii="Times New Roman" w:hAnsi="Times New Roman" w:eastAsia="宋体"/>
          <w:b/>
          <w:color w:val="003264"/>
          <w:sz w:val="24"/>
        </w:rPr>
        <w:t>Flexible, stretchable, on-chip optical tweezers for high-throughput bioparticle manipulation</w:t>
      </w:r>
    </w:p>
    <w:p>
      <w:r>
        <w:rPr>
          <w:rFonts w:ascii="Times New Roman" w:hAnsi="Times New Roman" w:eastAsia="宋体"/>
          <w:sz w:val="21"/>
        </w:rPr>
        <w:t>作者: Ziyi He, Jianyun Xiong, Yang Shi, Ting Pan, Shaobiao Chen, Xin Zhang, Yizhen Chen, Xiangxian Wang, Baojun Li, Hongbao Xin</w:t>
        <w:br/>
      </w:r>
      <w:r>
        <w:rPr>
          <w:rFonts w:ascii="Times New Roman" w:hAnsi="Times New Roman" w:eastAsia="宋体"/>
          <w:sz w:val="21"/>
        </w:rPr>
        <w:t xml:space="preserve">时间: 2026-02-03 | </w:t>
      </w:r>
      <w:r>
        <w:t xml:space="preserve">链接: </w:t>
      </w:r>
      <w:hyperlink r:id="rId28">
        <w:r>
          <w:rPr>
            <w:rFonts w:ascii="Times New Roman" w:hAnsi="Times New Roman" w:eastAsia="宋体"/>
            <w:color w:val="0000FF"/>
            <w:sz w:val="21"/>
            <w:u w:val="single"/>
          </w:rPr>
          <w:t>https://doi.org/10.1038/s41377-026-02199-4</w:t>
        </w:r>
      </w:hyperlink>
    </w:p>
    <w:p>
      <w:pPr>
        <w:spacing w:before="120"/>
      </w:pPr>
      <w:r>
        <w:rPr>
          <w:rFonts w:ascii="Times New Roman" w:hAnsi="Times New Roman" w:eastAsia="宋体"/>
          <w:b/>
          <w:sz w:val="21"/>
        </w:rPr>
        <w:t>中文摘要:</w:t>
      </w:r>
    </w:p>
    <w:p>
      <w:pPr>
        <w:ind w:firstLine="360"/>
      </w:pPr>
      <w:r>
        <w:rPr>
          <w:rFonts w:ascii="Times New Roman" w:hAnsi="Times New Roman" w:eastAsia="宋体"/>
          <w:sz w:val="21"/>
        </w:rPr>
        <w:t>摘要 复杂微环境中单个致病生物颗粒的高通量捕获和精确操作对于体外诊断和药物筛选具有重要意义。尽管光镊已广泛用于生物颗粒捕获和操纵，但其吞吐量、功能和适应性对于复杂和动态生物环境中的片上集成生物颗粒操纵仍然受到限制。在这里，我们报告了基于大规模有序组装的微透镜的柔性、可拉伸的片上光镊（FSOT），用于在复杂的生物环境和柔性基底（包括皮肤和肠道等软生物基底）上对生物颗粒进行高通量操纵。微透镜的大规模（高达 1000）光子纳米喷射效应能够对尺寸从亚 100 nm 到数十微米的单个生物颗粒（如外泌体、细菌和哺乳动物细胞）进行高通量捕获、分选和调制。我们的 FSOT 具有高度灵活性，可以在复杂且弯曲的生物微环境中捕获和分选生物颗粒。重要的是，我们的 FSOT 还表现出高可变形性和可拉伸性，这有助于控制被捕获的相邻细胞之间的细胞间距，从而能够实时调节和监测单个病原菌与巨噬细胞之间的相互作用。我们的 FSOT 代表了一种用于高通量生物颗粒捕获和操纵的新型片上光镊，具有高灵活性和可拉伸性，作为集成片上平台，用于生物颗粒的高通量动态分析、揭示致病性生物颗粒与宿主细胞之间的细胞间相互作用以及精确的药物筛选，具有广阔的前景。</w:t>
      </w:r>
    </w:p>
    <w:p>
      <w:pPr>
        <w:spacing w:before="120"/>
      </w:pPr>
      <w:r>
        <w:rPr>
          <w:rFonts w:ascii="Times New Roman" w:hAnsi="Times New Roman" w:eastAsia="宋体"/>
          <w:b/>
          <w:sz w:val="21"/>
        </w:rPr>
        <w:t>English Abstract:</w:t>
      </w:r>
    </w:p>
    <w:p>
      <w:r>
        <w:rPr>
          <w:rFonts w:ascii="Times New Roman" w:hAnsi="Times New Roman" w:eastAsia="宋体"/>
          <w:sz w:val="21"/>
        </w:rPr>
        <w:t>Abstract High-throughput trapping and precision manipulation of individual pathogenic bioparticles in complex microenvironments are of great importance for in-vitro diagnostics and drug screening. Although optical tweezers have been widely used for bioparticle trapping and manipulation, the throughput, functionality, and adaptability are still limited for on-chip integrated bioparticle manipulation in complex and dynamic bioenvironments. Here, we report flexible, stretchable, on-chip optical tweezers (FSOT) based on large-scale orderly assembled microlenses for high-throughput manipulation of bioparticles in complex bio-environments and on flexible substrates, including soft bio-substrates such as skin and intestines. Large-scale (up to 1000) photonic nanojet effect of the microlenses enables high-throughput trapping, sorting, and modulation of individual bioparticles with sizes ranging from sub-100 nm to tens of micrometers, such as exosomes, bacteria and mammalian cells. Our FSOT exhibits high flexibility, which enables bioparticle trapping and sorting in complex and curved biological microenvironments. Importantly, our FSOT also exhibits high deformability and stretchability, which facilitates the control of inter-cellular distance between trapped neighboring cells, enabling real-time modulating and monitoring the interaction between single pathogenic bacteria and macrophage. Our FSOT represents a new class of on-chip optical tweezers for high-throughput bioparticle trapping and manipulation with the features of high flexibility and stretchability, and holds great promises as an integrated on-chip platform for high-throughput dynamic analysis of bioparticles, for revealing inter-cellular interactions between pathogenic bioparticles and host cells, and for precise drug screening.</w:t>
      </w:r>
    </w:p>
    <w:p>
      <w:r>
        <w:rPr>
          <w:rFonts w:ascii="Times New Roman" w:hAnsi="Times New Roman" w:eastAsia="宋体"/>
          <w:sz w:val="21"/>
        </w:rPr>
        <w:t>__________________________________________________</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宋体"/>
        <w:sz w:val="21"/>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doi.org/10.1016/j.optlaseng.2026.109665" TargetMode="External"/><Relationship Id="rId11" Type="http://schemas.openxmlformats.org/officeDocument/2006/relationships/hyperlink" Target="https://doi.org/10.1364/oe.583206" TargetMode="External"/><Relationship Id="rId12" Type="http://schemas.openxmlformats.org/officeDocument/2006/relationships/hyperlink" Target="https://doi.org/10.1364/oe.580828" TargetMode="External"/><Relationship Id="rId13" Type="http://schemas.openxmlformats.org/officeDocument/2006/relationships/hyperlink" Target="https://doi.org/10.1364/oe.582128" TargetMode="External"/><Relationship Id="rId14" Type="http://schemas.openxmlformats.org/officeDocument/2006/relationships/hyperlink" Target="https://doi.org/10.1364/oe.581470" TargetMode="External"/><Relationship Id="rId15" Type="http://schemas.openxmlformats.org/officeDocument/2006/relationships/hyperlink" Target="https://doi.org/10.1364/oe.580365" TargetMode="External"/><Relationship Id="rId16" Type="http://schemas.openxmlformats.org/officeDocument/2006/relationships/hyperlink" Target="https://doi.org/10.1364/oe.579191" TargetMode="External"/><Relationship Id="rId17" Type="http://schemas.openxmlformats.org/officeDocument/2006/relationships/hyperlink" Target="https://doi.org/10.1364/oe.585584" TargetMode="External"/><Relationship Id="rId18" Type="http://schemas.openxmlformats.org/officeDocument/2006/relationships/hyperlink" Target="https://doi.org/10.1364/oe.584369" TargetMode="External"/><Relationship Id="rId19" Type="http://schemas.openxmlformats.org/officeDocument/2006/relationships/hyperlink" Target="https://doi.org/10.1364/oe.588166" TargetMode="External"/><Relationship Id="rId20" Type="http://schemas.openxmlformats.org/officeDocument/2006/relationships/hyperlink" Target="https://doi.org/10.1364/oe.584123" TargetMode="External"/><Relationship Id="rId21" Type="http://schemas.openxmlformats.org/officeDocument/2006/relationships/hyperlink" Target="https://doi.org/10.1364/oe.586116" TargetMode="External"/><Relationship Id="rId22" Type="http://schemas.openxmlformats.org/officeDocument/2006/relationships/hyperlink" Target="https://doi.org/10.1364/optica.574860" TargetMode="External"/><Relationship Id="rId23" Type="http://schemas.openxmlformats.org/officeDocument/2006/relationships/hyperlink" Target="https://doi.org/10.1364/optica.578963" TargetMode="External"/><Relationship Id="rId24" Type="http://schemas.openxmlformats.org/officeDocument/2006/relationships/hyperlink" Target="https://doi.org/10.1016/j.optcom.2026.132991" TargetMode="External"/><Relationship Id="rId25" Type="http://schemas.openxmlformats.org/officeDocument/2006/relationships/hyperlink" Target="https://doi.org/10.1364/oe.586863" TargetMode="External"/><Relationship Id="rId26" Type="http://schemas.openxmlformats.org/officeDocument/2006/relationships/hyperlink" Target="https://doi.org/10.1364/boe.581202" TargetMode="External"/><Relationship Id="rId27" Type="http://schemas.openxmlformats.org/officeDocument/2006/relationships/hyperlink" Target="https://doi.org/10.1002/lpor.202501647" TargetMode="External"/><Relationship Id="rId28" Type="http://schemas.openxmlformats.org/officeDocument/2006/relationships/hyperlink" Target="https://doi.org/10.1038/s41377-026-02199-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