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00:27 ---</w:t>
      </w:r>
    </w:p>
    <w:p>
      <w:pPr>
        <w:pStyle w:val="Heading2"/>
      </w:pPr>
      <w:r/>
      <w:r>
        <w:rPr>
          <w:rFonts w:ascii="Times New Roman" w:hAnsi="Times New Roman" w:eastAsia="宋体"/>
          <w:b/>
          <w:color w:val="000000"/>
          <w:sz w:val="24"/>
        </w:rPr>
        <w:t>通过跨层度量和 ℓ 2 , 0-范数稀疏重建进行结构化剪枝</w:t>
      </w:r>
    </w:p>
    <w:p>
      <w:r>
        <w:rPr>
          <w:rFonts w:ascii="Times New Roman" w:hAnsi="Times New Roman" w:eastAsia="宋体"/>
          <w:b/>
          <w:color w:val="003264"/>
          <w:sz w:val="24"/>
        </w:rPr>
        <w:t>Structured pruning via cross-layer metric and ℓ 2 , 0 -norm sparse reconstruction</w:t>
      </w:r>
    </w:p>
    <w:p>
      <w:r>
        <w:rPr>
          <w:rFonts w:ascii="Times New Roman" w:hAnsi="Times New Roman" w:eastAsia="宋体"/>
          <w:sz w:val="21"/>
        </w:rPr>
        <w:t>作者: Huoxiang Yang, Shuangyan Yi, Fanyang Meng, Wei Liu, Yongsheng Liang</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00:27 ---</w:t>
      </w:r>
    </w:p>
    <w:p>
      <w:pPr>
        <w:pStyle w:val="Heading2"/>
      </w:pPr>
      <w:r/>
      <w:r>
        <w:rPr>
          <w:rFonts w:ascii="Times New Roman" w:hAnsi="Times New Roman" w:eastAsia="宋体"/>
          <w:b/>
          <w:color w:val="000000"/>
          <w:sz w:val="24"/>
        </w:rPr>
        <w:t>通过颜色通道恢复和双通道先验以及对比度约束进行去雾的水下图像恢复</w:t>
      </w:r>
    </w:p>
    <w:p>
      <w:r>
        <w:rPr>
          <w:rFonts w:ascii="Times New Roman" w:hAnsi="Times New Roman" w:eastAsia="宋体"/>
          <w:b/>
          <w:color w:val="003264"/>
          <w:sz w:val="24"/>
        </w:rPr>
        <w:t>Underwater Image Restoration via Color Channel Recovery and Dual-Channel Priors with Contrast Constraints for Dehazing</w:t>
      </w:r>
    </w:p>
    <w:p>
      <w:r>
        <w:rPr>
          <w:rFonts w:ascii="Times New Roman" w:hAnsi="Times New Roman" w:eastAsia="宋体"/>
          <w:sz w:val="21"/>
        </w:rPr>
        <w:t>作者: Huipu Xu, Xiuting Feng</w:t>
        <w:br/>
      </w:r>
      <w:r>
        <w:rPr>
          <w:rFonts w:ascii="Times New Roman" w:hAnsi="Times New Roman" w:eastAsia="宋体"/>
          <w:sz w:val="21"/>
        </w:rPr>
        <w:t xml:space="preserve">时间: 2026-01-01 | </w:t>
      </w:r>
      <w:r>
        <w:t xml:space="preserve">链接: </w:t>
      </w:r>
      <w:hyperlink r:id="rId11">
        <w:r>
          <w:rPr>
            <w:rFonts w:ascii="Times New Roman" w:hAnsi="Times New Roman" w:eastAsia="宋体"/>
            <w:color w:val="0000FF"/>
            <w:sz w:val="21"/>
            <w:u w:val="single"/>
          </w:rPr>
          <w:t>https://doi.org/10.1016/j.optcom.2026.132977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混合纳米棒-裂环谐振器系统中法诺共振的等离激元相移时间延长。</w:t>
      </w:r>
    </w:p>
    <w:p>
      <w:r>
        <w:rPr>
          <w:rFonts w:ascii="Times New Roman" w:hAnsi="Times New Roman" w:eastAsia="宋体"/>
          <w:b/>
          <w:color w:val="003264"/>
          <w:sz w:val="24"/>
        </w:rPr>
        <w:t>Extended plasmon dephasing time of Fano resonance in hybrid nanorod- split ring resonator system.</w:t>
      </w:r>
    </w:p>
    <w:p>
      <w:r>
        <w:rPr>
          <w:rFonts w:ascii="Times New Roman" w:hAnsi="Times New Roman" w:eastAsia="宋体"/>
          <w:sz w:val="21"/>
        </w:rPr>
        <w:t>作者: Merneh Mandado Mana, Boyu Ji, Zhenlong Zhao, Bereket Dalga Dana, Alemayehu Nana Koya, Jingquan Lin</w:t>
        <w:br/>
      </w:r>
      <w:r>
        <w:rPr>
          <w:rFonts w:ascii="Times New Roman" w:hAnsi="Times New Roman" w:eastAsia="宋体"/>
          <w:sz w:val="21"/>
        </w:rPr>
        <w:t xml:space="preserve">时间: 2026-01-01 | </w:t>
      </w:r>
      <w:r>
        <w:t xml:space="preserve">链接: </w:t>
      </w:r>
      <w:hyperlink r:id="rId12">
        <w:r>
          <w:rPr>
            <w:rFonts w:ascii="Times New Roman" w:hAnsi="Times New Roman" w:eastAsia="宋体"/>
            <w:color w:val="0000FF"/>
            <w:sz w:val="21"/>
            <w:u w:val="single"/>
          </w:rPr>
          <w:t>https://doi.org/10.1016/j.optcom.2026.132974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具有可控接枝拓扑电荷的太赫兹接枝完美涡旋光束</w:t>
      </w:r>
    </w:p>
    <w:p>
      <w:r>
        <w:rPr>
          <w:rFonts w:ascii="Times New Roman" w:hAnsi="Times New Roman" w:eastAsia="宋体"/>
          <w:b/>
          <w:color w:val="003264"/>
          <w:sz w:val="24"/>
        </w:rPr>
        <w:t>Terahertz grafted perfect vortex beams with controllable grafted topological charges</w:t>
      </w:r>
    </w:p>
    <w:p>
      <w:r>
        <w:rPr>
          <w:rFonts w:ascii="Times New Roman" w:hAnsi="Times New Roman" w:eastAsia="宋体"/>
          <w:sz w:val="21"/>
        </w:rPr>
        <w:t>作者: Yongqiang Yang, Menghao Li, Baolin Wei, Wenbing Zhang, Chengyao Peng, Tianyi Wang, Zongqiang Sheng, Hongwei Wu</w:t>
        <w:br/>
      </w:r>
      <w:r>
        <w:rPr>
          <w:rFonts w:ascii="Times New Roman" w:hAnsi="Times New Roman" w:eastAsia="宋体"/>
          <w:sz w:val="21"/>
        </w:rPr>
        <w:t xml:space="preserve">时间: 2026-01-16 | </w:t>
      </w:r>
      <w:r>
        <w:t xml:space="preserve">链接: </w:t>
      </w:r>
      <w:hyperlink r:id="rId13">
        <w:r>
          <w:rPr>
            <w:rFonts w:ascii="Times New Roman" w:hAnsi="Times New Roman" w:eastAsia="宋体"/>
            <w:color w:val="0000FF"/>
            <w:sz w:val="21"/>
            <w:u w:val="single"/>
          </w:rPr>
          <w:t>https://doi.org/10.1364/oe.585439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我们展示了一种新型太赫兹（THz）接枝完美涡旋光束（PVB），其中接枝的拓扑电荷（TC）可以任意组合为整数或分数，并且TC的接枝比例也可以独立控制。使用改进的双约束 Gerchberg-Saxton 算法生成太赫兹嫁接 PVB 的纯相位全息图。相位全息图板是通过 3D 打印制造的，用于实验验证。模拟和实验结果表明，太赫兹接枝PVB的环半径、接枝TC、接枝比例和间隙位置可以通过调整设计参数来控制。这些结果增加了PVB中轨道角动量分布的多样性，从而为多维光场工程提供了额外的自由度。</w:t>
      </w:r>
    </w:p>
    <w:p>
      <w:pPr>
        <w:spacing w:before="120"/>
      </w:pPr>
      <w:r>
        <w:rPr>
          <w:rFonts w:ascii="Times New Roman" w:hAnsi="Times New Roman" w:eastAsia="宋体"/>
          <w:b/>
          <w:sz w:val="21"/>
        </w:rPr>
        <w:t>English Abstract:</w:t>
      </w:r>
    </w:p>
    <w:p>
      <w:r>
        <w:rPr>
          <w:rFonts w:ascii="Times New Roman" w:hAnsi="Times New Roman" w:eastAsia="宋体"/>
          <w:sz w:val="21"/>
        </w:rPr>
        <w:t>We demonstrate what we believe to be a novel terahertz (THz) grafted perfect vortex beam (PVB), in which the grafted topological charges (TCs) can be arbitrarily combined as integers or fractions, and the grafted proportion of TCs can also be independently controlled. Pure-phase holograms of the THz grafted PVBs are generated using a modified dual-constraint Gerchberg-Saxton algorithm. The phase hologram plates are fabricated via 3D-printing for experimental validation. Simulated and experimental results show that the ring radius, grafted TCs, grafted proportion, and gap position of the THz grafted PVBs can be controlled by adjusting design parameters. These results increase the diversity of orbital angular momentum distributions in PVBs, thereby offering additional degrees of freedom for multidimensional light-field engineering.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探索无隔离器光子集成电路的量子点激光器的反馈限制</w:t>
      </w:r>
    </w:p>
    <w:p>
      <w:r>
        <w:rPr>
          <w:rFonts w:ascii="Times New Roman" w:hAnsi="Times New Roman" w:eastAsia="宋体"/>
          <w:b/>
          <w:color w:val="003264"/>
          <w:sz w:val="24"/>
        </w:rPr>
        <w:t>Exploring the feedback limits of quantum dot lasers for isolator-free photonic integrated circuits</w:t>
      </w:r>
    </w:p>
    <w:p>
      <w:r>
        <w:rPr>
          <w:rFonts w:ascii="Times New Roman" w:hAnsi="Times New Roman" w:eastAsia="宋体"/>
          <w:sz w:val="21"/>
        </w:rPr>
        <w:t>作者: Ying Shi, Bozhang Dong, Xiangpeng Ou, Artem Prokoshin, Chen Shang, John E. Bowers, Yating Wan</w:t>
        <w:br/>
      </w:r>
      <w:r>
        <w:rPr>
          <w:rFonts w:ascii="Times New Roman" w:hAnsi="Times New Roman" w:eastAsia="宋体"/>
          <w:sz w:val="21"/>
        </w:rPr>
        <w:t xml:space="preserve">时间: 2026-01-30 | </w:t>
      </w:r>
      <w:r>
        <w:t xml:space="preserve">链接: </w:t>
      </w:r>
      <w:hyperlink r:id="rId14">
        <w:r>
          <w:rPr>
            <w:rFonts w:ascii="Times New Roman" w:hAnsi="Times New Roman" w:eastAsia="宋体"/>
            <w:color w:val="0000FF"/>
            <w:sz w:val="21"/>
            <w:u w:val="single"/>
          </w:rPr>
          <w:t>https://doi.org/10.1038/s41377-026-02185-w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片上元件的反射对光子集成电路 (PIC) 中激光器的稳定运行提出了重大挑战。量子点 (QD) 激光器具有低线宽增强因子和高阻尼率，有望实现无隔离器集成，但早期的反馈研究仅限于 -10 dB 反馈，从未达到相干崩溃 (CC)。因此，人们只能得出这样的结论：QD 激光器可以承受高达 –10 dB 的反馈，但它们在实际 PIC 中是否仍然可靠尚待确定，因为较低的耦合损耗允许更强的反馈。在这里，我们通过先进的外延生长和制造优化了 QD 激光器，并开发了一种可提供高达 0 dB 反馈的装置。在这些条件下，我们观察到 CC 为 -6.7 dB（21.4% 反馈），将反馈容差超出量子阱 (QW) 激光器数十分贝。我们进一步展示了无损失的 10 Gbps 运行、在 15–45 °C 范围内具有 ±0.5 dB 漂移的强大热稳定性、&gt;100 小时的连续测试以及跨器件 ~±0.3 dB 的再现性。建模表明在实际 PIC 腔中具有更强的耐受性，基准测试表明我们的器件可与混合 DFB 谐振器平台相媲美，同时优于其他 QW、QD 和 VCSEL 激光器。总之，这项工作提供了迄今为止最全面的 QD 激光反馈容差评估，并为无隔离器 PIC 建立了实用的设计规则。</w:t>
      </w:r>
    </w:p>
    <w:p>
      <w:pPr>
        <w:spacing w:before="120"/>
      </w:pPr>
      <w:r>
        <w:rPr>
          <w:rFonts w:ascii="Times New Roman" w:hAnsi="Times New Roman" w:eastAsia="宋体"/>
          <w:b/>
          <w:sz w:val="21"/>
        </w:rPr>
        <w:t>English Abstract:</w:t>
      </w:r>
    </w:p>
    <w:p>
      <w:r>
        <w:rPr>
          <w:rFonts w:ascii="Times New Roman" w:hAnsi="Times New Roman" w:eastAsia="宋体"/>
          <w:sz w:val="21"/>
        </w:rPr>
        <w:t>Abstract Reflections from on-chip components pose significant challenges to stable laser operation in photonic integrated circuits (PICs). Quantum dot (QD) lasers, with low linewidth enhancement factors and high damping rates, are promising for isolator-free integration, yet earlier feedback studies were capped near −10 dB feedback and never reached coherence collapse (CC). As a result, one could only conclude that QD lasers tolerate feedback up to –10 dB, leaving open whether they remain reliable in practical PICs where lower coupling losses allow much stronger feedback. Here, we optimized QD lasers through advanced epitaxial growth and fabrication and developed a setup that delivers feedback up to 0 dB. Under these conditions, we observed CC at −6.7 dB (21.4% feedback), extending the feedback tolerance by tens of decibels beyond quantum-well (QW) lasers. We further demonstrated penalty-free 10 Gbps operation, robust thermal stability with ±0.5 dB drift across 15–45 °C, &gt;100 h continuous testing, and ~±0.3 dB reproducibility across devices. Modeling indicates even stronger tolerance in realistic PIC cavities, and benchmarking shows our device rivals hybrid DFB–resonator platforms while outperforming other QW, QD, and VCSEL lasers. Together, this work provides the most comprehensive assessment of QD laser feedback tolerance to date and establishes practical design rules for isolator-free PICs.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00:28 ---</w:t>
      </w:r>
    </w:p>
    <w:p>
      <w:pPr>
        <w:pStyle w:val="Heading2"/>
      </w:pPr>
      <w:r/>
      <w:r>
        <w:rPr>
          <w:rFonts w:ascii="Times New Roman" w:hAnsi="Times New Roman" w:eastAsia="宋体"/>
          <w:b/>
          <w:color w:val="000000"/>
          <w:sz w:val="24"/>
        </w:rPr>
        <w:t>沉浸式虚拟现实中的人工面部模仿</w:t>
      </w:r>
    </w:p>
    <w:p>
      <w:r>
        <w:rPr>
          <w:rFonts w:ascii="Times New Roman" w:hAnsi="Times New Roman" w:eastAsia="宋体"/>
          <w:b/>
          <w:color w:val="003264"/>
          <w:sz w:val="24"/>
        </w:rPr>
        <w:t>Artificial Facial Mimicry in Immersive Virtual Reality</w:t>
      </w:r>
    </w:p>
    <w:p>
      <w:r>
        <w:rPr>
          <w:rFonts w:ascii="Times New Roman" w:hAnsi="Times New Roman" w:eastAsia="宋体"/>
          <w:sz w:val="21"/>
        </w:rPr>
        <w:t>作者: Elena Piscopo</w:t>
        <w:br/>
      </w:r>
      <w:r>
        <w:rPr>
          <w:rFonts w:ascii="Times New Roman" w:hAnsi="Times New Roman" w:eastAsia="宋体"/>
          <w:sz w:val="21"/>
        </w:rPr>
        <w:t xml:space="preserve">时间: 2026 | </w:t>
      </w:r>
      <w:r>
        <w:t xml:space="preserve">链接: </w:t>
      </w:r>
      <w:hyperlink r:id="rId15">
        <w:r>
          <w:rPr>
            <w:rFonts w:ascii="Times New Roman" w:hAnsi="Times New Roman" w:eastAsia="宋体"/>
            <w:color w:val="0000FF"/>
            <w:sz w:val="21"/>
            <w:u w:val="single"/>
          </w:rPr>
          <w:t>https://doi.org/10.1109/tvcg.2026.3656848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人工面部模仿（AFM）越来越多地用于增强沉浸式虚拟现实中与虚拟代理的社交互动。然而，其心理和伦理影响仍未得到充分探讨。本文将 AFM 概念化为一种有效且具体的干预措施，研究了情感一致性、个体差异和临床脆弱性在塑造用户反应中的作用。我们进一步概述了涉及生理测量和体现协调的方法论方向。通过在情感计算和具身认知中构建 AFM，这项工作有助于情感自适应虚拟代理的负责任设计。</w:t>
      </w:r>
    </w:p>
    <w:p>
      <w:pPr>
        <w:spacing w:before="120"/>
      </w:pPr>
      <w:r>
        <w:rPr>
          <w:rFonts w:ascii="Times New Roman" w:hAnsi="Times New Roman" w:eastAsia="宋体"/>
          <w:b/>
          <w:sz w:val="21"/>
        </w:rPr>
        <w:t>English Abstract:</w:t>
      </w:r>
    </w:p>
    <w:p>
      <w:r>
        <w:rPr>
          <w:rFonts w:ascii="Times New Roman" w:hAnsi="Times New Roman" w:eastAsia="宋体"/>
          <w:sz w:val="21"/>
        </w:rPr>
        <w:t>Artificial facial mimicry (AFM) is increasingly used to enhance social interaction with virtual agents in immersive virtual reality. However, its psychological and ethical implications remain insufficiently explored. This article conceptualizes AFM as an effective and embodied intervention, examining the role of emotional congruence, individual differences, and clinical vulnerability in shaping user responses. We further outline methodological directions involving physiological measures and embodied coordination. By framing AFM within affective computing and embodied cognition, this work contributes to the responsible design of emotionally adaptive virtual agents.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00:28 ---</w:t>
      </w:r>
    </w:p>
    <w:p>
      <w:pPr>
        <w:pStyle w:val="Heading2"/>
      </w:pPr>
      <w:r/>
      <w:r>
        <w:rPr>
          <w:rFonts w:ascii="Times New Roman" w:hAnsi="Times New Roman" w:eastAsia="宋体"/>
          <w:b/>
          <w:color w:val="000000"/>
          <w:sz w:val="24"/>
        </w:rPr>
        <w:t>前视声纳图像的无参考增强：通过可变形小波散射变换和多帧融合弥合跨模态退化差距</w:t>
      </w:r>
    </w:p>
    <w:p>
      <w:r>
        <w:rPr>
          <w:rFonts w:ascii="Times New Roman" w:hAnsi="Times New Roman" w:eastAsia="宋体"/>
          <w:b/>
          <w:color w:val="003264"/>
          <w:sz w:val="24"/>
        </w:rPr>
        <w:t>Reference-Free Enhancement of Forward-Looking Sonar Images: Bridging Cross-Modal Degradation Gaps Through Deformable Wavelet Scattering Transform and Multi-Frame Fusion</w:t>
      </w:r>
    </w:p>
    <w:p>
      <w:r>
        <w:rPr>
          <w:rFonts w:ascii="Times New Roman" w:hAnsi="Times New Roman" w:eastAsia="宋体"/>
          <w:sz w:val="21"/>
        </w:rPr>
        <w:t>作者: Zhisheng Zhang, Peng Zhang, Fengxiang Wang, Liangli Ma, Fuchun Sun</w:t>
        <w:br/>
      </w:r>
      <w:r>
        <w:rPr>
          <w:rFonts w:ascii="Times New Roman" w:hAnsi="Times New Roman" w:eastAsia="宋体"/>
          <w:sz w:val="21"/>
        </w:rPr>
        <w:t xml:space="preserve">时间: 2026 | </w:t>
      </w:r>
      <w:r>
        <w:t xml:space="preserve">链接: </w:t>
      </w:r>
      <w:hyperlink r:id="rId16">
        <w:r>
          <w:rPr>
            <w:rFonts w:ascii="Times New Roman" w:hAnsi="Times New Roman" w:eastAsia="宋体"/>
            <w:color w:val="0000FF"/>
            <w:sz w:val="21"/>
            <w:u w:val="single"/>
          </w:rPr>
          <w:t>https://doi.org/10.1109/tci.2026.3658954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增强前视声纳 (FLS) 图像对于水下目标检测至关重要。现有的深度学习方法通​​常依赖于模拟数据的监督训练，但它们的泛化受到现实世界配对数据集稀缺的限制。最近的无参考方法可以对单个帧进行去噪，但它们对局部统计数据的依赖使得它们在低信噪比（SNR）下很脆弱，并且容易失去全局结构一致性。多光谱/高光谱遥感 (RS) 和 FLS 图像共享散斑状纹理和范围相关对比度，因此大规模监督 RS 先验是传输的自然候选者；然而，跨模态退化差距仍然会导致幼稚的特征转移到过度平滑的目标并压缩亮度。为了安全地利用这些先验，我们遵循基于可变形小波散射变换（DWST）特征桥的跨模式使用前对齐策略。该桥学习小的、规则化的尺度方向偏移，并将声纳图像映射到与受监督的高分辨率/低分辨率 RS 模型对齐的稳定、平移不变的特征空间中。在此空间之上，HighRes-Net 式多帧融合主干以完全无参考的方式对噪声声纳序列进行端到端微调，利用帧间互补性实现散斑抑制和对比度/分辨率增益，同时保留关键的声纳成像特性。在内部C900-II池数据集、公共DEBRIS前瞻声纳基准和UATD水声目标检测数据集上的实验表明，所提出的DWST增强融合框架在噪声抑制、边缘保留和亮度增强方面大大优于现有的无参考方法，并且持续改进了下游目标检测，强调了其在水下应用中的实际有效性。</w:t>
      </w:r>
    </w:p>
    <w:p>
      <w:pPr>
        <w:spacing w:before="120"/>
      </w:pPr>
      <w:r>
        <w:rPr>
          <w:rFonts w:ascii="Times New Roman" w:hAnsi="Times New Roman" w:eastAsia="宋体"/>
          <w:b/>
          <w:sz w:val="21"/>
        </w:rPr>
        <w:t>English Abstract:</w:t>
      </w:r>
    </w:p>
    <w:p>
      <w:r>
        <w:rPr>
          <w:rFonts w:ascii="Times New Roman" w:hAnsi="Times New Roman" w:eastAsia="宋体"/>
          <w:sz w:val="21"/>
        </w:rPr>
        <w:t>Enhancing forward-looking sonar (FLS) imagery is crucial for underwater target detection. Existing deep learning approaches typically rely on supervised training with simulated data, but their generalization is constrained by the scarcity of real-world paired datasets. Recent reference-free methods can denoise single frames, yet their reliance on local statistics makes them fragile at low signal-to-noise ratios (SNRs) and prone to losing global structural consistency. Multispectral/hyperspectral remote-sensing (RS) and FLS imagery share speckle-like textures and range-dependent contrast, so large-scale supervised RS priors are a natural candidate for transfer; however, the cross-modal degradation gap still causes naïve feature transfer to over-smooth targets and compress brightness. To exploit these priors safely, we follow a cross-modal align-before-use strategy based on a Deformable Wavelet Scattering Transform (DWST) Feature Bridge. The bridge learns small, regularized scale-orientation offsets and maps sonar images into a stable, translation-invariant feature space aligned with supervised high-/low-resolution RS models. On top of this space, a HighRes-Net-style multi-frame fusion backbone is fine-tuned end-to-end in a fully reference-free manner on noisy sonar sequences, leveraging inter-frame complementarity for speckle suppression and contrast/resolution gains while preserving key sonar imaging characteristics. Experiments on an in-house C900-II pool dataset, the public DEBRIS forward-looking sonar benchmark, and the UATD underwater acoustic target detection dataset show that the proposed DWST-augmented fusion framework substantially outperforms existing reference-free methods in noise suppression, edge preservation, and brightness enhancement, and consistently improves downstream object detection, underscoring its practical effectiveness for underwater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00:28 ---</w:t>
      </w:r>
    </w:p>
    <w:p>
      <w:pPr>
        <w:pStyle w:val="Heading2"/>
      </w:pPr>
      <w:r/>
      <w:r>
        <w:rPr>
          <w:rFonts w:ascii="Times New Roman" w:hAnsi="Times New Roman" w:eastAsia="宋体"/>
          <w:b/>
          <w:color w:val="000000"/>
          <w:sz w:val="24"/>
        </w:rPr>
        <w:t>主成分最大化：一种无需系统参数的原始数据SAR图像恢复新方法</w:t>
      </w:r>
    </w:p>
    <w:p>
      <w:r>
        <w:rPr>
          <w:rFonts w:ascii="Times New Roman" w:hAnsi="Times New Roman" w:eastAsia="宋体"/>
          <w:b/>
          <w:color w:val="003264"/>
          <w:sz w:val="24"/>
        </w:rPr>
        <w:t>Principal Component Maximization: A Novel Method for SAR Image Recovery from Raw Data without System Parameters</w:t>
      </w:r>
    </w:p>
    <w:p>
      <w:r>
        <w:rPr>
          <w:rFonts w:ascii="Times New Roman" w:hAnsi="Times New Roman" w:eastAsia="宋体"/>
          <w:sz w:val="21"/>
        </w:rPr>
        <w:t>作者: Huizhang Yang, Liyuan Chen, Shao-Shan Zuo, Zhong Liu, Jian Yang</w:t>
        <w:br/>
      </w:r>
      <w:r>
        <w:rPr>
          <w:rFonts w:ascii="Times New Roman" w:hAnsi="Times New Roman" w:eastAsia="宋体"/>
          <w:sz w:val="21"/>
        </w:rPr>
        <w:t xml:space="preserve">时间: 2026 | </w:t>
      </w:r>
      <w:r>
        <w:t xml:space="preserve">链接: </w:t>
      </w:r>
      <w:hyperlink r:id="rId17">
        <w:r>
          <w:rPr>
            <w:rFonts w:ascii="Times New Roman" w:hAnsi="Times New Roman" w:eastAsia="宋体"/>
            <w:color w:val="0000FF"/>
            <w:sz w:val="21"/>
            <w:u w:val="single"/>
          </w:rPr>
          <w:t>https://doi.org/10.1109/tip.2026.3657165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合成孔径雷达 (SAR) 成像依赖于使用聚焦算法将原始测量数据转换为雷达图像。这些算法需要了解 SAR 系统参数，例如波长、中心倾斜范围、快速时间采样率、脉冲重复间隔、波形和平台速度。然而，在非合作场景或元数据损坏时，这些参数不可用，导致传统算法失效。为了应对这一挑战，本文提出了一种新颖的无参数方法，用于从原始数据中恢复 SAR 图像，而不需要任何 SAR 系统参数。首先，我们引入了一种近似匹配滤波模型，该模型利用 SAR 回波的平移不变性特性，通过将原始数据与未知参考回波进行卷积来形成图像。其次，我们开发了一种主成分最大化（PCM）方法，利用 SAR 信号的低维结构来估计参考回波。 PCM 方法采用三阶段过程：1）将原始数据分割成块，2）标准化每个块的能量，3）最大化所有块的主成分能量，从而能够在非平稳杂波下稳健地估计参考回波。在各种SAR数据集上的实验结果表明，我们的方法可以在没有任何系统参数的情况下有效地从原始数据中恢复SAR图像。为了促进重现性，matlab 程序可从 https://github.com/huizhangyang/pcm 获取。</w:t>
      </w:r>
    </w:p>
    <w:p>
      <w:pPr>
        <w:spacing w:before="120"/>
      </w:pPr>
      <w:r>
        <w:rPr>
          <w:rFonts w:ascii="Times New Roman" w:hAnsi="Times New Roman" w:eastAsia="宋体"/>
          <w:b/>
          <w:sz w:val="21"/>
        </w:rPr>
        <w:t>English Abstract:</w:t>
      </w:r>
    </w:p>
    <w:p>
      <w:r>
        <w:rPr>
          <w:rFonts w:ascii="Times New Roman" w:hAnsi="Times New Roman" w:eastAsia="宋体"/>
          <w:sz w:val="21"/>
        </w:rPr>
        <w:t>Synthetic Aperture Radar (SAR) imaging relies on using focusing algorithms to transform raw measurement data into radar images. These algorithms require knowledge of SAR system parameters, such as wavelength, center slant range, fast time sampling rate, pulse repetition interval, waveform, and platform speed. However, in non-cooperative scenarios or when metadata is corrupted, these parameters are unavailable, rendering traditional algorithms ineffective. To address this challenge, this paper presents a novel parameter-free method for recovering SAR images from raw data without the requirement of any SAR system parameters. Firstly, we introduce an approximated matched filtering model that leverages the shift-invariance properties of SAR echoes, enabling image formation via convolving the raw data with an unknown reference echo. Secondly, we develop a Principal Component Maximization (PCM) method that exploits the low-dimensional structure of SAR signals to estimate the reference echo. The PCM method employs a three-stage procedure: 1) segment raw data into blocks, 2) normalize the energy of each block, and 3) maximize the principal component’s energy across all blocks, enabling robust estimation of the reference echo under non-stationary clutter. Experimental results on various SAR datasets demonstrate that our method can effectively recover SAR images from raw data without any system parameters. To facilitate reproducibility, the matlab program is available at https://github.com/huizhangyang/pcm.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IHDCP：使用倒置雾度密度校正先验进行单图像去雾</w:t>
      </w:r>
    </w:p>
    <w:p>
      <w:r>
        <w:rPr>
          <w:rFonts w:ascii="Times New Roman" w:hAnsi="Times New Roman" w:eastAsia="宋体"/>
          <w:b/>
          <w:color w:val="003264"/>
          <w:sz w:val="24"/>
        </w:rPr>
        <w:t>IHDCP: Single Image Dehazing Using Inverted Haze Density Correction Prior</w:t>
      </w:r>
    </w:p>
    <w:p>
      <w:r>
        <w:rPr>
          <w:rFonts w:ascii="Times New Roman" w:hAnsi="Times New Roman" w:eastAsia="宋体"/>
          <w:sz w:val="21"/>
        </w:rPr>
        <w:t>作者: Yun Liu, Tao Li, Chunping Tan, Wenqi Ren, Cosmin Ancuti, Weisi Lin</w:t>
        <w:br/>
      </w:r>
      <w:r>
        <w:rPr>
          <w:rFonts w:ascii="Times New Roman" w:hAnsi="Times New Roman" w:eastAsia="宋体"/>
          <w:sz w:val="21"/>
        </w:rPr>
        <w:t xml:space="preserve">时间: 2026 | </w:t>
      </w:r>
      <w:r>
        <w:t xml:space="preserve">链接: </w:t>
      </w:r>
      <w:hyperlink r:id="rId18">
        <w:r>
          <w:rPr>
            <w:rFonts w:ascii="Times New Roman" w:hAnsi="Times New Roman" w:eastAsia="宋体"/>
            <w:color w:val="0000FF"/>
            <w:sz w:val="21"/>
            <w:u w:val="single"/>
          </w:rPr>
          <w:t>https://doi.org/10.1109/tip.2026.3657636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图像去雾是低级视觉中的一项关键任务，支持许多实际应用，例如自动驾驶、遥感和监控。本文提出了 IHDCP，一种新颖的倒置雾度密度校正先验，用于高效的单图像去雾。据观察，可以使用具有各种伽玛系数的校正函数从倒转的雾度密度图有效地对介质透射率进行建模。基于这一观察，引入了逐像素伽马校正系数来将透射率公式化为反转雾度密度图的函数。为了估计传输率，IHDCP 首先被纳入经典的大气散射模型 (ASM)，从而产生超越方程，随后使用泰勒展开将其简化为具有单个未知参数的二次形式。然后，设计边界约束来估计该模型参数，并通过Vieta定理导出伽玛校正系数图。最后通过ASM反演恢复无雾结果。在各种合成和真实数据集上的实验结果验证了我们的算法不仅提供了视觉上吸引人的去雾性能和高计算效率，而且在主观和客观评估方面都优于几种最先进的去雾方法。此外，我们的 IHDCP 可以很好地推广到各种类型的退化场景。我们的代码可在 https://github.com/TaoLi-TL/IHDCP 获取。</w:t>
      </w:r>
    </w:p>
    <w:p>
      <w:pPr>
        <w:spacing w:before="120"/>
      </w:pPr>
      <w:r>
        <w:rPr>
          <w:rFonts w:ascii="Times New Roman" w:hAnsi="Times New Roman" w:eastAsia="宋体"/>
          <w:b/>
          <w:sz w:val="21"/>
        </w:rPr>
        <w:t>English Abstract:</w:t>
      </w:r>
    </w:p>
    <w:p>
      <w:r>
        <w:rPr>
          <w:rFonts w:ascii="Times New Roman" w:hAnsi="Times New Roman" w:eastAsia="宋体"/>
          <w:sz w:val="21"/>
        </w:rPr>
        <w:t>Image dehazing, a crucial task in low-level vision, supports numerous practical applications, such as autonomous driving, remote sensing, and surveillance. This paper proposes IHDCP, a novel Inverted Haze Density Correction Prior for efficient single image dehazing. It is observed that the medium transmission can be effectively modeled from the inverted haze density map using correction functions with various gamma coefficients. Based on this observation, a pixel-wise gamma correction coefficient is introduced to formulate the transmission as a function of the inverted haze density map. To estimate the transmission, IHDCP is first incorporated into the classic atmospheric scattering model (ASM), leading to a transcendental equation that is subsequently simplified to a quadratic form with a single unknown parameter using the Taylor expansion. Then, boundary constraints are designed to estimate this model parameter, and the gamma correction coefficient map is derived via the Vieta theorem. Finally, the haze-free result is recovered through ASM inversion. Experimental results on diverse synthetic and real-world datasets verify that our algorithm not only provides visually appealing dehazing performance with high computational efficiency, but also outperforms several state-of-the-art dehazing approaches in both subjective and objective evaluations. Moreover, our IHDCP generalizes well to various types of degraded scenes. Our code is available at https://github.com/TaoLi-TL/IHDCP.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SACMark：光场图像版权保护的空间角度一致性水印网络</w:t>
      </w:r>
    </w:p>
    <w:p>
      <w:r>
        <w:rPr>
          <w:rFonts w:ascii="Times New Roman" w:hAnsi="Times New Roman" w:eastAsia="宋体"/>
          <w:b/>
          <w:color w:val="003264"/>
          <w:sz w:val="24"/>
        </w:rPr>
        <w:t>SACMark: Spatial-Angle Consistency Watermarking Network for Light Field Image Copyright Protection</w:t>
      </w:r>
    </w:p>
    <w:p>
      <w:r>
        <w:rPr>
          <w:rFonts w:ascii="Times New Roman" w:hAnsi="Times New Roman" w:eastAsia="宋体"/>
          <w:sz w:val="21"/>
        </w:rPr>
        <w:t>作者: Junfeng Guo, Hui Wang, Shouxin Liu, Yushu Zhang, Zhongyun Hua, Seok-Tae Kim, Xiaowei Li</w:t>
        <w:br/>
      </w:r>
      <w:r>
        <w:rPr>
          <w:rFonts w:ascii="Times New Roman" w:hAnsi="Times New Roman" w:eastAsia="宋体"/>
          <w:sz w:val="21"/>
        </w:rPr>
        <w:t xml:space="preserve">时间: 2026 | </w:t>
      </w:r>
      <w:r>
        <w:t xml:space="preserve">链接: </w:t>
      </w:r>
      <w:hyperlink r:id="rId19">
        <w:r>
          <w:rPr>
            <w:rFonts w:ascii="Times New Roman" w:hAnsi="Times New Roman" w:eastAsia="宋体"/>
            <w:color w:val="0000FF"/>
            <w:sz w:val="21"/>
            <w:u w:val="single"/>
          </w:rPr>
          <w:t>https://doi.org/10.1109/tip.2026.3657635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基于深度学习的大规模彩色点云联合几何和属性上采样</w:t>
      </w:r>
    </w:p>
    <w:p>
      <w:r>
        <w:rPr>
          <w:rFonts w:ascii="Times New Roman" w:hAnsi="Times New Roman" w:eastAsia="宋体"/>
          <w:b/>
          <w:color w:val="003264"/>
          <w:sz w:val="24"/>
        </w:rPr>
        <w:t>Deep Learning based Joint Geometry and Attribute Up-sampling for Large-Scale Colored Point Clouds</w:t>
      </w:r>
    </w:p>
    <w:p>
      <w:r>
        <w:rPr>
          <w:rFonts w:ascii="Times New Roman" w:hAnsi="Times New Roman" w:eastAsia="宋体"/>
          <w:sz w:val="21"/>
        </w:rPr>
        <w:t>作者: Yun Zhang, Feifan Chen, Na Li, Zhiwei Guo, Xu Wang, Fen Miao, Sam Kwong</w:t>
        <w:br/>
      </w:r>
      <w:r>
        <w:rPr>
          <w:rFonts w:ascii="Times New Roman" w:hAnsi="Times New Roman" w:eastAsia="宋体"/>
          <w:sz w:val="21"/>
        </w:rPr>
        <w:t xml:space="preserve">时间: 2026 | </w:t>
      </w:r>
      <w:r>
        <w:t xml:space="preserve">链接: </w:t>
      </w:r>
      <w:hyperlink r:id="rId20">
        <w:r>
          <w:rPr>
            <w:rFonts w:ascii="Times New Roman" w:hAnsi="Times New Roman" w:eastAsia="宋体"/>
            <w:color w:val="0000FF"/>
            <w:sz w:val="21"/>
            <w:u w:val="single"/>
          </w:rPr>
          <w:t>https://doi.org/10.1109/tip.2026.3657214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由几何和属性组件组成的彩色点云是实现逼真和沉浸式 3D 应用的主流表示形式之一。为了生成大规模且更密集的彩色点云，我们提出了一种基于深度学习的联合几何和属性上采样（JGAU）方法，该方法学习对几何和属性模式进行建模并利用空间属性相关性。首先，我们建立并发布了一个用于彩色点云上采样的大型数据集，名为SYSU-PCUD，该数据集具有六大类和四种采样率的121个具有不同几何形状和属性复杂性的大型彩色点云。其次，为了提高上采样点云的质量，我们提出了一种基于深度学习的 JGAU 框架来联合对几何和属性进行上采样。它由几何上采样网络和属性上采样网络组成，其中属性上采样网络利用上采样的辅助几何来对属性的邻域相关性进行建模。第三，我们提出了两种粗略属性上采样方法，几何距离加权属性插值（GDWAI）和基于深度学习的属性插值（DLAI），为每个点生成粗略上采样属性。然后，我们提出了一个属性增强模块，通过进一步利用内在属性和几何模式来细化上采样属性并生成高质量点云。大量实验表明，当上采样率为 4×、8×、12×和 16×时，所提出的 JGAU 实现的峰值信噪比（PSNR）分别为 33.90 dB、32.10 dB、31.10 dB 和 30.39 dB。与最先进的方案相比，JGAU 在四种上采样率下分别实现了平均 2.32 dB、2.47 dB、2.28 dB 和 2.11 dB PSNR 增益，这是显着的。</w:t>
      </w:r>
    </w:p>
    <w:p>
      <w:pPr>
        <w:spacing w:before="120"/>
      </w:pPr>
      <w:r>
        <w:rPr>
          <w:rFonts w:ascii="Times New Roman" w:hAnsi="Times New Roman" w:eastAsia="宋体"/>
          <w:b/>
          <w:sz w:val="21"/>
        </w:rPr>
        <w:t>English Abstract:</w:t>
      </w:r>
    </w:p>
    <w:p>
      <w:r>
        <w:rPr>
          <w:rFonts w:ascii="Times New Roman" w:hAnsi="Times New Roman" w:eastAsia="宋体"/>
          <w:sz w:val="21"/>
        </w:rPr>
        <w:t>Colored point cloud comprising geometry and attribute components is one of the mainstream representations enabling realistic and immersive 3D applications. To generate large-scale and denser colored point clouds, we propose a deep learning-based Joint Geometry and Attribute Up-sampling (JGAU) method, which learns to model both geometry and attribute patterns and leverages the spatial attribute correlation. Firstly, we establish and release a large-scale dataset for colored point cloud up-sampling, named SYSU-PCUD, which has 121 large-scale colored point clouds with diverse geometry and attribute complexities in six categories and four sampling rates. Secondly, to improve the quality of up-sampled point clouds, we propose a deep learning-based JGAU framework to up-sample the geometry and attribute jointly. It consists of a geometry upsampling network and an attribute up-sampling network, where the latter leverages the up-sampled auxiliary geometry to model neighborhood correlations of the attributes. Thirdly, we propose two coarse attribute up-sampling methods, Geometric Distance Weighted Attribute Interpolation (GDWAI) and Deep Learning-based Attribute Interpolation (DLAI), to generate coarsely upsampled attributes for each point. Then, we propose an attribute enhancement module to refine the up-sampled attributes and generate high quality point clouds by further exploiting intrinsic attribute and geometry patterns. Extensive experiments show that Peak Signal-to-Noise Ratio (PSNR) achieved by the proposed JGAU are 33.90 dB, 32.10 dB, 31.10 dB, and 30.39 dB when upsampling rates are 4×, 8×, 12×, and 16×, respectively. Compared to the state-of-the-art schemes, the JGAU achieves an average of 2.32 dB, 2.47 dB, 2.28 dB and 2.11 dB PSNR gains at four upsampling rates, respectively, which are significant.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广播门控注意力与身份自适应集成，实现高效图像超分辨率</w:t>
      </w:r>
    </w:p>
    <w:p>
      <w:r>
        <w:rPr>
          <w:rFonts w:ascii="Times New Roman" w:hAnsi="Times New Roman" w:eastAsia="宋体"/>
          <w:b/>
          <w:color w:val="003264"/>
          <w:sz w:val="24"/>
        </w:rPr>
        <w:t>Broadcast-Gated Attention with Identity Adaptive Integration for Efficient Image Super-Resolution</w:t>
      </w:r>
    </w:p>
    <w:p>
      <w:r>
        <w:rPr>
          <w:rFonts w:ascii="Times New Roman" w:hAnsi="Times New Roman" w:eastAsia="宋体"/>
          <w:sz w:val="21"/>
        </w:rPr>
        <w:t>作者: Qian Wang, Yanyu Mao, Ruilong Guo, Mengyang Wang, Jing Wei, Han Pan</w:t>
        <w:br/>
      </w:r>
      <w:r>
        <w:rPr>
          <w:rFonts w:ascii="Times New Roman" w:hAnsi="Times New Roman" w:eastAsia="宋体"/>
          <w:sz w:val="21"/>
        </w:rPr>
        <w:t xml:space="preserve">时间: 2026 | </w:t>
      </w:r>
      <w:r>
        <w:t xml:space="preserve">链接: </w:t>
      </w:r>
      <w:hyperlink r:id="rId21">
        <w:r>
          <w:rPr>
            <w:rFonts w:ascii="Times New Roman" w:hAnsi="Times New Roman" w:eastAsia="宋体"/>
            <w:color w:val="0000FF"/>
            <w:sz w:val="21"/>
            <w:u w:val="single"/>
          </w:rPr>
          <w:t>https://doi.org/10.1109/tip.2026.3657640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效的图像超分辨率（SR）模型对于在降低计算复杂性的情况下实现高质量图像重建至关重要，特别是在资源有限的环境中。在本文中，我们介绍了一种新颖的自注意力机制，带有身份自适应集成的广播门控注意力（BGAI）。然后，基于这种机制，我们设计了一个轻量级的超分辨率网络，以最小的计算成本实现了最先进的性能。通过观察自注意力的稀疏性和收敛特性，BGAI 通过跨注意力头和网络层有效广播有意义的特征来优化计算资源利用率。 BGAI 的一项关键创新是广播门控多头自注意力（BGMSA）机制，该机制采用专用头来捕获和集成远程依赖性，并将更广泛的上下文信息广播到本地注意力头。这种设计增强了远程交互建模，同时最大限度地减少了冗余计算。此外，身份注意力自适应集成（IAAI）机制通过利用跨层依赖关系的连续性来促进高效的特征传播，重点关注动态变化以提高表示效率并加速收敛。标准基准的综合实验表明，BGAI 实现了高保真超分辨率，同时与现有轻量级方法相比，参数数量和 FLOP 减少高达 35%。这些结果使 BGAI 成为一种强大且可扩展的资源高效型 SR 解决方案，在现实世界的高分辨率图像处理应用中具有巨大的部署潜力。代码和经过训练的模型可在 https://github.com/bbbolt/BGAI 上公开获取。</w:t>
      </w:r>
    </w:p>
    <w:p>
      <w:pPr>
        <w:spacing w:before="120"/>
      </w:pPr>
      <w:r>
        <w:rPr>
          <w:rFonts w:ascii="Times New Roman" w:hAnsi="Times New Roman" w:eastAsia="宋体"/>
          <w:b/>
          <w:sz w:val="21"/>
        </w:rPr>
        <w:t>English Abstract:</w:t>
      </w:r>
    </w:p>
    <w:p>
      <w:r>
        <w:rPr>
          <w:rFonts w:ascii="Times New Roman" w:hAnsi="Times New Roman" w:eastAsia="宋体"/>
          <w:sz w:val="21"/>
        </w:rPr>
        <w:t>Efficient image super-resolution (SR) models are essential for achieving high-quality image reconstruction with reduced computational complexity, particularly in resource-constrained environments. In this paper, we introduce a novel self-attention mechanism, Broadcast-Gated Attention with Identity Adaptive Integration (BGAI). Then, based on this mechanism, we design a lightweight super-resolution network that achieves state-of-the-art performance with minimal computational cost. By observing the sparsity and convergence properties of self-attention, BGAI optimizes computational resource utilization through the effective broadcasting of meaningful features across attention heads and network layers. A key innovation in BGAI is the Broadcast-Gated Multi-head Self-Attention (BGMSA) mechanism, which employs a dedicated head to capture and integrate long-range dependencies, broadcasting this broader contextual information to local attention heads. This design enhances long-range interaction modeling while minimizing redundant computations. Additionally, the Identity Attention Adaptive Integration (IAAI) mechanism facilitates efficient feature propagation by leveraging the continuity in dependencies across layers, with a focus on dynamic variations to improve representational efficiency and accelerate convergence. Comprehensive experiments on standard benchmarks demonstrate that BGAI achieves high-fidelity super-resolution while reducing the number of parameters and FLOPs by up to 35% compared with existing lightweight methods. These results establish BGAI as a robust and scalable solution for resource-efficient SR, with significant potential for deployment in real-world, high-resolution image processing applications. The code and trained models are publicly available at https://github.com/bbbolt/BGAI.</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00:28 ---</w:t>
      </w:r>
    </w:p>
    <w:p>
      <w:pPr>
        <w:pStyle w:val="Heading2"/>
      </w:pPr>
      <w:r/>
      <w:r>
        <w:rPr>
          <w:rFonts w:ascii="Times New Roman" w:hAnsi="Times New Roman" w:eastAsia="宋体"/>
          <w:b/>
          <w:color w:val="000000"/>
          <w:sz w:val="24"/>
        </w:rPr>
        <w:t>SEGA：针对无参考图像质量评估模型的可转移签名集成高斯黑盒攻击</w:t>
      </w:r>
    </w:p>
    <w:p>
      <w:r>
        <w:rPr>
          <w:rFonts w:ascii="Times New Roman" w:hAnsi="Times New Roman" w:eastAsia="宋体"/>
          <w:b/>
          <w:color w:val="003264"/>
          <w:sz w:val="24"/>
        </w:rPr>
        <w:t>SEGA: A Transferable S igned E nsemble G aussian Black-Box A ttack Against No-Reference Image Quality Assessment Models</w:t>
      </w:r>
    </w:p>
    <w:p>
      <w:r>
        <w:rPr>
          <w:rFonts w:ascii="Times New Roman" w:hAnsi="Times New Roman" w:eastAsia="宋体"/>
          <w:sz w:val="21"/>
        </w:rPr>
        <w:t>作者: Yujia Liu, Dingquan Li, Zhixuan Li, Tiejun Huang</w:t>
        <w:br/>
      </w:r>
      <w:r>
        <w:rPr>
          <w:rFonts w:ascii="Times New Roman" w:hAnsi="Times New Roman" w:eastAsia="宋体"/>
          <w:sz w:val="21"/>
        </w:rPr>
        <w:t xml:space="preserve">时间: 2026 | </w:t>
      </w:r>
      <w:r>
        <w:t xml:space="preserve">链接: </w:t>
      </w:r>
      <w:hyperlink r:id="rId22">
        <w:r>
          <w:rPr>
            <w:rFonts w:ascii="Times New Roman" w:hAnsi="Times New Roman" w:eastAsia="宋体"/>
            <w:color w:val="0000FF"/>
            <w:sz w:val="21"/>
            <w:u w:val="single"/>
          </w:rPr>
          <w:t>https://doi.org/10.1109/tpami.2026.3659164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无参考图像质量评估 (NR-IQA) 模型在各种实际应用中发挥着重要作用。最近，针对 NR-IQA 模型的对抗性攻击引起了越来越多的关注，因为它们为揭示模型漏洞和指导稳健的系统设计提供了宝贵的见解。在白盒设置中，针对 NR-IQA 模型提出了一些有效的攻击，其中攻击者可以完全访问目标模型。然而，在更现实的黑盒场景中，这些攻击通常难以转移到未知目标模型，而目标模型是不可访问的。这项工作首次尝试通过提出可转移的签名集成高斯黑盒攻击（SEGA）来解决攻击 NR-IQA 模型时可转移性低的挑战。主要思想是通过对源模型应用高斯平滑并集成其平滑梯度来近似目标模型的梯度。为了确保对抗性扰动的不可察觉性，SEGA 使用专门设计的扰动过滤器掩模进一步消除了不适当的扰动。实验结果证明了 SEGA 卓越的可转移性，验证了其在成功针对 NR-IQA 模型进行基于转移的黑盒攻击方面的有效性。本文的代码可在 https://github.com/YogaLYJ/SEGA_IQA 获取。</w:t>
      </w:r>
    </w:p>
    <w:p>
      <w:pPr>
        <w:spacing w:before="120"/>
      </w:pPr>
      <w:r>
        <w:rPr>
          <w:rFonts w:ascii="Times New Roman" w:hAnsi="Times New Roman" w:eastAsia="宋体"/>
          <w:b/>
          <w:sz w:val="21"/>
        </w:rPr>
        <w:t>English Abstract:</w:t>
      </w:r>
    </w:p>
    <w:p>
      <w:r>
        <w:rPr>
          <w:rFonts w:ascii="Times New Roman" w:hAnsi="Times New Roman" w:eastAsia="宋体"/>
          <w:sz w:val="21"/>
        </w:rPr>
        <w:t>No-Reference Image Quality Assessment (NR-IQA) models play an important role in various real-world applications. Recently, adversarial attacks against NR-IQA models have attracted increasing attention, as they provide valuable insights for revealing model vulnerabilities and guiding robust system design. Some effective attacks have been proposed against NR-IQA models in white-box settings, where the attacker has full access to the target model. However, these attacks often suffer from poor transferability to unknown target models in more realistic black-box scenarios, where the target model is inaccessible. This work makes the first attempt to address the challenge of low transferability in attacking NR-IQA models by proposing a transferable Signed Ensemble Gaussian black-box Attack (SEGA). The main idea is to approximate the gradient of the target model by applying Gaussian smoothing to source models and ensembling their smoothed gradients. To ensure the imperceptibility of adversarial perturbations, SEGA further removes inappropriate perturbations using a specially designed perturbation filter mask. Experimental results demonstrate the superior transferability of SEGA, validating its effectiveness in enabling successful transfer-based black-box attacks against NR-IQA models. Code for this paper is available at https://github.com/YogaLYJ/SEGA_IQA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扩散模型和表征学习：一项调查</w:t>
      </w:r>
    </w:p>
    <w:p>
      <w:r>
        <w:rPr>
          <w:rFonts w:ascii="Times New Roman" w:hAnsi="Times New Roman" w:eastAsia="宋体"/>
          <w:b/>
          <w:color w:val="003264"/>
          <w:sz w:val="24"/>
        </w:rPr>
        <w:t>Diffusion Models and Representation Learning: A Survey</w:t>
      </w:r>
    </w:p>
    <w:p>
      <w:r>
        <w:rPr>
          <w:rFonts w:ascii="Times New Roman" w:hAnsi="Times New Roman" w:eastAsia="宋体"/>
          <w:sz w:val="21"/>
        </w:rPr>
        <w:t>作者: Michael Fuest, Pingchuan Ma, Ming Gui, Johannes Schusterbauer, Vincent Tao Hu, Björn Ommer</w:t>
        <w:br/>
      </w:r>
      <w:r>
        <w:rPr>
          <w:rFonts w:ascii="Times New Roman" w:hAnsi="Times New Roman" w:eastAsia="宋体"/>
          <w:sz w:val="21"/>
        </w:rPr>
        <w:t xml:space="preserve">时间: 2026 | </w:t>
      </w:r>
      <w:r>
        <w:t xml:space="preserve">链接: </w:t>
      </w:r>
      <w:hyperlink r:id="rId23">
        <w:r>
          <w:rPr>
            <w:rFonts w:ascii="Times New Roman" w:hAnsi="Times New Roman" w:eastAsia="宋体"/>
            <w:color w:val="0000FF"/>
            <w:sz w:val="21"/>
            <w:u w:val="single"/>
          </w:rPr>
          <w:t>https://doi.org/10.1109/tpami.2026.3658965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是各种视觉任务中流行的生成建模方法，引起了广泛的关注。由于它们独立于标签注释，因此可以被认为是自监督学习方法的独特实例。这项调查探讨了扩散模型和表征学习之间的相互作用。它概述了扩散模型的基本方面，包括数学基础、流行的去噪网络架构和指导方法。详细介绍了与扩散模型和表示学习相关的各种方法。其中包括利用从预先训练的扩散模型中学习的表示来执行后续识别任务的框架，以及利用表示和自我监督学习的进步来增强扩散模型的方法。这项调查旨在全面概述扩散模型和表征学习之间的分类，确定现有关注和潜在探索的关键领域。 Github链接：https://github.com/dongzhuoyao/Diffusion-Representation-Learning-Survey-Taxonomy。</w:t>
      </w:r>
    </w:p>
    <w:p>
      <w:pPr>
        <w:spacing w:before="120"/>
      </w:pPr>
      <w:r>
        <w:rPr>
          <w:rFonts w:ascii="Times New Roman" w:hAnsi="Times New Roman" w:eastAsia="宋体"/>
          <w:b/>
          <w:sz w:val="21"/>
        </w:rPr>
        <w:t>English Abstract:</w:t>
      </w:r>
    </w:p>
    <w:p>
      <w:r>
        <w:rPr>
          <w:rFonts w:ascii="Times New Roman" w:hAnsi="Times New Roman" w:eastAsia="宋体"/>
          <w:sz w:val="21"/>
        </w:rPr>
        <w:t>Diffusion Models are popular generative modeling methods in various vision tasks, attracting significant attention. They can be considered a unique instance of self-supervised learning methods due to their independence from label annotation. This survey explores the interplay between diffusion models and representation learning. It provides an overview of diffusion models' essential aspects, including mathematical foundations, popular denoising network architectures, and guidance methods. Various approaches related to diffusion models and representation learning are detailed. These include frameworks that leverage representations learned from pre-trained diffusion models for subsequent recognition tasks and methods that utilize advancements in representation and self-supervised learning to enhance diffusion models. This survey aims to offer a comprehensive overview of the taxonomy between diffusion models and representation learning, identifying key areas of existing concerns and potential exploration. Github link: https://github.com/dongzhuoyao/Diffusion-Representation-Learning-Survey-Taxonomy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通过凸优化进行确定性采样的鲁棒矩阵补全</w:t>
      </w:r>
    </w:p>
    <w:p>
      <w:r>
        <w:rPr>
          <w:rFonts w:ascii="Times New Roman" w:hAnsi="Times New Roman" w:eastAsia="宋体"/>
          <w:b/>
          <w:color w:val="003264"/>
          <w:sz w:val="24"/>
        </w:rPr>
        <w:t>Robust Matrix Completion With Deterministic Sampling Via Convex Optimization</w:t>
      </w:r>
    </w:p>
    <w:p>
      <w:r>
        <w:rPr>
          <w:rFonts w:ascii="Times New Roman" w:hAnsi="Times New Roman" w:eastAsia="宋体"/>
          <w:sz w:val="21"/>
        </w:rPr>
        <w:t>作者: Yinjian Wang, Wei Li, James E. Fowler, Gemine Vivone</w:t>
        <w:br/>
      </w:r>
      <w:r>
        <w:rPr>
          <w:rFonts w:ascii="Times New Roman" w:hAnsi="Times New Roman" w:eastAsia="宋体"/>
          <w:sz w:val="21"/>
        </w:rPr>
        <w:t xml:space="preserve">时间: 2026 | </w:t>
      </w:r>
      <w:r>
        <w:t xml:space="preserve">链接: </w:t>
      </w:r>
      <w:hyperlink r:id="rId24">
        <w:r>
          <w:rPr>
            <w:rFonts w:ascii="Times New Roman" w:hAnsi="Times New Roman" w:eastAsia="宋体"/>
            <w:color w:val="0000FF"/>
            <w:sz w:val="21"/>
            <w:u w:val="single"/>
          </w:rPr>
          <w:t>https://doi.org/10.1109/tpami.2026.3659200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鲁棒矩阵补全的问题——从低秩矩阵和稀疏矩阵的叠加采样中恢复——已经在先前的文献中得到了广泛的解决。然而，这项工作的大部分内容都专门关注随机进行矩阵采样的情况，因为这种情况适合理论分析。相比之下，使用任意确定性模式进行采样通常更适合硬件实现；因此，考虑了确定性采样下的鲁棒矩阵补全问题。为此，提出并使用受限的近似等距性质，以及改进的高尔夫方案和稍微增强的不相干条件，以证明潜在的低秩稀疏矩阵可以通过凸优化以渐近高概率唯一地恢复，为任意确定性采样的鲁棒矩阵补全提供了第一个精确恢复理论。开发了由传统核范数驱动的相应凸优化算法，然后通过替换卷积核范数进行推广，以覆盖更广泛的应用场景。合成数据的实证实验验证了所提出的理论，而现实世界图像的一系列结果证明了稳健矩阵恢复的广义算法的实际功效。</w:t>
      </w:r>
    </w:p>
    <w:p>
      <w:pPr>
        <w:spacing w:before="120"/>
      </w:pPr>
      <w:r>
        <w:rPr>
          <w:rFonts w:ascii="Times New Roman" w:hAnsi="Times New Roman" w:eastAsia="宋体"/>
          <w:b/>
          <w:sz w:val="21"/>
        </w:rPr>
        <w:t>English Abstract:</w:t>
      </w:r>
    </w:p>
    <w:p>
      <w:r>
        <w:rPr>
          <w:rFonts w:ascii="Times New Roman" w:hAnsi="Times New Roman" w:eastAsia="宋体"/>
          <w:sz w:val="21"/>
        </w:rPr>
        <w:t>The problem of robust matrix completion—the recovery of a low-rank matrix and a sparse matrix from a sampling of their superposition—has been addressed extensively in prior literature. Yet, much of this work has focused exclusively on the case in which the matrix sampling is done at random, as this scenario is amenable to theoretical analysis. In contrast, sampling with an arbitrary deterministic pattern is often more accommodating to hardware implementation; consequently, the problem of robust matrix completion under deterministic sampling is considered. To this end, a restricted approximate isometry property is proposed and used, along with a modified golfing scheme and a slightly strengthened incoherence condition, to prove that the latent low-rank and sparse matrices are uniquely recoverable via convex optimization with asymptotically high probability, providing the first exact-recovery theory for robust matrix completion with arbitrary deterministic sampling. A corresponding convex-optimization algorithm, driven by a traditional nuclear norm, is developed and then subsequently generalized by substituting a convolutional nuclear norm in order to cover a broader range of application scenarios. Empirical experiments on synthetic data verify the proposed theory while a battery of results on real-world images demonstrate the practical efficacy of the generalized algorithm for robust matrix recovery.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视觉和语言导航中的细粒度对齐监督很重要</w:t>
      </w:r>
    </w:p>
    <w:p>
      <w:r>
        <w:rPr>
          <w:rFonts w:ascii="Times New Roman" w:hAnsi="Times New Roman" w:eastAsia="宋体"/>
          <w:b/>
          <w:color w:val="003264"/>
          <w:sz w:val="24"/>
        </w:rPr>
        <w:t>Fine-Grained Alignment Supervision Matters in Vision-and-Language Navigation</w:t>
      </w:r>
    </w:p>
    <w:p>
      <w:r>
        <w:rPr>
          <w:rFonts w:ascii="Times New Roman" w:hAnsi="Times New Roman" w:eastAsia="宋体"/>
          <w:sz w:val="21"/>
        </w:rPr>
        <w:t>作者: Keji He, Yan Huang, Ya Jing, Qi Wu, Liang Wang</w:t>
        <w:br/>
      </w:r>
      <w:r>
        <w:rPr>
          <w:rFonts w:ascii="Times New Roman" w:hAnsi="Times New Roman" w:eastAsia="宋体"/>
          <w:sz w:val="21"/>
        </w:rPr>
        <w:t xml:space="preserve">时间: 2026 | </w:t>
      </w:r>
      <w:r>
        <w:t xml:space="preserve">链接: </w:t>
      </w:r>
      <w:hyperlink r:id="rId25">
        <w:r>
          <w:rPr>
            <w:rFonts w:ascii="Times New Roman" w:hAnsi="Times New Roman" w:eastAsia="宋体"/>
            <w:color w:val="0000FF"/>
            <w:sz w:val="21"/>
            <w:u w:val="single"/>
          </w:rPr>
          <w:t>https://doi.org/10.1109/tpami.2026.3658949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视觉和语言导航 (VLN) 任务涉及代理根据提供的指令在 3D 室内环境中进行导航。实现跨模式对齐是 VLN 中最关键的挑战之一，因为预测的轨迹需要与给定的指令精确对齐。本文重点从细粒度的角度解决 VLN 中的跨模式对齐问题。首先，为了解决粗粒度数据产生的跨模态对齐监督弱的问题，我们引入了一个人工注释的细粒度 VLN 数据集，称为 Landmark-RxR。该数据集旨在为 VLN 提供精确、细粒度的监督。其次，为了全面展示Landmark-RxR细粒度数据的潜力和优势，我们探索了依赖于训练数据特征的训练过程的核心组成部分。这些组件包括数据增强、训练范式、奖励塑造和导航损失设计。利用我们的细粒度数据，我们精心设计了处理它们的方法，并引入了一种新颖的评估机制。实验结果表明，细粒度数据可以有效提高智能体的跨模态对准能力。可以从 https://github.com/hekj/Landmark-RxR 获取对 Landmark-RxR 数据集的访问。</w:t>
      </w:r>
    </w:p>
    <w:p>
      <w:pPr>
        <w:spacing w:before="120"/>
      </w:pPr>
      <w:r>
        <w:rPr>
          <w:rFonts w:ascii="Times New Roman" w:hAnsi="Times New Roman" w:eastAsia="宋体"/>
          <w:b/>
          <w:sz w:val="21"/>
        </w:rPr>
        <w:t>English Abstract:</w:t>
      </w:r>
    </w:p>
    <w:p>
      <w:r>
        <w:rPr>
          <w:rFonts w:ascii="Times New Roman" w:hAnsi="Times New Roman" w:eastAsia="宋体"/>
          <w:sz w:val="21"/>
        </w:rPr>
        <w:t>The Vision-and-Language Navigation (VLN) task involves an agent navigating within 3D indoor environments based on provided instructions. Achieving cross-modal alignment presents one of the most critical challenges in VLN, as the predicted trajectory needs to precisely align with the given instruction. This paper focuses on addressing cross-modal alignment in VLN from a fine-grained perspective. Firstly, to address the issue of weak cross-modal alignment supervision arising from coarse-grained data, we introduce a human-annotated fine-grained VLN dataset called Landmark-RxR. This dataset aims to offer precise, fine-grained supervision for VLN. Secondly, in order to comprehensively demonstrate the potential and advantage of the fine-grained data from Landmark-RxR, we explore the core components of the training process that depend on the characteristics of the training data. These components include data augmentation, training paradigm, reward shaping, and navigation loss design. Leveraging our fine-grained data, we carefully design methods for handling them and introduce a novel evaluation mechanism. The experimental results demonstrate that the fine-grained data can effectively improve the agent's cross-modal alignment ability. Access to the Landmark-RxR dataset can be obtained from https://github.com/hekj/Landmark-RxR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具有差异隐私合成蒸馏的隐私保护模型转录</w:t>
      </w:r>
    </w:p>
    <w:p>
      <w:r>
        <w:rPr>
          <w:rFonts w:ascii="Times New Roman" w:hAnsi="Times New Roman" w:eastAsia="宋体"/>
          <w:b/>
          <w:color w:val="003264"/>
          <w:sz w:val="24"/>
        </w:rPr>
        <w:t>Privacy-Preserving Model Transcription With Differentially Private Synthetic Distillation</w:t>
      </w:r>
    </w:p>
    <w:p>
      <w:r>
        <w:rPr>
          <w:rFonts w:ascii="Times New Roman" w:hAnsi="Times New Roman" w:eastAsia="宋体"/>
          <w:sz w:val="21"/>
        </w:rPr>
        <w:t>作者: Bochao Liu, Shiming Ge, Pengju Wang, Shikun Li, Tongliang Liu</w:t>
        <w:br/>
      </w:r>
      <w:r>
        <w:rPr>
          <w:rFonts w:ascii="Times New Roman" w:hAnsi="Times New Roman" w:eastAsia="宋体"/>
          <w:sz w:val="21"/>
        </w:rPr>
        <w:t xml:space="preserve">时间: 2026 | </w:t>
      </w:r>
      <w:r>
        <w:t xml:space="preserve">链接: </w:t>
      </w:r>
      <w:hyperlink r:id="rId26">
        <w:r>
          <w:rPr>
            <w:rFonts w:ascii="Times New Roman" w:hAnsi="Times New Roman" w:eastAsia="宋体"/>
            <w:color w:val="0000FF"/>
            <w:sz w:val="21"/>
            <w:u w:val="single"/>
          </w:rPr>
          <w:t>https://doi.org/10.1109/tpami.2026.3659110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许多在私有数据集上训练的深度学习模型已部署在各种实际任务中，但它们可能会带来隐私泄露风险，因为攻击者可以从模型中恢复信息数据或标记知识。在这项工作中，我们提出了隐私保护模型转录，这是一种无数据的模型到模型转换解决方案，可在隐私保证的情况下促进模型部署。为此，我们提出了一种称为差分隐私合成蒸馏的合作竞争学习方法，该方法学习通过可训练生成器将预训练模型（教师）转换为其隐私保护模型（学生），而无需访问私有数据。该学习在统一框架中与三个参与者协作并执行交替优化：i）生成器被学习生成合成数据，ii）教师和学生接受合成数据并通过灵活数据或标签噪声扰动计算差异私人标签，以及iii）用噪声标签更新学生，并通过将学生作为对抗训练的判别器来更新生成器。我们从理论上证明我们的方法可以保证差异隐私和收敛。转录的学生具有良好的性能和隐私保护，而生成的生成器可以为下游任务生成私有合成数据。大量实验清楚地表明我们的方法优于 26 种最先进的方法。</w:t>
      </w:r>
    </w:p>
    <w:p>
      <w:pPr>
        <w:spacing w:before="120"/>
      </w:pPr>
      <w:r>
        <w:rPr>
          <w:rFonts w:ascii="Times New Roman" w:hAnsi="Times New Roman" w:eastAsia="宋体"/>
          <w:b/>
          <w:sz w:val="21"/>
        </w:rPr>
        <w:t>English Abstract:</w:t>
      </w:r>
    </w:p>
    <w:p>
      <w:r>
        <w:rPr>
          <w:rFonts w:ascii="Times New Roman" w:hAnsi="Times New Roman" w:eastAsia="宋体"/>
          <w:sz w:val="21"/>
        </w:rPr>
        <w:t>While many deep learning models trained on private datasets have been deployed in various practical tasks, they may pose a privacy leakage risk as attackers could recover informative data or label knowledge from models. In this work, we present privacy-preserving model transcription , a data-free model-to-model conversion solution to facilitate model deployment with a privacy guarantee. To this end, we propose a cooperative-competitive learning approach termed differentially private synthetic distillation that learns to convert a pretrained model (teacher) into its privacy-preserving counterpart (student) via a trainable generator without access to private data. The learning collaborates with three players in a unified framework and performs alternate optimization: i) the generator is learned to generate synthetic data, ii) the teacher and student accept the synthetic data and compute differential private labels by flexible data or label noisy perturbation, and iii) the student is updated with noisy labels and the generator is updated by taking the student as a discriminator for adversarial training. We theoretically prove that our approach can guarantee differential privacy and convergence. The transcribed student has good performance and privacy protection, while the resulting generator can generate private synthetic data for downstream tasks. Extensive experiments clearly demonstrate that our approach outperforms 26 state-of-the-arts.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用于大规模低秩数据恢复的深度学习的鲁棒矩阵补全</w:t>
      </w:r>
    </w:p>
    <w:p>
      <w:r>
        <w:rPr>
          <w:rFonts w:ascii="Times New Roman" w:hAnsi="Times New Roman" w:eastAsia="宋体"/>
          <w:b/>
          <w:color w:val="003264"/>
          <w:sz w:val="24"/>
        </w:rPr>
        <w:t>Deeply Learned Robust Matrix Completion for Large-scale Low-rank Data Recovery</w:t>
      </w:r>
    </w:p>
    <w:p>
      <w:r>
        <w:rPr>
          <w:rFonts w:ascii="Times New Roman" w:hAnsi="Times New Roman" w:eastAsia="宋体"/>
          <w:sz w:val="21"/>
        </w:rPr>
        <w:t>作者: HanQin Cai, Chandra Kundu, Jialin Liu, Wotao Yin</w:t>
        <w:br/>
      </w:r>
      <w:r>
        <w:rPr>
          <w:rFonts w:ascii="Times New Roman" w:hAnsi="Times New Roman" w:eastAsia="宋体"/>
          <w:sz w:val="21"/>
        </w:rPr>
        <w:t xml:space="preserve">时间: 2026 | </w:t>
      </w:r>
      <w:r>
        <w:t xml:space="preserve">链接: </w:t>
      </w:r>
      <w:hyperlink r:id="rId27">
        <w:r>
          <w:rPr>
            <w:rFonts w:ascii="Times New Roman" w:hAnsi="Times New Roman" w:eastAsia="宋体"/>
            <w:color w:val="0000FF"/>
            <w:sz w:val="21"/>
            <w:u w:val="single"/>
          </w:rPr>
          <w:t>https://doi.org/10.1109/tpami.2026.3659041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鲁棒矩阵补全（RMC）是一种广泛使用的机器学习工具，它同时解决低秩数据分析中的两个关键问题：缺失数据条目和极端异常值。本文针对大规模 RMC 问题提出了一种新颖的可扩展且可学习的非凸方法，称为学习鲁棒矩阵补全（LRMC）。 LRMC 具有低计算复杂度和线性收敛性。在所提出的定理的推动下，可以通过深度展开有效地学习 LRMC 的自由参数，以实现最佳性能。此外，本文提出了一种灵活的前馈循环混合神经网络框架，将深度展开从固定次数迭代扩展到无限迭代。 LRMC 的卓越经验性能通过针对最先进的合成数据集和实际应用的大量实验得到验证，包括视频背景扣除、超声成像、面部建模和卫星图像云去除。</w:t>
      </w:r>
    </w:p>
    <w:p>
      <w:pPr>
        <w:spacing w:before="120"/>
      </w:pPr>
      <w:r>
        <w:rPr>
          <w:rFonts w:ascii="Times New Roman" w:hAnsi="Times New Roman" w:eastAsia="宋体"/>
          <w:b/>
          <w:sz w:val="21"/>
        </w:rPr>
        <w:t>English Abstract:</w:t>
      </w:r>
    </w:p>
    <w:p>
      <w:r>
        <w:rPr>
          <w:rFonts w:ascii="Times New Roman" w:hAnsi="Times New Roman" w:eastAsia="宋体"/>
          <w:sz w:val="21"/>
        </w:rPr>
        <w:t>Robust matrix completion (RMC) is a widely used machine learning tool that simultaneously tackles two critical issues in low-rank data analysis: missing data entries and extreme outliers. This paper proposes a novel scalable and learnable non-convex approach, coined Learned Robust Matrix Completion (LRMC), for large-scale RMC problems. LRMC enjoys low computational complexity with linear convergence. Motivated by the proposed theorem, the free parameters of LRMC can be effectively learned via deep unfolding to achieve optimum performance. Furthermore, this paper proposes a flexible feedforward-recurrent-mixed neural network framework that extends deep unfolding from fix-number iterations to infinite iterations. The superior empirical performance of LRMC is verified with extensive experiments against state-of-the-art on synthetic datasets and real applications, including video background subtraction, ultrasound imaging, face modeling, and cloud removal from satellite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用适定可逆网络解决可逆图像转换的不适定问题</w:t>
      </w:r>
    </w:p>
    <w:p>
      <w:r>
        <w:rPr>
          <w:rFonts w:ascii="Times New Roman" w:hAnsi="Times New Roman" w:eastAsia="宋体"/>
          <w:b/>
          <w:color w:val="003264"/>
          <w:sz w:val="24"/>
        </w:rPr>
        <w:t>Tackling Ill-Posedness of Reversible Image Conversion With Well-Posed Invertible Network</w:t>
      </w:r>
    </w:p>
    <w:p>
      <w:r>
        <w:rPr>
          <w:rFonts w:ascii="Times New Roman" w:hAnsi="Times New Roman" w:eastAsia="宋体"/>
          <w:sz w:val="21"/>
        </w:rPr>
        <w:t>作者: Yuanfei Huang, Hua Huang</w:t>
        <w:br/>
      </w:r>
      <w:r>
        <w:rPr>
          <w:rFonts w:ascii="Times New Roman" w:hAnsi="Times New Roman" w:eastAsia="宋体"/>
          <w:sz w:val="21"/>
        </w:rPr>
        <w:t xml:space="preserve">时间: 2026 | </w:t>
      </w:r>
      <w:r>
        <w:t xml:space="preserve">链接: </w:t>
      </w:r>
      <w:hyperlink r:id="rId28">
        <w:r>
          <w:rPr>
            <w:rFonts w:ascii="Times New Roman" w:hAnsi="Times New Roman" w:eastAsia="宋体"/>
            <w:color w:val="0000FF"/>
            <w:sz w:val="21"/>
            <w:u w:val="single"/>
          </w:rPr>
          <w:t>https://doi.org/10.1109/tpami.2026.3659125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可逆图像转换（RIC）由于其前向转换过程被认为是一个欠定系统而遭受不适定性问题。尽管采用可逆神经网络 (INN)，但现有的 RIC 方法本质上仍然不适定，因为通过合并随机采样变量不可避免地引入不确定性。为了解决不适定困境，我们专注于通过构造具有非零 Gram 行列式的超定系统，为欠定系统开发可靠的近似左逆，从而确保适定解。基于这一原理，我们提出了一种适定可逆$1\times 1$卷积（WIC），它消除了对随机变量采样的依赖，并使得适定可逆网络的开发成为可能。此外，我们设计了两个创新网络，WIN-Naïve 和 WIN，后者结合了先进的跳跃连接来增强长期记忆。我们的方法在不同的 RIC 任务中进行评估，包括可逆图像隐藏、图像重新缩放和图像去色，始终实现最先进的性能。大量的实验验证了我们方法的有效性，证明了其克服现有 RIC 解决方案瓶颈的能力，并在该领域树立了新的基准。代码可在 https://github.com/BNU-ERC-ITEA/WIN 中找到。</w:t>
      </w:r>
    </w:p>
    <w:p>
      <w:pPr>
        <w:spacing w:before="120"/>
      </w:pPr>
      <w:r>
        <w:rPr>
          <w:rFonts w:ascii="Times New Roman" w:hAnsi="Times New Roman" w:eastAsia="宋体"/>
          <w:b/>
          <w:sz w:val="21"/>
        </w:rPr>
        <w:t>English Abstract:</w:t>
      </w:r>
    </w:p>
    <w:p>
      <w:r>
        <w:rPr>
          <w:rFonts w:ascii="Times New Roman" w:hAnsi="Times New Roman" w:eastAsia="宋体"/>
          <w:sz w:val="21"/>
        </w:rPr>
        <w:t>Reversible image conversion (RIC) suffers from ill-posedness issues due to its forward conversion process being considered an underdetermined system. Despite employing invertible neural networks (INN), existing RIC methods intrinsically remain ill-posed as inevitably introducing uncertainty by incorporating randomly sampled variables. To tackle the ill-posedness dilemma, we focus on developing a reliable approximate left inverse for the underdetermined system by constructing an overdetermined system with a non-zero Gram determinant, thus ensuring a well-posed solution. Based on this principle, we propose a well-posed invertible $1\times 1$ convolution (WIC), which eliminates the reliance on random variable sampling and enables the development of well-posed invertible networks. Furthermore, we design two innovative networks, WIN-Naïve and WIN, with the latter incorporating advanced skip-connections to enhance long-term memory. Our methods are evaluated across diverse RIC tasks, including reversible image hiding, image rescaling, and image decolorization, consistently achieving state-of-the-art performance. Extensive experiments validate the effectiveness of our approach, demonstrating its ability to overcome the bottlenecks of existing RIC solutions and setting a new benchmark in the field. Codes are available in https://github.com/BNU-ERC-ITEA/WIN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CUR 分解的大规模超图匹配混合顺序框架</w:t>
      </w:r>
    </w:p>
    <w:p>
      <w:r>
        <w:rPr>
          <w:rFonts w:ascii="Times New Roman" w:hAnsi="Times New Roman" w:eastAsia="宋体"/>
          <w:b/>
          <w:color w:val="003264"/>
          <w:sz w:val="24"/>
        </w:rPr>
        <w:t>A CUR Decomposition-Based Mix-Order Framework for Large-Scale Hypergraph Matching</w:t>
      </w:r>
    </w:p>
    <w:p>
      <w:r>
        <w:rPr>
          <w:rFonts w:ascii="Times New Roman" w:hAnsi="Times New Roman" w:eastAsia="宋体"/>
          <w:sz w:val="21"/>
        </w:rPr>
        <w:t>作者: Qixuan Zheng, Ming Zhang, Hong Yan</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https://doi.org/10.1109/tpami.2026.3659463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两个超图的超边之间的兼容性可以表示为稀疏张量，以避免超图匹配中的计算成本呈指数级增加。基于Kd树的近似最近邻（ANN）方法已被广泛采用来获得稀疏兼容性张量，并且通常需要相对较高的密度来保证更高的精度，而无需先验了解一对特征点集之间的对应关系。对于大规模问题，它们需要详尽的计算。这项工作引入了一种新颖的级联二阶和三阶框架，用于高效的超图匹配。其核心是一种基于CUR分解的稀疏相容张量生成方法。首先通过基于 CUR 的成对匹配过程计算粗略的节点分配，该过程在二阶中具有较低的计算成本。使用该中间分配作为先验知识，可以计算具有更高稀疏性的兼容性张量，并且通过基于概率松弛标签（PRL）的新型超图匹配算法显着减少内存占用。 “可靠性”一词用于描述张量如何影响匹配性能，并提出了一种新的测量方法——可靠性率来量化稀疏兼容性张量的可靠性。大规模合成数据集和广泛采用的基准的实验结果表明，所提出的框架优于现有方法，创建了稀疏十倍以上但更可靠的兼容性张量。这种基于 CUR 的张量生成方法可以集成到现有的超图匹配算法中，并将以较低的计算成本显着提高其性能。</w:t>
      </w:r>
    </w:p>
    <w:p>
      <w:pPr>
        <w:spacing w:before="120"/>
      </w:pPr>
      <w:r>
        <w:rPr>
          <w:rFonts w:ascii="Times New Roman" w:hAnsi="Times New Roman" w:eastAsia="宋体"/>
          <w:b/>
          <w:sz w:val="21"/>
        </w:rPr>
        <w:t>English Abstract:</w:t>
      </w:r>
    </w:p>
    <w:p>
      <w:r>
        <w:rPr>
          <w:rFonts w:ascii="Times New Roman" w:hAnsi="Times New Roman" w:eastAsia="宋体"/>
          <w:sz w:val="21"/>
        </w:rPr>
        <w:t>Compatibilities between the hyperedges of two hy-pergraphs can be represented as a sparse tensor to avoid expo-nentially increasing computational costs in hypergraph matching. Kd-tree-based approximate nearest neighbor (ANN) methods have been widely adopted to obtain the sparse compatibility tensor and usually need a relatively high density to guarantee greater accuracy without prior knowledge of the correspondences between a pair of feature point sets. For large scale problems, they require exhaustive computations. This work introduces a novel cascaded second and third-order framework for efficient hypergraph matching. Its core is a CUR decomposition-based sparse compatibility tensor generation method. A rough node assignment is calculated first by a CUR-based pairwise matching process that has a lower computational cost in the second order. Using that intermediate assignment as prior knowledge, a compatibility tensor with higher sparsity can be calculated, with a significantly decreased memory footprint by a novel probability relaxation labeling (PRL)-based hypergraph matching algorithm. The term “reliability” was used to describe how the tensor affects the matching performance and a new measurement, the reliability rate, was proposed to quantify the reliability of a sparse compatibility tensor. Experiment results on large-scale synthetic datasets, and widely adopted benchmarks, demonstrated that the proposed framework outperformed existing methods, creating a more than ten times sparser, but more reliable, compatibility tensor. This proposed CUR-based tensor generation method can be integrated into existing hypergraph matching algorithms and will significantly increase their performance with lower computational costs.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GCL-MIH：一种基于生成的无覆盖多图像隐藏方法</w:t>
      </w:r>
    </w:p>
    <w:p>
      <w:r>
        <w:rPr>
          <w:rFonts w:ascii="Times New Roman" w:hAnsi="Times New Roman" w:eastAsia="宋体"/>
          <w:b/>
          <w:color w:val="003264"/>
          <w:sz w:val="24"/>
        </w:rPr>
        <w:t>GCL-MIH: A Generative-Based Coverless Multi-Image Hiding Method</w:t>
      </w:r>
    </w:p>
    <w:p>
      <w:r>
        <w:rPr>
          <w:rFonts w:ascii="Times New Roman" w:hAnsi="Times New Roman" w:eastAsia="宋体"/>
          <w:sz w:val="21"/>
        </w:rPr>
        <w:t>作者: Liang Chen, Xianquan Zhang, Chunqiang Yu, Xinpeng Zhang, Ching-Nung Yang, Zhenjun Tang</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https://doi.org/10.1109/tpami.2026.3658731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安全、大容量的秘密信息传输是图像隐藏研究的重要任务。现有的图像隐藏方法面临一些关键问题：基于覆盖的方法提供高容量，但会引入图像失真和安全风险，而安全的无覆盖方法容量较低。为了解决这些问题，本文提出了一种新型的基于生成的无覆盖多图像隐藏方法，称为 GCL-MIH，该方法可以实现高容量和高安全性。 GCL-MIH首先利用特征反转模块将多个秘密图像压缩为多个特征向量，然后将其归一化生成符合标准正态分布的向量，最后将该向量输入到可逆生成网络（Flow-GAN）中生成人脸图像，从而无需预定义封面图像即可实现无覆盖多图像隐藏。实验结果表明，GCL-MIH 在单个生成的人脸图像中成功隐藏了多达四张图像，实现了 32 bpp 的最大嵌入率。这一容量远远超过了现有的无盖方法。在COCO测试集上，GCL-MIH生成的隐写图像高度真实（FID分数：11.98），恢复的秘密图像表现出令人满意的保真度（四张恢复的秘密图像的平均PSNR和SSIM分别为33.18 dB和0.9412）</w:t>
      </w:r>
    </w:p>
    <w:p>
      <w:pPr>
        <w:spacing w:before="120"/>
      </w:pPr>
      <w:r>
        <w:rPr>
          <w:rFonts w:ascii="Times New Roman" w:hAnsi="Times New Roman" w:eastAsia="宋体"/>
          <w:b/>
          <w:sz w:val="21"/>
        </w:rPr>
        <w:t>English Abstract:</w:t>
      </w:r>
    </w:p>
    <w:p>
      <w:r>
        <w:rPr>
          <w:rFonts w:ascii="Times New Roman" w:hAnsi="Times New Roman" w:eastAsia="宋体"/>
          <w:sz w:val="21"/>
        </w:rPr>
        <w:t>Secure and high-capacity secret information transmission is an important task of the image hiding research. The existing image hiding methods face some critical issues: cover-based methods offer high capacity but introduce image distortion and security risks, whereas secure coverless methods have low capacity. To address these issues, this paper proposes a novel generative-based coverless multi-image hiding method called GCL-MIH, which can achieve high capacity and high security. The GCL-MIH first utilizes a feature reverse module to compress multiple secret images into multiple feature vectors and then normalizes them to generate a vector that conforms to a standard normal distribution, and finally inputs this vector into an invertible generative network (Flow-GAN) to generate a face image, enabling coverless multiple-image hiding without a predefined cover image. Experimental results demonstrate that the GCL-MIH successfully hides up to four images within a single generated face image, achieving a maximum embedding rate of 32 bpp. This capacity far exceeds those of the existing coverless methods. On the COCO test set, the generated stego images of the GCL-MIH are highly realistic (FID score: 11.98), and the recovered secret images exhibit satisfactory fidelity (the average PSNR and SSIM of four recovered secret images are 33.18 dB and 0.9412)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特定任务的方向：参数高效微调的定义、探索和利用</w:t>
      </w:r>
    </w:p>
    <w:p>
      <w:r>
        <w:rPr>
          <w:rFonts w:ascii="Times New Roman" w:hAnsi="Times New Roman" w:eastAsia="宋体"/>
          <w:b/>
          <w:color w:val="003264"/>
          <w:sz w:val="24"/>
        </w:rPr>
        <w:t>Task-Specific Directions: Definition, Exploration, and Utilization in Parameter Efficient Fine-Tuning</w:t>
      </w:r>
    </w:p>
    <w:p>
      <w:r>
        <w:rPr>
          <w:rFonts w:ascii="Times New Roman" w:hAnsi="Times New Roman" w:eastAsia="宋体"/>
          <w:sz w:val="21"/>
        </w:rPr>
        <w:t>作者: Chongjie Si, Zhiyi Shi, Shifan Zhang, Xiaokang Yang, Hanspeter Pfister, Wei Shen</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https://doi.org/10.1109/tpami.2026.3659168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大型语言模型在下游任务上表现出令人印象深刻的性能，但在完全微调所有参数时需要大量资源消耗。为了缓解这一问题，人们开发了 LoRA 等参数高效微调 (PEFT) 策略。在本文中，我们深入研究了任务特定方向 (TSD) 的概念，这对于将大型模型从预训练状态过渡到 PEFT 中的任务特定增强至关重要。我们提出了一个框架来明确定义这些方向并探索它们的属性以及实际应用的挑战。然后，我们引入了一种新颖的方法 LoRA-Dash，其目的是在微调过程中最大限度地发挥 TSD 的影响，从而提高模型在目标任务上的性能。此外，基于我们对 TSD 的探索，我们关注 PEFT 中的一个重要问题：LoRA 的初始化。虽然一些工作指出了初始化对于 LoRA 性能的重要性并提出了各种策略，但这些方法通常是经验性的，而不是特定于任务的。为了解决这个问题，我们提出了LoRA-Init。从TSD开始，我们找出下游任务微调时最需要调整的方向。通过使用这些方向初始化 LoRA 中的矩阵，LoRA-Init 显着增强了 LoRA 的性能。此外，我们可以结合 LoRA-Dash 和 LoRA-Init 来创建基于 TSD 的 LoRA 最终版本，我们将其称为 LoRA-TSD。大量的实验最终证明了这些方法的有效性，深入的分析进一步揭示了这些方法的潜在机制。代码可在 https://github.com/Chongjie-Si/Subspace-Tuning 获取。</w:t>
      </w:r>
    </w:p>
    <w:p>
      <w:pPr>
        <w:spacing w:before="120"/>
      </w:pPr>
      <w:r>
        <w:rPr>
          <w:rFonts w:ascii="Times New Roman" w:hAnsi="Times New Roman" w:eastAsia="宋体"/>
          <w:b/>
          <w:sz w:val="21"/>
        </w:rPr>
        <w:t>English Abstract:</w:t>
      </w:r>
    </w:p>
    <w:p>
      <w:r>
        <w:rPr>
          <w:rFonts w:ascii="Times New Roman" w:hAnsi="Times New Roman" w:eastAsia="宋体"/>
          <w:sz w:val="21"/>
        </w:rPr>
        <w:t>Large language models demonstrate impressive performance on downstream tasks, yet requiring extensive resource consumption when fully fine-tuning all parameters. To mitigate this, Parameter Efficient Fine-Tuning (PEFT) strategies, such as LoRA, have been developed. In this paper, we delve into the concept of task-specific directions (TSDs)—critical for transitioning large models from pretrained states to task-specific enhancements in PEFT. We propose a framework to clearly define these directions and explore their properties, and practical utilization challenges. We then introduce a novel approach, LoRA-Dash, which aims to maximize the impact of TSDs during the fine-tuning process, thereby enhancing model performance on targeted tasks. Additionally, based on our exploration of TSD, we focus on an important issue in PEFT: the initialization of LoRA. While some works have pointed out the significance of initialization for LoRA's performance and proposed various strategies, these methods are often empirical and not task-specific. To address this issue, we propose LoRA-Init. Starting from TSD, we identify the directions that require the most adjustment during fine-tuning for downstream tasks. By initializing the matrices in LoRA with these directions, LoRA-Init significantly enhances LoRA's performance. Moreover, we can combine LoRA-Dash and LoRA-Init to create the final version of LoRA based on TSDs, which we refer to as LoRA-TSD. Extensive experiments have conclusively demonstrated the effectiveness of these methods, and in-depth analyses further reveal the underlying mechanisms of these methods. The codes are available at https://github.com/Chongjie-Si/Subspace-Tuning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ZUMA：免训练零样本统一多模态异常检测</w:t>
      </w:r>
    </w:p>
    <w:p>
      <w:r>
        <w:rPr>
          <w:rFonts w:ascii="Times New Roman" w:hAnsi="Times New Roman" w:eastAsia="宋体"/>
          <w:b/>
          <w:color w:val="003264"/>
          <w:sz w:val="24"/>
        </w:rPr>
        <w:t>ZUMA: Training-free Zero-shot Unified Multimodal Anomaly Detection</w:t>
      </w:r>
    </w:p>
    <w:p>
      <w:r>
        <w:rPr>
          <w:rFonts w:ascii="Times New Roman" w:hAnsi="Times New Roman" w:eastAsia="宋体"/>
          <w:sz w:val="21"/>
        </w:rPr>
        <w:t>作者: Yunfeng Ma, Min Liu, Shuai Jiang, Jingyu Zhou, Yuan Bian, Xueping Wang, Yaonan Wang</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https://doi.org/10.1109/tpami.2026.3658856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多模态异常检测（MAD）旨在利用纹理和空间属性来识别复杂场景中与正常模式的偏差。然而，由于隐私问题或保密性限制而产生的零样本（ZS）设置对现有的 MAD 方法提出了重大挑战。为了解决这个问题，我们引入了 ZUMA，这是一种免训练、零样本统一多模态异常检测框架，可释放 CLIP 的跨模态潜力来执行 ZS MAD。为了缩小 CLIP 预训练空间和点云之间的域差距，我们提出了跨域校准（CDC），它通过源域语义转移有效地弥合流形错位，并建立混合语义空间，从而实现 2D 和 3D 表示的联合嵌入。随后，ZUMA​​ 执行动态语义交互（DSI），以实现 CDC 构建的高维嵌入空间中异常区域的结构解耦，其中自然语言作为语义锚，帮助 DSI 在混合模态表示中建立判别超平面。在此框架内，ZUMA​​ 能够即插即用地检测 2D、3D 或多模态异常，即使对于跨数据集或不完整模态场景也无需训练或微调。此外，为了进一步研究免训练 ZUMA 在基于训练的范式中的潜力，我们开发了 ZUMA-FT，这是一种经过微调的变体，可以通过最小的参数权衡实现显着的改进。在两个 MAD 基准测试 MVTec 3D-AD 和 Eyecandies 上进行了大量实验。值得注意的是，免训练 ZUMA 在两个数据集上都实现了最先进的 (SOTA) 性能，优于现有的 ZS MAD 方法，包括基于训练的方法。此外，ZUMA​​-FT 进一步扩展了 ZUMA 的性能边界，仅 6.75 M 可学习参数。代码位于：https://github.com/yif-ma/ZUMA</w:t>
      </w:r>
    </w:p>
    <w:p>
      <w:pPr>
        <w:spacing w:before="120"/>
      </w:pPr>
      <w:r>
        <w:rPr>
          <w:rFonts w:ascii="Times New Roman" w:hAnsi="Times New Roman" w:eastAsia="宋体"/>
          <w:b/>
          <w:sz w:val="21"/>
        </w:rPr>
        <w:t>English Abstract:</w:t>
      </w:r>
    </w:p>
    <w:p>
      <w:r>
        <w:rPr>
          <w:rFonts w:ascii="Times New Roman" w:hAnsi="Times New Roman" w:eastAsia="宋体"/>
          <w:sz w:val="21"/>
        </w:rPr>
        <w:t>Multimodal anomaly detection (MAD) aims to exploit both texture and spatial attributes to identify deviations from normal patterns in complex scenarios. However, zero-shot (ZS) settings arising from privacy concerns or confidentiality constraints present significant challenges to existing MAD methods. To address this issue, we introduce ZUMA, a training-free, Zero-shot Unified Multimodal Anomaly detection framework that unleashes CLIP's cross-modal potential to perform ZS MAD. To mitigate the domain gap between CLIP's pretraining space and point clouds, we propose cross-domain calibration (CDC), which efficiently bridges the manifold misalignment through source-domain semantic transfer and establishes a hybrid semantic space, enabling a joint embedding of 2D and 3D representations. Subsequently, ZUMA performs dynamic semantic interaction (DSI) to enable structural decoupling of anomaly regions in the high-dimensional embedding space constructed by CDC, where natural languages serve as semantic anchors to help DSI establish discriminative hyperplanes within hybrid modality representations. Within this framework, ZUMA enables plug-and-play detection of 2D, 3D or multimodal anomalies, without training or fine-tuning even for cross-dataset or incomplete-modality scenarios. Additionally, to further investigate the potential of the training-free ZUMA within the training-based paradigm, we develop ZUMA-FT, a fine-tuned variant that achieves notable improvements with minimal parameter trade-off. Extensive experiments are conducted on two MAD benchmarks, MVTec 3D-AD and Eyecandies. Notably, the training-free ZUMA achieves state-of-the-art (SOTA) performance on both datasets, outperforming existing ZS MAD methods, including training-based approaches. Moreover, ZUMA-FT further extends the performance boundary of ZUMA with only 6.75 M learnable parameters. Code is available at: https://github.com/yif-ma/ZUMA</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2" TargetMode="External"/><Relationship Id="rId11" Type="http://schemas.openxmlformats.org/officeDocument/2006/relationships/hyperlink" Target="https://doi.org/10.1016/j.optcom.2026.132977" TargetMode="External"/><Relationship Id="rId12" Type="http://schemas.openxmlformats.org/officeDocument/2006/relationships/hyperlink" Target="https://doi.org/10.1016/j.optcom.2026.132974" TargetMode="External"/><Relationship Id="rId13" Type="http://schemas.openxmlformats.org/officeDocument/2006/relationships/hyperlink" Target="https://doi.org/10.1364/oe.585439" TargetMode="External"/><Relationship Id="rId14" Type="http://schemas.openxmlformats.org/officeDocument/2006/relationships/hyperlink" Target="https://doi.org/10.1038/s41377-026-02185-w" TargetMode="External"/><Relationship Id="rId15" Type="http://schemas.openxmlformats.org/officeDocument/2006/relationships/hyperlink" Target="https://doi.org/10.1109/tvcg.2026.3656848" TargetMode="External"/><Relationship Id="rId16" Type="http://schemas.openxmlformats.org/officeDocument/2006/relationships/hyperlink" Target="https://doi.org/10.1109/tci.2026.3658954" TargetMode="External"/><Relationship Id="rId17" Type="http://schemas.openxmlformats.org/officeDocument/2006/relationships/hyperlink" Target="https://doi.org/10.1109/tip.2026.3657165" TargetMode="External"/><Relationship Id="rId18" Type="http://schemas.openxmlformats.org/officeDocument/2006/relationships/hyperlink" Target="https://doi.org/10.1109/tip.2026.3657636" TargetMode="External"/><Relationship Id="rId19" Type="http://schemas.openxmlformats.org/officeDocument/2006/relationships/hyperlink" Target="https://doi.org/10.1109/tip.2026.3657635" TargetMode="External"/><Relationship Id="rId20" Type="http://schemas.openxmlformats.org/officeDocument/2006/relationships/hyperlink" Target="https://doi.org/10.1109/tip.2026.3657214" TargetMode="External"/><Relationship Id="rId21" Type="http://schemas.openxmlformats.org/officeDocument/2006/relationships/hyperlink" Target="https://doi.org/10.1109/tip.2026.3657640" TargetMode="External"/><Relationship Id="rId22" Type="http://schemas.openxmlformats.org/officeDocument/2006/relationships/hyperlink" Target="https://doi.org/10.1109/tpami.2026.3659164" TargetMode="External"/><Relationship Id="rId23" Type="http://schemas.openxmlformats.org/officeDocument/2006/relationships/hyperlink" Target="https://doi.org/10.1109/tpami.2026.3658965" TargetMode="External"/><Relationship Id="rId24" Type="http://schemas.openxmlformats.org/officeDocument/2006/relationships/hyperlink" Target="https://doi.org/10.1109/tpami.2026.3659200" TargetMode="External"/><Relationship Id="rId25" Type="http://schemas.openxmlformats.org/officeDocument/2006/relationships/hyperlink" Target="https://doi.org/10.1109/tpami.2026.3658949" TargetMode="External"/><Relationship Id="rId26" Type="http://schemas.openxmlformats.org/officeDocument/2006/relationships/hyperlink" Target="https://doi.org/10.1109/tpami.2026.3659110" TargetMode="External"/><Relationship Id="rId27" Type="http://schemas.openxmlformats.org/officeDocument/2006/relationships/hyperlink" Target="https://doi.org/10.1109/tpami.2026.3659041" TargetMode="External"/><Relationship Id="rId28" Type="http://schemas.openxmlformats.org/officeDocument/2006/relationships/hyperlink" Target="https://doi.org/10.1109/tpami.2026.3659125" TargetMode="External"/><Relationship Id="rId29" Type="http://schemas.openxmlformats.org/officeDocument/2006/relationships/hyperlink" Target="https://doi.org/10.1109/tpami.2026.3659463" TargetMode="External"/><Relationship Id="rId30" Type="http://schemas.openxmlformats.org/officeDocument/2006/relationships/hyperlink" Target="https://doi.org/10.1109/tpami.2026.3658731" TargetMode="External"/><Relationship Id="rId31" Type="http://schemas.openxmlformats.org/officeDocument/2006/relationships/hyperlink" Target="https://doi.org/10.1109/tpami.2026.3659168" TargetMode="External"/><Relationship Id="rId32" Type="http://schemas.openxmlformats.org/officeDocument/2006/relationships/hyperlink" Target="https://doi.org/10.1109/tpami.2026.36588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