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rPr>
          <w:rFonts w:ascii="Times New Roman" w:hAnsi="Times New Roman" w:eastAsia="宋体"/>
          <w:color w:val="646464"/>
          <w:sz w:val="21"/>
        </w:rPr>
        <w:t>--- 更新: 2026-01-22 02:27 ---</w:t>
      </w:r>
    </w:p>
    <w:p>
      <w:pPr>
        <w:pStyle w:val="Heading2"/>
      </w:pPr>
      <w:r/>
      <w:r>
        <w:rPr>
          <w:rFonts w:ascii="Times New Roman" w:hAnsi="Times New Roman" w:eastAsia="宋体"/>
          <w:b/>
          <w:color w:val="000000"/>
          <w:sz w:val="24"/>
        </w:rPr>
        <w:t>用于动态非视距成像的瞬态视频插值</w:t>
      </w:r>
    </w:p>
    <w:p>
      <w:r>
        <w:rPr>
          <w:rFonts w:ascii="Times New Roman" w:hAnsi="Times New Roman" w:eastAsia="宋体"/>
          <w:b/>
          <w:color w:val="003264"/>
          <w:sz w:val="24"/>
        </w:rPr>
        <w:t>Transient Video Interpolation for Dynamic Non-line-of-sight Imaging</w:t>
      </w:r>
    </w:p>
    <w:p>
      <w:r>
        <w:rPr>
          <w:rFonts w:ascii="Times New Roman" w:hAnsi="Times New Roman" w:eastAsia="宋体"/>
          <w:sz w:val="21"/>
        </w:rPr>
        <w:t>作者: Shida Sun, Yue Li, Jiacheng Fu, Feihu Xu, Zhiwei Xiong</w:t>
        <w:br/>
      </w:r>
      <w:r>
        <w:rPr>
          <w:rFonts w:ascii="Times New Roman" w:hAnsi="Times New Roman" w:eastAsia="宋体"/>
          <w:sz w:val="21"/>
        </w:rPr>
        <w:t xml:space="preserve">时间: 2026-01-20 | </w:t>
      </w:r>
      <w:r>
        <w:t xml:space="preserve">链接: </w:t>
      </w:r>
      <w:hyperlink r:id="rId10">
        <w:r>
          <w:rPr>
            <w:rFonts w:ascii="Times New Roman" w:hAnsi="Times New Roman" w:eastAsia="宋体"/>
            <w:color w:val="0000FF"/>
            <w:sz w:val="21"/>
            <w:u w:val="single"/>
          </w:rPr>
          <w:t>https://doi.org/10.1364/oe.580550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非互易热光子学：从基础到应用：教程</w:t>
      </w:r>
    </w:p>
    <w:p>
      <w:r>
        <w:rPr>
          <w:rFonts w:ascii="Times New Roman" w:hAnsi="Times New Roman" w:eastAsia="宋体"/>
          <w:b/>
          <w:color w:val="003264"/>
          <w:sz w:val="24"/>
        </w:rPr>
        <w:t>Non-reciprocal thermal photonics: from fundamentals to applications: a tutorial</w:t>
      </w:r>
    </w:p>
    <w:p>
      <w:r>
        <w:rPr>
          <w:rFonts w:ascii="Times New Roman" w:hAnsi="Times New Roman" w:eastAsia="宋体"/>
          <w:sz w:val="21"/>
        </w:rPr>
        <w:t>作者: Jiawei Wang, Wei Li</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https://doi.org/10.1364/aop.580214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无各向异性的真空扭矩：交替磁体之间可切换的卡西米尔扭矩</w:t>
      </w:r>
    </w:p>
    <w:p>
      <w:r>
        <w:rPr>
          <w:rFonts w:ascii="Times New Roman" w:hAnsi="Times New Roman" w:eastAsia="宋体"/>
          <w:b/>
          <w:color w:val="003264"/>
          <w:sz w:val="24"/>
        </w:rPr>
        <w:t>Vacuum Torque Without Anisotropy: Switchable Casimir Torque Between Altermagnets</w:t>
      </w:r>
    </w:p>
    <w:p>
      <w:r>
        <w:rPr>
          <w:rFonts w:ascii="Times New Roman" w:hAnsi="Times New Roman" w:eastAsia="宋体"/>
          <w:sz w:val="21"/>
        </w:rPr>
        <w:t>作者: Qing-Dong Jiang</w:t>
        <w:br/>
      </w:r>
      <w:r>
        <w:rPr>
          <w:rFonts w:ascii="Times New Roman" w:hAnsi="Times New Roman" w:eastAsia="宋体"/>
          <w:sz w:val="21"/>
        </w:rPr>
        <w:t xml:space="preserve">时间: 2026-01-20T19:00:05Z | </w:t>
      </w:r>
      <w:r>
        <w:t xml:space="preserve">链接: </w:t>
      </w:r>
      <w:hyperlink r:id="rId22">
        <w:r>
          <w:rPr>
            <w:rFonts w:ascii="Times New Roman" w:hAnsi="Times New Roman" w:eastAsia="宋体"/>
            <w:color w:val="0000FF"/>
            <w:sz w:val="21"/>
            <w:u w:val="single"/>
          </w:rPr>
          <w:t>https://arxiv.org/abs/2601.14381v1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卡西米尔扭矩通常与旋转对称性的显式破缺相关，这是由材料介电各向异性、几何不对称性或本身破坏旋转不变性的外部施加场引起的。在这里，我们演示了一种根本不同的机制：轴对称磁场可以通过感应轴向不对称卡西米尔能量来产生卡西米尔扭矩，甚至可以反转扭矩的符号。着眼于二维交变磁体，我们表明垂直于平面施加的磁场 - 同时保持面内旋转对称性 - 通过交变磁序固有的组合晶体对称性 $\mathrm{C_n T}$ 激活依赖于方向的真空相互作用。由此产生的扭矩不断出现，并与磁场强度呈二次方关系。我们进一步分析了它的温度和距离依赖性，揭示了与单轴块体材料中发现的定性不同的缩放行为。我们的研究结果表明，时间反转对称性破缺是设计卡西米尔扭矩的符号和强度的有效途径，并将交替磁体建立为探索真空量子涨落驱动现象的令人兴奋的平台。</w:t>
      </w:r>
    </w:p>
    <w:p>
      <w:pPr>
        <w:spacing w:before="120"/>
      </w:pPr>
      <w:r>
        <w:rPr>
          <w:rFonts w:ascii="Times New Roman" w:hAnsi="Times New Roman" w:eastAsia="宋体"/>
          <w:b/>
          <w:sz w:val="21"/>
        </w:rPr>
        <w:t>English Abstract:</w:t>
      </w:r>
    </w:p>
    <w:p>
      <w:r>
        <w:rPr>
          <w:rFonts w:ascii="Times New Roman" w:hAnsi="Times New Roman" w:eastAsia="宋体"/>
          <w:sz w:val="21"/>
        </w:rPr>
        <w:t>Casimir torque is conventionally associated with explicit breaking of rotational symmetry, arising from material dielectric anisotropy, geometric asymmetry, or externally applied fields that themselves break rotational invariance. Here we demonstrate a fundamentally different mechanism: an axially symmetric magnetic field can generate a Casimir torque by inducing an axially asymmetric Casimir energy - and can even reverse the torque's sign. Focusing on two-dimensional altermagnets, we show that a magnetic field applied perpendicular to the plane - while preserving in-plane rotational symmetry - activates an orientation-dependent vacuum interaction through the combined crystalline symmetry $\mathrm{C_n T}$ inherent to altermagnetic order. The resulting torque emerges continuously and scales quadratically with the magnetic field strength. We further analyze its temperature and distance dependence, revealing scaling behaviors that are qualitatively different from those found in uniaxial bulk materials. Our results identify time-reversal symmetry breaking as a powerful route for engineering both the sign and strength of Casimir torque and establish altermagnets as an exciting platform for exploring phenomena driven by vacuum quantum fluctuations.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具有纳米界面的原子薄面内异质结构中激子的纳米观察</w:t>
      </w:r>
    </w:p>
    <w:p>
      <w:r>
        <w:rPr>
          <w:rFonts w:ascii="Times New Roman" w:hAnsi="Times New Roman" w:eastAsia="宋体"/>
          <w:b/>
          <w:color w:val="003264"/>
          <w:sz w:val="24"/>
        </w:rPr>
        <w:t>Nanoscopy of Excitons in Atomically Thin In-Plane Heterostructures with Nanointerfaces</w:t>
      </w:r>
    </w:p>
    <w:p>
      <w:r>
        <w:rPr>
          <w:rFonts w:ascii="Times New Roman" w:hAnsi="Times New Roman" w:eastAsia="宋体"/>
          <w:sz w:val="21"/>
        </w:rPr>
        <w:t>作者: Yohannes Abate</w:t>
        <w:br/>
      </w:r>
      <w:r>
        <w:rPr>
          <w:rFonts w:ascii="Times New Roman" w:hAnsi="Times New Roman" w:eastAsia="宋体"/>
          <w:sz w:val="21"/>
        </w:rPr>
        <w:t xml:space="preserve">时间: 2026-01-20T20:56:13Z | </w:t>
      </w:r>
      <w:r>
        <w:t xml:space="preserve">链接: </w:t>
      </w:r>
      <w:hyperlink r:id="rId23">
        <w:r>
          <w:rPr>
            <w:rFonts w:ascii="Times New Roman" w:hAnsi="Times New Roman" w:eastAsia="宋体"/>
            <w:color w:val="0000FF"/>
            <w:sz w:val="21"/>
            <w:u w:val="single"/>
          </w:rPr>
          <w:t>https://arxiv.org/abs/2601.14474v1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纳米级界面的原子级锐利二维面内异质结构提供了一个强大的平台，可以在纳米级定制光学和电学特性，从而实现新颖的器件工程和新物理现象的探索。然而，局部介电响应和跨这种界面的激子特性之间的直接实验关联仍然难以捉摸。在这里，我们探讨了使用液相前体辅助方法合成的横向单层 MoxW1-xS2 - WxMo1-xS2 异质结构域中的纳米级复杂介电函数和相应的局域光致发光 (PL) 调制。跨越可见光-近红外范围的近场纳米成像能够实现异质界面处急剧振幅和相位变化的真实空间映射，以纳米级空间分辨率解析局部复杂介电函数。激发能量依赖的纳米光谱揭示了富钼域和富钨域在各自的激子共振下介电对比度的逆转，与洛伦兹振荡器拟合一致。互补的高光谱纳米PL映射解决了横向异质界面上激子发射的演变，中性激子强度从富W区域到富Mo区域连续变化。异质结构的有效介电函数的虚部作为光子能量和 Mo 填充分数的函数的有效介质理论模型再现了观察到的激子趋势，将 PL 演化与成分相关的介电响应联系起来。总之，这些结果提供了横向缝合单层异质结构中介电边界和激子边界之间的直接纳米级相关性，并建立了用于探测纳米级激子现象的多模态近场光谱框架。</w:t>
      </w:r>
    </w:p>
    <w:p>
      <w:pPr>
        <w:spacing w:before="120"/>
      </w:pPr>
      <w:r>
        <w:rPr>
          <w:rFonts w:ascii="Times New Roman" w:hAnsi="Times New Roman" w:eastAsia="宋体"/>
          <w:b/>
          <w:sz w:val="21"/>
        </w:rPr>
        <w:t>English Abstract:</w:t>
      </w:r>
    </w:p>
    <w:p>
      <w:r>
        <w:rPr>
          <w:rFonts w:ascii="Times New Roman" w:hAnsi="Times New Roman" w:eastAsia="宋体"/>
          <w:sz w:val="21"/>
        </w:rPr>
        <w:t>Atomically sharp 2D in-plane heterostructures with nanoscale interfaces provide a powerful platform for tailoring optical and electrical properties at the nanoscale, enabling novel device engineering and the exploration of new physical phenomena. However, direct experimental correlation between local dielectric response and excitonic properties across such interfaces has remained elusive. Here, we probed the nanoscale complex dielectric function and the corresponding localized photoluminescence (PL) modulations in heterostructure domains of lateral monolayer MoxW1-xS2 - WxMo1-xS2, synthesized using a liquid-phase precursor-assisted approach. Near-field nano imaging across the visible-near-infrared range enables real space mapping of sharp amplitude and phase changes at the heterointerface, resolving the local complex dielectric function with nano-meter scale spatial resolution. Excitation energy-dependent nano spectroscopy reveals a reversal of dielectric contrast between Mo-rich and W-rich domains at their respective excitonic resonances, consistent with Lorentz-oscillator fits. Complementary hyperspectral nano-PL mapping resolves the evolution of excitonic emission across the lateral heterointerface, with neutral-exciton intensities varying continuously from W-rich to Mo-rich regions. Effective-medium theory modeling of the imaginary part of the effective dielectric function of the heterostructure as a function of photon energy and Mo filling fraction reproduces the observed excitonic trends, linking the PL evolution to a composition-dependent dielectric response. Together, these results provide direct nanoscale correlation between dielectric and excitonic boundaries in laterally stitched monolayer heterostructures and establish a multimodal near-field spectroscopy framework for probing excitonic phenomena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自对准异构量子光子集成</w:t>
      </w:r>
    </w:p>
    <w:p>
      <w:r>
        <w:rPr>
          <w:rFonts w:ascii="Times New Roman" w:hAnsi="Times New Roman" w:eastAsia="宋体"/>
          <w:b/>
          <w:color w:val="003264"/>
          <w:sz w:val="24"/>
        </w:rPr>
        <w:t>Self-Aligned Heterogeneous Quantum Photonic Integration</w:t>
      </w:r>
    </w:p>
    <w:p>
      <w:r>
        <w:rPr>
          <w:rFonts w:ascii="Times New Roman" w:hAnsi="Times New Roman" w:eastAsia="宋体"/>
          <w:sz w:val="21"/>
        </w:rPr>
        <w:t>作者: Shuo Sun</w:t>
        <w:br/>
      </w:r>
      <w:r>
        <w:rPr>
          <w:rFonts w:ascii="Times New Roman" w:hAnsi="Times New Roman" w:eastAsia="宋体"/>
          <w:sz w:val="21"/>
        </w:rPr>
        <w:t xml:space="preserve">时间: 2026-01-21T00:24:44Z | </w:t>
      </w:r>
      <w:r>
        <w:t xml:space="preserve">链接: </w:t>
      </w:r>
      <w:hyperlink r:id="rId24">
        <w:r>
          <w:rPr>
            <w:rFonts w:ascii="Times New Roman" w:hAnsi="Times New Roman" w:eastAsia="宋体"/>
            <w:color w:val="0000FF"/>
            <w:sz w:val="21"/>
            <w:u w:val="single"/>
          </w:rPr>
          <w:t>https://arxiv.org/abs/2601.14552v1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量子光子学为可扩展的光子量子信息处理、量子中继器和量子网络带来了巨大的希望，但其发展受到高质量量子发射器材料与与成熟光子技术兼容的材料之间不匹配的阻碍。异质集成为这一挑战提供了潜在的解决方案，但实际实施受到材料界面不可避免的插入损耗的限制。在这里，我们提出了一种自对准异质量子光子集成方法，可以确定性地在界面处实现接近统一的耦合效率。为了展示我们的方法，我们演示了由二氧化钛 (TiO2) 定义的异质光子晶体腔引起的金刚石中硅空位 (SiV) 中心的 Purcell 增强，以及通过 TiO2 光子电路进行光学自旋控制和读出。我们进一步表明，当与逆光子设计相结合时，我们的方法能够高效、宽带地将单光子从色心收集到异质波导中。我们的方法不仅限于 SiV 中心或 TiO2；它可以广泛应用于将各种固态量子发射器与可以进行保形沉积的薄膜光子器件集成。总之，这些结果为可扩展的量子光子集成电路建立了一条实用途径，将高质量的量子发射器与技术成熟的光子平台结合起来。</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photonics holds significant promise for scalable photonic quantum information processing, quantum repeaters, and quantum networks, but its development is hindered by the mismatch between materials hosting high-quality quantum emitters and those compatible with mature photonic technologies. Heterogeneous integration offers a potential solution to this challenge, yet practical implementations have been limited by inevitable insertion losses at material interfaces. Here, we present a self-aligned heterogeneous quantum photonic integration approach that can deterministically achieve near-unity coupling efficiency at the interface. To showcase our approach, we demonstrate Purcell enhancement of a silicon vacancy (SiV) center in diamond induced by a heterogeneous photonic crystal cavity defined by titanium dioxide (TiO2), as well as optical spin control and readout via a TiO2 photonic circuit. We further show that, when combined with inverse photonic design, our approach enables efficient and broadband collection of single photons from a color center into a heterogeneous waveguide. Our approach is not restricted to SiV centers or TiO2; it can be broadly applied to integrate diverse solid-state quantum emitters with thin-film photonic devices where conformal deposition is possible. Together, these results establish a practical route to scalable quantum photonic integrated circuits that combine high-quality quantum emitters with technologically mature photonic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对复杂介质内时间的量子测量进行编程</w:t>
      </w:r>
    </w:p>
    <w:p>
      <w:r>
        <w:rPr>
          <w:rFonts w:ascii="Times New Roman" w:hAnsi="Times New Roman" w:eastAsia="宋体"/>
          <w:b/>
          <w:color w:val="003264"/>
          <w:sz w:val="24"/>
        </w:rPr>
        <w:t>Programming Quantum Measurements of Time inside a Complex Medium</w:t>
      </w:r>
    </w:p>
    <w:p>
      <w:r>
        <w:rPr>
          <w:rFonts w:ascii="Times New Roman" w:hAnsi="Times New Roman" w:eastAsia="宋体"/>
          <w:sz w:val="21"/>
        </w:rPr>
        <w:t>作者: Mehul Malik</w:t>
        <w:br/>
      </w:r>
      <w:r>
        <w:rPr>
          <w:rFonts w:ascii="Times New Roman" w:hAnsi="Times New Roman" w:eastAsia="宋体"/>
          <w:sz w:val="21"/>
        </w:rPr>
        <w:t xml:space="preserve">时间: 2026-01-21T01:08:18Z | </w:t>
      </w:r>
      <w:r>
        <w:t xml:space="preserve">链接: </w:t>
      </w:r>
      <w:hyperlink r:id="rId25">
        <w:r>
          <w:rPr>
            <w:rFonts w:ascii="Times New Roman" w:hAnsi="Times New Roman" w:eastAsia="宋体"/>
            <w:color w:val="0000FF"/>
            <w:sz w:val="21"/>
            <w:u w:val="single"/>
          </w:rPr>
          <w:t>https://arxiv.org/abs/2601.14565v1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时间自由度对于现代量子技术来说非常强大，可以实现大规模量子计算架构并记录量子密钥分配中的密钥速率。然而，光子到达时间的大而复杂的量子叠加的广义测量仍然是一个独特的实验挑战。基于不平衡弗兰森干涉仪的传统方法在尺寸上的扩展性很差，需要多个级联设备和有源相位稳定。此外，这些还受到构造上仅限于一组有限的仅相位叠加测量的限制。在这里，我们展示了如何利用单个多模光纤内的空间和时间信息的耦合来对光子时间仓的高维叠加进行完全广义的测量。利用光纤的多光谱传输矩阵，我们发现了特殊的空间模式集，它们在光纤中经历了不同的色散延迟。通过激发这些空间模式的相干叠加，我们在光纤内部设计了相当于大型不平衡多模干涉仪，并使用它们对高达 11 维的任意时间仓叠加进行高质量测量。单光纤充当时间仓量子的可扩展共路径干涉仪，显着减轻了基于不平衡弗朗森型干涉仪的标准方法的实验开销，成为利用时间特性的量子技术的重要工具光。</w:t>
      </w:r>
    </w:p>
    <w:p>
      <w:pPr>
        <w:spacing w:before="120"/>
      </w:pPr>
      <w:r>
        <w:rPr>
          <w:rFonts w:ascii="Times New Roman" w:hAnsi="Times New Roman" w:eastAsia="宋体"/>
          <w:b/>
          <w:sz w:val="21"/>
        </w:rPr>
        <w:t>English Abstract:</w:t>
      </w:r>
    </w:p>
    <w:p>
      <w:r>
        <w:rPr>
          <w:rFonts w:ascii="Times New Roman" w:hAnsi="Times New Roman" w:eastAsia="宋体"/>
          <w:sz w:val="21"/>
        </w:rPr>
        <w:t>The temporal degree-of-freedom of light is incredibly powerful for modern quantum technologies, enabling large-scale quantum computing architectures and record key-rates in quantum key distribution. However, the generalized measurement of large and complex quantum superpositions of the time-of-arrival of a photon remains a unique experimental challenge. Conventional methods based on unbalanced Franson-type interferometers scale poorly with dimension, requiring multiple cascaded devices and active phase stabilization. In addition, these are limited by construction to a restricted set of phase-only superposition measurements. Here we show how the coupling of spatial and temporal information inside a single multi-mode fiber can be harnessed to program completely generalized measurements for high-dimensional superpositions of photonic time-bin. Using the multi-spectral transmission matrix of the fiber, we find special sets of spatial modes that experience distinct dispersive delays through the fiber. By exciting coherent superpositions of these spatial modes, we engineer the equivalent of large, unbalanced multi-mode interferometers inside the fiber and use them to perform high-quality measurements of arbitrary time-bin superpositions in up to dimension 11. The single fiber functions as a scalable, common-path interferometer for time-bin qudits that significantly eases the experimental overheads of standard approaches based on unbalanced Franson-type interferometers, serving as an essential tool for quantum technologies that harness the temporal properties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近轴扩散场检索。二.强度传递方程的 Fokker-Planck 推广</w:t>
      </w:r>
    </w:p>
    <w:p>
      <w:r>
        <w:rPr>
          <w:rFonts w:ascii="Times New Roman" w:hAnsi="Times New Roman" w:eastAsia="宋体"/>
          <w:b/>
          <w:color w:val="003264"/>
          <w:sz w:val="24"/>
        </w:rPr>
        <w:t>Paraxial diffusion-field retrieval. II. Fokker-Planck generalization of the transport-of-intensity equation</w:t>
      </w:r>
    </w:p>
    <w:p>
      <w:r>
        <w:rPr>
          <w:rFonts w:ascii="Times New Roman" w:hAnsi="Times New Roman" w:eastAsia="宋体"/>
          <w:sz w:val="21"/>
        </w:rPr>
        <w:t>作者: Kaye S. Morgan</w:t>
        <w:br/>
      </w:r>
      <w:r>
        <w:rPr>
          <w:rFonts w:ascii="Times New Roman" w:hAnsi="Times New Roman" w:eastAsia="宋体"/>
          <w:sz w:val="21"/>
        </w:rPr>
        <w:t xml:space="preserve">时间: 2026-01-21T04:38:42Z | </w:t>
      </w:r>
      <w:r>
        <w:t xml:space="preserve">链接: </w:t>
      </w:r>
      <w:hyperlink r:id="rId26">
        <w:r>
          <w:rPr>
            <w:rFonts w:ascii="Times New Roman" w:hAnsi="Times New Roman" w:eastAsia="宋体"/>
            <w:color w:val="0000FF"/>
            <w:sz w:val="21"/>
            <w:u w:val="single"/>
          </w:rPr>
          <w:t>https://arxiv.org/abs/2601.14645v1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度传输方程（TIE）已广泛应用于相位恢复。特别地，TIE是椭圆二阶偏微分方程，在给定垂直于光轴的平面中的强度和纵向强度导数的情况下，可以对诸如单色标量光束的相干近轴场的相位进行求解。我们展示了如何通过与标量或张量扩散场相关的扩散流来增强与 TIE 相关的相干流。这种扩散流可能是由于照明样品内未解析的空间随机微观结构的散射、照明样品的扩展混沌源的模糊效应、检测到的样品强度图像中散粒噪声的分辨率降低效应以及与尖锐样品边缘的散射相关的锐化效应（负扩散）而产生的。用扩散流通道增强 TIE 的相干流模型，导致该方程的 Fokker-Planck 扩展。使用三种不同的推导获得了两种不同的 TIE 增强。然后研究了基于散焦的成像和基于掩模的成像（结构照明成像）的相位检索和扩散场检索的逆问题。当对称的过焦和欠焦图像用于相位检索时，扩散项就会消失，我们的福克-普朗克形式主义意味着任何后续的基于 TIE 的相位检索方法都不需要根据我们的形式主义进行修改。然而，相同的焦点系列数据集——通常是对焦图像、弱过焦图像和弱欠焦图像——也可以用于访问与福克-普朗克扩散场相关的附加信息通道。我们的形式主义适用于可见光、X 射线、电子和中子。</w:t>
      </w:r>
    </w:p>
    <w:p>
      <w:pPr>
        <w:spacing w:before="120"/>
      </w:pPr>
      <w:r>
        <w:rPr>
          <w:rFonts w:ascii="Times New Roman" w:hAnsi="Times New Roman" w:eastAsia="宋体"/>
          <w:b/>
          <w:sz w:val="21"/>
        </w:rPr>
        <w:t>English Abstract:</w:t>
      </w:r>
    </w:p>
    <w:p>
      <w:r>
        <w:rPr>
          <w:rFonts w:ascii="Times New Roman" w:hAnsi="Times New Roman" w:eastAsia="宋体"/>
          <w:sz w:val="21"/>
        </w:rPr>
        <w:t>The transport-of-intensity equation (TIE) has been very widely employed for phase retrieval. In particular, the TIE is an elliptic second-order partial differential equation which may be solved for the phase of a coherent paraxial field such as a monochromatic scalar optical beam, given the intensity and longitudinal intensity derivative in a plane perpendicular to the optical axis. We show how the coherent flow associated with the TIE may be augmented by a diffusive flow associated with a scalar or tensor diffusion field. Such diffusive flow can arise via scattering from unresolved spatially random microstructure within an illuminated sample, the blurring effects of an extended chaotic source that illuminates the sample, the resolution-reducing effect of shot noise in detected intensity images of the sample, and the sharpening effect (negative diffusion) associated with scattering from sharp sample edges. Augmenting the TIE's modeling of coherent flow with a diffuse-flow channel leads to a Fokker-Planck extension to this equation. Two different TIE augmentations are obtained, using three different derivations. The inverse problems of phase retrieval and diffusion-field retrieval are then studied, for both defocus-based imaging and mask-based imaging (structured-illumination imaging). When symmetric overfocus and underfocus images are employed for the purposes of phase retrieval, the diffusive term drops out and our Fokker-Planck formalism implies that any ensuing TIE-based phase-retrieval method needs no modification in light of our formalism. However, the same focal-series dataset -- which is typically an infocus image, a weakly overfocused image, and a weakly underfocused image -- may also be employed to access the additional channel of information associated with the Fokker-Planck diffusion field. Our formalism is applicable to visible light, x-rays, electrons, and neutrons.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InN 薄膜中的瞬态泡利阻挡作为宽带超快光开关的机制</w:t>
      </w:r>
    </w:p>
    <w:p>
      <w:r>
        <w:rPr>
          <w:rFonts w:ascii="Times New Roman" w:hAnsi="Times New Roman" w:eastAsia="宋体"/>
          <w:b/>
          <w:color w:val="003264"/>
          <w:sz w:val="24"/>
        </w:rPr>
        <w:t>Transient Pauli blocking in a InN film as a mechanism for broadband ultrafast optical switching</w:t>
      </w:r>
    </w:p>
    <w:p>
      <w:r>
        <w:rPr>
          <w:rFonts w:ascii="Times New Roman" w:hAnsi="Times New Roman" w:eastAsia="宋体"/>
          <w:sz w:val="21"/>
        </w:rPr>
        <w:t>作者: Takashi Yagi</w:t>
        <w:br/>
      </w:r>
      <w:r>
        <w:rPr>
          <w:rFonts w:ascii="Times New Roman" w:hAnsi="Times New Roman" w:eastAsia="宋体"/>
          <w:sz w:val="21"/>
        </w:rPr>
        <w:t xml:space="preserve">时间: 2026-01-21T05:04:06Z | </w:t>
      </w:r>
      <w:r>
        <w:t xml:space="preserve">链接: </w:t>
      </w:r>
      <w:hyperlink r:id="rId27">
        <w:r>
          <w:rPr>
            <w:rFonts w:ascii="Times New Roman" w:hAnsi="Times New Roman" w:eastAsia="宋体"/>
            <w:color w:val="0000FF"/>
            <w:sz w:val="21"/>
            <w:u w:val="single"/>
          </w:rPr>
          <w:t>https://arxiv.org/abs/2601.14656v1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瞬态泡利阻挡效应为实现半导体中的超快光切换提供了一条有前途的途径，能够在光激发时从最初的不透明状态快速切换到相对透明的状态。在此，我们使用泵浦探针瞬态透射率测量，展示了简并 InN 薄膜中的宽带超快光学开关，跨越可见光到近红外光谱范围。为了阐明潜在的物理机制，我们对超快动力学进行了探针能量解析分析，并开发了基于准平衡费米-狄拉克分布的理论模型。该模型成功捕获了实验瞬态并产生 $1.0\times10^{17}\,\mathrm{W\,m^{-3}\,K^{-1}}$ 的电子声子耦合常数，以及范围从 1.52 到 2.02 $\mathrm{mJ\,mol^{-1}\,K^{-2}}$ 的电子比热系数，从而可以直接预测光谱切换窗口。值得注意的是，我们证明泡利阻挡效应可以仅由激光激发驱动的电子温度升高引起，而不需要将大量载流子注入简并半导体的导带中。这些发现为设计下一代通信和计算技术的超快光调制器、快门和光子器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transient Pauli blocking effect offers a promising route for achieving ultrafast optical switching in semiconductors, enabling a rapid switching from an initially opaque state to a relatively transparent state upon photoexcitation. Herein, we demonstrate broadband ultrafast optical switching in degenerate InN thin films, spanning the visible to near-infrared spectral range, using pump-probe transient transmittance measurements. To elucidate the underlying physical mechanism, we perform probe-energy-resolved analysis for ultrafast dynamics, and develop a theoretical model based on a quasi-equilibrium Fermi-Dirac distribution. The model successfully captures the experimental transients and yields an electron-phonon coupling constant of $1.0\times10^{17}\,\mathrm{W\,m^{-3}\,K^{-1}}$, along with an electronic specific heat coefficient ranging from 1.52 to 2.02 $\mathrm{mJ\,mol^{-1}\,K^{-2}}$, which allow direct prediction of the spectral switching window. Notably, we demonstrate that the Pauli blocking effect can be induced solely by a laser-excitation driven rise in electronic temperature, without requiring significant carrier injection into the conduction band in degenerate semiconductors. These findings offer new insights for designing ultrafast optical modulators, shutters, and photonic devices for next-generation communication and computing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等离子体超材料光束转向装置的原位逆设计</w:t>
      </w:r>
    </w:p>
    <w:p>
      <w:r>
        <w:rPr>
          <w:rFonts w:ascii="Times New Roman" w:hAnsi="Times New Roman" w:eastAsia="宋体"/>
          <w:b/>
          <w:color w:val="003264"/>
          <w:sz w:val="24"/>
        </w:rPr>
        <w:t>In-Situ Inverse Design of a Plasma Metamaterial Beam Steering Device</w:t>
      </w:r>
    </w:p>
    <w:p>
      <w:r>
        <w:rPr>
          <w:rFonts w:ascii="Times New Roman" w:hAnsi="Times New Roman" w:eastAsia="宋体"/>
          <w:sz w:val="21"/>
        </w:rPr>
        <w:t>作者: Jesse A. Rodríguez</w:t>
        <w:br/>
      </w:r>
      <w:r>
        <w:rPr>
          <w:rFonts w:ascii="Times New Roman" w:hAnsi="Times New Roman" w:eastAsia="宋体"/>
          <w:sz w:val="21"/>
        </w:rPr>
        <w:t xml:space="preserve">时间: 2026-01-21T05:30:03Z | </w:t>
      </w:r>
      <w:r>
        <w:t xml:space="preserve">链接: </w:t>
      </w:r>
      <w:hyperlink r:id="rId28">
        <w:r>
          <w:rPr>
            <w:rFonts w:ascii="Times New Roman" w:hAnsi="Times New Roman" w:eastAsia="宋体"/>
            <w:color w:val="0000FF"/>
            <w:sz w:val="21"/>
            <w:u w:val="single"/>
          </w:rPr>
          <w:t>https://arxiv.org/abs/2601.14670v1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逆向设计是一种常用的方法，用于创建通过算法修改设备参数来操纵电磁 (EM) 波的设备，以实现所需的功能。利用等离子体这种动态可调介质，可以直接在实验硬件上（原位）进行设计过程的优化。该方法的一个关键优点是创建本质上可切换和动态可重新配置的设备。贝叶斯优化用于调整 91 个独立放电的等离子体密度，这些放电构成等离子体超材料 (PMM) 设备，以将传入的电磁波引导至所需的出口波导。测量在自动循环中进行，其中矢量网络分析仪记录每个设备设置的 PMM 传输特性。由于仅依赖测量的散射参数，这种无梯度方法对实验漂移和噪声具有鲁棒性，并且不需要复杂的全波模型。与传统的基于仿真（计算机模拟）逆向设计相比，性能得到了显着改进，在相同目标频率下，现场贝叶斯优化实现了比最佳计算机模拟设计高出 10,000 倍的端口间隔离度。这项工作还提出了将贝叶斯优化应用于嘈杂的高维物理系统的指南。</w:t>
      </w:r>
    </w:p>
    <w:p>
      <w:pPr>
        <w:spacing w:before="120"/>
      </w:pPr>
      <w:r>
        <w:rPr>
          <w:rFonts w:ascii="Times New Roman" w:hAnsi="Times New Roman" w:eastAsia="宋体"/>
          <w:b/>
          <w:sz w:val="21"/>
        </w:rPr>
        <w:t>English Abstract:</w:t>
      </w:r>
    </w:p>
    <w:p>
      <w:r>
        <w:rPr>
          <w:rFonts w:ascii="Times New Roman" w:hAnsi="Times New Roman" w:eastAsia="宋体"/>
          <w:sz w:val="21"/>
        </w:rPr>
        <w:t>Inverse design is a commonly used methodology for creating devices that manipulate electromagnetic (EM) waves by algorithmically modifying device parameters to achieve a desired functionality. Utilizing plasma, a dynamically tunable medium, allows the optimization of the design process to be conducted directly on the experimental hardware (in-situ). A key advantage of this method is the creation of devices that are inherently switchable and dynamically reconfigurable. Bayesian optimization is used to tune the plasma density of 91 independent discharges that make up a plasma metamaterial (PMM) device to steer incoming EM waves to desired exit waveguides. Measurements were conducted in an automated loop where a vector network analyzer records the PMM transmission characteristics for each device setting. By relying only on measured scattering parameters, this gradient-free approach is robust to experimental drift and noise and does not require complex full-wave models. Significant performance improvements over traditional simulation-based (in-silico) inverse design are demonstrated, with in-situ Bayesian optimization achieving up to 10,000x higher isolation between ports than the best in-silico design at the same target frequency. This work also presents guidelines for applying Bayesian optimization to noisy, high-dimensional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通过因果顺序切换增强分布式量子传感</w:t>
      </w:r>
    </w:p>
    <w:p>
      <w:r>
        <w:rPr>
          <w:rFonts w:ascii="Times New Roman" w:hAnsi="Times New Roman" w:eastAsia="宋体"/>
          <w:b/>
          <w:color w:val="003264"/>
          <w:sz w:val="24"/>
        </w:rPr>
        <w:t>Scaling Enhancement in Distributed Quantum Sensing via Causal Order Switching</w:t>
      </w:r>
    </w:p>
    <w:p>
      <w:r>
        <w:rPr>
          <w:rFonts w:ascii="Times New Roman" w:hAnsi="Times New Roman" w:eastAsia="宋体"/>
          <w:sz w:val="21"/>
        </w:rPr>
        <w:t>作者: Guihua Zeng</w:t>
        <w:br/>
      </w:r>
      <w:r>
        <w:rPr>
          <w:rFonts w:ascii="Times New Roman" w:hAnsi="Times New Roman" w:eastAsia="宋体"/>
          <w:sz w:val="21"/>
        </w:rPr>
        <w:t xml:space="preserve">时间: 2026-01-21T06:54:08Z | </w:t>
      </w:r>
      <w:r>
        <w:t xml:space="preserve">链接: </w:t>
      </w:r>
      <w:hyperlink r:id="rId29">
        <w:r>
          <w:rPr>
            <w:rFonts w:ascii="Times New Roman" w:hAnsi="Times New Roman" w:eastAsia="宋体"/>
            <w:color w:val="0000FF"/>
            <w:sz w:val="21"/>
            <w:u w:val="single"/>
          </w:rPr>
          <w:t>https://arxiv.org/abs/2601.14708v1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传感网络支撑着从基础物理到现实工程的应用。最近，人们对分布式量子传感（DQS）进行了研究，以提高传感性能，但当前的方案通常依赖于易受噪声影响且难以扩展的纠缠探针。在这里，我们提出了一种 DQS 协议，它将因果顺序开关合并到循环网络中，使单个探针能够以相干叠加或相反因果顺序的概率混合顺序查询 N 个独立传感器。通过利用传播和传感过程之间的不可交换性，我们的方案在不涉及纠缠探针的情况下实现了 1/N^2 缩放精度限制。重要的是，我们的方法利用经典的因果顺序混合而不是量子开关，使其更适合实际实现。我们在包含多达 9 个传感器的自由空间量子光网络中实验性地实现了这种分布式光束倾斜传感方案，在估计倾斜角度方面实现了皮拉迪尺度的精度。我们的结果证明了一种强大且可扩展的 DQS 协议，其精度超过了传统的 1/N 海森堡缩放比例，从而推进了量子传感网络的实际部署。</w:t>
      </w:r>
    </w:p>
    <w:p>
      <w:pPr>
        <w:spacing w:before="120"/>
      </w:pPr>
      <w:r>
        <w:rPr>
          <w:rFonts w:ascii="Times New Roman" w:hAnsi="Times New Roman" w:eastAsia="宋体"/>
          <w:b/>
          <w:sz w:val="21"/>
        </w:rPr>
        <w:t>English Abstract:</w:t>
      </w:r>
    </w:p>
    <w:p>
      <w:r>
        <w:rPr>
          <w:rFonts w:ascii="Times New Roman" w:hAnsi="Times New Roman" w:eastAsia="宋体"/>
          <w:sz w:val="21"/>
        </w:rPr>
        <w:t>Sensing networks underpin applications from fundamental physics to real-world engineering. Recently, distributed quantum sensing (DQS) has been investigated to boost the sensing performance, yet current schemes typically rely on entangled probes that are fragile to noise and difficult to scale. Here, we propose a DQS protocol that incorporates a causal-order switch into a cyclic network, enabling a single probe to sequentially query N independent sensors in a coherent superposition or a probabilistic mixture of opposite causal orders. By exploiting the noncommutativity between propagation and sensing processes, our scheme achieves a 1/N^2-scaling precision limit without involving entangled probes. Importantly, our approach utilizes a classical mixture of causal orders rather than a quantum switch, making it more feasible for practical realization. We experimentally implement this scheme for distributed beam tilts sensing in a free-space quantum optical network comprising up to 9 sensors, achieving picoradian-scale precision in estimating tilt angle. Our results demonstrate a robust and scalable DQS protocol that surpasses the conventional 1/N Heisenberg scaling in precision, advancing the practical deployment of quantum sensing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原子分层介质中的光传播：高密度传输矩阵方法的分解</w:t>
      </w:r>
    </w:p>
    <w:p>
      <w:r>
        <w:rPr>
          <w:rFonts w:ascii="Times New Roman" w:hAnsi="Times New Roman" w:eastAsia="宋体"/>
          <w:b/>
          <w:color w:val="003264"/>
          <w:sz w:val="24"/>
        </w:rPr>
        <w:t>Light propagation in atomic stratified media: breakdown of the transfer-matrix method at high density</w:t>
      </w:r>
    </w:p>
    <w:p>
      <w:r>
        <w:rPr>
          <w:rFonts w:ascii="Times New Roman" w:hAnsi="Times New Roman" w:eastAsia="宋体"/>
          <w:sz w:val="21"/>
        </w:rPr>
        <w:t>作者: William Guerin</w:t>
        <w:br/>
      </w:r>
      <w:r>
        <w:rPr>
          <w:rFonts w:ascii="Times New Roman" w:hAnsi="Times New Roman" w:eastAsia="宋体"/>
          <w:sz w:val="21"/>
        </w:rPr>
        <w:t xml:space="preserve">时间: 2026-01-21T07:10:22Z | </w:t>
      </w:r>
      <w:r>
        <w:t xml:space="preserve">链接: </w:t>
      </w:r>
      <w:hyperlink r:id="rId30">
        <w:r>
          <w:rPr>
            <w:rFonts w:ascii="Times New Roman" w:hAnsi="Times New Roman" w:eastAsia="宋体"/>
            <w:color w:val="0000FF"/>
            <w:sz w:val="21"/>
            <w:u w:val="single"/>
          </w:rPr>
          <w:t>https://arxiv.org/abs/2601.14715v1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递矩阵方法是分层介质中波传播的标准方法。随着基于冷原子的量子和光子技术的出现，一些实验和许多提案考虑了一维光学晶格中的光传播，并使用传递矩阵作为模拟的主要工具。在这里，我们通过将其结果与微观耦合偶极子模型进行比较来研究该方法的有效性，该模型在线性光学体系中是精确的。我们证明，转移矩阵方法在低密度下工作得很好，即使对于无序的薄片也是如此，但在高密度下就会崩溃，因为偶极子-偶极子相互作用会引起原子的集体响应，使得一层的特性受到其他层的影响。我们确定了该方法仍然适用于描述实验的原子密度的边界值。我们的发现与使用超冷原子的实验实现相关。</w:t>
      </w:r>
    </w:p>
    <w:p>
      <w:pPr>
        <w:spacing w:before="120"/>
      </w:pPr>
      <w:r>
        <w:rPr>
          <w:rFonts w:ascii="Times New Roman" w:hAnsi="Times New Roman" w:eastAsia="宋体"/>
          <w:b/>
          <w:sz w:val="21"/>
        </w:rPr>
        <w:t>English Abstract:</w:t>
      </w:r>
    </w:p>
    <w:p>
      <w:r>
        <w:rPr>
          <w:rFonts w:ascii="Times New Roman" w:hAnsi="Times New Roman" w:eastAsia="宋体"/>
          <w:sz w:val="21"/>
        </w:rPr>
        <w:t>The transfer-matrix method is a standard approach to wave propagation in stratified media. With the advent of cold-atom-based quantum and photonic technologies, several experiments and many proposals consider light propagation in one-dimensional optical lattices, using the transfer matrices as the main tool for the simulation. Here, we study the validity of this method by comparing its results to the microscopic coupled-dipole model, which is exact in the linear-optics regime. We show that the transfer-matrix method works very well at low density, even for thin disordered slices, and breaks down at high density because the dipole-dipole interaction induces a collective response from the atoms such that the properties of one layer are influenced by the others. We determine the boundary values of atomic densities for which this method is still applicable for describing experiments. Our findings are relevant for experimental realizations using ultra-cold atoms.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三波混频和紧急玛塞制度的克尔增强放大</w:t>
      </w:r>
    </w:p>
    <w:p>
      <w:r>
        <w:rPr>
          <w:rFonts w:ascii="Times New Roman" w:hAnsi="Times New Roman" w:eastAsia="宋体"/>
          <w:b/>
          <w:color w:val="003264"/>
          <w:sz w:val="24"/>
        </w:rPr>
        <w:t>Kerr-enhanced amplification of three-wave mixing and emergent masing regimes</w:t>
      </w:r>
    </w:p>
    <w:p>
      <w:r>
        <w:rPr>
          <w:rFonts w:ascii="Times New Roman" w:hAnsi="Times New Roman" w:eastAsia="宋体"/>
          <w:sz w:val="21"/>
        </w:rPr>
        <w:t>作者: Georgios M. Koutentakis</w:t>
        <w:br/>
      </w:r>
      <w:r>
        <w:rPr>
          <w:rFonts w:ascii="Times New Roman" w:hAnsi="Times New Roman" w:eastAsia="宋体"/>
          <w:sz w:val="21"/>
        </w:rPr>
        <w:t xml:space="preserve">时间: 2026-01-21T07:32:43Z | </w:t>
      </w:r>
      <w:r>
        <w:t xml:space="preserve">链接: </w:t>
      </w:r>
      <w:hyperlink r:id="rId31">
        <w:r>
          <w:rPr>
            <w:rFonts w:ascii="Times New Roman" w:hAnsi="Times New Roman" w:eastAsia="宋体"/>
            <w:color w:val="0000FF"/>
            <w:sz w:val="21"/>
            <w:u w:val="single"/>
          </w:rPr>
          <w:t>https://arxiv.org/abs/2601.14726v1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利用二阶 ($χ^{(2)}$) 或三阶 ($χ^{(3)}$) 非线性的集成光学微谐振器已成为频率转换、低噪声微波光子学和量子纠缠生成的关键平台。在这里，我们提出了具有 $χ^{(2)}$ 和 $χ^{(3)}$ 非线性的电光微谐振器中克尔增强三波混频放大的解析理论。我们证明克尔修整混合光学边带，重新规范化 $χ^{(2)}$ 耦合和失谐。因此，系统在类似裸 $χ^{(2)}$ 或 $χ^{(3)}$ 放大器低于阈值的区域中表现出增益。时域朗之万模拟证实了这种阈值降低，映射了实验的实际设计窗口。</w:t>
      </w:r>
    </w:p>
    <w:p>
      <w:pPr>
        <w:spacing w:before="120"/>
      </w:pPr>
      <w:r>
        <w:rPr>
          <w:rFonts w:ascii="Times New Roman" w:hAnsi="Times New Roman" w:eastAsia="宋体"/>
          <w:b/>
          <w:sz w:val="21"/>
        </w:rPr>
        <w:t>English Abstract:</w:t>
      </w:r>
    </w:p>
    <w:p>
      <w:r>
        <w:rPr>
          <w:rFonts w:ascii="Times New Roman" w:hAnsi="Times New Roman" w:eastAsia="宋体"/>
          <w:sz w:val="21"/>
        </w:rPr>
        <w:t>Integrated optical microresonators exploiting either second-order ($χ^{(2)}$) or third-order ($χ^{(3)}$) nonlinearities have become key platforms for frequency conversion, low-noise microwave photonics, and quantum entanglement generation. Here, we present an analytic theory of Kerr-enhanced three-wave mixing amplification in an electro-optic microresonator with both $χ^{(2)}$ and $χ^{(3)}$ nonlinearities. We demonstrate that Kerr dressing hybridizes the optical sidebands, renormalizing the $χ^{(2)}$ couplings and detunings. As a result the system exhibits gain in regions where analogous bare $χ^{(2)}$ or $χ^{(3)}$ amplifiers are subthreshold. Time-domain Langevin simulations confirm this threshold reduction, mapping a practical design window for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用于高功率超快 2.1 μm 激光器的 Ho3+ 掺杂 CALGO 晶体</w:t>
      </w:r>
    </w:p>
    <w:p>
      <w:r>
        <w:rPr>
          <w:rFonts w:ascii="Times New Roman" w:hAnsi="Times New Roman" w:eastAsia="宋体"/>
          <w:b/>
          <w:color w:val="003264"/>
          <w:sz w:val="24"/>
        </w:rPr>
        <w:t>Ho3+-doped CALGO crystals for high-power ultrafast 2.1-μm lasers</w:t>
      </w:r>
    </w:p>
    <w:p>
      <w:r>
        <w:rPr>
          <w:rFonts w:ascii="Times New Roman" w:hAnsi="Times New Roman" w:eastAsia="宋体"/>
          <w:sz w:val="21"/>
        </w:rPr>
        <w:t>作者: Clara J. Saraceno</w:t>
        <w:br/>
      </w:r>
      <w:r>
        <w:rPr>
          <w:rFonts w:ascii="Times New Roman" w:hAnsi="Times New Roman" w:eastAsia="宋体"/>
          <w:sz w:val="21"/>
        </w:rPr>
        <w:t xml:space="preserve">时间: 2026-01-21T10:38:18Z | </w:t>
      </w:r>
      <w:r>
        <w:t xml:space="preserve">链接: </w:t>
      </w:r>
      <w:hyperlink r:id="rId32">
        <w:r>
          <w:rPr>
            <w:rFonts w:ascii="Times New Roman" w:hAnsi="Times New Roman" w:eastAsia="宋体"/>
            <w:color w:val="0000FF"/>
            <w:sz w:val="21"/>
            <w:u w:val="single"/>
          </w:rPr>
          <w:t>https://arxiv.org/abs/2601.14854v1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Ho3+ 掺杂无序 CaAlGdO4 (CALGO) 晶体最近已成为下一代高功率超快 2.1 μm 激光系统的有前途的增益材料平台。这种激光增益材料具有高增益、小量子缺陷、不均匀展宽光谱和良好导热性的独特组合，能够在高平均功率和高脉冲能量下产生和放大超短脉冲。过去几年中，许多系统（包括具有最先进性能的锁模振荡器和放大器）已得到证明，有望满足该波长区域高效超快激光技术不断增长的应用需求。在这篇综述论文中，我们总结了在振荡器和放大器中使用这种增益材料的最新成就，并将这些结果应用到最先进的 2 μm 超快激光技术中，介绍了这种材料的详细光谱表征，并讨论了 Ho:CALGO 激光器进一步性能扩展的未来前景。</w:t>
      </w:r>
    </w:p>
    <w:p>
      <w:pPr>
        <w:spacing w:before="120"/>
      </w:pPr>
      <w:r>
        <w:rPr>
          <w:rFonts w:ascii="Times New Roman" w:hAnsi="Times New Roman" w:eastAsia="宋体"/>
          <w:b/>
          <w:sz w:val="21"/>
        </w:rPr>
        <w:t>English Abstract:</w:t>
      </w:r>
    </w:p>
    <w:p>
      <w:r>
        <w:rPr>
          <w:rFonts w:ascii="Times New Roman" w:hAnsi="Times New Roman" w:eastAsia="宋体"/>
          <w:sz w:val="21"/>
        </w:rPr>
        <w:t>Ho3+-doped disordered CaAlGdO4 (CALGO) crystals have recently emerged as a promising gain material platform for next-generation high-power ultrafast 2.1-μm laser systems. This laser gain material offers a unique combination of high-gain, small quantum defect, inhomogeneously broadened spectra, and good thermal conductivity, enabling ultrashort pulse generation and amplification at high-average power and high pulse energy. Many systems, including mode-locked oscillators and amplifiers with state-of-the-art performance, have been demonstrated in the last few years that promise to meet growing application demands for efficient ultrafast laser technology in this wavelength region. In this review paper, we summarize recent achievements using this gain material both in oscillators and amplifiers and place these results in the state-of-the-art of 2-μm ultrafast laser technology, present detailed spectroscopic characterization of this material, and discuss future perspectives of further performance scaling of Ho:CALGO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用于集成电光调制的溶液衍生钛酸钡波导</w:t>
      </w:r>
    </w:p>
    <w:p>
      <w:r>
        <w:rPr>
          <w:rFonts w:ascii="Times New Roman" w:hAnsi="Times New Roman" w:eastAsia="宋体"/>
          <w:b/>
          <w:color w:val="003264"/>
          <w:sz w:val="24"/>
        </w:rPr>
        <w:t>Solution-derived barium titanate waveguides for integrated electro-optic modulation</w:t>
      </w:r>
    </w:p>
    <w:p>
      <w:r>
        <w:rPr>
          <w:rFonts w:ascii="Times New Roman" w:hAnsi="Times New Roman" w:eastAsia="宋体"/>
          <w:sz w:val="21"/>
        </w:rPr>
        <w:t>作者: Rachel Grange</w:t>
        <w:br/>
      </w:r>
      <w:r>
        <w:rPr>
          <w:rFonts w:ascii="Times New Roman" w:hAnsi="Times New Roman" w:eastAsia="宋体"/>
          <w:sz w:val="21"/>
        </w:rPr>
        <w:t xml:space="preserve">时间: 2026-01-21T12:33:31Z | </w:t>
      </w:r>
      <w:r>
        <w:t xml:space="preserve">链接: </w:t>
      </w:r>
      <w:hyperlink r:id="rId33">
        <w:r>
          <w:rPr>
            <w:rFonts w:ascii="Times New Roman" w:hAnsi="Times New Roman" w:eastAsia="宋体"/>
            <w:color w:val="0000FF"/>
            <w:sz w:val="21"/>
            <w:u w:val="single"/>
          </w:rPr>
          <w:t>https://arxiv.org/abs/2601.14938v1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强非线性光学特性和宽透明窗口的金属氧化物是开发用于电光调制器和纠缠光子源的紧凑高效光子集成电路的关键材料。其中，钛酸钡（BaTiO$_{3}$）因其较大的普克尔斯系数而特别引人注目。然而，由于其化学稳定性和惰性，其使用受到材料合成和纳米图案化方面的挑战的限制。在这里，我们展示了一种完全基于溶液沉积 BaTiO$_{3}$ 的单片电光调制器，通过自下而上的软纳米压印光刻工艺制造。微调合成和纳米加工可增强多晶材料的光学性能。通过优化工艺参数，我们将传播损耗降低了两个数量级，从而实现了高效的电光调制。这种可扩展、免蚀刻的方法能够直接图案化高质量的 BaTiO$_{3}$ 结构，为完全基于与各种基材兼容的氧化物材料的低成本、大规模集成电光器件建立了一条新途径。</w:t>
      </w:r>
    </w:p>
    <w:p>
      <w:pPr>
        <w:spacing w:before="120"/>
      </w:pPr>
      <w:r>
        <w:rPr>
          <w:rFonts w:ascii="Times New Roman" w:hAnsi="Times New Roman" w:eastAsia="宋体"/>
          <w:b/>
          <w:sz w:val="21"/>
        </w:rPr>
        <w:t>English Abstract:</w:t>
      </w:r>
    </w:p>
    <w:p>
      <w:r>
        <w:rPr>
          <w:rFonts w:ascii="Times New Roman" w:hAnsi="Times New Roman" w:eastAsia="宋体"/>
          <w:sz w:val="21"/>
        </w:rPr>
        <w:t>Metal oxides with strong nonlinear optical properties and wide transparency window are key materials for the development of compact and efficient photonic integrated circuits used for electro-optic modulators and entangled photon sources. Among them, barium titanate (BaTiO$_{3}$) is particularly attractive due to its large Pockels coefficient. However, its use has been limited by challenges in material synthesis and in nanopatterning, owing to its chemical stability and inertness. Here, we demonstrate a monolithic electro-optic modulator entirely based on solution-deposited BaTiO$_{3}$, fabricated through a bottom-up soft nanoimprinting lithography process. Fine-tuning the synthesis and nanofabrication enhances the optical properties of the polycrystalline material. By optimizing the process parameters, we achieve a reduction in propagation losses of two orders of magnitude, enabling efficient electro-optic modulation. This scalable, etch-free approach enables direct patterning of high-quality BaTiO$_{3}$ structures, establishing a new route for low-cost, large-scale integrated electro-optic devices entirely based on oxide material compatible with a wide range of substrates.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共振激发诱导振动莫洛三联体</w:t>
      </w:r>
    </w:p>
    <w:p>
      <w:r>
        <w:rPr>
          <w:rFonts w:ascii="Times New Roman" w:hAnsi="Times New Roman" w:eastAsia="宋体"/>
          <w:b/>
          <w:color w:val="003264"/>
          <w:sz w:val="24"/>
        </w:rPr>
        <w:t>Resonant Excitation Induced Vibronic Mollow Triplets</w:t>
      </w:r>
    </w:p>
    <w:p>
      <w:r>
        <w:rPr>
          <w:rFonts w:ascii="Times New Roman" w:hAnsi="Times New Roman" w:eastAsia="宋体"/>
          <w:sz w:val="21"/>
        </w:rPr>
        <w:t>作者: Jake Iles-Smith</w:t>
        <w:br/>
      </w:r>
      <w:r>
        <w:rPr>
          <w:rFonts w:ascii="Times New Roman" w:hAnsi="Times New Roman" w:eastAsia="宋体"/>
          <w:sz w:val="21"/>
        </w:rPr>
        <w:t xml:space="preserve">时间: 2026-01-21T13:06:22Z | </w:t>
      </w:r>
      <w:r>
        <w:t xml:space="preserve">链接: </w:t>
      </w:r>
      <w:hyperlink r:id="rId34">
        <w:r>
          <w:rPr>
            <w:rFonts w:ascii="Times New Roman" w:hAnsi="Times New Roman" w:eastAsia="宋体"/>
            <w:color w:val="0000FF"/>
            <w:sz w:val="21"/>
            <w:u w:val="single"/>
          </w:rPr>
          <w:t>https://arxiv.org/abs/2601.14963v1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洛三重态是光学修饰量子发射器的明确光谱特征。我们预测，对于与局域声子耦合的发射器，该特征并不局限于零声子线。在强共振驱动下，我们发现莫洛三重态在相关的声子边带上惊人地复制——这是一个令人惊讶的结果，因为声子边带通常被视为不相干、非弹性散射路径。这些电子莫洛三元组是动态生成的装饰态的直接指纹，混合了发射器的电子、光子和振动自由度。我们开发了一种可扩展的分析形式来模拟复杂的多模式分子系统（例如二苯并三萘）中的这种效应。我们的工作为观察这些新颖的光谱特征提供了精确的驱动条件，在振动耦合系统中建立了新的相干性特征。</w:t>
      </w:r>
    </w:p>
    <w:p>
      <w:pPr>
        <w:spacing w:before="120"/>
      </w:pPr>
      <w:r>
        <w:rPr>
          <w:rFonts w:ascii="Times New Roman" w:hAnsi="Times New Roman" w:eastAsia="宋体"/>
          <w:b/>
          <w:sz w:val="21"/>
        </w:rPr>
        <w:t>English Abstract:</w:t>
      </w:r>
    </w:p>
    <w:p>
      <w:r>
        <w:rPr>
          <w:rFonts w:ascii="Times New Roman" w:hAnsi="Times New Roman" w:eastAsia="宋体"/>
          <w:sz w:val="21"/>
        </w:rPr>
        <w:t>The Mollow triplet is the definitive spectral signature of an optically dressed quantum emitter. We predict that for emitters coupled to localized phonons, this signature is not confined to the zero-phonon line. Under a strong resonant drive, we show that Mollow triplets are strikingly replicated on the associated phonon sidebands -a surprising result, given that phonon sidebands are typically viewed as incoherent, inelastic scattering pathways. These vibronic Mollow triplets are a direct fingerprint of dynamically generated dressed states that hybridize the emitter's electronic, photonic, and vibrational degrees of freedom. We develop a scalable analytical formalism to model this effect in complex, multi-mode molecular systems, such as dibenzoterrylene. Our work provides the precise driving conditions for observing these novel spectral features, establishing a new signature of coherence in vibronically coupled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通过高斯射线光学说明狭义相对论现象</w:t>
      </w:r>
    </w:p>
    <w:p>
      <w:r>
        <w:rPr>
          <w:rFonts w:ascii="Times New Roman" w:hAnsi="Times New Roman" w:eastAsia="宋体"/>
          <w:b/>
          <w:color w:val="003264"/>
          <w:sz w:val="24"/>
        </w:rPr>
        <w:t>Illustrating Special-Relativity Phenomena via Gaussian Ray Optics</w:t>
      </w:r>
    </w:p>
    <w:p>
      <w:r>
        <w:rPr>
          <w:rFonts w:ascii="Times New Roman" w:hAnsi="Times New Roman" w:eastAsia="宋体"/>
          <w:sz w:val="21"/>
        </w:rPr>
        <w:t>作者: M. A. Bouchene</w:t>
        <w:br/>
      </w:r>
      <w:r>
        <w:rPr>
          <w:rFonts w:ascii="Times New Roman" w:hAnsi="Times New Roman" w:eastAsia="宋体"/>
          <w:sz w:val="21"/>
        </w:rPr>
        <w:t xml:space="preserve">时间: 2026-01-21T16:12:19Z | </w:t>
      </w:r>
      <w:r>
        <w:t xml:space="preserve">链接: </w:t>
      </w:r>
      <w:hyperlink r:id="rId35">
        <w:r>
          <w:rPr>
            <w:rFonts w:ascii="Times New Roman" w:hAnsi="Times New Roman" w:eastAsia="宋体"/>
            <w:color w:val="0000FF"/>
            <w:sz w:val="21"/>
            <w:u w:val="single"/>
          </w:rPr>
          <w:t>https://arxiv.org/abs/2601.15137v1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强调一维洛伦兹变换（它与从两个不同的惯性参考系观察到的事件相关）与高斯光学中的光线传输变换之间的对应关系。具体来说，我们确定了其传递矩阵再现洛伦兹变换的数学结构的光学系统。在这个框架内，我们证明了狭义相对论的基本效应，如时间膨胀、长度收缩和同步性丧失，在发散透镜偏离的光线行为中找到了直接对应物，从而为相对论现象提供了一种新颖且说明性的光学等效性。本文面向广大物理学家。所描述的对应关系是一般性的，可能会引起具有狭义相对论和光学中等背景的学生以及相应领域的教师的兴趣。</w:t>
      </w:r>
    </w:p>
    <w:p>
      <w:pPr>
        <w:spacing w:before="120"/>
      </w:pPr>
      <w:r>
        <w:rPr>
          <w:rFonts w:ascii="Times New Roman" w:hAnsi="Times New Roman" w:eastAsia="宋体"/>
          <w:b/>
          <w:sz w:val="21"/>
        </w:rPr>
        <w:t>English Abstract:</w:t>
      </w:r>
    </w:p>
    <w:p>
      <w:r>
        <w:rPr>
          <w:rFonts w:ascii="Times New Roman" w:hAnsi="Times New Roman" w:eastAsia="宋体"/>
          <w:sz w:val="21"/>
        </w:rPr>
        <w:t>We highlight the correspondence between one-dimensional Lorentz transformations, which relate events observed from two distinct inertial reference frames, and ray transfer transformations in Gaussian optics. Specifically, we identify optical systems whose transfer matrices reproduce the mathematical structure of the Lorentz transformation. Within this framework, we show that fundamental effects of special relativity as time dilatation, length contraction and loss of synchronicity find a direct counterpart in the behavior of light rays deviated by a diverging lens, thereby providing a novel and illustrative optical equivalence of relativistic phenomena. This article is intended for a broad audience of physicists. The correspondence described is general and may interest students with a moderate background in special relativity and optics, as well as teachers in the corresponding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Purcell 增强 10 微米单极发光量子器件的电致发光</w:t>
      </w:r>
    </w:p>
    <w:p>
      <w:r>
        <w:rPr>
          <w:rFonts w:ascii="Times New Roman" w:hAnsi="Times New Roman" w:eastAsia="宋体"/>
          <w:b/>
          <w:color w:val="003264"/>
          <w:sz w:val="24"/>
        </w:rPr>
        <w:t>Purcell enhanced electroluminescence of a unipolar light emitting quantum device at 10 micron</w:t>
      </w:r>
    </w:p>
    <w:p>
      <w:r>
        <w:rPr>
          <w:rFonts w:ascii="Times New Roman" w:hAnsi="Times New Roman" w:eastAsia="宋体"/>
          <w:sz w:val="21"/>
        </w:rPr>
        <w:t>作者: Carlo Sirtori</w:t>
        <w:br/>
      </w:r>
      <w:r>
        <w:rPr>
          <w:rFonts w:ascii="Times New Roman" w:hAnsi="Times New Roman" w:eastAsia="宋体"/>
          <w:sz w:val="21"/>
        </w:rPr>
        <w:t xml:space="preserve">时间: 2026-01-21T17:10:31Z | </w:t>
      </w:r>
      <w:r>
        <w:t xml:space="preserve">链接: </w:t>
      </w:r>
      <w:hyperlink r:id="rId36">
        <w:r>
          <w:rPr>
            <w:rFonts w:ascii="Times New Roman" w:hAnsi="Times New Roman" w:eastAsia="宋体"/>
            <w:color w:val="0000FF"/>
            <w:sz w:val="21"/>
            <w:u w:val="single"/>
          </w:rPr>
          <w:t>https://arxiv.org/abs/2601.15193v1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远红外辐射的有效产生主要依赖于激光和由激光驱动的相干非线性光学现象。该波长范围缺乏发光器件，因为自发发射率变得比非辐射能量弛豫过程长得多，因此发射器必须依靠线性或非线性光学增益产生的受激发射。然而，自发发射并不是发射器的基本属性。通过将由纳米发射器阵列组成的超材料设计成与贴片天线耦合的微腔，我们展示了中红外电致发光器件，其发射的准直光束具有出色的空间特性，与标准器件相比，收集的功率增加了 100 倍。我们的结果表明，通过重塑发射偶极子周围的光子环境（如珀塞尔效应），可以增强自发发射，并构想出在可见光范围内接近热力学平衡运行的高效光电发光器件。</w:t>
      </w:r>
    </w:p>
    <w:p>
      <w:pPr>
        <w:spacing w:before="120"/>
      </w:pPr>
      <w:r>
        <w:rPr>
          <w:rFonts w:ascii="Times New Roman" w:hAnsi="Times New Roman" w:eastAsia="宋体"/>
          <w:b/>
          <w:sz w:val="21"/>
        </w:rPr>
        <w:t>English Abstract:</w:t>
      </w:r>
    </w:p>
    <w:p>
      <w:r>
        <w:rPr>
          <w:rFonts w:ascii="Times New Roman" w:hAnsi="Times New Roman" w:eastAsia="宋体"/>
          <w:sz w:val="21"/>
        </w:rPr>
        <w:t>Efficient generation of radiation in the mid- and far- infrared relies primarily on lasers and coherent nonlinear optical phenomena driven by lasers. This wavelength range lacks of luminescent devices because the spontaneous emission rate becomes much longer than the nonradiative energy relaxation processes and therefore emitters have to count on stimulated emission produced by linear or non-linear optical gain. However, spontaneous emission is not a fundamental property of the emitter. By engineering metamaterials composed of arrays of nano-emitters into microcavities coupled to patch antennas, we have demonstrated mid-infrared electroluminescent devices emitting a collimated beam with excellent spatial properties and a factor 100 increase in the collected power, compared to standard devices. Our results illustrate that by reshaping the photonic environment around emitting dipoles, as in the Purcell effect, it is possible to enhance the spontaneous emission and conceive efficient optoelectronic light emitting devices that operate close to the thermodynamical equilibrium as LEDs in the visible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通过扩散模型增强后采样，实现高效的超表面逆设计</w:t>
      </w:r>
    </w:p>
    <w:p>
      <w:r>
        <w:rPr>
          <w:rFonts w:ascii="Times New Roman" w:hAnsi="Times New Roman" w:eastAsia="宋体"/>
          <w:b/>
          <w:color w:val="003264"/>
          <w:sz w:val="24"/>
        </w:rPr>
        <w:t>Enhanced posterior sampling via diffusion models for efficient metasurfaces inverse design</w:t>
      </w:r>
    </w:p>
    <w:p>
      <w:r>
        <w:rPr>
          <w:rFonts w:ascii="Times New Roman" w:hAnsi="Times New Roman" w:eastAsia="宋体"/>
          <w:sz w:val="21"/>
        </w:rPr>
        <w:t>作者: Régis Orobtchouk</w:t>
        <w:br/>
      </w:r>
      <w:r>
        <w:rPr>
          <w:rFonts w:ascii="Times New Roman" w:hAnsi="Times New Roman" w:eastAsia="宋体"/>
          <w:sz w:val="21"/>
        </w:rPr>
        <w:t xml:space="preserve">时间: 2026-01-21T17:33:42Z | </w:t>
      </w:r>
      <w:r>
        <w:t xml:space="preserve">链接: </w:t>
      </w:r>
      <w:hyperlink r:id="rId37">
        <w:r>
          <w:rPr>
            <w:rFonts w:ascii="Times New Roman" w:hAnsi="Times New Roman" w:eastAsia="宋体"/>
            <w:color w:val="0000FF"/>
            <w:sz w:val="21"/>
            <w:u w:val="single"/>
          </w:rPr>
          <w:t>https://arxiv.org/abs/2601.15210v1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几何结构及其电磁行为之间的非线性和高度复杂的关系，超表面的逆设计面临着固有的挑战。传统的优化方法常常面临过多的计算需求，并且倾向于收敛到次优解决方案。这项研究提出了一种基于扩散的生成框架，该框架结合了专用的一致性约束和先进的后验采样方法，以确保遵守所需的电磁规范。通过对小规模超表面配置的严格验证，所提出的方法证明了所生成设计的准确性和可靠性的显着增强。此外，我们引入了一种可扩展的方法，将逆向设计能力扩展到大规模超表面，并针对高达 98 美元×98 美元的纳米柱的配置进行了验证。值得注意的是，这种方法通过利用在更小的阵列（23 美元×23 美元）上训练的模型，可以在几分钟内完成快速设计生成。这些创新为高精度超表面逆设计建立了强大而高效的框架。</w:t>
      </w:r>
    </w:p>
    <w:p>
      <w:pPr>
        <w:spacing w:before="120"/>
      </w:pPr>
      <w:r>
        <w:rPr>
          <w:rFonts w:ascii="Times New Roman" w:hAnsi="Times New Roman" w:eastAsia="宋体"/>
          <w:b/>
          <w:sz w:val="21"/>
        </w:rPr>
        <w:t>English Abstract:</w:t>
      </w:r>
    </w:p>
    <w:p>
      <w:r>
        <w:rPr>
          <w:rFonts w:ascii="Times New Roman" w:hAnsi="Times New Roman" w:eastAsia="宋体"/>
          <w:sz w:val="21"/>
        </w:rPr>
        <w:t>The inverse design of metasurfaces faces inherent challenges due to the nonlinear and highly complex relationship between geometric configurations and their electromagnetic behavior. Traditional optimization approaches often suffer from excessive computational demands and a tendency to converge to suboptimal solutions. This study presents a diffusion-based generative framework that incorporates a dedicated consistency constraint and advanced posterior sampling methods to ensure adherence to desired electromagnetic specifications. Through rigorous validation on small-scale metasurface configurations, the proposed approach demonstrates marked enhancements in both accuracy and reliability of the generated designs.Furthermore, we introduce a scalable methodology that extends inverse design capabilities to large-scale metasurfaces, validated for configurations of up to $98 \times 98$ nanopillars. Notably, this approach enables rapid design generation completed in minute by leveraging models trained on substantially smaller arrays ($23 \times 23$). These innovations establish a robust and efficient framework for high-precision metasurface inverse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单像素成像和压缩感知：实用教程</w:t>
      </w:r>
    </w:p>
    <w:p>
      <w:r>
        <w:rPr>
          <w:rFonts w:ascii="Times New Roman" w:hAnsi="Times New Roman" w:eastAsia="宋体"/>
          <w:b/>
          <w:color w:val="003264"/>
          <w:sz w:val="24"/>
        </w:rPr>
        <w:t>Single Pixel Imaging and Compressive Sensing: A Practical Tutorial</w:t>
      </w:r>
    </w:p>
    <w:p>
      <w:r>
        <w:rPr>
          <w:rFonts w:ascii="Times New Roman" w:hAnsi="Times New Roman" w:eastAsia="宋体"/>
          <w:sz w:val="21"/>
        </w:rPr>
        <w:t>作者: Dennis Scheidt</w:t>
        <w:br/>
      </w:r>
      <w:r>
        <w:rPr>
          <w:rFonts w:ascii="Times New Roman" w:hAnsi="Times New Roman" w:eastAsia="宋体"/>
          <w:sz w:val="21"/>
        </w:rPr>
        <w:t xml:space="preserve">时间: 2026-01-21T18:29:04Z | </w:t>
      </w:r>
      <w:r>
        <w:t xml:space="preserve">链接: </w:t>
      </w:r>
      <w:hyperlink r:id="rId38">
        <w:r>
          <w:rPr>
            <w:rFonts w:ascii="Times New Roman" w:hAnsi="Times New Roman" w:eastAsia="宋体"/>
            <w:color w:val="0000FF"/>
            <w:sz w:val="21"/>
            <w:u w:val="single"/>
          </w:rPr>
          <w:t>https://arxiv.org/abs/2601.15248v1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成像是一种新兴的成像技术，它采用桶式探测器（光电二极管）对空间调制光场进行采样，而不是使用探测器阵列来测量空间分布。这种方法为非常规波长下的成像提供了一种低成本的替代方案，并能够在嘈杂的测量环境中改善信号收集。此外，它允许应用压缩传感来减少采集的数据量和测量时间，从而促进实时或体内成像应用。本教程介绍了测量基础和压缩感知重建方法的实验实现，包括确定性算法和深度学习方法。随附的 Python 笔记本指导读者重现所呈现的结果，并支持将这些方法应用到他们自己的工作中。</w:t>
      </w:r>
    </w:p>
    <w:p>
      <w:pPr>
        <w:spacing w:before="120"/>
      </w:pPr>
      <w:r>
        <w:rPr>
          <w:rFonts w:ascii="Times New Roman" w:hAnsi="Times New Roman" w:eastAsia="宋体"/>
          <w:b/>
          <w:sz w:val="21"/>
        </w:rPr>
        <w:t>English Abstract:</w:t>
      </w:r>
    </w:p>
    <w:p>
      <w:r>
        <w:rPr>
          <w:rFonts w:ascii="Times New Roman" w:hAnsi="Times New Roman" w:eastAsia="宋体"/>
          <w:sz w:val="21"/>
        </w:rPr>
        <w:t>Single Pixel Imaging is an emerging imaging technique that employs a bucket detector (photodiode) to sample a spatially modulated light field, rather than measuring the spatial distribution with an array of detectors. This approach provides a low-cost alternative for imaging at unconventional wavelengths and enables improved signal collection in noisy measurement environments. Furthermore, it allows the application of compressive sensing to reduce the amount of acquired data and measurement time, facilitating live or in vivo imaging applications. This tutorial presents the experimental implementation of measurement bases and compressive sensing reconstruction methods, including both deterministic algorithms and deep learning approaches. Accompanying Python notebooks guide readers through the reproduction of the presented results and support the application of the methods to their own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时空涡旋的轨道角动量：射线力学类比</w:t>
      </w:r>
    </w:p>
    <w:p>
      <w:r>
        <w:rPr>
          <w:rFonts w:ascii="Times New Roman" w:hAnsi="Times New Roman" w:eastAsia="宋体"/>
          <w:b/>
          <w:color w:val="003264"/>
          <w:sz w:val="24"/>
        </w:rPr>
        <w:t>Orbital angular momentum of spatiotemporal vortices: a ray-mechanical analogy</w:t>
      </w:r>
    </w:p>
    <w:p>
      <w:r>
        <w:rPr>
          <w:rFonts w:ascii="Times New Roman" w:hAnsi="Times New Roman" w:eastAsia="宋体"/>
          <w:sz w:val="21"/>
        </w:rPr>
        <w:t>作者: Miguel A. Alonso</w:t>
        <w:br/>
      </w:r>
      <w:r>
        <w:rPr>
          <w:rFonts w:ascii="Times New Roman" w:hAnsi="Times New Roman" w:eastAsia="宋体"/>
          <w:sz w:val="21"/>
        </w:rPr>
        <w:t xml:space="preserve">时间: 2026-01-21T18:41:23Z | </w:t>
      </w:r>
      <w:r>
        <w:t xml:space="preserve">链接: </w:t>
      </w:r>
      <w:hyperlink r:id="rId39">
        <w:r>
          <w:rPr>
            <w:rFonts w:ascii="Times New Roman" w:hAnsi="Times New Roman" w:eastAsia="宋体"/>
            <w:color w:val="0000FF"/>
            <w:sz w:val="21"/>
            <w:u w:val="single"/>
          </w:rPr>
          <w:t>https://arxiv.org/abs/2601.15261v1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时空涡旋脉冲（STVP）是携带横向轨道角动量（OAM）的波包，其正确量化一直是最近争论的主题。在这项工作中，我们介绍了 STVP 的简化力学模型，该模型由一个以均匀恒定速度但略有不同角度行进的非相互作用点粒子环组成。我们检查粒子环的不同初始条件，包括给定时间在空间中呈椭圆形的配置以及在固定传播距离下在时空中呈椭圆形的配置。此外，采用非均匀质量分布允许粒子环不仅在配置空间而且在动量空间中模拟 STVP。值得注意的是，当辅以半经典涡量量化条件时，我们的力学模型准确地再现了先前报道的近轴 STVP 的不同的基于波的 OAM 结果。</w:t>
      </w:r>
    </w:p>
    <w:p>
      <w:pPr>
        <w:spacing w:before="120"/>
      </w:pPr>
      <w:r>
        <w:rPr>
          <w:rFonts w:ascii="Times New Roman" w:hAnsi="Times New Roman" w:eastAsia="宋体"/>
          <w:b/>
          <w:sz w:val="21"/>
        </w:rPr>
        <w:t>English Abstract:</w:t>
      </w:r>
    </w:p>
    <w:p>
      <w:r>
        <w:rPr>
          <w:rFonts w:ascii="Times New Roman" w:hAnsi="Times New Roman" w:eastAsia="宋体"/>
          <w:sz w:val="21"/>
        </w:rPr>
        <w:t>Spatiotemporal vortex pulses (STVPs) are wavepackets that carry transverse orbital angular momentum (OAM), whose proper quantification has been the subject of recent debate. In this work, we introduce a simplified mechanical model of STVPs, consisting of a loop of non-interacting point particles traveling at a uniform constant speed but at slightly di!erent angles. We examine di!erent initial conditions for the particle loop, including configurations that are elliptic in space at a given time and configurations that are elliptic in spacetime at a fixed propagation distance. Furthermore, employing a non-uniform mass distribution allows the particle loop to mimic the STVP not only in configuration space but also in momentum space. Remarkably, when supplemented by a semiclassical vorticity quantization condition, our mechanical model exactly reproduces di!erent wave-based OAM results previously reported for paraxial STVPs.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LiNUS：用于实时 DBS 手术的深部脑核团轻量级自动分割</w:t>
      </w:r>
    </w:p>
    <w:p>
      <w:r>
        <w:rPr>
          <w:rFonts w:ascii="Times New Roman" w:hAnsi="Times New Roman" w:eastAsia="宋体"/>
          <w:b/>
          <w:color w:val="003264"/>
          <w:sz w:val="24"/>
        </w:rPr>
        <w:t>LiNUS: Lightweight Automatic Segmentation of Deep Brain Nuclei for Real-Time DBS Surgery</w:t>
      </w:r>
    </w:p>
    <w:p>
      <w:r>
        <w:rPr>
          <w:rFonts w:ascii="Times New Roman" w:hAnsi="Times New Roman" w:eastAsia="宋体"/>
          <w:sz w:val="21"/>
        </w:rPr>
        <w:t>作者: Chunhua Hu</w:t>
        <w:br/>
      </w:r>
      <w:r>
        <w:rPr>
          <w:rFonts w:ascii="Times New Roman" w:hAnsi="Times New Roman" w:eastAsia="宋体"/>
          <w:sz w:val="21"/>
        </w:rPr>
        <w:t xml:space="preserve">时间: 2026-01-21T09:16:59Z | </w:t>
      </w:r>
      <w:r>
        <w:t xml:space="preserve">链接: </w:t>
      </w:r>
      <w:hyperlink r:id="rId42">
        <w:r>
          <w:rPr>
            <w:rFonts w:ascii="Times New Roman" w:hAnsi="Times New Roman" w:eastAsia="宋体"/>
            <w:color w:val="0000FF"/>
            <w:sz w:val="21"/>
            <w:u w:val="single"/>
          </w:rPr>
          <w:t>https://arxiv.org/abs/2601.14793v1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 LiNUS，这是一种轻量级深度学习框架，用于在深部脑刺激（DBS）手术中自动分割丘脑底核（STN）。为了解决 MRI 数据中目标体积小和类别不平衡的挑战，LiNUS 通过引入谱归一化约束、双线性插值上采样和多尺度特征融合机制，改进了 U-Net 架构。清华 DBS 数据集（TT14）上的实验结果表明，LiNUS 的 Dice 系数为 0.679，每个受试者的推理时间仅为 0.05 秒，显着优于传统的手动和基于配准的方法。对高分辨率数据的进一步验证证实了模型的稳健性，获得了 0.89 的 Dice 分数。还开发了专用的图形用户界面（GUI）以促进实时临床应用。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LiNUS, a lightweight deep learning framework for the automatic segmentation of the Subthalamic Nucleus (STN) in Deep Brain Stimulation (DBS) surgery. Addressing the challenges of small target volume and class imbalance in MRI data, LiNUS improves upon the U-Net architecture by introducing spectral normalization constraints, bilinear interpolation upsampling, and a multi-scale feature fusion mechanism. Experimental results on the Tsinghua DBS dataset (TT14) demonstrate that LiNUS achieves a Dice coefficient of 0.679 with an inference time of only 0.05 seconds per subject, significantly outperforming traditional manual and registration-based methods. Further validation on high-resolution data confirms the model's robustness, achieving a Dice score of 0.89. A dedicated Graphical User Interface (GUI) was also developed to facilitate real-time clinical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用于可扩展气候模拟器的场空间自动编码器</w:t>
      </w:r>
    </w:p>
    <w:p>
      <w:r>
        <w:rPr>
          <w:rFonts w:ascii="Times New Roman" w:hAnsi="Times New Roman" w:eastAsia="宋体"/>
          <w:b/>
          <w:color w:val="003264"/>
          <w:sz w:val="24"/>
        </w:rPr>
        <w:t>Field-Space Autoencoder for Scalable Climate Emulators</w:t>
      </w:r>
    </w:p>
    <w:p>
      <w:r>
        <w:rPr>
          <w:rFonts w:ascii="Times New Roman" w:hAnsi="Times New Roman" w:eastAsia="宋体"/>
          <w:sz w:val="21"/>
        </w:rPr>
        <w:t>作者: Christopher Kadow</w:t>
        <w:br/>
      </w:r>
      <w:r>
        <w:rPr>
          <w:rFonts w:ascii="Times New Roman" w:hAnsi="Times New Roman" w:eastAsia="宋体"/>
          <w:sz w:val="21"/>
        </w:rPr>
        <w:t xml:space="preserve">时间: 2026-01-21T15:43:53Z | </w:t>
      </w:r>
      <w:r>
        <w:t xml:space="preserve">链接: </w:t>
      </w:r>
      <w:hyperlink r:id="rId44">
        <w:r>
          <w:rPr>
            <w:rFonts w:ascii="Times New Roman" w:hAnsi="Times New Roman" w:eastAsia="宋体"/>
            <w:color w:val="0000FF"/>
            <w:sz w:val="21"/>
            <w:u w:val="single"/>
          </w:rPr>
          <w:t>https://arxiv.org/abs/2601.15102v1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公里级地球系统模型对于捕捉当地气候变化至关重要。然而，这些模型的计算成本很高，并且会产生 PB 级的输出，这限制了它们在概率风险评估等应用中的实用性。在这里，我们提出了场空间自动编码器，这是一个基于球形压缩模型的可扩展气候仿真框架，克服了这些挑战。通过利用场空间注意力，该模型可以有效地对本地气候模型输出进行操作，从而避免由于将球形数据强制到欧几里得网格而导致的几何失真。这种方法比卷积基线更好地保留了物理结构。通过生成结构化压缩字段，它可以作为下游生成仿真的良好基线。此外，该模型可以执行零样本超分辨率，将低分辨率大型集合和稀缺高分辨率数据映射到共享表示中。我们在这些压缩场上训练生成扩散模型。该模型可以同时从丰富的低分辨率数据中学习内部变异性，并从稀疏的高分辨率数据中学习精细尺度的物理现象。我们的工作弥补了大量低分辨率集合统计数据与稀缺高分辨率物理细节之间的差距。</w:t>
      </w:r>
    </w:p>
    <w:p>
      <w:pPr>
        <w:spacing w:before="120"/>
      </w:pPr>
      <w:r>
        <w:rPr>
          <w:rFonts w:ascii="Times New Roman" w:hAnsi="Times New Roman" w:eastAsia="宋体"/>
          <w:b/>
          <w:sz w:val="21"/>
        </w:rPr>
        <w:t>English Abstract:</w:t>
      </w:r>
    </w:p>
    <w:p>
      <w:r>
        <w:rPr>
          <w:rFonts w:ascii="Times New Roman" w:hAnsi="Times New Roman" w:eastAsia="宋体"/>
          <w:sz w:val="21"/>
        </w:rPr>
        <w:t>Kilometer-scale Earth system models are essential for capturing local climate change. However, these models are computationally expensive and produce petabyte-scale outputs, which limits their utility for applications such as probabilistic risk assessment. Here, we present the Field-Space Autoencoder, a scalable climate emulation framework based on a spherical compression model that overcomes these challenges. By utilizing Field-Space Attention, the model efficiently operates on native climate model output and therefore avoids geometric distortions caused by forcing spherical data onto Euclidean grids. This approach preserves physical structures significantly better than convolutional baselines. By producing a structured compressed field, it serves as a good baseline for downstream generative emulation. In addition, the model can perform zero-shot super-resolution that maps low-resolution large ensembles and scarce high-resolution data into a shared representation. We train a generative diffusion model on these compressed fields. The model can simultaneously learn internal variability from abundant low-resolution data and fine-scale physics from sparse high-resolution data. Our work bridges the gap between the high volume of low-resolution ensemble statistics and the scarcity of high-resolution physical detail.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基于视觉的自然语言场景理解自动驾驶：扩展数据集和交通场景描述生成的新模型</w:t>
      </w:r>
    </w:p>
    <w:p>
      <w:r>
        <w:rPr>
          <w:rFonts w:ascii="Times New Roman" w:hAnsi="Times New Roman" w:eastAsia="宋体"/>
          <w:b/>
          <w:color w:val="003264"/>
          <w:sz w:val="24"/>
        </w:rPr>
        <w:t>Vision-Based Natural Language Scene Understanding for Autonomous Driving: An Extended Dataset and a New Model for Traffic Scene Description Generation</w:t>
      </w:r>
    </w:p>
    <w:p>
      <w:r>
        <w:rPr>
          <w:rFonts w:ascii="Times New Roman" w:hAnsi="Times New Roman" w:eastAsia="宋体"/>
          <w:sz w:val="21"/>
        </w:rPr>
        <w:t>作者: Behzad Moshiri</w:t>
        <w:br/>
      </w:r>
      <w:r>
        <w:rPr>
          <w:rFonts w:ascii="Times New Roman" w:hAnsi="Times New Roman" w:eastAsia="宋体"/>
          <w:sz w:val="21"/>
        </w:rPr>
        <w:t xml:space="preserve">时间: 2026-01-20T19:50:42Z | </w:t>
      </w:r>
      <w:r>
        <w:t xml:space="preserve">链接: </w:t>
      </w:r>
      <w:hyperlink r:id="rId46">
        <w:r>
          <w:rPr>
            <w:rFonts w:ascii="Times New Roman" w:hAnsi="Times New Roman" w:eastAsia="宋体"/>
            <w:color w:val="0000FF"/>
            <w:sz w:val="21"/>
            <w:u w:val="single"/>
          </w:rPr>
          <w:t>https://arxiv.org/abs/2601.14438v1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通场景理解对于自动驾驶车辆准确感知和解释其环境至关重要，从而确保安全导航。本文提出了一种新颖的框架，可将单个前视摄像头图像转换为简洁的自然语言描述，有效捕获空间布局、语义关系和驾驶相关线索。所提出的模型利用混合注意机制来增强空间和语义特征提取，并集成这些特征以生成上下文丰富且详细的场景描述。为了解决该领域专业数据集可用性有限的问题，开发了一个源自 BDD100K 数据集的新数据集，并为其构建提供了全面的指南。此外，该研究还深入讨论了相关评估指标，确定了最适合该任务的措施。使用 CIDEr 和 SPICE 等指标进行的广泛定量评估，辅以人类判断评估，表明所提出的模型在新开发的数据集上实现了强劲的性能并有效地实现了其预期目标。</w:t>
      </w:r>
    </w:p>
    <w:p>
      <w:pPr>
        <w:spacing w:before="120"/>
      </w:pPr>
      <w:r>
        <w:rPr>
          <w:rFonts w:ascii="Times New Roman" w:hAnsi="Times New Roman" w:eastAsia="宋体"/>
          <w:b/>
          <w:sz w:val="21"/>
        </w:rPr>
        <w:t>English Abstract:</w:t>
      </w:r>
    </w:p>
    <w:p>
      <w:r>
        <w:rPr>
          <w:rFonts w:ascii="Times New Roman" w:hAnsi="Times New Roman" w:eastAsia="宋体"/>
          <w:sz w:val="21"/>
        </w:rPr>
        <w:t>Traffic scene understanding is essential for enabling autonomous vehicles to accurately perceive and interpret their environment, thereby ensuring safe navigation. This paper presents a novel framework that transforms a single frontal-view camera image into a concise natural language description, effectively capturing spatial layouts, semantic relationships, and driving-relevant cues. The proposed model leverages a hybrid attention mechanism to enhance spatial and semantic feature extraction and integrates these features to generate contextually rich and detailed scene descriptions. To address the limited availability of specialized datasets in this domain, a new dataset derived from the BDD100K dataset has been developed, with comprehensive guidelines provided for its construction. Furthermore, the study offers an in-depth discussion of relevant evaluation metrics, identifying the most appropriate measures for this task. Extensive quantitative evaluations using metrics such as CIDEr and SPICE, complemented by human judgment assessments, demonstrate that the proposed model achieves strong performance and effectively fulfills its intended objectives on the newly developed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基于高斯的自适应多模态 3D 语义占用预测</w:t>
      </w:r>
    </w:p>
    <w:p>
      <w:r>
        <w:rPr>
          <w:rFonts w:ascii="Times New Roman" w:hAnsi="Times New Roman" w:eastAsia="宋体"/>
          <w:b/>
          <w:color w:val="003264"/>
          <w:sz w:val="24"/>
        </w:rPr>
        <w:t>Gaussian Based Adaptive Multi-Modal 3D Semantic Occupancy Prediction</w:t>
      </w:r>
    </w:p>
    <w:p>
      <w:r>
        <w:rPr>
          <w:rFonts w:ascii="Times New Roman" w:hAnsi="Times New Roman" w:eastAsia="宋体"/>
          <w:sz w:val="21"/>
        </w:rPr>
        <w:t>作者: A. Enes Doruk</w:t>
        <w:br/>
      </w:r>
      <w:r>
        <w:rPr>
          <w:rFonts w:ascii="Times New Roman" w:hAnsi="Times New Roman" w:eastAsia="宋体"/>
          <w:sz w:val="21"/>
        </w:rPr>
        <w:t xml:space="preserve">时间: 2026-01-20T20:11:09Z | </w:t>
      </w:r>
      <w:r>
        <w:t xml:space="preserve">链接: </w:t>
      </w:r>
      <w:hyperlink r:id="rId47">
        <w:r>
          <w:rPr>
            <w:rFonts w:ascii="Times New Roman" w:hAnsi="Times New Roman" w:eastAsia="宋体"/>
            <w:color w:val="0000FF"/>
            <w:sz w:val="21"/>
            <w:u w:val="single"/>
          </w:rPr>
          <w:t>https://arxiv.org/abs/2601.14448v1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稀疏对象检测范式向密集 3D 语义占用预测的转变对于应对自动驾驶车辆的长尾安全挑战是必要的。尽管如此，当前的体素化方法通常面临计算复杂性要求过高的问题，其中融合过程是脆弱的、静态的，并且在动态环境设置下会崩溃。为此，这项研究工作增强了一种新颖的基于高斯的自适应相机-LiDAR多模态3D占用预测模型，该模型通过内存高效的3D高斯模型将相机模态的语义优势与LiDAR模态的几何优势无缝地连接起来。所提出的解决方案有四个关键组成部分：(1) 激光雷达深度特征聚合 (LDFA)，其中采用深度可变形采样来处理几何稀疏性；(2) 基于熵的特征平滑，其中采用交叉熵来处理特定域噪声；(3) 自适应相机-激光雷达融合，其中根据模型输出执行传感器输出的动态重新校准；(4) 使用选择性状态空间模型的高斯-曼巴头用于具有线性计算复杂度的全局上下文解码。</w:t>
      </w:r>
    </w:p>
    <w:p>
      <w:pPr>
        <w:spacing w:before="120"/>
      </w:pPr>
      <w:r>
        <w:rPr>
          <w:rFonts w:ascii="Times New Roman" w:hAnsi="Times New Roman" w:eastAsia="宋体"/>
          <w:b/>
          <w:sz w:val="21"/>
        </w:rPr>
        <w:t>English Abstract:</w:t>
      </w:r>
    </w:p>
    <w:p>
      <w:r>
        <w:rPr>
          <w:rFonts w:ascii="Times New Roman" w:hAnsi="Times New Roman" w:eastAsia="宋体"/>
          <w:sz w:val="21"/>
        </w:rPr>
        <w:t>The sparse object detection paradigm shift towards dense 3D semantic occupancy prediction is necessary for dealing with long-tail safety challenges for autonomous vehicles. Nonetheless, the current voxelization methods commonly suffer from excessive computation complexity demands, where the fusion process is brittle, static, and breaks down under dynamic environmental settings. To this end, this research work enhances a novel Gaussian-based adaptive camera-LiDAR multimodal 3D occupancy prediction model that seamlessly bridges the semantic strengths of camera modality with the geometric strengths of LiDAR modality through a memory-efficient 3D Gaussian model. The proposed solution has four key components: (1) LiDAR Depth Feature Aggregation (LDFA), where depth-wise deformable sampling is employed for dealing with geometric sparsity, (2) Entropy-Based Feature Smoothing, where cross-entropy is employed for handling domain-specific noise, (3) Adaptive Camera-LiDAR Fusion, where dynamic recalibration of sensor outputs is performed based on model outputs, and (4) Gauss-Mamba Head that uses Selective State Space Models for global context decoding that enjoys linear computation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使用深度学习对 NASA 自主模块化传感器进行实时野火定位</w:t>
      </w:r>
    </w:p>
    <w:p>
      <w:r>
        <w:rPr>
          <w:rFonts w:ascii="Times New Roman" w:hAnsi="Times New Roman" w:eastAsia="宋体"/>
          <w:b/>
          <w:color w:val="003264"/>
          <w:sz w:val="24"/>
        </w:rPr>
        <w:t>Real-Time Wildfire Localization on the NASA Autonomous Modular Sensor using Deep Learning</w:t>
      </w:r>
    </w:p>
    <w:p>
      <w:r>
        <w:rPr>
          <w:rFonts w:ascii="Times New Roman" w:hAnsi="Times New Roman" w:eastAsia="宋体"/>
          <w:sz w:val="21"/>
        </w:rPr>
        <w:t>作者: Nikhil Behari</w:t>
        <w:br/>
      </w:r>
      <w:r>
        <w:rPr>
          <w:rFonts w:ascii="Times New Roman" w:hAnsi="Times New Roman" w:eastAsia="宋体"/>
          <w:sz w:val="21"/>
        </w:rPr>
        <w:t xml:space="preserve">时间: 2026-01-20T20:56:34Z | </w:t>
      </w:r>
      <w:r>
        <w:t xml:space="preserve">链接: </w:t>
      </w:r>
      <w:hyperlink r:id="rId48">
        <w:r>
          <w:rPr>
            <w:rFonts w:ascii="Times New Roman" w:hAnsi="Times New Roman" w:eastAsia="宋体"/>
            <w:color w:val="0000FF"/>
            <w:sz w:val="21"/>
            <w:u w:val="single"/>
          </w:rPr>
          <w:t>https://arxiv.org/abs/2601.14475v1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高空、多光谱、航空图像稀缺且获取成本昂贵，但算法的进步和机器学习模型的应用对于解决野火检测等高影响问题是必要的。我们引入了来自 NASA 自主模块化传感器 (AMS) 的人工注释数据集，使用 12 通道中高海拔（3 - 50 公里）航空野火图像，类似于当前美国野火任务中使用的图像。我们的数据集结合了来自 12 个不同通道的光谱数据，包括红外 (IR)、短波红外 (SWIR) 和热能。我们从 20 个野火任务中获取图像，并随机采样小块，生成超过 4000 张具有高可变性的图像，包括烟雾/云遮挡、容易混淆的误报和夜间图像。</w:t>
        <w:br/>
        <w:t xml:space="preserve">  我们展示了深度学习模型的结果，该模型可以自动执行人力密集型的火灾边界确定过程。我们训练两个深度神经网络，一个用于图像分类，另一个用于像素级分割。这些网络被组合成一个独特的实时分割模型，以有效地定位传入图像源上的活跃野火。我们的模型实现了 96% 的分类准确率、74% 的交联 (IoU) 和 84% 的召回率，超越了过去的方法，包括使用卫星数据和经典颜色规则算法训练的模型。通过利用多光谱数据集，我们的模型能够检测夜间和云层后面的活跃野火，同时区分误报。我们发现来自短波红外、红外和热波段的数据对于区分火灾边界最重要。我们的代码和数据集可以在这里找到：https://github.com/nasa/Autonomous-Modular-Sensor-Wildfire-Segmentation/tree/main 和 https://drive.google.com/drive/folders/1-u4vs9rqwkwgdeeeoUhftCxrfe_4QPTn?=usp=drive_link</w:t>
      </w:r>
    </w:p>
    <w:p>
      <w:pPr>
        <w:spacing w:before="120"/>
      </w:pPr>
      <w:r>
        <w:rPr>
          <w:rFonts w:ascii="Times New Roman" w:hAnsi="Times New Roman" w:eastAsia="宋体"/>
          <w:b/>
          <w:sz w:val="21"/>
        </w:rPr>
        <w:t>English Abstract:</w:t>
      </w:r>
    </w:p>
    <w:p>
      <w:r>
        <w:rPr>
          <w:rFonts w:ascii="Times New Roman" w:hAnsi="Times New Roman" w:eastAsia="宋体"/>
          <w:sz w:val="21"/>
        </w:rPr>
        <w:t>High-altitude, multi-spectral, aerial imagery is scarce and expensive to acquire, yet it is necessary for algorithmic advances and application of machine learning models to high-impact problems such as wildfire detection. We introduce a human-annotated dataset from the NASA Autonomous Modular Sensor (AMS) using 12-channel, medium to high altitude (3 - 50 km) aerial wildfire images similar to those used in current US wildfire missions. Our dataset combines spectral data from 12 different channels, including infrared (IR), short-wave IR (SWIR), and thermal. We take imagery from 20 wildfire missions and randomly sample small patches to generate over 4000 images with high variability, including occlusions by smoke/clouds, easily-confused false positives, and nighttime imagery.</w:t>
        <w:br/>
        <w:t xml:space="preserve">  We demonstrate results from a deep-learning model to automate the human-intensive process of fire perimeter determination. We train two deep neural networks, one for image classification and the other for pixel-level segmentation. The networks are combined into a unique real-time segmentation model to efficiently localize active wildfire on an incoming image feed. Our model achieves 96% classification accuracy, 74% Intersection-over-Union(IoU), and 84% recall surpassing past methods, including models trained on satellite data and classical color-rule algorithms. By leveraging a multi-spectral dataset, our model is able to detect active wildfire at nighttime and behind clouds, while distinguishing between false positives. We find that data from the SWIR, IR, and thermal bands is the most important to distinguish fire perimeters. Our code and dataset can be found here: https://github.com/nasa/Autonomous-Modular-Sensor-Wildfire-Segmentation/tree/main and https://drive.google.com/drive/folders/1-u4vs9rqwkwgdeeeoUhftCxrfe_4QPTn?=usp=drive_link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PAS-Mamba：用于 MRI 重建的相位-幅度-空间状态空间模型</w:t>
      </w:r>
    </w:p>
    <w:p>
      <w:r>
        <w:rPr>
          <w:rFonts w:ascii="Times New Roman" w:hAnsi="Times New Roman" w:eastAsia="宋体"/>
          <w:b/>
          <w:color w:val="003264"/>
          <w:sz w:val="24"/>
        </w:rPr>
        <w:t>PAS-Mamba: Phase-Amplitude-Spatial State Space Model for MRI Reconstruction</w:t>
      </w:r>
    </w:p>
    <w:p>
      <w:r>
        <w:rPr>
          <w:rFonts w:ascii="Times New Roman" w:hAnsi="Times New Roman" w:eastAsia="宋体"/>
          <w:sz w:val="21"/>
        </w:rPr>
        <w:t>作者: Beiji Zou</w:t>
        <w:br/>
      </w:r>
      <w:r>
        <w:rPr>
          <w:rFonts w:ascii="Times New Roman" w:hAnsi="Times New Roman" w:eastAsia="宋体"/>
          <w:sz w:val="21"/>
        </w:rPr>
        <w:t xml:space="preserve">时间: 2026-01-20T22:53:35Z | </w:t>
      </w:r>
      <w:r>
        <w:t xml:space="preserve">链接: </w:t>
      </w:r>
      <w:hyperlink r:id="rId49">
        <w:r>
          <w:rPr>
            <w:rFonts w:ascii="Times New Roman" w:hAnsi="Times New Roman" w:eastAsia="宋体"/>
            <w:color w:val="0000FF"/>
            <w:sz w:val="21"/>
            <w:u w:val="single"/>
          </w:rPr>
          <w:t>https://arxiv.org/abs/2601.14530v1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空间域和频域的联合特征建模已成为 MRI 重建的主流方法。然而，现有方法通常将频域视为一个整体，忽略了其内部成分所携带信息的差异。根据傅里叶变换理论，相位和幅度代表图像中不同类型的信息。我们的光谱交换实验表明，幅度主要反映像素级强度，而相位主要控制图像结构。为了防止统一频域建模引起的相位和幅度特征学习之间的干扰，我们提出了用于MRI重建的相位-幅度-空间状态空间模型（PAS-Mamba），这是一个将频域中的相位和幅度建模解耦并将其与图像域特征相结合以更好地重建的框架。在图像域中，LocalMamba 保留空间局部性以锐化精细的解剖细节。在频域中，我们将幅度和相位分解为两个专门的分支，以避免表征耦合。为了尊重频率信息的同心几何形状，我们提出圆形频域扫描（CFDS）来序列化从低频到高频的特征。最后，双域互补融合模块（DDCFM）自适应地融合幅度相位表示，并实现频域和图像域之间的双向交换，从而提供卓越的重建。对 IXI 和 fastMRI 膝盖数据集的广泛实验表明，PAS-Mamba 始终优于最先进的重建方法。</w:t>
      </w:r>
    </w:p>
    <w:p>
      <w:pPr>
        <w:spacing w:before="120"/>
      </w:pPr>
      <w:r>
        <w:rPr>
          <w:rFonts w:ascii="Times New Roman" w:hAnsi="Times New Roman" w:eastAsia="宋体"/>
          <w:b/>
          <w:sz w:val="21"/>
        </w:rPr>
        <w:t>English Abstract:</w:t>
      </w:r>
    </w:p>
    <w:p>
      <w:r>
        <w:rPr>
          <w:rFonts w:ascii="Times New Roman" w:hAnsi="Times New Roman" w:eastAsia="宋体"/>
          <w:sz w:val="21"/>
        </w:rPr>
        <w:t>Joint feature modeling in both the spatial and frequency domains has become a mainstream approach in MRI reconstruction. However, existing methods generally treat the frequency domain as a whole, neglecting the differences in the information carried by its internal components. According to Fourier transform theory, phase and amplitude represent different types of information in the image. Our spectrum swapping experiments show that magnitude mainly reflects pixel-level intensity, while phase predominantly governs image structure. To prevent interference between phase and magnitude feature learning caused by unified frequency-domain modeling, we propose the Phase-Amplitude-Spatial State Space Model (PAS-Mamba) for MRI Reconstruction, a framework that decouples phase and magnitude modeling in the frequency domain and combines it with image-domain features for better reconstruction. In the image domain, LocalMamba preserves spatial locality to sharpen fine anatomical details. In frequency domain, we disentangle amplitude and phase into two specialized branches to avoid representational coupling. To respect the concentric geometry of frequency information, we propose Circular Frequency Domain Scanning (CFDS) to serialize features from low to high frequencies. Finally, a Dual-Domain Complementary Fusion Module (DDCFM) adaptively fuses amplitude phase representations and enables bidirectional exchange between frequency and image domains, delivering superior reconstruction. Extensive experiments on the IXI and fastMRI knee datasets show that PAS-Mamba consistently outperforms state of the art reconstruction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具有动态教师切换和层次一致性的涂鸦监督医学图像分割</w:t>
      </w:r>
    </w:p>
    <w:p>
      <w:r>
        <w:rPr>
          <w:rFonts w:ascii="Times New Roman" w:hAnsi="Times New Roman" w:eastAsia="宋体"/>
          <w:b/>
          <w:color w:val="003264"/>
          <w:sz w:val="24"/>
        </w:rPr>
        <w:t>Scribble-Supervised Medical Image Segmentation with Dynamic Teacher Switching and Hierarchical Consistency</w:t>
      </w:r>
    </w:p>
    <w:p>
      <w:r>
        <w:rPr>
          <w:rFonts w:ascii="Times New Roman" w:hAnsi="Times New Roman" w:eastAsia="宋体"/>
          <w:sz w:val="21"/>
        </w:rPr>
        <w:t>作者: Ulas Bagci</w:t>
        <w:br/>
      </w:r>
      <w:r>
        <w:rPr>
          <w:rFonts w:ascii="Times New Roman" w:hAnsi="Times New Roman" w:eastAsia="宋体"/>
          <w:sz w:val="21"/>
        </w:rPr>
        <w:t xml:space="preserve">时间: 2026-01-21T01:01:01Z | </w:t>
      </w:r>
      <w:r>
        <w:t xml:space="preserve">链接: </w:t>
      </w:r>
      <w:hyperlink r:id="rId50">
        <w:r>
          <w:rPr>
            <w:rFonts w:ascii="Times New Roman" w:hAnsi="Times New Roman" w:eastAsia="宋体"/>
            <w:color w:val="0000FF"/>
            <w:sz w:val="21"/>
            <w:u w:val="single"/>
          </w:rPr>
          <w:t>https://arxiv.org/abs/2601.14563v1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涂鸦监督方法的出现可以减轻医学图像分割中令人望而却步的注释负担。然而，这些注释固有的稀疏性引入了显着的模糊性，从而导致嘈杂的伪标签传播并阻碍了稳健的解剖边界的学习。为了应对这一挑战，我们提出了 SDT-Net，这是一种新颖的双师单学生框架，旨在最大限度地提高这些微弱信号的监督质量。我们的方法采用动态教师切换（DTS）模块来自适应地选择最可靠的教师。然后，选定的教师通过两种协同机制指导学生：通过选择可靠像素 (PRP) 机制细化的高置信度伪标签，以及由分层一致性 (HiCo) 模块强制执行的多级特征对齐。对 ACDC 和 MSCMRseg 数据集的大量实验表明，SDT-Net 实现了最先进的性能，产生更准确且在解剖学上合理的分割。</w:t>
      </w:r>
    </w:p>
    <w:p>
      <w:pPr>
        <w:spacing w:before="120"/>
      </w:pPr>
      <w:r>
        <w:rPr>
          <w:rFonts w:ascii="Times New Roman" w:hAnsi="Times New Roman" w:eastAsia="宋体"/>
          <w:b/>
          <w:sz w:val="21"/>
        </w:rPr>
        <w:t>English Abstract:</w:t>
      </w:r>
    </w:p>
    <w:p>
      <w:r>
        <w:rPr>
          <w:rFonts w:ascii="Times New Roman" w:hAnsi="Times New Roman" w:eastAsia="宋体"/>
          <w:sz w:val="21"/>
        </w:rPr>
        <w:t>Scribble-supervised methods have emerged to mitigate the prohibitive annotation burden in medical image segmentation. However, the inherent sparsity of these annotations introduces significant ambiguity, which results in noisy pseudo-label propagation and hinders the learning of robust anatomical boundaries. To address this challenge, we propose SDT-Net, a novel dual-teacher, single-student framework designed to maximize supervision quality from these weak signals. Our method features a Dynamic Teacher Switching (DTS) module to adaptively select the most reliable teacher. This selected teacher then guides the student via two synergistic mechanisms: high-confidence pseudo-labels, refined by a Pick Reliable Pixels (PRP) mechanism, and multi-level feature alignment, enforced by a Hierarchical Consistency (HiCo) module. Extensive experiments on the ACDC and MSCMRseg datasets demonstrate that SDT-Net achieves state-of-the-art performance, producing more accurate and anatomically plausible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用于脑 MRI 进展建模的解剖学引导潜在扩散</w:t>
      </w:r>
    </w:p>
    <w:p>
      <w:r>
        <w:rPr>
          <w:rFonts w:ascii="Times New Roman" w:hAnsi="Times New Roman" w:eastAsia="宋体"/>
          <w:b/>
          <w:color w:val="003264"/>
          <w:sz w:val="24"/>
        </w:rPr>
        <w:t>Anatomically Guided Latent Diffusion for Brain MRI Progression Modeling</w:t>
      </w:r>
    </w:p>
    <w:p>
      <w:r>
        <w:rPr>
          <w:rFonts w:ascii="Times New Roman" w:hAnsi="Times New Roman" w:eastAsia="宋体"/>
          <w:sz w:val="21"/>
        </w:rPr>
        <w:t>作者: Qingyu Zhao</w:t>
        <w:br/>
      </w:r>
      <w:r>
        <w:rPr>
          <w:rFonts w:ascii="Times New Roman" w:hAnsi="Times New Roman" w:eastAsia="宋体"/>
          <w:sz w:val="21"/>
        </w:rPr>
        <w:t xml:space="preserve">时间: 2026-01-21T01:45:36Z | </w:t>
      </w:r>
      <w:r>
        <w:t xml:space="preserve">链接: </w:t>
      </w:r>
      <w:hyperlink r:id="rId51">
        <w:r>
          <w:rPr>
            <w:rFonts w:ascii="Times New Roman" w:hAnsi="Times New Roman" w:eastAsia="宋体"/>
            <w:color w:val="0000FF"/>
            <w:sz w:val="21"/>
            <w:u w:val="single"/>
          </w:rPr>
          <w:t>https://arxiv.org/abs/2601.14584v1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准确模拟纵向脑 MRI 进展对于了解神经退行性疾病和预测个体化结构变化至关重要。现有最先进的方法，例如大脑潜在进展（BrLP），通常使用带有辅助调理模块的多阶段训练管道，但存在架构复杂性、条件临床协变量使用不理想以及解剖一致性保证有限等问题。我们提出了解剖学引导的潜在扩散模型（AG-LDM），这是一种分割引导的框架，可以强制执行解剖学上一致的进展，同时大大简化训练流程。 AG-LDM 通过直接融合基线解剖结构、噪声后续状态和输入级别的临床协变量来调节潜在扩散，该策略通过学习代表解剖结构和进展的统一的端到端模型来避免辅助控制网络。轻量级 3D 组织分割模型 (WarpSeg) 在自动编码器微调和扩散模型训练期间提供明确的解剖学监督，确保一致的脑组织边界和形态保真度。对 31,713 个 ADNI 纵向对的实验和 OASIS-3 上的零样本评估表明，AG-LDM 匹配或超越了更复杂的扩散模型，实现了最先进的图像质量，并且生成图像的体积误差减少了 15-20%。 AG-LDM 还表现出对时间和临床协变量的明显更强的利用（灵敏度比 BrLP 高出 31.5 倍），并生成生物学上合理的反事实轨迹，准确捕获阿尔茨海默病进展的标志，例如边缘萎缩和心室扩张。这些结果凸显了 AG-LDM 作为一种有效的、基于解剖学的框架，可用于可靠的脑 MRI 进展建模。</w:t>
      </w:r>
    </w:p>
    <w:p>
      <w:pPr>
        <w:spacing w:before="120"/>
      </w:pPr>
      <w:r>
        <w:rPr>
          <w:rFonts w:ascii="Times New Roman" w:hAnsi="Times New Roman" w:eastAsia="宋体"/>
          <w:b/>
          <w:sz w:val="21"/>
        </w:rPr>
        <w:t>English Abstract:</w:t>
      </w:r>
    </w:p>
    <w:p>
      <w:r>
        <w:rPr>
          <w:rFonts w:ascii="Times New Roman" w:hAnsi="Times New Roman" w:eastAsia="宋体"/>
          <w:sz w:val="21"/>
        </w:rPr>
        <w:t>Accurately modeling longitudinal brain MRI progression is crucial for understanding neurodegenerative diseases and predicting individualized structural changes. Existing state-of-the-art approaches, such as Brain Latent Progression (BrLP), often use multi-stage training pipelines with auxiliary conditioning modules but suffer from architectural complexity, suboptimal use of conditional clinical covariates, and limited guarantees of anatomical consistency. We propose Anatomically Guided Latent Diffusion Model (AG-LDM), a segmentation-guided framework that enforces anatomically consistent progression while substantially simplifying the training pipeline. AG-LDM conditions latent diffusion by directly fusing baseline anatomy, noisy follow-up states, and clinical covariates at the input level, a strategy that avoids auxiliary control networks by learning a unified, end-to-end model that represents both anatomy and progression. A lightweight 3D tissue segmentation model (WarpSeg) provides explicit anatomical supervision during both autoencoder fine-tuning and diffusion model training, ensuring consistent brain tissue boundaries and morphometric fidelity. Experiments on 31,713 ADNI longitudinal pairs and zero-shot evaluation on OASIS-3 demonstrate that AG-LDM matches or surpasses more complex diffusion models, achieving state-of-the-art image quality and 15-20\% reduction in volumetric errors in generated images. AG-LDM also exhibits markedly stronger utilization of temporal and clinical covariates (up to 31.5x higher sensitivity than BrLP) and generates biologically plausible counterfactual trajectories, accurately capturing hallmarks of Alzheimer's progression such as limbic atrophy and ventricular expansion. These results highlight AG-LDM as an efficient, anatomically grounded framework for reliable brain MRI progression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从体积到切片：连续腹部 CT 分析的计算高效对比学习</w:t>
      </w:r>
    </w:p>
    <w:p>
      <w:r>
        <w:rPr>
          <w:rFonts w:ascii="Times New Roman" w:hAnsi="Times New Roman" w:eastAsia="宋体"/>
          <w:b/>
          <w:color w:val="003264"/>
          <w:sz w:val="24"/>
        </w:rPr>
        <w:t>From Volumes to Slices: Computationally Efficient Contrastive Learning for Sequential Abdominal CT Analysis</w:t>
      </w:r>
    </w:p>
    <w:p>
      <w:r>
        <w:rPr>
          <w:rFonts w:ascii="Times New Roman" w:hAnsi="Times New Roman" w:eastAsia="宋体"/>
          <w:sz w:val="21"/>
        </w:rPr>
        <w:t>作者: Hung-Hsuan Chen</w:t>
        <w:br/>
      </w:r>
      <w:r>
        <w:rPr>
          <w:rFonts w:ascii="Times New Roman" w:hAnsi="Times New Roman" w:eastAsia="宋体"/>
          <w:sz w:val="21"/>
        </w:rPr>
        <w:t xml:space="preserve">时间: 2026-01-21T02:26:31Z | </w:t>
      </w:r>
      <w:r>
        <w:t xml:space="preserve">链接: </w:t>
      </w:r>
      <w:hyperlink r:id="rId52">
        <w:r>
          <w:rPr>
            <w:rFonts w:ascii="Times New Roman" w:hAnsi="Times New Roman" w:eastAsia="宋体"/>
            <w:color w:val="0000FF"/>
            <w:sz w:val="21"/>
            <w:u w:val="single"/>
          </w:rPr>
          <w:t>https://arxiv.org/abs/2601.14593v1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对专家注释的要求限制了深度学习在医学图像分析中的有效性。尽管体积对比学习 (VoCo) 等 3D 自监督方法功能强大并且部分解决了标签稀缺问题，但其高计算成本和内存消耗是障碍。我们提出了 2D-VoCo，这是对 VoCo 框架的有效适应，用于切片级自监督预训练，通过对比学习从未标记的 2D CT 切片中学习空间语义特征。然后将预先训练的 CNN 主干集成到 CNN-LSTM 架构中，以对多器官损伤进行分类。在 RSNA 2023 Abdominal Trauma 数据集中，2D-VoCo 预训练比从头开始训练显着提高了 mAP、精度、召回率和 RSNA 得分。我们的框架提供了一种实用的方法来减少对标记数据的依赖并增强临床 CT 分析中的模型性能。我们发布代码以实现可重复性。 https://github.com/tkz05/2D-VoCo-CT-Classifier</w:t>
      </w:r>
    </w:p>
    <w:p>
      <w:pPr>
        <w:spacing w:before="120"/>
      </w:pPr>
      <w:r>
        <w:rPr>
          <w:rFonts w:ascii="Times New Roman" w:hAnsi="Times New Roman" w:eastAsia="宋体"/>
          <w:b/>
          <w:sz w:val="21"/>
        </w:rPr>
        <w:t>English Abstract:</w:t>
      </w:r>
    </w:p>
    <w:p>
      <w:r>
        <w:rPr>
          <w:rFonts w:ascii="Times New Roman" w:hAnsi="Times New Roman" w:eastAsia="宋体"/>
          <w:sz w:val="21"/>
        </w:rPr>
        <w:t>The requirement for expert annotations limits the effectiveness of deep learning for medical image analysis. Although 3D self-supervised methods like volume contrast learning (VoCo) are powerful and partially address the labeling scarcity issue, their high computational cost and memory consumption are barriers. We propose 2D-VoCo, an efficient adaptation of the VoCo framework for slice-level self-supervised pre-training that learns spatial-semantic features from unlabeled 2D CT slices via contrastive learning. The pre-trained CNN backbone is then integrated into a CNN-LSTM architecture to classify multi-organ injuries. In the RSNA 2023 Abdominal Trauma dataset, 2D-VoCo pre-training significantly improves mAP, precision, recall, and RSNA score over training from scratch. Our framework provides a practical method to reduce the dependency on labeled data and enhance model performance in clinical CT analysis. We release the code for reproducibility. https://github.com/tkz05/2D-VoCo-CT-Classifier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空间作为可编辑文本到图像生成的便签本</w:t>
      </w:r>
    </w:p>
    <w:p>
      <w:r>
        <w:rPr>
          <w:rFonts w:ascii="Times New Roman" w:hAnsi="Times New Roman" w:eastAsia="宋体"/>
          <w:b/>
          <w:color w:val="003264"/>
          <w:sz w:val="24"/>
        </w:rPr>
        <w:t>3D Space as a Scratchpad for Editable Text-to-Image Generation</w:t>
      </w:r>
    </w:p>
    <w:p>
      <w:r>
        <w:rPr>
          <w:rFonts w:ascii="Times New Roman" w:hAnsi="Times New Roman" w:eastAsia="宋体"/>
          <w:sz w:val="21"/>
        </w:rPr>
        <w:t>作者: Kevin Blackburn-Matzen</w:t>
        <w:br/>
      </w:r>
      <w:r>
        <w:rPr>
          <w:rFonts w:ascii="Times New Roman" w:hAnsi="Times New Roman" w:eastAsia="宋体"/>
          <w:sz w:val="21"/>
        </w:rPr>
        <w:t xml:space="preserve">时间: 2026-01-21T02:40:19Z | </w:t>
      </w:r>
      <w:r>
        <w:t xml:space="preserve">链接: </w:t>
      </w:r>
      <w:hyperlink r:id="rId53">
        <w:r>
          <w:rPr>
            <w:rFonts w:ascii="Times New Roman" w:hAnsi="Times New Roman" w:eastAsia="宋体"/>
            <w:color w:val="0000FF"/>
            <w:sz w:val="21"/>
            <w:u w:val="single"/>
          </w:rPr>
          <w:t>https://arxiv.org/abs/2601.14602v1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的最新进展表明，当中间思想被具体化到明确的工作空间（例如思想链跟踪或工具增强推理）中时，推理能力会得到改善。然而，视觉语言模型（VLM）缺乏类似的空间推理机制，限制了它们生成准确反映几何关系、对象身份和构图意图的图像的能力。我们引入了空间暂存器的概念——一种连接语言意图和图像合成的 3D 推理基础。给定文本提示，我们的框架会解析主题和背景元素，将它们实例化为可编辑的 3D 网格，并采用代理场景规划来进行放置、方向和视点选择。由此产生的 3D 排列被渲染回具有身份保留线索的图像域，使 VLM 能够生成空间一致和视觉连贯的输出。与之前基于 2D 布局的方法不同，我们的方法支持直观的 3D 编辑，可以可靠地传播到最终图像中。根据经验，它在 GenAI-Bench 上的文本对齐提高了 32%，证明了显式 3D 推理对于精确、可控图像生成的好处。我们的结果凸显了视觉语言模型的新范式，该模型不仅在语言上进行考虑，而且还在空间上进行考虑。代码和可视化位于 https://oindrilasaha.github.io/3DScratchpad/</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large language models (LLMs) has shown that reasoning improves when intermediate thoughts are externalized into explicit workspaces, such as chain-of-thought traces or tool-augmented reasoning. Yet, visual language models (VLMs) lack an analogous mechanism for spatial reasoning, limiting their ability to generate images that accurately reflect geometric relations, object identities, and compositional intent. We introduce the concept of a spatial scratchpad -- a 3D reasoning substrate that bridges linguistic intent and image synthesis. Given a text prompt, our framework parses subjects and background elements, instantiates them as editable 3D meshes, and employs agentic scene planning for placement, orientation, and viewpoint selection. The resulting 3D arrangement is rendered back into the image domain with identity-preserving cues, enabling the VLM to generate spatially consistent and visually coherent outputs. Unlike prior 2D layout-based methods, our approach supports intuitive 3D edits that propagate reliably into final images. Empirically, it achieves a 32% improvement in text alignment on GenAI-Bench, demonstrating the benefit of explicit 3D reasoning for precise, controllable image generation. Our results highlight a new paradigm for vision-language models that deliberate not only in language, but also in space. Code and visualizations at https://oindrilasaha.github.io/3DScratchpad/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U-Harmony：通过通用协调加强分割模型的联合训练</w:t>
      </w:r>
    </w:p>
    <w:p>
      <w:r>
        <w:rPr>
          <w:rFonts w:ascii="Times New Roman" w:hAnsi="Times New Roman" w:eastAsia="宋体"/>
          <w:b/>
          <w:color w:val="003264"/>
          <w:sz w:val="24"/>
        </w:rPr>
        <w:t>U-Harmony: Enhancing Joint Training for Segmentation Models with Universal Harmonization</w:t>
      </w:r>
    </w:p>
    <w:p>
      <w:r>
        <w:rPr>
          <w:rFonts w:ascii="Times New Roman" w:hAnsi="Times New Roman" w:eastAsia="宋体"/>
          <w:sz w:val="21"/>
        </w:rPr>
        <w:t>作者: Yongsong Huang</w:t>
        <w:br/>
      </w:r>
      <w:r>
        <w:rPr>
          <w:rFonts w:ascii="Times New Roman" w:hAnsi="Times New Roman" w:eastAsia="宋体"/>
          <w:sz w:val="21"/>
        </w:rPr>
        <w:t xml:space="preserve">时间: 2026-01-21T02:43:39Z | </w:t>
      </w:r>
      <w:r>
        <w:t xml:space="preserve">链接: </w:t>
      </w:r>
      <w:hyperlink r:id="rId54">
        <w:r>
          <w:rPr>
            <w:rFonts w:ascii="Times New Roman" w:hAnsi="Times New Roman" w:eastAsia="宋体"/>
            <w:color w:val="0000FF"/>
            <w:sz w:val="21"/>
            <w:u w:val="single"/>
          </w:rPr>
          <w:t>https://arxiv.org/abs/2601.14605v1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临床实践中，医学分割数据集通常是有限的且异构的，不同机构的模式、协议和解剖目标各不相同。现有的深度学习模型很难从如此多样化的数据中共同学习，通常会牺牲泛化知识或特定领域的知识。为了克服这些挑战，我们提出了一种称为通用协调（U-Harmony）的联合训练方法，该方法可以集成到具有域门控头的基于深度学习的架构中，使单个分割模型能够同时从异构数据集中学习。通过集成 U-Harmony，我们的方法依次对特征分布进行标准化，然后进行非标准化，以减轻特定领域的变化，同时保留原始数据集特定的知识。更吸引人的是，我们的框架还支持通用模式适应，允许无缝学习新的成像模式和解剖类别。对跨机构脑损伤数据集的广泛实验证明了我们方法的有效性，为现实临床环境中稳健且适应性强的 3D 医学图像分割模型建立了新的基准。</w:t>
      </w:r>
    </w:p>
    <w:p>
      <w:pPr>
        <w:spacing w:before="120"/>
      </w:pPr>
      <w:r>
        <w:rPr>
          <w:rFonts w:ascii="Times New Roman" w:hAnsi="Times New Roman" w:eastAsia="宋体"/>
          <w:b/>
          <w:sz w:val="21"/>
        </w:rPr>
        <w:t>English Abstract:</w:t>
      </w:r>
    </w:p>
    <w:p>
      <w:r>
        <w:rPr>
          <w:rFonts w:ascii="Times New Roman" w:hAnsi="Times New Roman" w:eastAsia="宋体"/>
          <w:sz w:val="21"/>
        </w:rPr>
        <w:t>In clinical practice, medical segmentation datasets are often limited and heterogeneous, with variations in modalities, protocols, and anatomical targets across institutions. Existing deep learning models struggle to jointly learn from such diverse data, often sacrificing either generalization or domain-specific knowledge. To overcome these challenges, we propose a joint training method called Universal Harmonization (U-Harmony), which can be integrated into deep learning-based architectures with a domain-gated head, enabling a single segmentation model to learn from heterogeneous datasets simultaneously. By integrating U-Harmony, our approach sequentially normalizes and then denormalizes feature distributions to mitigate domain-specific variations while preserving original dataset-specific knowledge. More appealingly, our framework also supports universal modality adaptation, allowing the seamless learning of new imaging modalities and anatomical classes. Extensive experiments on cross-institutional brain lesion datasets demonstrate the effectiveness of our approach, establishing a new benchmark for robust and adaptable 3D medical image segmentation models in real-world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扩散认知不确定性与扩散生成图像检测的不对称学习</w:t>
      </w:r>
    </w:p>
    <w:p>
      <w:r>
        <w:rPr>
          <w:rFonts w:ascii="Times New Roman" w:hAnsi="Times New Roman" w:eastAsia="宋体"/>
          <w:b/>
          <w:color w:val="003264"/>
          <w:sz w:val="24"/>
        </w:rPr>
        <w:t>Diffusion Epistemic Uncertainty with Asymmetric Learning for Diffusion-Generated Image Detection</w:t>
      </w:r>
    </w:p>
    <w:p>
      <w:r>
        <w:rPr>
          <w:rFonts w:ascii="Times New Roman" w:hAnsi="Times New Roman" w:eastAsia="宋体"/>
          <w:sz w:val="21"/>
        </w:rPr>
        <w:t>作者: Qi Xiong</w:t>
        <w:br/>
      </w:r>
      <w:r>
        <w:rPr>
          <w:rFonts w:ascii="Times New Roman" w:hAnsi="Times New Roman" w:eastAsia="宋体"/>
          <w:sz w:val="21"/>
        </w:rPr>
        <w:t xml:space="preserve">时间: 2026-01-21T03:57:15Z | </w:t>
      </w:r>
      <w:r>
        <w:t xml:space="preserve">链接: </w:t>
      </w:r>
      <w:hyperlink r:id="rId55">
        <w:r>
          <w:rPr>
            <w:rFonts w:ascii="Times New Roman" w:hAnsi="Times New Roman" w:eastAsia="宋体"/>
            <w:color w:val="0000FF"/>
            <w:sz w:val="21"/>
            <w:u w:val="single"/>
          </w:rPr>
          <w:t>https://arxiv.org/abs/2601.14625v1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进步凸显了检测生成图像的需求不断增长。先前的研究表明，结合基于扩散的测量（例如重建误差）可以增强探测器的通用性。然而，忽略任意和认知不确定性对重建误差的不同影响可能会损害检测性能。由固有数据噪声引起的任意不确定性会产生模糊性，从而阻碍对生成图像的准确检测。由于它反映了数据内的随机变化（例如自然纹理中的噪声），因此它无助于区分生成的图像。相反，认知不确定性（代表模型缺乏对不熟悉模式的了解）支持检测。在本文中，我们提出了一种新颖的框架，即具有非对称学习的扩散认知不确定性~（DEUA），用于检测扩散生成的图像。我们通过拉普拉斯近似引入扩散认知不确定性（DEU）估计，以评估数据与扩散生成的样本流形的接近程度。此外，引入不对称损失函数来训练具有更大余量的平衡分类器，进一步增强了泛化性。对大规模基准的大量实验验证了我们方法的最先进性能。</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diffusion models highlights the growing need for detecting generated images. Previous research demonstrates that incorporating diffusion-based measurements, such as reconstruction error, can enhance the generalizability of detectors. However, ignoring the differing impacts of aleatoric and epistemic uncertainty on reconstruction error can undermine detection performance. Aleatoric uncertainty, arising from inherent data noise, creates ambiguity that impedes accurate detection of generated images. As it reflects random variations within the data (e.g., noise in natural textures), it does not help distinguish generated images. In contrast, epistemic uncertainty, which represents the model's lack of knowledge about unfamiliar patterns, supports detection. In this paper, we propose a novel framework, Diffusion Epistemic Uncertainty with Asymmetric Learning~(DEUA), for detecting diffusion-generated images. We introduce Diffusion Epistemic Uncertainty~(DEU) estimation via the Laplace approximation to assess the proximity of data to the manifold of diffusion-generated samples. Additionally, an asymmetric loss function is introduced to train a balanced classifier with larger margins, further enhancing generalizability. Extensive experiments on large-scale benchmarks validate the state-of-the-art performance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Forest-Chat：采用视觉语言代理进行交互式森林变化分析</w:t>
      </w:r>
    </w:p>
    <w:p>
      <w:r>
        <w:rPr>
          <w:rFonts w:ascii="Times New Roman" w:hAnsi="Times New Roman" w:eastAsia="宋体"/>
          <w:b/>
          <w:color w:val="003264"/>
          <w:sz w:val="24"/>
        </w:rPr>
        <w:t>Forest-Chat: Adapting Vision-Language Agents for Interactive Forest Change Analysis</w:t>
      </w:r>
    </w:p>
    <w:p>
      <w:r>
        <w:rPr>
          <w:rFonts w:ascii="Times New Roman" w:hAnsi="Times New Roman" w:eastAsia="宋体"/>
          <w:sz w:val="21"/>
        </w:rPr>
        <w:t>作者: Nantheera Anantrasirichai</w:t>
        <w:br/>
      </w:r>
      <w:r>
        <w:rPr>
          <w:rFonts w:ascii="Times New Roman" w:hAnsi="Times New Roman" w:eastAsia="宋体"/>
          <w:sz w:val="21"/>
        </w:rPr>
        <w:t xml:space="preserve">时间: 2026-01-21T04:23:33Z | </w:t>
      </w:r>
      <w:r>
        <w:t xml:space="preserve">链接: </w:t>
      </w:r>
      <w:hyperlink r:id="rId56">
        <w:r>
          <w:rPr>
            <w:rFonts w:ascii="Times New Roman" w:hAnsi="Times New Roman" w:eastAsia="宋体"/>
            <w:color w:val="0000FF"/>
            <w:sz w:val="21"/>
            <w:u w:val="single"/>
          </w:rPr>
          <w:t>https://arxiv.org/abs/2601.14637v1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高分辨率卫星图像的可用性不断增加，加上深度学习的进步，为增强森林监测工作流程创造了新的机会。该领域的两个核心挑战是像素级变化检测和语义变化解释，特别是对于复杂的森林动态。虽然大型语言模型 (LLM) 越来越多地用于数据探索，但它们与用于遥感图像变化解释 (RSICI) 的视觉语言模型 (VLM) 的集成仍未得到充分探索，尤其是在城市环境之外。我们介绍 Forest-Chat，这是一个由法学硕士驱动的代理，专为综合森林变化分析而设计。所提出的框架支持自然语言查询并支持多种 RSICI 任务，包括变化检测、变化字幕、对象计数、森林砍伐百分比估计和变化推理。 Forest-Chat 基于多级变更解释 (MCI) 视觉语言骨干和基于 LLM 的编排而构建，并通过基础变更检测模型将零样本变更检测与交互式点提示界面相结合，以支持细粒度的用户指导。为了促进森林环境的适应和评估，我们引入了 Forest-Change 数据集，包括双时态卫星图像、像素级变化掩模以及通过人工注释和基于规则的方法相结合生成的多粒度语义变化标题。实验结果表明，Forest-Chat 在 Forest-Change 和 LEVIR-MCI-Trees（LEVIR-MCI 的以树为中心的子集）上实现了强大的性能，用于联合变化检测和字幕，突出了交互式、LLM 驱动的 RSICI 系统在提高森林变化分析的可访问性、可解释性和分析效率方面的潜力。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availability of high-resolution satellite imagery, together with advances in deep learning, creates new opportunities for enhancing forest monitoring workflows. Two central challenges in this domain are pixel-level change detection and semantic change interpretation, particularly for complex forest dynamics. While large language models (LLMs) are increasingly adopted for data exploration, their integration with vision-language models (VLMs) for remote sensing image change interpretation (RSICI) remains underexplored, especially beyond urban environments. We introduce Forest-Chat, an LLM-driven agent designed for integrated forest change analysis. The proposed framework enables natural language querying and supports multiple RSICI tasks, including change detection, change captioning, object counting, deforestation percentage estimation, and change reasoning. Forest-Chat builds upon a multi-level change interpretation (MCI) vision-language backbone with LLM-based orchestration, and incorporates zero-shot change detection via a foundation change detection model together with an interactive point-prompt interface to support fine-grained user guidance. To facilitate adaptation and evaluation in forest environments, we introduce the Forest-Change dataset, comprising bi-temporal satellite imagery, pixel-level change masks, and multi-granularity semantic change captions generated through a combination of human annotation and rule-based methods. Experimental results demonstrate that Forest-Chat achieves strong performance on Forest-Change and on LEVIR-MCI-Trees, a tree-focused subset of LEVIR-MCI, for joint change detection and captioning, highlighting the potential of interactive, LLM-driven RSICI systems to improve accessibility, interpretability, and analytical efficiency in forest change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Mirai：自回归视觉生成需要远见</w:t>
      </w:r>
    </w:p>
    <w:p>
      <w:r>
        <w:rPr>
          <w:rFonts w:ascii="Times New Roman" w:hAnsi="Times New Roman" w:eastAsia="宋体"/>
          <w:b/>
          <w:color w:val="003264"/>
          <w:sz w:val="24"/>
        </w:rPr>
        <w:t>Mirai: Autoregressive Visual Generation Needs Foresight</w:t>
      </w:r>
    </w:p>
    <w:p>
      <w:r>
        <w:rPr>
          <w:rFonts w:ascii="Times New Roman" w:hAnsi="Times New Roman" w:eastAsia="宋体"/>
          <w:sz w:val="21"/>
        </w:rPr>
        <w:t>作者: Toshihiko Yamasaki</w:t>
        <w:br/>
      </w:r>
      <w:r>
        <w:rPr>
          <w:rFonts w:ascii="Times New Roman" w:hAnsi="Times New Roman" w:eastAsia="宋体"/>
          <w:sz w:val="21"/>
        </w:rPr>
        <w:t xml:space="preserve">时间: 2026-01-21T05:33:23Z | </w:t>
      </w:r>
      <w:r>
        <w:t xml:space="preserve">链接: </w:t>
      </w:r>
      <w:hyperlink r:id="rId57">
        <w:r>
          <w:rPr>
            <w:rFonts w:ascii="Times New Roman" w:hAnsi="Times New Roman" w:eastAsia="宋体"/>
            <w:color w:val="0000FF"/>
            <w:sz w:val="21"/>
            <w:u w:val="single"/>
          </w:rPr>
          <w:t>https://arxiv.org/abs/2601.14671v1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 (AR) 视觉生成器将图像建模为离散标记序列，并使用下一个标记可能性进行训练。这种严格的因果关系监督仅通过其紧邻的下一个标记来优化每个步骤，这会削弱全局一致性并减慢收敛速度。我们询问前瞻、源自后续标记的训练信号是否可以帮助 AR 视觉生成。我们沿着注入水平、前视布局和前视源轴进行了一系列受控诊断，揭示了一个关键见解：将前视与 AR 模型在 2D 图像网格上的内部表示对齐，可以改进因果关系建模。我们用 Mirai（日语中的“未来”的意思）来阐述这一见解，这是一个通用框架，可以将未来信息注入 AR 训练中，无需架构更改，也无需额外的推理开销：Mirai-E 使用来自单向表示的多个未来位置的显式预见，而 Mirai-I 利用来自匹配的双向表示的隐式预见。大量实验表明，Mirai 显着加速了收敛速度并提高了生成质量。例如，Mirai 可以将 LlamaGen-B 的收敛速度提高高达 10$\times$，并将 ImageNet 类条件图像生成基准上的生成 FID 从 5.34 减少到 4.34。我们的研究强调视觉自回归模型需要远见。</w:t>
      </w:r>
    </w:p>
    <w:p>
      <w:pPr>
        <w:spacing w:before="120"/>
      </w:pPr>
      <w:r>
        <w:rPr>
          <w:rFonts w:ascii="Times New Roman" w:hAnsi="Times New Roman" w:eastAsia="宋体"/>
          <w:b/>
          <w:sz w:val="21"/>
        </w:rPr>
        <w:t>English Abstract:</w:t>
      </w:r>
    </w:p>
    <w:p>
      <w:r>
        <w:rPr>
          <w:rFonts w:ascii="Times New Roman" w:hAnsi="Times New Roman" w:eastAsia="宋体"/>
          <w:sz w:val="21"/>
        </w:rPr>
        <w:t>Autoregressive (AR) visual generators model images as sequences of discrete tokens and are trained with next token likelihood. This strict causality supervision optimizes each step only by its immediate next token, which diminishes global coherence and slows convergence. We ask whether foresight, training signals that originate from later tokens, can help AR visual generation. We conduct a series of controlled diagnostics along the injection level, foresight layout, and foresight source axes, unveiling a key insight: aligning foresight to AR models' internal representation on the 2D image grids improves causality modeling. We formulate this insight with Mirai (meaning "future" in Japanese), a general framework that injects future information into AR training with no architecture change and no extra inference overhead: Mirai-E uses explicit foresight from multiple future positions of unidirectional representations, whereas Mirai-I leverages implicit foresight from matched bidirectional representations. Extensive experiments show that Mirai significantly accelerates convergence and improves generation quality. For instance, Mirai can speed up LlamaGen-B's convergence by up to 10$\times$ and reduce the generation FID from 5.34 to 4.34 on the ImageNet class-condition image generation benchmark. Our study highlights that visual autoregressive models need foresight.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LaVR：使用大型 4D 重建模型进行场景潜在条件生成视频轨迹重新渲染</w:t>
      </w:r>
    </w:p>
    <w:p>
      <w:r>
        <w:rPr>
          <w:rFonts w:ascii="Times New Roman" w:hAnsi="Times New Roman" w:eastAsia="宋体"/>
          <w:b/>
          <w:color w:val="003264"/>
          <w:sz w:val="24"/>
        </w:rPr>
        <w:t>LaVR: Scene Latent Conditioned Generative Video Trajectory Re-Rendering using Large 4D Reconstruction Models</w:t>
      </w:r>
    </w:p>
    <w:p>
      <w:r>
        <w:rPr>
          <w:rFonts w:ascii="Times New Roman" w:hAnsi="Times New Roman" w:eastAsia="宋体"/>
          <w:sz w:val="21"/>
        </w:rPr>
        <w:t>作者: Lei Luo</w:t>
        <w:br/>
      </w:r>
      <w:r>
        <w:rPr>
          <w:rFonts w:ascii="Times New Roman" w:hAnsi="Times New Roman" w:eastAsia="宋体"/>
          <w:sz w:val="21"/>
        </w:rPr>
        <w:t xml:space="preserve">时间: 2026-01-21T05:46:03Z | </w:t>
      </w:r>
      <w:r>
        <w:t xml:space="preserve">链接: </w:t>
      </w:r>
      <w:hyperlink r:id="rId58">
        <w:r>
          <w:rPr>
            <w:rFonts w:ascii="Times New Roman" w:hAnsi="Times New Roman" w:eastAsia="宋体"/>
            <w:color w:val="0000FF"/>
            <w:sz w:val="21"/>
            <w:u w:val="single"/>
          </w:rPr>
          <w:t>https://arxiv.org/abs/2601.14674v1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给定单目视频，视频重新渲染的目标是从新颖的摄像机轨迹生成场景视图。现有方法面临两个不同的挑战。无几何条件的模型缺乏空间意识，导致视点变化时的漂移和变形。另一方面，几何条件模型依赖于估计深度和显式重建，这使得它们容易受到深度误差和校准误差的影响。</w:t>
        <w:br/>
        <w:t xml:space="preserve">  我们建议通过使用嵌入大型 4D 重建模型潜在空间中的隐式几何知识来调节视频生成过程来解决这些挑战。这些潜伏捕获连续空间中的场景结构，无需显式重建。因此，它们提供了一种灵活的表示，允许在更有效地正则化误差之前进行预训练扩散。通过联合调节这些潜在的和源相机的姿势，我们证明我们的模型在视频重新渲染任务上取得了最先进的结果。项目网页为 https://lavr-4d-scene-rerender.github.io/</w:t>
      </w:r>
    </w:p>
    <w:p>
      <w:pPr>
        <w:spacing w:before="120"/>
      </w:pPr>
      <w:r>
        <w:rPr>
          <w:rFonts w:ascii="Times New Roman" w:hAnsi="Times New Roman" w:eastAsia="宋体"/>
          <w:b/>
          <w:sz w:val="21"/>
        </w:rPr>
        <w:t>English Abstract:</w:t>
      </w:r>
    </w:p>
    <w:p>
      <w:r>
        <w:rPr>
          <w:rFonts w:ascii="Times New Roman" w:hAnsi="Times New Roman" w:eastAsia="宋体"/>
          <w:sz w:val="21"/>
        </w:rPr>
        <w:t>Given a monocular video, the goal of video re-rendering is to generate views of the scene from a novel camera trajectory. Existing methods face two distinct challenges. Geometrically unconditioned models lack spatial awareness, leading to drift and deformation under viewpoint changes. On the other hand, geometrically-conditioned models depend on estimated depth and explicit reconstruction, making them susceptible to depth inaccuracies and calibration errors.</w:t>
        <w:br/>
        <w:t xml:space="preserve">  We propose to address these challenges by using the implicit geometric knowledge embedded in the latent space of a large 4D reconstruction model to condition the video generation process. These latents capture scene structure in a continuous space without explicit reconstruction. Therefore, they provide a flexible representation that allows the pretrained diffusion prior to regularize errors more effectively. By jointly conditioning on these latents and source camera poses, we demonstrate that our model achieves state-of-the-art results on the video re-rendering task. Project webpage is https://lavr-4d-scene-rerender.github.io/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用于视频/图像对象检测的深度学习模型的全面概述</w:t>
      </w:r>
    </w:p>
    <w:p>
      <w:r>
        <w:rPr>
          <w:rFonts w:ascii="Times New Roman" w:hAnsi="Times New Roman" w:eastAsia="宋体"/>
          <w:b/>
          <w:color w:val="003264"/>
          <w:sz w:val="24"/>
        </w:rPr>
        <w:t>A comprehensive overview of deep learning models for object detection from videos/images</w:t>
      </w:r>
    </w:p>
    <w:p>
      <w:r>
        <w:rPr>
          <w:rFonts w:ascii="Times New Roman" w:hAnsi="Times New Roman" w:eastAsia="宋体"/>
          <w:sz w:val="21"/>
        </w:rPr>
        <w:t>作者: Abid Ali</w:t>
        <w:br/>
      </w:r>
      <w:r>
        <w:rPr>
          <w:rFonts w:ascii="Times New Roman" w:hAnsi="Times New Roman" w:eastAsia="宋体"/>
          <w:sz w:val="21"/>
        </w:rPr>
        <w:t xml:space="preserve">时间: 2026-01-21T05:50:21Z | </w:t>
      </w:r>
      <w:r>
        <w:t xml:space="preserve">链接: </w:t>
      </w:r>
      <w:hyperlink r:id="rId59">
        <w:r>
          <w:rPr>
            <w:rFonts w:ascii="Times New Roman" w:hAnsi="Times New Roman" w:eastAsia="宋体"/>
            <w:color w:val="0000FF"/>
            <w:sz w:val="21"/>
            <w:u w:val="single"/>
          </w:rPr>
          <w:t>https://arxiv.org/abs/2601.14677v1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和图像监控中的目标检测是一项成熟但快速发展的任务，受到最近深度学习进展的强烈影响。这篇综述通过检查架构创新、生成模型集成以及使用时间信息来增强鲁棒性和准确性来总结现代技术。与早期的调查不同，它根据核心架构、数据处理策略和监控特定挑战（例如动态环境、遮挡、照明变化和实时要求）对方法进行分类。主要目标是评估当前语义对象检测的有效性，次要目标包括分析深度学习模型及其实际应用。该评论涵盖了基于 CNN 的检测器、GAN 辅助方法和时间融合方法，强调了生成模型如何支持重建丢失帧、减少遮挡和标准化照明等任务。它还概述了预处理流程、特征提取进度、基准数据集和比较评估。最后，确定了低延迟、高效和时空学习方法的新兴趋势以供未来研究。</w:t>
      </w:r>
    </w:p>
    <w:p>
      <w:pPr>
        <w:spacing w:before="120"/>
      </w:pPr>
      <w:r>
        <w:rPr>
          <w:rFonts w:ascii="Times New Roman" w:hAnsi="Times New Roman" w:eastAsia="宋体"/>
          <w:b/>
          <w:sz w:val="21"/>
        </w:rPr>
        <w:t>English Abstract:</w:t>
      </w:r>
    </w:p>
    <w:p>
      <w:r>
        <w:rPr>
          <w:rFonts w:ascii="Times New Roman" w:hAnsi="Times New Roman" w:eastAsia="宋体"/>
          <w:sz w:val="21"/>
        </w:rPr>
        <w:t>Object detection in video and image surveillance is a well-established yet rapidly evolving task, strongly influenced by recent deep learning advancements. This review summarises modern techniques by examining architectural innovations, generative model integration, and the use of temporal information to enhance robustness and accuracy. Unlike earlier surveys, it classifies methods based on core architectures, data processing strategies, and surveillance specific challenges such as dynamic environments, occlusions, lighting variations, and real-time requirements. The primary goal is to evaluate the current effectiveness of semantic object detection, while secondary aims include analysing deep learning models and their practical applications. The review covers CNN-based detectors, GAN-assisted approaches, and temporal fusion methods, highlighting how generative models support tasks such as reconstructing missing frames, reducing occlusions, and normalising illumination. It also outlines preprocessing pipelines, feature extraction progress, benchmarking datasets, and comparative evaluations. Finally, emerging trends in low-latency, efficient, and spatiotemporal learning approaches are identified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通过深度学习领域适应将学习从一种癌症转移到另一种癌症</w:t>
      </w:r>
    </w:p>
    <w:p>
      <w:r>
        <w:rPr>
          <w:rFonts w:ascii="Times New Roman" w:hAnsi="Times New Roman" w:eastAsia="宋体"/>
          <w:b/>
          <w:color w:val="003264"/>
          <w:sz w:val="24"/>
        </w:rPr>
        <w:t>Transfer Learning from One Cancer to Another via Deep Learning Domain Adaptation</w:t>
      </w:r>
    </w:p>
    <w:p>
      <w:r>
        <w:rPr>
          <w:rFonts w:ascii="Times New Roman" w:hAnsi="Times New Roman" w:eastAsia="宋体"/>
          <w:sz w:val="21"/>
        </w:rPr>
        <w:t>作者: Alhassan S. Yasin</w:t>
        <w:br/>
      </w:r>
      <w:r>
        <w:rPr>
          <w:rFonts w:ascii="Times New Roman" w:hAnsi="Times New Roman" w:eastAsia="宋体"/>
          <w:sz w:val="21"/>
        </w:rPr>
        <w:t xml:space="preserve">时间: 2026-01-21T05:50:34Z | </w:t>
      </w:r>
      <w:r>
        <w:t xml:space="preserve">链接: </w:t>
      </w:r>
      <w:hyperlink r:id="rId60">
        <w:r>
          <w:rPr>
            <w:rFonts w:ascii="Times New Roman" w:hAnsi="Times New Roman" w:eastAsia="宋体"/>
            <w:color w:val="0000FF"/>
            <w:sz w:val="21"/>
            <w:u w:val="single"/>
          </w:rPr>
          <w:t>https://arxiv.org/abs/2601.14678v1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有监督的深度学习模型通常在其训练分布中取得优异的性能，但很难在其之外进行泛化。例如，在癌症组织病理学中，卷积神经网络 (CNN) 可以根据其训练数据中表示的癌症类型准确地对癌症严重程度进行分类，但无法对相关但看不见的类型进行分类。尽管来自不同器官的腺癌具有可能支持有限的跨域泛化的形态特征，但直接解决域转移对于稳健的性能是必要的。领域适应提供了一种将知识从一种癌症类型的标记数据转移到另一种癌症类型的未标记数据的方法，有助于缓解带注释的医学图像的稀缺性。</w:t>
        <w:br/>
        <w:t xml:space="preserve">  这项工作评估了肺、结肠、乳腺癌和肾腺癌的跨域分类性能。对任何单一腺癌进行训练的 ResNet50 在其自身领域内的准确率超过 98%，但对其他领域的泛化能力极低。集成多个监督模型并不能解决此限制。相比之下，将 ResNet50 转换为域对抗神经网络 (DANN) 可以显着提高未标记目标域的性能。经过标记的乳房和结肠数据训练并适应未标记的肺部数据的 DANN 达到 95.56% 的准确度。</w:t>
        <w:br/>
        <w:t xml:space="preserve">  我们还研究了染色标准化对域适应的影响。其效果因目标域而异：对于肺部，准确度从 95.56% 下降到 66.60%，而对于乳房和结肠目标，染色归一化将准确度分别从 49.22% 提高到 81.29% 和从 78.48% 提高到 83.36%。最后，使用积分梯度表明，DANN 始终将重要性归因于具有生物学意义的区域，例如密集的细胞核，这表明该模型可以学习临床相关特征，并可以将它们应用于未标记的癌症类型。</w:t>
      </w:r>
    </w:p>
    <w:p>
      <w:pPr>
        <w:spacing w:before="120"/>
      </w:pPr>
      <w:r>
        <w:rPr>
          <w:rFonts w:ascii="Times New Roman" w:hAnsi="Times New Roman" w:eastAsia="宋体"/>
          <w:b/>
          <w:sz w:val="21"/>
        </w:rPr>
        <w:t>English Abstract:</w:t>
      </w:r>
    </w:p>
    <w:p>
      <w:r>
        <w:rPr>
          <w:rFonts w:ascii="Times New Roman" w:hAnsi="Times New Roman" w:eastAsia="宋体"/>
          <w:sz w:val="21"/>
        </w:rPr>
        <w:t>Supervised deep learning models often achieve excellent performance within their training distribution but struggle to generalize beyond it. In cancer histopathology, for example, a convolutional neural network (CNN) may classify cancer severity accurately for cancer types represented in its training data, yet fail on related but unseen types. Although adenocarcinomas from different organs share morphological features that might support limited cross-domain generalization, addressing domain shift directly is necessary for robust performance. Domain adaptation offers a way to transfer knowledge from labeled data in one cancer type to unlabeled data in another, helping mitigate the scarcity of annotated medical images.</w:t>
        <w:br/>
        <w:t xml:space="preserve">  This work evaluates cross-domain classification performance among lung, colon, breast, and kidney adenocarcinomas. A ResNet50 trained on any single adenocarcinoma achieves over 98% accuracy on its own domain but shows minimal generalization to others. Ensembling multiple supervised models does not resolve this limitation. In contrast, converting the ResNet50 into a domain adversarial neural network (DANN) substantially improves performance on unlabeled target domains. A DANN trained on labeled breast and colon data and adapted to unlabeled lung data reaches 95.56% accuracy.</w:t>
        <w:br/>
        <w:t xml:space="preserve">  We also examine the impact of stain normalization on domain adaptation. Its effects vary by target domain: for lung, accuracy drops from 95.56% to 66.60%, while for breast and colon targets, stain normalization boosts accuracy from 49.22% to 81.29% and from 78.48% to 83.36%, respectively. Finally, using Integrated Gradients reveals that DANNs consistently attribute importance to biologically meaningful regions such as densely packed nuclei, indicating that the model learns clinically relevant features and can apply them to unlabeled cancer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LookBench：实时、全面的时尚图像检索开放基准</w:t>
      </w:r>
    </w:p>
    <w:p>
      <w:r>
        <w:rPr>
          <w:rFonts w:ascii="Times New Roman" w:hAnsi="Times New Roman" w:eastAsia="宋体"/>
          <w:b/>
          <w:color w:val="003264"/>
          <w:sz w:val="24"/>
        </w:rPr>
        <w:t>LookBench: A Live and Holistic Open Benchmark for Fashion Image Retrieval</w:t>
      </w:r>
    </w:p>
    <w:p>
      <w:r>
        <w:rPr>
          <w:rFonts w:ascii="Times New Roman" w:hAnsi="Times New Roman" w:eastAsia="宋体"/>
          <w:sz w:val="21"/>
        </w:rPr>
        <w:t>作者: Fan Zhou</w:t>
        <w:br/>
      </w:r>
      <w:r>
        <w:rPr>
          <w:rFonts w:ascii="Times New Roman" w:hAnsi="Times New Roman" w:eastAsia="宋体"/>
          <w:sz w:val="21"/>
        </w:rPr>
        <w:t xml:space="preserve">时间: 2026-01-21T06:50:23Z | </w:t>
      </w:r>
      <w:r>
        <w:t xml:space="preserve">链接: </w:t>
      </w:r>
      <w:hyperlink r:id="rId61">
        <w:r>
          <w:rPr>
            <w:rFonts w:ascii="Times New Roman" w:hAnsi="Times New Roman" w:eastAsia="宋体"/>
            <w:color w:val="0000FF"/>
            <w:sz w:val="21"/>
            <w:u w:val="single"/>
          </w:rPr>
          <w:t>https://arxiv.org/abs/2601.14706v1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 LookBench（我们使用术语“外观”来反映反映人们购物方式的检索——找到确切的商品、相近的替代品或视觉上一致的替代品。），这是真实电子商务环境中时尚图像检索的实时、整体且具有挑战性的基准。 LookBench 包括来自实时网站的最新产品图像和人工智能生成的时尚图像，反映了当代趋势和用例。每个测试样本都带有时间戳，我们打算定期更新基准，从而使污染感知评估与声明的训练截止值保持一致。 LookBench 以我们细粒度的属性分类法为基础，涵盖单品和服装级别的检索。我们的实验表明，LookBench 对强基线提出了重大挑战，许多模型的 Recall@1 成绩低于 60\%$。我们的专有模型在 LookBench 上实现了最佳性能，我们发布了排名第二的开源模型，这两个模型在传统 Fashion200K 评估中都取得了最先进的结果。 LookBench 设计为每半年更新一次新的测试样本和难度逐渐加大的任务变体，从而提供持久的进度衡量标准。我们公开发布排行榜、数据集、评估代码和训练模型。</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LookBench (We use the term "look" to reflect retrieval that mirrors how people shop -- finding the exact item, a close substitute, or a visually consistent alternative.), a live, holistic and challenging benchmark for fashion image retrieval in real e-commerce settings. LookBench includes both recent product images sourced from live websites and AI-generated fashion images, reflecting contemporary trends and use cases. Each test sample is time-stamped and we intend to update the benchmark periodically, enabling contamination-aware evaluation aligned with declared training cutoffs. Grounded in our fine-grained attribute taxonomy, LookBench covers single-item and outfit-level retrieval across. Our experiments reveal that LookBench poses a significant challenge on strong baselines, with many models achieving below $60\%$ Recall@1. Our proprietary model achieves the best performance on LookBench, and we release an open-source counterpart that ranks second, with both models attaining state-of-the-art results on legacy Fashion200K evaluations. LookBench is designed to be updated semi-annually with new test samples and progressively harder task variants, providing a durable measure of progress. We publicly release our leaderboard, dataset, evaluation code, and 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上下文补丁融合与类标记增强，用于弱监督语义分割</w:t>
      </w:r>
    </w:p>
    <w:p>
      <w:r>
        <w:rPr>
          <w:rFonts w:ascii="Times New Roman" w:hAnsi="Times New Roman" w:eastAsia="宋体"/>
          <w:b/>
          <w:color w:val="003264"/>
          <w:sz w:val="24"/>
        </w:rPr>
        <w:t>Context Patch Fusion With Class Token Enhancement for Weakly Supervised Semantic Segmentation</w:t>
      </w:r>
    </w:p>
    <w:p>
      <w:r>
        <w:rPr>
          <w:rFonts w:ascii="Times New Roman" w:hAnsi="Times New Roman" w:eastAsia="宋体"/>
          <w:sz w:val="21"/>
        </w:rPr>
        <w:t>作者: Wangyu Wu</w:t>
        <w:br/>
      </w:r>
      <w:r>
        <w:rPr>
          <w:rFonts w:ascii="Times New Roman" w:hAnsi="Times New Roman" w:eastAsia="宋体"/>
          <w:sz w:val="21"/>
        </w:rPr>
        <w:t xml:space="preserve">时间: 2026-01-21T07:12:23Z | </w:t>
      </w:r>
      <w:r>
        <w:t xml:space="preserve">链接: </w:t>
      </w:r>
      <w:hyperlink r:id="rId62">
        <w:r>
          <w:rPr>
            <w:rFonts w:ascii="Times New Roman" w:hAnsi="Times New Roman" w:eastAsia="宋体"/>
            <w:color w:val="0000FF"/>
            <w:sz w:val="21"/>
            <w:u w:val="single"/>
          </w:rPr>
          <w:t>https://arxiv.org/abs/2601.14718v1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仅依赖于图像级标签的弱监督语义分割（WSSS）因其成本效益和可扩展性而引起了广泛关注。现有方法主要增强类间区别，并采用数据增强来减轻语义歧义并减少虚假激活。然而，他们经常忽略图像块之间复杂的上下文依赖关系，导致局部表示不完整和分割精度有限。为了解决这些问题，我们提出了带有类令牌增强的上下文补丁融合（CPF-CTE）框架，该框架利用补丁之间的上下文关系来丰富特征表示并改进分割。其核心是上下文融合双向长短期记忆 (CF-BiLSTM) 模块捕获补丁之间的空间依赖性并实现双向信息流，从而更全面地了解空间相关性。这增强了特征学习和分割的鲁棒性。此外，我们引入了可学习的类标记，可以动态编码和细化特定于类的语义，从而增强判别能力。通过有效集成空间和语义线索，CPF-CTE 可以生成更丰富、更准确的图像内容表示。 PASCAL VOC 2012 和 MS COCO 2014 上的大量实验验证了 CPF-CTE 始终优于先前的 WSSS 方法。</w:t>
      </w:r>
    </w:p>
    <w:p>
      <w:pPr>
        <w:spacing w:before="120"/>
      </w:pPr>
      <w:r>
        <w:rPr>
          <w:rFonts w:ascii="Times New Roman" w:hAnsi="Times New Roman" w:eastAsia="宋体"/>
          <w:b/>
          <w:sz w:val="21"/>
        </w:rPr>
        <w:t>English Abstract:</w:t>
      </w:r>
    </w:p>
    <w:p>
      <w:r>
        <w:rPr>
          <w:rFonts w:ascii="Times New Roman" w:hAnsi="Times New Roman" w:eastAsia="宋体"/>
          <w:sz w:val="21"/>
        </w:rPr>
        <w:t>Weakly Supervised Semantic Segmentation (WSSS), which relies only on image-level labels, has attracted significant attention for its cost-effectiveness and scalability. Existing methods mainly enhance inter-class distinctions and employ data augmentation to mitigate semantic ambiguity and reduce spurious activations. However, they often neglect the complex contextual dependencies among image patches, resulting in incomplete local representations and limited segmentation accuracy. To address these issues, we propose the Context Patch Fusion with Class Token Enhancement (CPF-CTE) framework, which exploits contextual relations among patches to enrich feature representations and improve segmentation. At its core, the Contextual-Fusion Bidirectional Long Short-Term Memory (CF-BiLSTM) module captures spatial dependencies between patches and enables bidirectional information flow, yielding a more comprehensive understanding of spatial correlations. This strengthens feature learning and segmentation robustness. Moreover, we introduce learnable class tokens that dynamically encode and refine class-specific semantics, enhancing discriminative capability. By effectively integrating spatial and semantic cues, CPF-CTE produces richer and more accurate representations of image content. Extensive experiments on PASCAL VOC 2012 and MS COCO 2014 validate that CPF-CTE consistently surpasses prior WSSS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DeepMoLM：利用视觉和几何结构信息进行分子文本建模</w:t>
      </w:r>
    </w:p>
    <w:p>
      <w:r>
        <w:rPr>
          <w:rFonts w:ascii="Times New Roman" w:hAnsi="Times New Roman" w:eastAsia="宋体"/>
          <w:b/>
          <w:color w:val="003264"/>
          <w:sz w:val="24"/>
        </w:rPr>
        <w:t>DeepMoLM: Leveraging Visual and Geometric Structural Information for Molecule-Text Modeling</w:t>
      </w:r>
    </w:p>
    <w:p>
      <w:r>
        <w:rPr>
          <w:rFonts w:ascii="Times New Roman" w:hAnsi="Times New Roman" w:eastAsia="宋体"/>
          <w:sz w:val="21"/>
        </w:rPr>
        <w:t>作者: Jung Sun Yoo</w:t>
        <w:br/>
      </w:r>
      <w:r>
        <w:rPr>
          <w:rFonts w:ascii="Times New Roman" w:hAnsi="Times New Roman" w:eastAsia="宋体"/>
          <w:sz w:val="21"/>
        </w:rPr>
        <w:t xml:space="preserve">时间: 2026-01-21T07:41:59Z | </w:t>
      </w:r>
      <w:r>
        <w:t xml:space="preserve">链接: </w:t>
      </w:r>
      <w:hyperlink r:id="rId63">
        <w:r>
          <w:rPr>
            <w:rFonts w:ascii="Times New Roman" w:hAnsi="Times New Roman" w:eastAsia="宋体"/>
            <w:color w:val="0000FF"/>
            <w:sz w:val="21"/>
            <w:u w:val="single"/>
          </w:rPr>
          <w:t>https://arxiv.org/abs/2601.14732v1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用于药物发现和化学文献挖掘的 AI 模型必须解释分子图像并生成与 3D 几何和立体化学一致的输出。大多数分子语言模型依赖于字符串或图形，而视觉语言模型通常会错过立体化学细节，并且难以将连续的 3D 结构映射为离散的标记。我们提出了 DeepMoLM：深度分子语言建模，这是一种双视图框架，它将高分辨率分子图像建立在源自分子构象的几何不变量中。 DeepMoLM 保留来自 1024 个 $\times$ 1024 个输入的高频证据，将构象邻域编码为离散的扩展 3 维指纹，并通过交叉注意力融合视觉和几何流，从而无需原子坐标即可实现物理接地生成。 DeepMoLM 改进了 PubChem 字幕，相对最强的通才基线提高了 12.3% 的 METEOR 增益，同时保持与专业方法的竞争力。它为所有属性查询生成有效的数字输出，并在专家设置中获得分子量 MAE 13.64 g/mol 和复杂性 37.89。在从图像生成 ChEBI-20 描述时，它超出了通才基线并匹配最先进的视觉语言模型。代码可在 https://github.com/1anj/DeepMoLM 获取。</w:t>
      </w:r>
    </w:p>
    <w:p>
      <w:pPr>
        <w:spacing w:before="120"/>
      </w:pPr>
      <w:r>
        <w:rPr>
          <w:rFonts w:ascii="Times New Roman" w:hAnsi="Times New Roman" w:eastAsia="宋体"/>
          <w:b/>
          <w:sz w:val="21"/>
        </w:rPr>
        <w:t>English Abstract:</w:t>
      </w:r>
    </w:p>
    <w:p>
      <w:r>
        <w:rPr>
          <w:rFonts w:ascii="Times New Roman" w:hAnsi="Times New Roman" w:eastAsia="宋体"/>
          <w:sz w:val="21"/>
        </w:rPr>
        <w:t>AI models for drug discovery and chemical literature mining must interpret molecular images and generate outputs consistent with 3D geometry and stereochemistry. Most molecular language models rely on strings or graphs, while vision-language models often miss stereochemical details and struggle to map continuous 3D structures into discrete tokens. We propose DeepMoLM: Deep Molecular Language M odeling, a dual-view framework that grounds high-resolution molecular images in geometric invariants derived from molecular conformations. DeepMoLM preserves high-frequency evidence from 1024 $\times$ 1024 inputs, encodes conformer neighborhoods as discrete Extended 3-Dimensional Fingerprints, and fuses visual and geometric streams with cross-attention, enabling physically grounded generation without atom coordinates. DeepMoLM improves PubChem captioning with a 12.3% relative METEOR gain over the strongest generalist baseline while staying competitive with specialist methods. It produces valid numeric outputs for all property queries and attains MAE 13.64 g/mol on Molecular Weight and 37.89 on Complexity in the specialist setting. On ChEBI-20 description generation from images, it exceeds generalist baselines and matches state-of- the-art vision-language models. Code is available at https://github.com/1anj/DeepMoLM.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通过级联路径中断保护面部身份免受基于扩散的面部交换</w:t>
      </w:r>
    </w:p>
    <w:p>
      <w:r>
        <w:rPr>
          <w:rFonts w:ascii="Times New Roman" w:hAnsi="Times New Roman" w:eastAsia="宋体"/>
          <w:b/>
          <w:color w:val="003264"/>
          <w:sz w:val="24"/>
        </w:rPr>
        <w:t>Safeguarding Facial Identity against Diffusion-based Face Swapping via Cascading Pathway Disruption</w:t>
      </w:r>
    </w:p>
    <w:p>
      <w:r>
        <w:rPr>
          <w:rFonts w:ascii="Times New Roman" w:hAnsi="Times New Roman" w:eastAsia="宋体"/>
          <w:sz w:val="21"/>
        </w:rPr>
        <w:t>作者: Xiangyang Luo</w:t>
        <w:br/>
      </w:r>
      <w:r>
        <w:rPr>
          <w:rFonts w:ascii="Times New Roman" w:hAnsi="Times New Roman" w:eastAsia="宋体"/>
          <w:sz w:val="21"/>
        </w:rPr>
        <w:t xml:space="preserve">时间: 2026-01-21T07:52:56Z | </w:t>
      </w:r>
      <w:r>
        <w:t xml:space="preserve">链接: </w:t>
      </w:r>
      <w:hyperlink r:id="rId64">
        <w:r>
          <w:rPr>
            <w:rFonts w:ascii="Times New Roman" w:hAnsi="Times New Roman" w:eastAsia="宋体"/>
            <w:color w:val="0000FF"/>
            <w:sz w:val="21"/>
            <w:u w:val="single"/>
          </w:rPr>
          <w:t>https://arxiv.org/abs/2601.14738v1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发展使换脸变得民主化，但也引发了对隐私和身份安全的担忧。现有的主动防御通常改编自图像编辑攻击，在这种情况下被证明是无效的。我们将这种失败归因于对结构弹性的监督以及换脸系统固有的独特静态条件指导机制。为了解决这个问题，我们提出了 VoidFace，一种系统防御方法，将面部交换视为耦合的身份途径。通过在关键瓶颈处注入扰动，VoidFace 会在整个管道中引发级联中断。具体来说，我们首先引入定位破坏和身份擦除来降低物理回归和语义嵌入，从而损害源面部的准确建模。然后，我们通过解耦注意机制来切断身份注入，并破坏中间扩散特征以防止源身份的重建，从而对生成域进行干预。为了确保视觉不可察觉性，我们在潜在流形中进行对抗性搜索，以感知自适应策略为指导，以平衡攻击效力与图像质量。大量实验表明，VoidFace 的性能优于各种基于扩散的交换模型的现有防御，同时生成具有卓越视觉质量的对抗性面孔。</w:t>
      </w:r>
    </w:p>
    <w:p>
      <w:pPr>
        <w:spacing w:before="120"/>
      </w:pPr>
      <w:r>
        <w:rPr>
          <w:rFonts w:ascii="Times New Roman" w:hAnsi="Times New Roman" w:eastAsia="宋体"/>
          <w:b/>
          <w:sz w:val="21"/>
        </w:rPr>
        <w:t>English Abstract:</w:t>
      </w:r>
    </w:p>
    <w:p>
      <w:r>
        <w:rPr>
          <w:rFonts w:ascii="Times New Roman" w:hAnsi="Times New Roman" w:eastAsia="宋体"/>
          <w:sz w:val="21"/>
        </w:rPr>
        <w:t>The rapid evolution of diffusion models has democratized face swapping but also raises concerns about privacy and identity security. Existing proactive defenses, often adapted from image editing attacks, prove ineffective in this context. We attribute this failure to an oversight of the structural resilience and the unique static conditional guidance mechanism inherent in face swapping systems. To address this, we propose VoidFace, a systemic defense method that views face swapping as a coupled identity pathway. By injecting perturbations at critical bottlenecks, VoidFace induces cascading disruption throughout the pipeline. Specifically, we first introduce localization disruption and identity erasure to degrade physical regression and semantic embeddings, thereby impairing the accurate modeling of the source face. We then intervene in the generative domain by decoupling attention mechanisms to sever identity injection, and corrupting intermediate diffusion features to prevent the reconstruction of source identity. To ensure visual imperceptibility, we perform adversarial search in the latent manifold, guided by a perceptual adaptive strategy to balance attack potency with image quality. Extensive experiments show that VoidFace outperforms existing defenses across various diffusion-based swapping models, while producing adversarial faces with superior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通过终端边缘协作混合超分辨率增强文本到图像的生成</w:t>
      </w:r>
    </w:p>
    <w:p>
      <w:r>
        <w:rPr>
          <w:rFonts w:ascii="Times New Roman" w:hAnsi="Times New Roman" w:eastAsia="宋体"/>
          <w:b/>
          <w:color w:val="003264"/>
          <w:sz w:val="24"/>
        </w:rPr>
        <w:t>Enhancing Text-to-Image Generation via End-Edge Collaborative Hybrid Super-Resolution</w:t>
      </w:r>
    </w:p>
    <w:p>
      <w:r>
        <w:rPr>
          <w:rFonts w:ascii="Times New Roman" w:hAnsi="Times New Roman" w:eastAsia="宋体"/>
          <w:sz w:val="21"/>
        </w:rPr>
        <w:t>作者: Peng Yang</w:t>
        <w:br/>
      </w:r>
      <w:r>
        <w:rPr>
          <w:rFonts w:ascii="Times New Roman" w:hAnsi="Times New Roman" w:eastAsia="宋体"/>
          <w:sz w:val="21"/>
        </w:rPr>
        <w:t xml:space="preserve">时间: 2026-01-21T07:55:37Z | </w:t>
      </w:r>
      <w:r>
        <w:t xml:space="preserve">链接: </w:t>
      </w:r>
      <w:hyperlink r:id="rId65">
        <w:r>
          <w:rPr>
            <w:rFonts w:ascii="Times New Roman" w:hAnsi="Times New Roman" w:eastAsia="宋体"/>
            <w:color w:val="0000FF"/>
            <w:sz w:val="21"/>
            <w:u w:val="single"/>
          </w:rPr>
          <w:t>https://arxiv.org/abs/2601.14741v1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人工智能生成内容 (AIGC) 已取得重大进展，高分辨率文本到图像 (T2I) 生成对于提高用户体验质量 (QoE) 变得越来越重要。尽管资源受限的边缘计算足以支持快速的低分辨率 T2I 生成，但实现高分辨率输出仍然面临着以延迟为代价确保图像保真度的挑战。为了解决这个问题，我们首先研究了用于图像增强的超分辨率（SR）方法的性能，确认了一个基本的权衡：基于轻量级学习的 SR 难以恢复精细细节，而基于扩散的 SR 以大量的计算成本实现了更高的保真度。受这些观察的启发，我们提出了一个终端边缘协作生成增强框架。收到 T2I 生成任务后，系统首先根据自适应选择的去噪步骤和边缘侧的超分辨率尺度生成低分辨率图像，然后将其分割为补丁并通过区域感知混合 SR 策略进行处理。该策略将基于扩散的 SR 模型应用于前景补丁以进行细节恢复，并将基于轻量级学习的 SR 模型应用于背景补丁以进行有效的升级，最终将增强后的补丁拼接到高分辨率图像中。实验表明，与基线相比，我们的系统将服务延迟减少了 33%，同时保持了具有竞争力的图像质量。</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Intelligence-Generated Content (AIGC) has made significant strides, with high-resolution text-to-image (T2I) generation becoming increasingly critical for improving users' Quality of Experience (QoE). Although resource-constrained edge computing adequately supports fast low-resolution T2I generations, achieving high-resolution output still faces the challenge of ensuring image fidelity at the cost of latency. To address this, we first investigate the performance of super-resolution (SR) methods for image enhancement, confirming a fundamental trade-off that lightweight learning-based SR struggles to recover fine details, while diffusion-based SR achieves higher fidelity at a substantial computational cost. Motivated by these observations, we propose an end-edge collaborative generation-enhancement framework. Upon receiving a T2I generation task, the system first generates a low-resolution image based on adaptively selected denoising steps and super-resolution scales at the edge side, which is then partitioned into patches and processed by a region-aware hybrid SR policy. This policy applies a diffusion-based SR model to foreground patches for detail recovery and a lightweight learning-based SR model to background patches for efficient upscaling, ultimately stitching the enhanced ones into the high-resolution image. Experiments show that our system reduces service latency by 33% compared with baselines while maintaining competitive image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SimD3：具有有效负载和鸟类干扰器建模的合成无人机数据集，用于稳健检测</w:t>
      </w:r>
    </w:p>
    <w:p>
      <w:r>
        <w:rPr>
          <w:rFonts w:ascii="Times New Roman" w:hAnsi="Times New Roman" w:eastAsia="宋体"/>
          <w:b/>
          <w:color w:val="003264"/>
          <w:sz w:val="24"/>
        </w:rPr>
        <w:t>SimD3: A Synthetic drone Dataset with Payload and Bird Distractor Modeling for Robust Detection</w:t>
      </w:r>
    </w:p>
    <w:p>
      <w:r>
        <w:rPr>
          <w:rFonts w:ascii="Times New Roman" w:hAnsi="Times New Roman" w:eastAsia="宋体"/>
          <w:sz w:val="21"/>
        </w:rPr>
        <w:t>作者: Rohit Shukla</w:t>
        <w:br/>
      </w:r>
      <w:r>
        <w:rPr>
          <w:rFonts w:ascii="Times New Roman" w:hAnsi="Times New Roman" w:eastAsia="宋体"/>
          <w:sz w:val="21"/>
        </w:rPr>
        <w:t xml:space="preserve">时间: 2026-01-21T07:56:25Z | </w:t>
      </w:r>
      <w:r>
        <w:t xml:space="preserve">链接: </w:t>
      </w:r>
      <w:hyperlink r:id="rId66">
        <w:r>
          <w:rPr>
            <w:rFonts w:ascii="Times New Roman" w:hAnsi="Times New Roman" w:eastAsia="宋体"/>
            <w:color w:val="0000FF"/>
            <w:sz w:val="21"/>
            <w:u w:val="single"/>
          </w:rPr>
          <w:t>https://arxiv.org/abs/2601.14742v1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由于带注释的真实世界数据有限、外观变化较大以及存在视觉上相似的干扰物（例如鸟类），可靠的无人机检测具有挑战性。为了应对这些挑战，本文引入了 SimD3，这是一个大规模高保真合成数据集，专为复杂空中环境中的稳健无人机检测而设计。与现有的合成无人机数据集不同，SimD3 对具有异构有效载荷的无人机进行显式建模，将多种鸟类作为真实的干扰物，并利用不同的虚幻引擎 5 环境以及使用 360 度六摄像头设备捕获的受控天气、照明和飞行轨迹。使用 SimD3，我们在 YOLOv5 检测框架内进行了广泛的实验评估，包括称为 Yolov5m+C3b 的注意力增强变体，其中基于标准瓶颈的 C3 块被 C3b 模块替换。模型根据合成数据、综合数据和真实数据以及多个未见过的现实世界基准进行评估，以评估稳健性和泛化性。实验结果表明，SimD3 为小目标无人机检测提供了有效的监督，并且 Yolov5m+C3b 在域内和跨数据集评估中始终优于基线。这些发现凸显了 SimD3 在多样化和具有挑战性的条件下训练和基准测试稳健的无人机检测模型的实用性。</w:t>
      </w:r>
    </w:p>
    <w:p>
      <w:pPr>
        <w:spacing w:before="120"/>
      </w:pPr>
      <w:r>
        <w:rPr>
          <w:rFonts w:ascii="Times New Roman" w:hAnsi="Times New Roman" w:eastAsia="宋体"/>
          <w:b/>
          <w:sz w:val="21"/>
        </w:rPr>
        <w:t>English Abstract:</w:t>
      </w:r>
    </w:p>
    <w:p>
      <w:r>
        <w:rPr>
          <w:rFonts w:ascii="Times New Roman" w:hAnsi="Times New Roman" w:eastAsia="宋体"/>
          <w:sz w:val="21"/>
        </w:rPr>
        <w:t>Reliable drone detection is challenging due to limited annotated real-world data, large appearance variability, and the presence of visually similar distractors such as birds. To address these challenges, this paper introduces SimD3, a large-scale high-fidelity synthetic dataset designed for robust drone detection in complex aerial environments. Unlike existing synthetic drone datasets, SimD3 explicitly models drones with heterogeneous payloads, incorporates multiple bird species as realistic distractors, and leverages diverse Unreal Engine 5 environments with controlled weather, lighting, and flight trajectories captured using a 360 six-camera rig. Using SimD3, we conduct an extensive experimental evaluation within the YOLOv5 detection framework, including an attention-enhanced variant termed Yolov5m+C3b, where standard bottleneck-based C3 blocks are replaced with C3b modules. Models are evaluated on synthetic data, combined synthetic and real data, and multiple unseen real-world benchmarks to assess robustness and generalization. Experimental results show that SimD3 provides effective supervision for small-object drone detection and that Yolov5m+C3b consistently outperforms the baseline across in-domain and cross-dataset evaluations. These findings highlight the utility of SimD3 for training and benchmarking robust drone detection models under diverse and challenging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思维渲染：将文本思维链渲染为图像以进行视觉潜在推理</w:t>
      </w:r>
    </w:p>
    <w:p>
      <w:r>
        <w:rPr>
          <w:rFonts w:ascii="Times New Roman" w:hAnsi="Times New Roman" w:eastAsia="宋体"/>
          <w:b/>
          <w:color w:val="003264"/>
          <w:sz w:val="24"/>
        </w:rPr>
        <w:t>Render-of-Thought: Rendering Textual Chain-of-Thought as Images for Visual Latent Reasoning</w:t>
      </w:r>
    </w:p>
    <w:p>
      <w:r>
        <w:rPr>
          <w:rFonts w:ascii="Times New Roman" w:hAnsi="Times New Roman" w:eastAsia="宋体"/>
          <w:sz w:val="21"/>
        </w:rPr>
        <w:t>作者: Zheng Wei</w:t>
        <w:br/>
      </w:r>
      <w:r>
        <w:rPr>
          <w:rFonts w:ascii="Times New Roman" w:hAnsi="Times New Roman" w:eastAsia="宋体"/>
          <w:sz w:val="21"/>
        </w:rPr>
        <w:t xml:space="preserve">时间: 2026-01-21T08:09:25Z | </w:t>
      </w:r>
      <w:r>
        <w:t xml:space="preserve">链接: </w:t>
      </w:r>
      <w:hyperlink r:id="rId67">
        <w:r>
          <w:rPr>
            <w:rFonts w:ascii="Times New Roman" w:hAnsi="Times New Roman" w:eastAsia="宋体"/>
            <w:color w:val="0000FF"/>
            <w:sz w:val="21"/>
            <w:u w:val="single"/>
          </w:rPr>
          <w:t>https://arxiv.org/abs/2601.14750v1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思想链 (CoT) 提示在释放大型语言模型 (LLM) 的推理能力方面取得了显着的成功。尽管 CoT 提示可以增强推理能力，但其冗长的内容会带来大量的计算开销。最近的工作通常只关注结果对齐，缺乏对中间推理过程的监督。这些缺陷掩盖了潜在推理链的可分析性。为了应对这些挑战，我们引入了思维渲染（RoT），这是第一个通过将文本步骤渲染为图像来具体化推理链的框架，使潜在的基本原理变得明确且可追踪。具体来说，我们利用现有视觉语言模型（VLM）的视觉编码器作为语义锚来将视觉嵌入与文本空间对齐。这种设计确保了即插即用的实现，而不会产生额外的预训练开销。对数学和逻辑推理基准的大量实验表明，与显式 CoT 相比，我们的方法实现了 3-4 倍的令牌压缩和显着的推理加速。此外，它保持了与其他方法相比的竞争性能，验证了该范例的可行性。我们的代码可以在 https://github.com/TencentBAC/RoT 获取</w:t>
      </w:r>
    </w:p>
    <w:p>
      <w:pPr>
        <w:spacing w:before="120"/>
      </w:pPr>
      <w:r>
        <w:rPr>
          <w:rFonts w:ascii="Times New Roman" w:hAnsi="Times New Roman" w:eastAsia="宋体"/>
          <w:b/>
          <w:sz w:val="21"/>
        </w:rPr>
        <w:t>English Abstract:</w:t>
      </w:r>
    </w:p>
    <w:p>
      <w:r>
        <w:rPr>
          <w:rFonts w:ascii="Times New Roman" w:hAnsi="Times New Roman" w:eastAsia="宋体"/>
          <w:sz w:val="21"/>
        </w:rPr>
        <w:t>Chain-of-Thought (CoT) prompting has achieved remarkable success in unlocking the reasoning capabilities of Large Language Models (LLMs). Although CoT prompting enhances reasoning, its verbosity imposes substantial computational overhead. Recent works often focus exclusively on outcome alignment and lack supervision on the intermediate reasoning process. These deficiencies obscure the analyzability of the latent reasoning chain. To address these challenges, we introduce Render-of-Thought (RoT), the first framework to reify the reasoning chain by rendering textual steps into images, making the latent rationale explicit and traceable. Specifically, we leverage the vision encoders of existing Vision Language Models (VLMs) as semantic anchors to align the vision embeddings with the textual space. This design ensures plug-and-play implementation without incurring additional pre-training overhead. Extensive experiments on mathematical and logical reasoning benchmarks demonstrate that our method achieves 3-4x token compression and substantial inference acceleration compared to explicit CoT. Furthermore, it maintains competitive performance against other methods, validating the feasibility of this paradigm. Our code is available at https://github.com/TencentBAC/RoT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ReinPath：病理学多模式强化学习方法</w:t>
      </w:r>
    </w:p>
    <w:p>
      <w:r>
        <w:rPr>
          <w:rFonts w:ascii="Times New Roman" w:hAnsi="Times New Roman" w:eastAsia="宋体"/>
          <w:b/>
          <w:color w:val="003264"/>
          <w:sz w:val="24"/>
        </w:rPr>
        <w:t>ReinPath: A Multimodal Reinforcement Learning Approach for Pathology</w:t>
      </w:r>
    </w:p>
    <w:p>
      <w:r>
        <w:rPr>
          <w:rFonts w:ascii="Times New Roman" w:hAnsi="Times New Roman" w:eastAsia="宋体"/>
          <w:sz w:val="21"/>
        </w:rPr>
        <w:t>作者: Shugong Xu</w:t>
        <w:br/>
      </w:r>
      <w:r>
        <w:rPr>
          <w:rFonts w:ascii="Times New Roman" w:hAnsi="Times New Roman" w:eastAsia="宋体"/>
          <w:sz w:val="21"/>
        </w:rPr>
        <w:t xml:space="preserve">时间: 2026-01-21T08:21:35Z | </w:t>
      </w:r>
      <w:r>
        <w:t xml:space="preserve">链接: </w:t>
      </w:r>
      <w:hyperlink r:id="rId68">
        <w:r>
          <w:rPr>
            <w:rFonts w:ascii="Times New Roman" w:hAnsi="Times New Roman" w:eastAsia="宋体"/>
            <w:color w:val="0000FF"/>
            <w:sz w:val="21"/>
            <w:u w:val="single"/>
          </w:rPr>
          <w:t>https://arxiv.org/abs/2601.14757v1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性在计算病理学中具有重要意义，导致了组织病理学图像和相应文本数据的多模态信息集成的发展。然而，由于缺乏支持显式推理和推理的高质量数据集以及简单的推理过程，现有的多模态方法的可解释性有限。为了解决上述问题，我们引入了一种具有强大推理能力的新型多模态病理大语言模型。为了提高准确且上下文相关的文本描述的生成，我们设计了一种与群体相关策略相结合的语义奖励策略我们构建了一个高质量的病理视觉问答（VQA）数据集，专门用于支持复杂的推理任务。对该数据集进行的全面实验表明，即使仅使用 20% 的数据进行训练，我们的方法也优于最先进的方法。与 CLIP 相比，我们的方法在下游零样本图像分类任务上也实现了可比的性能。</w:t>
      </w:r>
    </w:p>
    <w:p>
      <w:pPr>
        <w:spacing w:before="120"/>
      </w:pPr>
      <w:r>
        <w:rPr>
          <w:rFonts w:ascii="Times New Roman" w:hAnsi="Times New Roman" w:eastAsia="宋体"/>
          <w:b/>
          <w:sz w:val="21"/>
        </w:rPr>
        <w:t>English Abstract:</w:t>
      </w:r>
    </w:p>
    <w:p>
      <w:r>
        <w:rPr>
          <w:rFonts w:ascii="Times New Roman" w:hAnsi="Times New Roman" w:eastAsia="宋体"/>
          <w:sz w:val="21"/>
        </w:rPr>
        <w:t>Interpretability is significant in computational pathology, leading to the development of multimodal information integration from histopathological image and corresponding text data.However, existing multimodal methods have limited interpretability due to the lack of high-quality dataset that support explicit reasoning and inference and simple reasoning process.To address the above problems, we introduce a novel multimodal pathology large language model with strong reasoning capabilities.To improve the generation of accurate and contextually relevant textual descriptions, we design a semantic reward strategy integrated with group relative policy optimization.We construct a high-quality pathology visual question answering (VQA) dataset, specifically designed to support complex reasoning tasks.Comprehensive experiments conducted on this dataset demonstrate that our method outperforms state-of-the-art methods, even when trained with only 20% of the data.Our method also achieves comparable performance on downstream zero-shot image classification task compared with 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使用多实例学习识别结肠胶囊内窥镜图像中的独特息肉</w:t>
      </w:r>
    </w:p>
    <w:p>
      <w:r>
        <w:rPr>
          <w:rFonts w:ascii="Times New Roman" w:hAnsi="Times New Roman" w:eastAsia="宋体"/>
          <w:b/>
          <w:color w:val="003264"/>
          <w:sz w:val="24"/>
        </w:rPr>
        <w:t>Using Multi-Instance Learning to Identify Unique Polyps in Colon Capsule Endoscopy Images</w:t>
      </w:r>
    </w:p>
    <w:p>
      <w:r>
        <w:rPr>
          <w:rFonts w:ascii="Times New Roman" w:hAnsi="Times New Roman" w:eastAsia="宋体"/>
          <w:sz w:val="21"/>
        </w:rPr>
        <w:t>作者: Ulrik Deding</w:t>
        <w:br/>
      </w:r>
      <w:r>
        <w:rPr>
          <w:rFonts w:ascii="Times New Roman" w:hAnsi="Times New Roman" w:eastAsia="宋体"/>
          <w:sz w:val="21"/>
        </w:rPr>
        <w:t xml:space="preserve">时间: 2026-01-21T08:50:31Z | </w:t>
      </w:r>
      <w:r>
        <w:t xml:space="preserve">链接: </w:t>
      </w:r>
      <w:hyperlink r:id="rId69">
        <w:r>
          <w:rPr>
            <w:rFonts w:ascii="Times New Roman" w:hAnsi="Times New Roman" w:eastAsia="宋体"/>
            <w:color w:val="0000FF"/>
            <w:sz w:val="21"/>
            <w:u w:val="single"/>
          </w:rPr>
          <w:t>https://arxiv.org/abs/2601.14771v1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由于图像量大、给临床医生带来的认知负担以及标记特定帧的模糊性，识别结肠胶囊内窥镜 (CCE) 图像中的独特息肉对于医务人员来说是一项关键但具有挑战性的任务。本文将此问题表述为多实例学习（MIL）任务，其中将查询息肉图像与目标图像包进行比较以确定唯一性。我们采用多实例验证（MIV）框架，该框架结合了注意力机制，例如方差激励多头注意力（VEMA）和基于距离的注意力（DBA），以增强模型提取有意义表示的能力。此外，我们还研究了使用 SimCLR 生成稳健嵌入的自我监督学习的影响。来自 754 名患者的 1912 个息肉数据集的实验结果表明，注意力机制显着提高了性能，DBA L1 使用具有 SimCLR 预训练的 ConvNeXt 主干网络实现了 86.26% 的最高测试准确率和 0.928 的测试 AUC。这项研究强调了 MIL 和自我监督学习在推进结肠胶囊内窥镜图像自动分析方面的潜力，并对更广泛的医学成像应用产生影响。</w:t>
      </w:r>
    </w:p>
    <w:p>
      <w:pPr>
        <w:spacing w:before="120"/>
      </w:pPr>
      <w:r>
        <w:rPr>
          <w:rFonts w:ascii="Times New Roman" w:hAnsi="Times New Roman" w:eastAsia="宋体"/>
          <w:b/>
          <w:sz w:val="21"/>
        </w:rPr>
        <w:t>English Abstract:</w:t>
      </w:r>
    </w:p>
    <w:p>
      <w:r>
        <w:rPr>
          <w:rFonts w:ascii="Times New Roman" w:hAnsi="Times New Roman" w:eastAsia="宋体"/>
          <w:sz w:val="21"/>
        </w:rPr>
        <w:t>Identifying unique polyps in colon capsule endoscopy (CCE) images is a critical yet challenging task for medical personnel due to the large volume of images, the cognitive load it creates for clinicians, and the ambiguity in labeling specific frames. This paper formulates this problem as a multi-instance learning (MIL) task, where a query polyp image is compared with a target bag of images to determine uniqueness. We employ a multi-instance verification (MIV) framework that incorporates attention mechanisms, such as variance-excited multi-head attention (VEMA) and distance-based attention (DBA), to enhance the model's ability to extract meaningful representations. Additionally, we investigate the impact of self-supervised learning using SimCLR to generate robust embeddings. Experimental results on a dataset of 1912 polyps from 754 patients demonstrate that attention mechanisms significantly improve performance, with DBA L1 achieving the highest test accuracy of 86.26\% and a test AUC of 0.928 using a ConvNeXt backbone with SimCLR pretraining. This study underscores the potential of MIL and self-supervised learning in advancing automated analysis of Colon Capsule Endoscopy images, with implications for broader 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的医学专业化是否增强了判别力？：通过特征分布分析进行全面调查</w:t>
      </w:r>
    </w:p>
    <w:p>
      <w:r>
        <w:rPr>
          <w:rFonts w:ascii="Times New Roman" w:hAnsi="Times New Roman" w:eastAsia="宋体"/>
          <w:b/>
          <w:color w:val="003264"/>
          <w:sz w:val="24"/>
        </w:rPr>
        <w:t>Does medical specialization of VLMs enhance discriminative power?: A comprehensive investigation through feature distribution analysis</w:t>
      </w:r>
    </w:p>
    <w:p>
      <w:r>
        <w:rPr>
          <w:rFonts w:ascii="Times New Roman" w:hAnsi="Times New Roman" w:eastAsia="宋体"/>
          <w:sz w:val="21"/>
        </w:rPr>
        <w:t>作者: Tomoya Sakai</w:t>
        <w:br/>
      </w:r>
      <w:r>
        <w:rPr>
          <w:rFonts w:ascii="Times New Roman" w:hAnsi="Times New Roman" w:eastAsia="宋体"/>
          <w:sz w:val="21"/>
        </w:rPr>
        <w:t xml:space="preserve">时间: 2026-01-21T08:53:40Z | </w:t>
      </w:r>
      <w:r>
        <w:t xml:space="preserve">链接: </w:t>
      </w:r>
      <w:hyperlink r:id="rId70">
        <w:r>
          <w:rPr>
            <w:rFonts w:ascii="Times New Roman" w:hAnsi="Times New Roman" w:eastAsia="宋体"/>
            <w:color w:val="0000FF"/>
            <w:sz w:val="21"/>
            <w:u w:val="single"/>
          </w:rPr>
          <w:t>https://arxiv.org/abs/2601.14774v1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本研究调查了公开的开源医学视觉语言模型 (VLM) 生成的特征表示。虽然医学 VLM 有望捕获诊断相关的特征，但它们的学习表征仍未得到充分探索，并且分类准确性等标准评估并不能完全揭示它们是否获得真正具有辨别力的、特定于病变的特征。理解这些表示对于揭示医学图像结构和改进医学图像分析中的下游任务至关重要。本研究旨在调查医学 VLM 学习到的特征分布并评估医学专业化的影响。我们分析了一些代表性医学 VLM 在多种模态的病变分类数据集中提取的多种图像模态的特征分布。将这些分布与非医学 VLM 进行比较，以评估特定领域的医学培训。我们的实验表明，医学 VLM 可以提取对医学分类任务有效的判别特征。此外，我们发现非医学 VLM 最近通过上下文丰富（例如 LLM2CLIP）进行了改进，可以产生更精细的特征表示。我们的结果表明，在开发医学 VLM 时，增强文本编码器比对医学图像进行强化训练更为重要。值得注意的是，非医学模型特别容易受到图像上叠加文本字符串引入的偏差的影响。这些发现强调，除了由于背景偏差（例如图像中的文本信息）而导致推理的潜在风险之外，还需要根据下游任务仔细考虑模型选择。</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feature representations produced by publicly available open source medical vision-language models (VLMs). While medical VLMs are expected to capture diagnostically relevant features, their learned representations remain underexplored, and standard evaluations like classification accuracy do not fully reveal if they acquire truly discriminative, lesion-specific features. Understanding these representations is crucial for revealing medical image structures and improving downstream tasks in medical image analysis. This study aims to investigate the feature distributions learned by medical VLMs and evaluate the impact of medical specialization. We analyze the feature distribution of multiple image modalities extracted by some representative medical VLMs across lesion classification datasets on multiple modalities. These distributions were compared them with non-medical VLMs to assess the domain-specific medical training. Our experiments showed that medical VLMs can extract discriminative features that are effective for medical classification tasks. Moreover, it was found that non-medical VLMs with recent improvement with contextual enrichment such as LLM2CLIP produce more refined feature representations. Our results imply that enhancing text encoder is more crucial than training intensively on medical images when developing medical VLMs. Notably, non-medical models are particularly vulnerable to biases introduced by overlaied text strings on images. These findings underscore the need for careful consideration on model selection according to downstream tasks besides potential risks in inference due to background biases such as textual information 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多任务中国瓷器分类的综合数据增强：稳定的扩散方法</w:t>
      </w:r>
    </w:p>
    <w:p>
      <w:r>
        <w:rPr>
          <w:rFonts w:ascii="Times New Roman" w:hAnsi="Times New Roman" w:eastAsia="宋体"/>
          <w:b/>
          <w:color w:val="003264"/>
          <w:sz w:val="24"/>
        </w:rPr>
        <w:t>Synthetic Data Augmentation for Multi-Task Chinese Porcelain Classification: A Stable Diffusion Approach</w:t>
      </w:r>
    </w:p>
    <w:p>
      <w:r>
        <w:rPr>
          <w:rFonts w:ascii="Times New Roman" w:hAnsi="Times New Roman" w:eastAsia="宋体"/>
          <w:sz w:val="21"/>
        </w:rPr>
        <w:t>作者: Giovanni Delnevo</w:t>
        <w:br/>
      </w:r>
      <w:r>
        <w:rPr>
          <w:rFonts w:ascii="Times New Roman" w:hAnsi="Times New Roman" w:eastAsia="宋体"/>
          <w:sz w:val="21"/>
        </w:rPr>
        <w:t xml:space="preserve">时间: 2026-01-21T09:14:22Z | </w:t>
      </w:r>
      <w:r>
        <w:t xml:space="preserve">链接: </w:t>
      </w:r>
      <w:hyperlink r:id="rId71">
        <w:r>
          <w:rPr>
            <w:rFonts w:ascii="Times New Roman" w:hAnsi="Times New Roman" w:eastAsia="宋体"/>
            <w:color w:val="0000FF"/>
            <w:sz w:val="21"/>
            <w:u w:val="single"/>
          </w:rPr>
          <w:t>https://arxiv.org/abs/2601.14791v1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训练数据的稀缺给深度学习应用于考古文物分类带来了根本性挑战，特别是对于稀有类型的中国瓷器。本研究探讨通过稳定扩散与低阶适应 (LoRA) 生成的合成图像是否可以有效增强有限的真实数据集，以实现基于 CNN 的多任务瓷器分类。使用 MobileNetV3 和迁移学习，我们进行了对照实验，将在纯真实数据上训练的模型与在混合真实合成数据集（95:5 和 90:10 比例）上训练的模型进行比较，涉及四个分类任务：王朝、釉料、窑炉和类型识别。结果证明了特定于任务的好处：类型分类显示出最显着的改进（F1 宏增加 5.5%，比例为 90:10），而王朝和窑炉任务则表现出适度的增益（3-4%），这表明合成增强效果取决于生成的特征和任务相关的视觉特征之间的一致性。我们的工作为在考古研究中部署生成式人工智能提供了实用指南，展示了当考古真实性必须与数据多样性取得平衡时合成数据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The scarcity of training data presents a fundamental challenge in applying deep learning to archaeological artifact classification, particularly for the rare types of Chinese porcelain. This study investigates whether synthetic images generated through Stable Diffusion with Low-Rank Adaptation (LoRA) can effectively augment limited real datasets for multi-task CNN-based porcelain classification. Using MobileNetV3 with transfer learning, we conducted controlled experiments comparing models trained on pure real data against those trained on mixed real-synthetic datasets (95:5 and 90:10 ratios) across four classification tasks: dynasty, glaze, kiln and type identification. Results demonstrate task-specific benefits: type classification showed the most substantial improvement (5.5\% F1-macro increase with 90:10 ratio), while dynasty and kiln tasks exhibited modest gains (3-4\%), suggesting that synthetic augmentation effectiveness depends on the alignment between generated features and task-relevant visual signatures. Our work contributes practical guidelines for deploying generative AI in archaeological research, demonstrating both the potential and limitations of synthetic data when archaeological authenticity must be balanced with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UniRoute：用于模态自适应遥感变化检测的统一路由专家组合</w:t>
      </w:r>
    </w:p>
    <w:p>
      <w:r>
        <w:rPr>
          <w:rFonts w:ascii="Times New Roman" w:hAnsi="Times New Roman" w:eastAsia="宋体"/>
          <w:b/>
          <w:color w:val="003264"/>
          <w:sz w:val="24"/>
        </w:rPr>
        <w:t>UniRoute: Unified Routing Mixture-of-Experts for Modality-Adaptive Remote Sensing Change Detection</w:t>
      </w:r>
    </w:p>
    <w:p>
      <w:r>
        <w:rPr>
          <w:rFonts w:ascii="Times New Roman" w:hAnsi="Times New Roman" w:eastAsia="宋体"/>
          <w:sz w:val="21"/>
        </w:rPr>
        <w:t>作者: Chengzhuang Liu</w:t>
        <w:br/>
      </w:r>
      <w:r>
        <w:rPr>
          <w:rFonts w:ascii="Times New Roman" w:hAnsi="Times New Roman" w:eastAsia="宋体"/>
          <w:sz w:val="21"/>
        </w:rPr>
        <w:t xml:space="preserve">时间: 2026-01-21T09:21:25Z | </w:t>
      </w:r>
      <w:r>
        <w:t xml:space="preserve">链接: </w:t>
      </w:r>
      <w:hyperlink r:id="rId72">
        <w:r>
          <w:rPr>
            <w:rFonts w:ascii="Times New Roman" w:hAnsi="Times New Roman" w:eastAsia="宋体"/>
            <w:color w:val="0000FF"/>
            <w:sz w:val="21"/>
            <w:u w:val="single"/>
          </w:rPr>
          <w:t>https://arxiv.org/abs/2601.14797v1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当前的遥感变化检测（CD）方法主要依赖于专门的模型，这限制了模态自适应地球观测的可扩展性。对于同质 CD，精确的边界描绘依赖于细粒度的空间线索和局部像素交互，而异质 CD 则需要更广泛的上下文信息来抑制散斑噪声和几何失真。此外，差分算子（例如减法）对于对齐的同质图像效果很好，但在跨模式或几何未对齐的场景中会引入伪影。在不同的模态设置中，基于静态主干或固定差异运算的专门模型通常被证明是不够的。为了应对这一挑战，我们提出了 UniRoute，这是一种通过将特征提取和融合重新表述为条件路由问题来实现模态自适应学习的统一框架。我们引入了自适应感受野路由 MoE (AR2-MoE) 模块来从全局语义上下文中分离局部空间细节，以及模态感知差异路由 MoE (MDR-MoE) 模块来自适应地选择每个像素最合适的融合基元。此外，我们提出了一种一致性感知自蒸馏（CASD）策略，通过强制执行多级一致性来稳定数据稀缺异构环境下的统一训练。对五个公共数据集的广泛实验表明，UniRoute 实现了强大的整体性能，在统一部署设置下实现了良好的准确性与效率权衡。</w:t>
      </w:r>
    </w:p>
    <w:p>
      <w:pPr>
        <w:spacing w:before="120"/>
      </w:pPr>
      <w:r>
        <w:rPr>
          <w:rFonts w:ascii="Times New Roman" w:hAnsi="Times New Roman" w:eastAsia="宋体"/>
          <w:b/>
          <w:sz w:val="21"/>
        </w:rPr>
        <w:t>English Abstract:</w:t>
      </w:r>
    </w:p>
    <w:p>
      <w:r>
        <w:rPr>
          <w:rFonts w:ascii="Times New Roman" w:hAnsi="Times New Roman" w:eastAsia="宋体"/>
          <w:sz w:val="21"/>
        </w:rPr>
        <w:t>Current remote sensing change detection (CD) methods mainly rely on specialized models, which limits the scalability toward modality-adaptive Earth observation. For homogeneous CD, precise boundary delineation relies on fine-grained spatial cues and local pixel interactions, whereas heterogeneous CD instead requires broader contextual information to suppress speckle noise and geometric distortions. Moreover, difference operator (e.g., subtraction) works well for aligned homogeneous images but introduces artifacts in cross-modal or geometrically misaligned scenarios. Across different modality settings, specialized models based on static backbones or fixed difference operations often prove insufficient. To address this challenge, we propose UniRoute, a unified framework for modality-adaptive learning by reformulating feature extraction and fusion as conditional routing problems. We introduce an Adaptive Receptive Field Routing MoE (AR2-MoE) module to disentangle local spatial details from global semantic context, and a Modality-Aware Difference Routing MoE (MDR-MoE) module to adaptively select the most suitable fusion primitive at each pixel. In addition, we propose a Consistency-Aware Self-Distillation (CASD) strategy that stabilizes unified training under data-scarce heterogeneous settings by enforcing multi-level consistency. Extensive experiments on five public datasets demonstrate that UniRoute achieves strong overall performance, with a favorable accuracy-efficiency trade-off under a unified deployment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LocBAM：通过集成位置上下文推进基于 3D 块的图像分割</w:t>
      </w:r>
    </w:p>
    <w:p>
      <w:r>
        <w:rPr>
          <w:rFonts w:ascii="Times New Roman" w:hAnsi="Times New Roman" w:eastAsia="宋体"/>
          <w:b/>
          <w:color w:val="003264"/>
          <w:sz w:val="24"/>
        </w:rPr>
        <w:t>LocBAM: Advancing 3D Patch-Based Image Segmentation by Integrating Location Contex</w:t>
      </w:r>
    </w:p>
    <w:p>
      <w:r>
        <w:rPr>
          <w:rFonts w:ascii="Times New Roman" w:hAnsi="Times New Roman" w:eastAsia="宋体"/>
          <w:sz w:val="21"/>
        </w:rPr>
        <w:t>作者: Julia A. Schnabel</w:t>
        <w:br/>
      </w:r>
      <w:r>
        <w:rPr>
          <w:rFonts w:ascii="Times New Roman" w:hAnsi="Times New Roman" w:eastAsia="宋体"/>
          <w:sz w:val="21"/>
        </w:rPr>
        <w:t xml:space="preserve">时间: 2026-01-21T09:27:59Z | </w:t>
      </w:r>
      <w:r>
        <w:t xml:space="preserve">链接: </w:t>
      </w:r>
      <w:hyperlink r:id="rId73">
        <w:r>
          <w:rPr>
            <w:rFonts w:ascii="Times New Roman" w:hAnsi="Times New Roman" w:eastAsia="宋体"/>
            <w:color w:val="0000FF"/>
            <w:sz w:val="21"/>
            <w:u w:val="single"/>
          </w:rPr>
          <w:t>https://arxiv.org/abs/2601.14802v1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基于补丁的方法广泛应用于 3D 医学图像分割，以解决处理高分辨率体积数据时的内存限制。然而，这些方法经常忽略补片在全局体积内的位置，当解剖背景很重要时，这可能会限制分割性能。在本文中，我们研究了位置上下文在基于块的 3D 分割中的作用，并提出了一种新颖的注意力机制 LocBAM，它可以显式处理空间信息。 BTCV、AMOS22 和 KiTS23 上的实验表明，合并位置上下文可以稳定训练并提高分割性能，特别是在缺少全局上下文的补丁对卷覆盖率较低的情况下。此外，LocBAM 始终优于通过 CoordConv 进行的经典坐标编码。代码可在 https://github.com/compai-lab/2026-ISBI-hooft 上公开获取</w:t>
      </w:r>
    </w:p>
    <w:p>
      <w:pPr>
        <w:spacing w:before="120"/>
      </w:pPr>
      <w:r>
        <w:rPr>
          <w:rFonts w:ascii="Times New Roman" w:hAnsi="Times New Roman" w:eastAsia="宋体"/>
          <w:b/>
          <w:sz w:val="21"/>
        </w:rPr>
        <w:t>English Abstract:</w:t>
      </w:r>
    </w:p>
    <w:p>
      <w:r>
        <w:rPr>
          <w:rFonts w:ascii="Times New Roman" w:hAnsi="Times New Roman" w:eastAsia="宋体"/>
          <w:sz w:val="21"/>
        </w:rPr>
        <w:t>Patch-based methods are widely used in 3D medical image segmentation to address memory constraints in processing high-resolution volumetric data. However, these approaches often neglect the patch's location within the global volume, which can limit segmentation performance when anatomical context is important. In this paper, we investigate the role of location context in patch-based 3D segmentation and propose a novel attention mechanism, LocBAM, that explicitly processes spatial information. Experiments on BTCV, AMOS22, and KiTS23 demonstrate that incorporating location context stabilizes training and improves segmentation performance, particularly under low patch-to-volume coverage where global context is missing. Furthermore, LocBAM consistently outperforms classical coordinate encoding via CoordConv. Code is publicly available at https://github.com/compai-lab/2026-ISBI-hooft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形状的对称信息和不可知特征解缠结</w:t>
      </w:r>
    </w:p>
    <w:p>
      <w:r>
        <w:rPr>
          <w:rFonts w:ascii="Times New Roman" w:hAnsi="Times New Roman" w:eastAsia="宋体"/>
          <w:b/>
          <w:color w:val="003264"/>
          <w:sz w:val="24"/>
        </w:rPr>
        <w:t>Symmetry Informative and Agnostic Feature Disentanglement for 3D Shapes</w:t>
      </w:r>
    </w:p>
    <w:p>
      <w:r>
        <w:rPr>
          <w:rFonts w:ascii="Times New Roman" w:hAnsi="Times New Roman" w:eastAsia="宋体"/>
          <w:sz w:val="21"/>
        </w:rPr>
        <w:t>作者: Florian Bernard</w:t>
        <w:br/>
      </w:r>
      <w:r>
        <w:rPr>
          <w:rFonts w:ascii="Times New Roman" w:hAnsi="Times New Roman" w:eastAsia="宋体"/>
          <w:sz w:val="21"/>
        </w:rPr>
        <w:t xml:space="preserve">时间: 2026-01-21T09:30:13Z | </w:t>
      </w:r>
      <w:r>
        <w:t xml:space="preserve">链接: </w:t>
      </w:r>
      <w:hyperlink r:id="rId74">
        <w:r>
          <w:rPr>
            <w:rFonts w:ascii="Times New Roman" w:hAnsi="Times New Roman" w:eastAsia="宋体"/>
            <w:color w:val="0000FF"/>
            <w:sz w:val="21"/>
            <w:u w:val="single"/>
          </w:rPr>
          <w:t>https://arxiv.org/abs/2601.14804v1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形状描述符，即 3D 网格或点云的每个顶点特征，是形状分析的基础。历史上，已经提出了各种手工制作的几何感知描述符和特征细化技术。最近，一些研究启动了一个新的研究方向，利用图像基础模型的特征来创建语义感知描述符，展示了形状匹配、编辑和分割等任务的优势。对称性是形状分析中的另一个关键概念，也引起了越来越多的关注。因此，构建对称感知的形状描述符是一个自然的过程。尽管最近的方法 $χ$ (Wang et al., 2025) 成功地从语义感知描述符中提取了对称信息特征，但其特征只是一维的，忽略了其他有价值的语义信息。此外，提取的对称信息特征通常是有噪声的，并且会产生小的错误分类补丁。为了解决这些差距，我们提出了一种特征解缠方法，该方法同时提供对称性信息和对称性不可知论。此外，我们提出了一种特征细化技术来提高预测对称信息特征的鲁棒性。广泛的实验，包括内在对称性检测、左/右分类和形状匹配，定性和定量地证明了我们提出的框架与各种最先进的方法相比的有效性。</w:t>
      </w:r>
    </w:p>
    <w:p>
      <w:pPr>
        <w:spacing w:before="120"/>
      </w:pPr>
      <w:r>
        <w:rPr>
          <w:rFonts w:ascii="Times New Roman" w:hAnsi="Times New Roman" w:eastAsia="宋体"/>
          <w:b/>
          <w:sz w:val="21"/>
        </w:rPr>
        <w:t>English Abstract:</w:t>
      </w:r>
    </w:p>
    <w:p>
      <w:r>
        <w:rPr>
          <w:rFonts w:ascii="Times New Roman" w:hAnsi="Times New Roman" w:eastAsia="宋体"/>
          <w:sz w:val="21"/>
        </w:rPr>
        <w:t>Shape descriptors, i.e., per-vertex features of 3D meshes or point clouds, are fundamental to shape analysis. Historically, various handcrafted geometry-aware descriptors and feature refinement techniques have been proposed. Recently, several studies have initiated a new research direction by leveraging features from image foundation models to create semantics-aware descriptors, demonstrating advantages across tasks like shape matching, editing, and segmentation. Symmetry, another key concept in shape analysis, has also attracted increasing attention. Consequently, constructing symmetry-aware shape descriptors is a natural progression. Although the recent method $χ$ (Wang et al., 2025) successfully extracted symmetry-informative features from semantic-aware descriptors, its features are only one-dimensional, neglecting other valuable semantic information. Furthermore, the extracted symmetry-informative feature is usually noisy and yields small misclassified patches. To address these gaps, we propose a feature disentanglement approach which is simultaneously symmetry informative and symmetry agnostic. Further, we propose a feature refinement technique to improve the robustness of predicted symmetry informative features. Extensive experiments, including intrinsic symmetry detection, left/right classification, and shape matching, demonstrate the effectiveness of our proposed framework compared to various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皮肤癌检测的多模态系统</w:t>
      </w:r>
    </w:p>
    <w:p>
      <w:r>
        <w:rPr>
          <w:rFonts w:ascii="Times New Roman" w:hAnsi="Times New Roman" w:eastAsia="宋体"/>
          <w:b/>
          <w:color w:val="003264"/>
          <w:sz w:val="24"/>
        </w:rPr>
        <w:t>Multimodal system for skin cancer detection</w:t>
      </w:r>
    </w:p>
    <w:p>
      <w:r>
        <w:rPr>
          <w:rFonts w:ascii="Times New Roman" w:hAnsi="Times New Roman" w:eastAsia="宋体"/>
          <w:sz w:val="21"/>
        </w:rPr>
        <w:t>作者: Oleksii Yakubenko</w:t>
        <w:br/>
      </w:r>
      <w:r>
        <w:rPr>
          <w:rFonts w:ascii="Times New Roman" w:hAnsi="Times New Roman" w:eastAsia="宋体"/>
          <w:sz w:val="21"/>
        </w:rPr>
        <w:t xml:space="preserve">时间: 2026-01-21T09:50:13Z | </w:t>
      </w:r>
      <w:r>
        <w:t xml:space="preserve">链接: </w:t>
      </w:r>
      <w:hyperlink r:id="rId75">
        <w:r>
          <w:rPr>
            <w:rFonts w:ascii="Times New Roman" w:hAnsi="Times New Roman" w:eastAsia="宋体"/>
            <w:color w:val="0000FF"/>
            <w:sz w:val="21"/>
            <w:u w:val="single"/>
          </w:rPr>
          <w:t>https://arxiv.org/abs/2601.14822v1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色素瘤检测对于早期诊断和有效治疗至关重要。虽然皮肤镜图像的深度学习模型已显示出希望，但它们需要专门的设备，限制了它们在更广泛的临床环境中的使用。这项研究引入了一种使用传统照片图像的多模式黑色素瘤检测系统，使其更易于使用和通用。我们的系统将图像数据与表格元数据（例如患者人口统计数据和病变特征）集成，以提高检测准确性。它采用结合图像和元数据处理的多模态神经网络，并支持针对有或没有元数据的情况的两步模型。三级管道通过增强算法和增强性能进一步完善预测。为了解决高度不平衡数据集的挑战，采用了特定技术来确保稳健的训练。一项消融研究评估了最新的视觉架构、增强算法和损失函数，部分 ROC AUC 峰值达到 0.18068（最大值 0.2），top-15 检索灵敏度达到 0.78371。结果表明，在结构化的多级管道中将照片图像与元数据集成可以显着提高性能。该系统通过提供适用于不同医疗保健环境的可扩展、独立于设备的解决方案来推进黑色素瘤检测，缩小专业和一般临床实践之间的差距。</w:t>
      </w:r>
    </w:p>
    <w:p>
      <w:pPr>
        <w:spacing w:before="120"/>
      </w:pPr>
      <w:r>
        <w:rPr>
          <w:rFonts w:ascii="Times New Roman" w:hAnsi="Times New Roman" w:eastAsia="宋体"/>
          <w:b/>
          <w:sz w:val="21"/>
        </w:rPr>
        <w:t>English Abstract:</w:t>
      </w:r>
    </w:p>
    <w:p>
      <w:r>
        <w:rPr>
          <w:rFonts w:ascii="Times New Roman" w:hAnsi="Times New Roman" w:eastAsia="宋体"/>
          <w:sz w:val="21"/>
        </w:rPr>
        <w:t>Melanoma detection is vital for early diagnosis and effective treatment. While deep learning models on dermoscopic images have shown promise, they require specialized equipment, limiting their use in broader clinical settings. This study introduces a multi-modal melanoma detection system using conventional photo images, making it more accessible and versatile. Our system integrates image data with tabular metadata, such as patient demographics and lesion characteristics, to improve detection accuracy. It employs a multi-modal neural network combining image and metadata processing and supports a two-step model for cases with or without metadata. A three-stage pipeline further refines predictions by boosting algorithms and enhancing performance. To address the challenges of a highly imbalanced dataset, specific techniques were implemented to ensure robust training. An ablation study evaluated recent vision architectures, boosting algorithms, and loss functions, achieving a peak Partial ROC AUC of 0.18068 (0.2 maximum) and top-15 retrieval sensitivity of 0.78371. Results demonstrate that integrating photo images with metadata in a structured, multi-stage pipeline yields significant performance improvements. This system advances melanoma detection by providing a scalable, equipment-independent solution suitable for diverse healthcare environments, bridging the gap between specialized and general clinical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MTFlow：噪声显微图像中微管分割的时间条件流量匹配</w:t>
      </w:r>
    </w:p>
    <w:p>
      <w:r>
        <w:rPr>
          <w:rFonts w:ascii="Times New Roman" w:hAnsi="Times New Roman" w:eastAsia="宋体"/>
          <w:b/>
          <w:color w:val="003264"/>
          <w:sz w:val="24"/>
        </w:rPr>
        <w:t>MTFlow: Time-Conditioned Flow Matching for Microtubule Segmentation in Noisy Microscopy Images</w:t>
      </w:r>
    </w:p>
    <w:p>
      <w:r>
        <w:rPr>
          <w:rFonts w:ascii="Times New Roman" w:hAnsi="Times New Roman" w:eastAsia="宋体"/>
          <w:sz w:val="21"/>
        </w:rPr>
        <w:t>作者: Hélène Bouvrais</w:t>
        <w:br/>
      </w:r>
      <w:r>
        <w:rPr>
          <w:rFonts w:ascii="Times New Roman" w:hAnsi="Times New Roman" w:eastAsia="宋体"/>
          <w:sz w:val="21"/>
        </w:rPr>
        <w:t xml:space="preserve">时间: 2026-01-21T10:14:50Z | </w:t>
      </w:r>
      <w:r>
        <w:t xml:space="preserve">链接: </w:t>
      </w:r>
      <w:hyperlink r:id="rId76">
        <w:r>
          <w:rPr>
            <w:rFonts w:ascii="Times New Roman" w:hAnsi="Times New Roman" w:eastAsia="宋体"/>
            <w:color w:val="0000FF"/>
            <w:sz w:val="21"/>
            <w:u w:val="single"/>
          </w:rPr>
          <w:t>https://arxiv.org/abs/2601.14841v1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管是细胞骨架丝，在许多细胞过程中发挥重要作用，并且是多种疾病的关键治疗靶点。微管网络的准确分割对于研究其组织和动力学至关重要，但由于细丝弯曲、密集交叉和图像噪声，仍然具有挑战性。我们提出了 MTFlow，一种用于微管分割的新型时间条件流量匹配模型。与单次预测掩模的传统 U-Net 变体不同，MTFlow 学习矢量场，迭代地将噪声掩模传输到地面实况，从而实现可解释的、基于轨迹的细化。我们的架构将 U-Net 主干与时间嵌入相结合，使模型能够捕获沿细丝边界的不确定性分辨率的动态。我们在合成和真实的微管数据集上训练和评估 MTFlow，并评估其在视网膜血管和神经等曲线结构的公共生物医学数据集上的泛化能力。 MTFlow 实现了与最先进的模型相媲美的具有竞争力的分割精度，为丝状结构分析提供了强大且高效的工具，并具有比手动或半自动方法更精确的注释。</w:t>
      </w:r>
    </w:p>
    <w:p>
      <w:pPr>
        <w:spacing w:before="120"/>
      </w:pPr>
      <w:r>
        <w:rPr>
          <w:rFonts w:ascii="Times New Roman" w:hAnsi="Times New Roman" w:eastAsia="宋体"/>
          <w:b/>
          <w:sz w:val="21"/>
        </w:rPr>
        <w:t>English Abstract:</w:t>
      </w:r>
    </w:p>
    <w:p>
      <w:r>
        <w:rPr>
          <w:rFonts w:ascii="Times New Roman" w:hAnsi="Times New Roman" w:eastAsia="宋体"/>
          <w:sz w:val="21"/>
        </w:rPr>
        <w:t>Microtubules are cytoskeletal filaments that play essential roles in many cellular processes and are key therapeutic targets in several diseases. Accurate segmentation of microtubule networks is critical for studying their organization and dynamics but remains challenging due to filament curvature, dense crossings, and image noise. We present MTFlow, a novel time-conditioned flow-matching model for microtubule segmentation. Unlike conventional U-Net variants that predict masks in a single pass, MTFlow learns vector fields that iteratively transport noisy masks toward the ground truth, enabling interpretable, trajectory-based refinement. Our architecture combines a U-Net backbone with temporal embeddings, allowing the model to capture the dynamics of uncertainty resolution along filament boundaries. We trained and evaluated MTFlow on synthetic and real microtubule datasets and assessed its generalization capability on public biomedical datasets of curvilinear structures such as retinal blood vessels and nerves. MTFlow achieves competitive segmentation accuracy comparable to state-of-the-art models, offering a powerful and time-efficient tool for filamentous structure analysis with more precise annotations than manual or semi-automatic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TempViz：关于文本到图像模型中时间知识的评估</w:t>
      </w:r>
    </w:p>
    <w:p>
      <w:r>
        <w:rPr>
          <w:rFonts w:ascii="Times New Roman" w:hAnsi="Times New Roman" w:eastAsia="宋体"/>
          <w:b/>
          <w:color w:val="003264"/>
          <w:sz w:val="24"/>
        </w:rPr>
        <w:t>TempViz: On the Evaluation of Temporal Knowledge in Text-to-Image Models</w:t>
      </w:r>
    </w:p>
    <w:p>
      <w:r>
        <w:rPr>
          <w:rFonts w:ascii="Times New Roman" w:hAnsi="Times New Roman" w:eastAsia="宋体"/>
          <w:sz w:val="21"/>
        </w:rPr>
        <w:t>作者: Anne Lauscher</w:t>
        <w:br/>
      </w:r>
      <w:r>
        <w:rPr>
          <w:rFonts w:ascii="Times New Roman" w:hAnsi="Times New Roman" w:eastAsia="宋体"/>
          <w:sz w:val="21"/>
        </w:rPr>
        <w:t xml:space="preserve">时间: 2026-01-21T12:52:23Z | </w:t>
      </w:r>
      <w:r>
        <w:t xml:space="preserve">链接: </w:t>
      </w:r>
      <w:hyperlink r:id="rId77">
        <w:r>
          <w:rPr>
            <w:rFonts w:ascii="Times New Roman" w:hAnsi="Times New Roman" w:eastAsia="宋体"/>
            <w:color w:val="0000FF"/>
            <w:sz w:val="21"/>
            <w:u w:val="single"/>
          </w:rPr>
          <w:t>https://arxiv.org/abs/2601.14951v1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改变了我们世界中实体的视觉外观，例如物体、地点和动物。因此，为了准确生成上下文相关的图像，关于时间的知识和推理可能至关重要（例如，对于生成春季与冬季的景观）。然而，尽管在理解和改进自然语言处理中的时态知识方面存在大量工作，但关于时态现象如何在文本到图像（T2I）模型中出现和处理的研究仍然很少。我们通过 TempViz 解决了这一差距，这是第一个全面评估图像生成中的时间知识的数据集，由 7.9k 提示和 600 多个参考图像组成。使用 TempViz，我们研究了跨五个时间知识类别的五个 T2I 模型的功能。人类评估表明时间能力普遍较弱，没有模型跨类别的准确率超过 75%。对于更大规模的研究，我们还研究了自动评估方法，将几种既定方法与人类判断进行比较。然而，这些方法都没有提供对时间线索的可靠评估——进一步表明未来对 T2I 时间知识研究的迫切需要。</w:t>
      </w:r>
    </w:p>
    <w:p>
      <w:pPr>
        <w:spacing w:before="120"/>
      </w:pPr>
      <w:r>
        <w:rPr>
          <w:rFonts w:ascii="Times New Roman" w:hAnsi="Times New Roman" w:eastAsia="宋体"/>
          <w:b/>
          <w:sz w:val="21"/>
        </w:rPr>
        <w:t>English Abstract:</w:t>
      </w:r>
    </w:p>
    <w:p>
      <w:r>
        <w:rPr>
          <w:rFonts w:ascii="Times New Roman" w:hAnsi="Times New Roman" w:eastAsia="宋体"/>
          <w:sz w:val="21"/>
        </w:rPr>
        <w:t>Time alters the visual appearance of entities in our world, like objects, places, and animals. Thus, for accurately generating contextually-relevant images, knowledge and reasoning about time can be crucial (e.g., for generating a landscape in spring vs. in winter). Yet, although substantial work exists on understanding and improving temporal knowledge in natural language processing, research on how temporal phenomena appear and are handled in text-to-image (T2I) models remains scarce. We address this gap with TempViz, the first data set to holistically evaluate temporal knowledge in image generation, consisting of 7.9k prompts and more than 600 reference images. Using TempViz, we study the capabilities of five T2I models across five temporal knowledge categories. Human evaluation shows that temporal competence is generally weak, with no model exceeding 75% accuracy across categories. Towards larger-scale studies, we also examine automated evaluation methods, comparing several established approaches against human judgments. However, none of these approaches provides a reliable assessment of temporal cues - further indicating the pressing need for future research on temporal knowledge in T2I.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TBPS 统一多数据集训练</w:t>
      </w:r>
    </w:p>
    <w:p>
      <w:r>
        <w:rPr>
          <w:rFonts w:ascii="Times New Roman" w:hAnsi="Times New Roman" w:eastAsia="宋体"/>
          <w:b/>
          <w:color w:val="003264"/>
          <w:sz w:val="24"/>
        </w:rPr>
        <w:t>Unified Multi-Dataset Training for TBPS</w:t>
      </w:r>
    </w:p>
    <w:p>
      <w:r>
        <w:rPr>
          <w:rFonts w:ascii="Times New Roman" w:hAnsi="Times New Roman" w:eastAsia="宋体"/>
          <w:sz w:val="21"/>
        </w:rPr>
        <w:t>作者: Brejesh Lall</w:t>
        <w:br/>
      </w:r>
      <w:r>
        <w:rPr>
          <w:rFonts w:ascii="Times New Roman" w:hAnsi="Times New Roman" w:eastAsia="宋体"/>
          <w:sz w:val="21"/>
        </w:rPr>
        <w:t xml:space="preserve">时间: 2026-01-21T13:26:28Z | </w:t>
      </w:r>
      <w:r>
        <w:t xml:space="preserve">链接: </w:t>
      </w:r>
      <w:hyperlink r:id="rId78">
        <w:r>
          <w:rPr>
            <w:rFonts w:ascii="Times New Roman" w:hAnsi="Times New Roman" w:eastAsia="宋体"/>
            <w:color w:val="0000FF"/>
            <w:sz w:val="21"/>
            <w:u w:val="single"/>
          </w:rPr>
          <w:t>https://arxiv.org/abs/2601.14978v1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基于文本的行人搜索 (TBPS) 在视觉语言模型 (VLM) 方面取得了重大进展，但它仍然受到有限的训练数据的限制，而且 VLM 本身并未针对以行人为中心的识别进行预训练。因此，现有的 TBPS 方法依赖于以数据集为中心的微调来处理分布变化，从而为不同的数据集产生多个独立训练的模型。虽然合成数据可以增加微调 VLM 所需的规模，但它并不能消除数据集特定的适应。这就引发了一个基本问题：我们能否跨多个数据集训练一个统一的 TBPS 模型？我们表明，所有数据集上的朴素联合训练仍然不是最佳的，因为当前的训练范例无法扩展到大量独特的个人身份，并且容易受到噪声图像文本对的影响。为了应对这些挑战，我们提出了 Scale-TBPS，它有两个贡献：（i）一种噪声感知的统一数据集管理策略，可以紧密地合并不同的 TBPS 数据集； (ii) 一个可扩展的歧视性身份学习框架，该框架在大量独特身份下仍然有效。在 CUHK-PEDES、ICFG-PEDES、RSTPReid、IIITD-20K 和 UFine6926 上进行的大量实验表明，单个 Scale-TBPS 模型优于以数据集为中心的优化模型和朴素联合训练。</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has seen significant progress with vision-language models (VLMs), yet it remains constrained by limited training data and the fact that VLMs are not inherently pre-trained for pedestrian-centric recognition. Existing TBPS methods therefore rely on dataset-centric fine-tuning to handle distribution shift, resulting in multiple independently trained models for different datasets. While synthetic data can increase the scale needed to fine-tune VLMs, it does not eliminate dataset-specific adaptation. This motivates a fundamental question: can we train a single unified TBPS model across multiple datasets? We show that naive joint training over all datasets remains sub-optimal because current training paradigms do not scale to a large number of unique person identities and are vulnerable to noisy image-text pairs. To address these challenges, we propose Scale-TBPS with two contributions: (i) a noise-aware unified dataset curation strategy that cohesively merges diverse TBPS datasets; and (ii) a scalable discriminative identity learning framework that remains effective under a large number of unique identities. Extensive experiments on CUHK-PEDES, ICFG-PEDES, RSTPReid, IIITD-20K, and UFine6926 demonstrate that a single Scale-TBPS model outperforms dataset-centric optimized models and naive joint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视觉中的混合专家模型：路由、优化和泛化</w:t>
      </w:r>
    </w:p>
    <w:p>
      <w:r>
        <w:rPr>
          <w:rFonts w:ascii="Times New Roman" w:hAnsi="Times New Roman" w:eastAsia="宋体"/>
          <w:b/>
          <w:color w:val="003264"/>
          <w:sz w:val="24"/>
        </w:rPr>
        <w:t>Mixture-of-Experts Models in Vision: Routing, Optimization, and Generalization</w:t>
      </w:r>
    </w:p>
    <w:p>
      <w:r>
        <w:rPr>
          <w:rFonts w:ascii="Times New Roman" w:hAnsi="Times New Roman" w:eastAsia="宋体"/>
          <w:sz w:val="21"/>
        </w:rPr>
        <w:t>作者: Sourav Sharan</w:t>
        <w:br/>
      </w:r>
      <w:r>
        <w:rPr>
          <w:rFonts w:ascii="Times New Roman" w:hAnsi="Times New Roman" w:eastAsia="宋体"/>
          <w:sz w:val="21"/>
        </w:rPr>
        <w:t xml:space="preserve">时间: 2026-01-21T14:22:25Z | </w:t>
      </w:r>
      <w:r>
        <w:t xml:space="preserve">链接: </w:t>
      </w:r>
      <w:hyperlink r:id="rId79">
        <w:r>
          <w:rPr>
            <w:rFonts w:ascii="Times New Roman" w:hAnsi="Times New Roman" w:eastAsia="宋体"/>
            <w:color w:val="0000FF"/>
            <w:sz w:val="21"/>
            <w:u w:val="single"/>
          </w:rPr>
          <w:t>https://arxiv.org/abs/2601.15021v1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架构通过将输入路由到多个专家子网络来实现条件计算，并且通常被作为扩展大型语言模型的机制。在这个项目中，我们研究图像分类设置中的 MoE 行为，重点关注预测性能、专家利用率和泛化。我们在模型容量相当的情况下，在 CIFAR10 数据集上比较了密集、SoftMoE 和 SparseMoE 分类器头。两种 MoE 变体都实现了比密集基线略高的验证准确性，同时通过正则化保持平衡的专家利用率，避免专家崩溃。为了分析泛化性，我们在收敛时计算基于 Hessian 的锐度度量，包括最大特征值和损失 Hessian 的迹，并根据训练和测试数据进行评估。我们发现 SoftMoE 通过这些指标表现出更高的清晰度，而 Dense 和 SparseMoE 处于相似的曲率状态，尽管所有模型都实现了相当的泛化性能。互补损失表面扰动分析揭示了密集模型和 MoE 模型在有限参数扰动下非局部行为的定性差异，这有助于将基于曲率的测量置于上下文中，而无需直接解释验证精度。我们进一步评估了经验推理效率，并表明，简单实现的条件路由不会在这种规模的现代硬件上产生推理加速，凸显了稀疏 MoE 模型的理论效率和实现效率之间的差距。</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architectures enable conditional computation by routing inputs to multiple expert subnetworks and are often motivated as a mechanism for scaling large language models. In this project, we instead study MoE behavior in an image classification setting, focusing on predictive performance, expert utilization, and generalization. We compare dense, SoftMoE, and SparseMoE classifier heads on the CIFAR10 dataset under comparable model capacity. Both MoE variants achieve slightly higher validation accuracy than the dense baseline while maintaining balanced expert utilization through regularization, avoiding expert collapse. To analyze generalization, we compute Hessian-based sharpness metrics at convergence, including the largest eigenvalue and trace of the loss Hessian, evaluated on both training and test data. We find that SoftMoE exhibits higher sharpness by these metrics, while Dense and SparseMoE lie in a similar curvature regime, despite all models achieving comparable generalization performance. Complementary loss surface perturbation analyses reveal qualitative differences in non-local behavior under finite parameter perturbations between dense and MoE models, which help contextualize curvature-based measurements without directly explaining validation accuracy. We further evaluate empirical inference efficiency and show that naively implemented conditional routing does not yield inference speedups on modern hardware at this scale, highlighting the gap between theoretical and realized efficiency in sparse MoE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使用生成流量匹配降噪器进行深度泄漏</w:t>
      </w:r>
    </w:p>
    <w:p>
      <w:r>
        <w:rPr>
          <w:rFonts w:ascii="Times New Roman" w:hAnsi="Times New Roman" w:eastAsia="宋体"/>
          <w:b/>
          <w:color w:val="003264"/>
          <w:sz w:val="24"/>
        </w:rPr>
        <w:t>Deep Leakage with Generative Flow Matching Denoiser</w:t>
      </w:r>
    </w:p>
    <w:p>
      <w:r>
        <w:rPr>
          <w:rFonts w:ascii="Times New Roman" w:hAnsi="Times New Roman" w:eastAsia="宋体"/>
          <w:sz w:val="21"/>
        </w:rPr>
        <w:t>作者: Simon Hadfield</w:t>
        <w:br/>
      </w:r>
      <w:r>
        <w:rPr>
          <w:rFonts w:ascii="Times New Roman" w:hAnsi="Times New Roman" w:eastAsia="宋体"/>
          <w:sz w:val="21"/>
        </w:rPr>
        <w:t xml:space="preserve">时间: 2026-01-21T14:51:01Z | </w:t>
      </w:r>
      <w:r>
        <w:t xml:space="preserve">链接: </w:t>
      </w:r>
      <w:hyperlink r:id="rId80">
        <w:r>
          <w:rPr>
            <w:rFonts w:ascii="Times New Roman" w:hAnsi="Times New Roman" w:eastAsia="宋体"/>
            <w:color w:val="0000FF"/>
            <w:sz w:val="21"/>
            <w:u w:val="single"/>
          </w:rPr>
          <w:t>https://arxiv.org/abs/2601.15049v1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 (FL) 已成为去中心化模型训练的强大范例，但它仍然容易受到深度泄漏 (DL) 攻击，这些攻击会从共享模型更新中重建私人客户端数据。虽然之前的深度学习方法已经取得了不同程度的成功，但它们在实际的 FL 设置下经常会出现不稳定、保真度有限或鲁棒性较差的问题。我们引入了一种新的深度学习攻击，它将生成流匹配（FM）先验集成到重建过程中。通过指导对真实图像分布的优化（由流匹配基础模型表示），我们的方法增强了重建保真度，而无需了解私有数据。对多个数据集和目标模型的广泛实验表明，我们的方法在像素级、感知和基于特征的相似性指标上始终优于最先进的攻击。至关重要的是，该方法在不同的训练时期、更大的客户端批量大小以及噪声注入、裁剪和稀疏化等常见防御下仍然有效。我们的研究结果呼吁制定新的防御策略，明确考虑配备强大生成先验的对手。</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emerged as a powerful paradigm for decentralized model training, yet it remains vulnerable to deep leakage (DL) attacks that reconstruct private client data from shared model updates. While prior DL methods have demonstrated varying levels of success, they often suffer from instability, limited fidelity, or poor robustness under realistic FL settings. We introduce a new DL attack that integrates a generative Flow Matching (FM) prior into the reconstruction process. By guiding optimization toward the distribution of realistic images (represented by a flow matching foundation model), our method enhances reconstruction fidelity without requiring knowledge of the private data. Extensive experiments on multiple datasets and target models demonstrate that our approach consistently outperforms state-of-the-art attacks across pixel-level, perceptual, and feature-based similarity metrics. Crucially, the method remains effective across different training epochs, larger client batch sizes, and under common defenses such as noise injection, clipping, and sparsification. Our findings call for the development of new defense strategies that explicitly account for adversaries equipped with powerful generative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使用误差反馈 SGD 生成具有重建损失和噪声注入的差分隐私图像</w:t>
      </w:r>
    </w:p>
    <w:p>
      <w:r>
        <w:rPr>
          <w:rFonts w:ascii="Times New Roman" w:hAnsi="Times New Roman" w:eastAsia="宋体"/>
          <w:b/>
          <w:color w:val="003264"/>
          <w:sz w:val="24"/>
        </w:rPr>
        <w:t>Differential Privacy Image Generation with Reconstruction Loss and Noise Injection Using an Error Feedback SGD</w:t>
      </w:r>
    </w:p>
    <w:p>
      <w:r>
        <w:rPr>
          <w:rFonts w:ascii="Times New Roman" w:hAnsi="Times New Roman" w:eastAsia="宋体"/>
          <w:sz w:val="21"/>
        </w:rPr>
        <w:t>作者: Jun Zhang</w:t>
        <w:br/>
      </w:r>
      <w:r>
        <w:rPr>
          <w:rFonts w:ascii="Times New Roman" w:hAnsi="Times New Roman" w:eastAsia="宋体"/>
          <w:sz w:val="21"/>
        </w:rPr>
        <w:t xml:space="preserve">时间: 2026-01-21T15:07:33Z | </w:t>
      </w:r>
      <w:r>
        <w:t xml:space="preserve">链接: </w:t>
      </w:r>
      <w:hyperlink r:id="rId81">
        <w:r>
          <w:rPr>
            <w:rFonts w:ascii="Times New Roman" w:hAnsi="Times New Roman" w:eastAsia="宋体"/>
            <w:color w:val="0000FF"/>
            <w:sz w:val="21"/>
            <w:u w:val="single"/>
          </w:rPr>
          <w:t>https://arxiv.org/abs/2601.15061v1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匿名化等传统数据脱敏技术无法在保证隐私保护机器学习的数据实用性的同时，实现预期的隐私保护。合成数据发挥着越来越重要的作用，因为它可以生成大量训练样本并防止真实数据中的信息泄漏。现有方法遭受隐私和实用性之间重复的权衡过程的困扰。我们提出了一种新颖的差分隐私生成框架，该框架采用误差反馈随机梯度下降（EFSGD）方法，并在训练过程中引入重建损失和噪声注入机制。我们在与相关工作相同的隐私预算下生成具有更高质量和可用性的图像。大量的实验证明了我们提出的灰度和 RGB 图像框架的有效性和泛化性。我们在三个基准上的几乎所有指标上都取得了最先进的结果：MNIST、Fashion-MNIST 和 CelebA。</w:t>
      </w:r>
    </w:p>
    <w:p>
      <w:pPr>
        <w:spacing w:before="120"/>
      </w:pPr>
      <w:r>
        <w:rPr>
          <w:rFonts w:ascii="Times New Roman" w:hAnsi="Times New Roman" w:eastAsia="宋体"/>
          <w:b/>
          <w:sz w:val="21"/>
        </w:rPr>
        <w:t>English Abstract:</w:t>
      </w:r>
    </w:p>
    <w:p>
      <w:r>
        <w:rPr>
          <w:rFonts w:ascii="Times New Roman" w:hAnsi="Times New Roman" w:eastAsia="宋体"/>
          <w:sz w:val="21"/>
        </w:rPr>
        <w:t>Traditional data masking techniques such as anonymization cannot achieve the expected privacy protection while ensuring data utility for privacy-preserving machine learning. Synthetic data plays an increasingly important role as it generates a large number of training samples and prevents information leakage in real data. The existing methods suffer from the repeating trade-off processes between privacy and utility. We propose a novel framework for differential privacy generation, which employs an Error Feedback Stochastic Gradient Descent(EFSGD) method and introduces a reconstruction loss and noise injection mechanism into the training process. We generate images with higher quality and usability under the same privacy budget as the related work. Extensive experiments demonstrate the effectiveness and generalization of our proposed framework for both grayscale and RGB images. We achieve state-of-the-art results over almost all metrics on three benchmarks: MNIST, Fashion-MNIST, and CelebA.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通过前景和背景的细化增强少样本分布外检测</w:t>
      </w:r>
    </w:p>
    <w:p>
      <w:r>
        <w:rPr>
          <w:rFonts w:ascii="Times New Roman" w:hAnsi="Times New Roman" w:eastAsia="宋体"/>
          <w:b/>
          <w:color w:val="003264"/>
          <w:sz w:val="24"/>
        </w:rPr>
        <w:t>Enhancing Few-Shot Out-of-Distribution Detection via the Refinement of Foreground and Background</w:t>
      </w:r>
    </w:p>
    <w:p>
      <w:r>
        <w:rPr>
          <w:rFonts w:ascii="Times New Roman" w:hAnsi="Times New Roman" w:eastAsia="宋体"/>
          <w:sz w:val="21"/>
        </w:rPr>
        <w:t>作者: Xiaofeng Zhu</w:t>
        <w:br/>
      </w:r>
      <w:r>
        <w:rPr>
          <w:rFonts w:ascii="Times New Roman" w:hAnsi="Times New Roman" w:eastAsia="宋体"/>
          <w:sz w:val="21"/>
        </w:rPr>
        <w:t xml:space="preserve">时间: 2026-01-21T15:12:11Z | </w:t>
      </w:r>
      <w:r>
        <w:t xml:space="preserve">链接: </w:t>
      </w:r>
      <w:hyperlink r:id="rId82">
        <w:r>
          <w:rPr>
            <w:rFonts w:ascii="Times New Roman" w:hAnsi="Times New Roman" w:eastAsia="宋体"/>
            <w:color w:val="0000FF"/>
            <w:sz w:val="21"/>
            <w:u w:val="single"/>
          </w:rPr>
          <w:t>https://arxiv.org/abs/2601.15065v1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CLIP 的前景-背景 (FG-BG) 分解方法在提高少样本分布外 (OOD) 检测性能方面表现出显着的有效性。然而，现有方法仍然存在一些局限性。对于分解获得的背景区域，现有方法对所有斑块采用统一的抑制策略，忽略了不同斑块对预测的不同贡献。对于前景区域，现有方法未能充分考虑某些局部补丁可能表现出与其他类的外观或语义相似性，这可能会误导训练过程。为了解决这些问题，我们提出了一个新的即插即用框架。该框架由三个核心组件组成：（1）前景-背景分解模块，它遵循之前的FG-BG方法将图像分离为前景和背景区域； (2)自适应背景抑制模块，自适应地对块分类熵进行加权； (3)易混淆的前景校正模块，用于识别并校正易混淆的前景块。大量的实验结果表明，所提出的即插即用框架显着提高了现有 FG-BG 分解方法的性能。代码位于：https://github.com/lounwb/FoBoR。</w:t>
      </w:r>
    </w:p>
    <w:p>
      <w:pPr>
        <w:spacing w:before="120"/>
      </w:pPr>
      <w:r>
        <w:rPr>
          <w:rFonts w:ascii="Times New Roman" w:hAnsi="Times New Roman" w:eastAsia="宋体"/>
          <w:b/>
          <w:sz w:val="21"/>
        </w:rPr>
        <w:t>English Abstract:</w:t>
      </w:r>
    </w:p>
    <w:p>
      <w:r>
        <w:rPr>
          <w:rFonts w:ascii="Times New Roman" w:hAnsi="Times New Roman" w:eastAsia="宋体"/>
          <w:sz w:val="21"/>
        </w:rPr>
        <w:t>CLIP-based foreground-background (FG-BG) decomposition methods have demonstrated remarkable effectiveness in improving few-shot out-of-distribution (OOD) detection performance. However, existing approaches still suffer from several limitations. For background regions obtained from decomposition, existing methods adopt a uniform suppression strategy for all patches, overlooking the varying contributions of different patches to the prediction. For foreground regions, existing methods fail to adequately consider that some local patches may exhibit appearance or semantic similarity to other classes, which may mislead the training process. To address these issues, we propose a new plug-and-play framework. This framework consists of three core components: (1) a Foreground-Background Decomposition module, which follows previous FG-BG methods to separate an image into foreground and background regions; (2) an Adaptive Background Suppression module, which adaptively weights patch classification entropy; and (3) a Confusable Foreground Rectification module, which identifies and rectifies confusable foreground patches. Extensive experimental results demonstrate that the proposed plug-and-play framework significantly improves the performance of existing FG-BG decomposition methods. Code is available at: https://github.com/lounwb/FoBoR.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图像皮层：通过组合潜在建模进行零样本跨主题 fMRI 到图像重建</w:t>
      </w:r>
    </w:p>
    <w:p>
      <w:r>
        <w:rPr>
          <w:rFonts w:ascii="Times New Roman" w:hAnsi="Times New Roman" w:eastAsia="宋体"/>
          <w:b/>
          <w:color w:val="003264"/>
          <w:sz w:val="24"/>
        </w:rPr>
        <w:t>The Pictorial Cortex: Zero-Shot Cross-Subject fMRI-to-Image Reconstruction via Compositional Latent Modeling</w:t>
      </w:r>
    </w:p>
    <w:p>
      <w:r>
        <w:rPr>
          <w:rFonts w:ascii="Times New Roman" w:hAnsi="Times New Roman" w:eastAsia="宋体"/>
          <w:sz w:val="21"/>
        </w:rPr>
        <w:t>作者: Jianfeng Feng</w:t>
        <w:br/>
      </w:r>
      <w:r>
        <w:rPr>
          <w:rFonts w:ascii="Times New Roman" w:hAnsi="Times New Roman" w:eastAsia="宋体"/>
          <w:sz w:val="21"/>
        </w:rPr>
        <w:t xml:space="preserve">时间: 2026-01-21T15:15:27Z | </w:t>
      </w:r>
      <w:r>
        <w:t xml:space="preserve">链接: </w:t>
      </w:r>
      <w:hyperlink r:id="rId83">
        <w:r>
          <w:rPr>
            <w:rFonts w:ascii="Times New Roman" w:hAnsi="Times New Roman" w:eastAsia="宋体"/>
            <w:color w:val="0000FF"/>
            <w:sz w:val="21"/>
            <w:u w:val="single"/>
          </w:rPr>
          <w:t>https://arxiv.org/abs/2601.15071v1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人类大脑活动中解码视觉体验仍然是神经科学、神经影像和人工智能交叉领域的一个核心挑战。一个关键的障碍是皮质反应的固有变异性：由于解剖、功能、认知和实验因素，相同视觉刺激引起的神经活动在不同个体和试验中存在差异，使得功能磁共振成像到图像重建具有非注入性。在本文中，我们解决了一个具有挑战性但具有实际意义的问题：零样本跨主题功能磁共振成像到图像重建，其中必须在没有特定主题训练的情况下重建以前未见过的个体的视觉体验。为了实现原则性评估，我们提出了一个统一的皮质表面数据集——UniCortex-fMRI，它由多个视觉刺激 fMRI 数据集组装而成，以提供对受试者和刺激的广泛覆盖。我们的 UniCortex-fMRI 经过标准化数据格式的特殊处理，使得在跨主题 fMRI 到图像重建的零样本场景中探索这种可能性成为可能。为了应对建模挑战，我们提出了 PictorialCortex，它使用组合潜在公式对 fMRI 活动进行建模，该组合潜在公式在受试者、数据集和试验相关的可变性下构建刺激驱动的表示。 PictorialCortex 在通用皮质潜在空间中运行，并通过潜在因式分解-组合模块来实现此公式，并通过配对因式分解和重新因式分解一致性正则化得到加强。在推理过程中，在多个可见对象条件下合成的代理潜伏被聚合起来，以指导对未见对象进行基于扩散的图像合成。大量实验表明，PictorialCortex 改进了零样本跨主题视觉重建，突出了组合潜在建模和多数据集训练的好处。</w:t>
      </w:r>
    </w:p>
    <w:p>
      <w:pPr>
        <w:spacing w:before="120"/>
      </w:pPr>
      <w:r>
        <w:rPr>
          <w:rFonts w:ascii="Times New Roman" w:hAnsi="Times New Roman" w:eastAsia="宋体"/>
          <w:b/>
          <w:sz w:val="21"/>
        </w:rPr>
        <w:t>English Abstract:</w:t>
      </w:r>
    </w:p>
    <w:p>
      <w:r>
        <w:rPr>
          <w:rFonts w:ascii="Times New Roman" w:hAnsi="Times New Roman" w:eastAsia="宋体"/>
          <w:sz w:val="21"/>
        </w:rPr>
        <w:t>Decoding visual experiences from human brain activity remains a central challenge at the intersection of neuroscience, neuroimaging, and artificial intelligence. A critical obstacle is the inherent variability of cortical responses: neural activity elicited by the same visual stimulus differs across individuals and trials due to anatomical, functional, cognitive, and experimental factors, making fMRI-to-image reconstruction non-injective. In this paper, we tackle a challenging yet practically meaningful problem: zero-shot cross-subject fMRI-to-image reconstruction, where the visual experience of a previously unseen individual must be reconstructed without subject-specific training. To enable principled evaluation, we present a unified cortical-surface dataset -- UniCortex-fMRI, assembled from multiple visual-stimulus fMRI datasets to provide broad coverage of subjects and stimuli. Our UniCortex-fMRI is particularly processed by standardized data formats to make it possible to explore this possibility in the zero-shot scenario of cross-subject fMRI-to-image reconstruction. To tackle the modeling challenge, we propose PictorialCortex, which models fMRI activity using a compositional latent formulation that structures stimulus-driven representations under subject-, dataset-, and trial-related variability. PictorialCortex operates in a universal cortical latent space and implements this formulation through a latent factorization--composition module, reinforced by paired factorization and re-factorizing consistency regularization. During inference, surrogate latents synthesized under multiple seen-subject conditions are aggregated to guide diffusion-based image synthesis for unseen subjects. Extensive experiments show that PictorialCortex improves zero-shot cross-subject visual reconstruction, highlighting the benefits of compositional latent modeling and multi-dataset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大规模数据集的 X 射线显微 CT 三维可视化：实时交互的效率和准确性</w:t>
      </w:r>
    </w:p>
    <w:p>
      <w:r>
        <w:rPr>
          <w:rFonts w:ascii="Times New Roman" w:hAnsi="Times New Roman" w:eastAsia="宋体"/>
          <w:b/>
          <w:color w:val="003264"/>
          <w:sz w:val="24"/>
        </w:rPr>
        <w:t>Three-dimensional visualization of X-ray micro-CT with large-scale datasets: Efficiency and accuracy for real-time interaction</w:t>
      </w:r>
    </w:p>
    <w:p>
      <w:r>
        <w:rPr>
          <w:rFonts w:ascii="Times New Roman" w:hAnsi="Times New Roman" w:eastAsia="宋体"/>
          <w:sz w:val="21"/>
        </w:rPr>
        <w:t>作者: Mingyue Wu</w:t>
        <w:br/>
      </w:r>
      <w:r>
        <w:rPr>
          <w:rFonts w:ascii="Times New Roman" w:hAnsi="Times New Roman" w:eastAsia="宋体"/>
          <w:sz w:val="21"/>
        </w:rPr>
        <w:t xml:space="preserve">时间: 2026-01-21T15:37:38Z | </w:t>
      </w:r>
      <w:r>
        <w:t xml:space="preserve">链接: </w:t>
      </w:r>
      <w:hyperlink r:id="rId84">
        <w:r>
          <w:rPr>
            <w:rFonts w:ascii="Times New Roman" w:hAnsi="Times New Roman" w:eastAsia="宋体"/>
            <w:color w:val="0000FF"/>
            <w:sz w:val="21"/>
            <w:u w:val="single"/>
          </w:rPr>
          <w:t>https://arxiv.org/abs/2601.15098v1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随着Micro-CT技术不断完善其对材料微观结构的表征，工业CT超精密检测正在生成越来越大的数据集，需要解决超精密检测过程中缺陷3D表征的准确性和效率之间的权衡问题。本文以独特的视角介绍了使用 Micro-CT 进行准确、高效的 3D 可视化的最新进展，追踪其从医学成像到工业无损检测 (NDT) 的演变。在众多的CT重建和体绘制方法中，本文选择性地回顾和分析了平衡精度和效率的方法，提供全面的分析，以帮助研究人员快速掌握高效、准确的微观特征3D重建方法。通过比较计算机断层扫描原理与微观结构技术的进步，本文探讨了 CT 重建算法从分析方法到深度学习技术的演变，以及体绘制算法、加速和数据缩减方面的改进。此外，它还探索了先进的照明模型，以实现高精度、逼真且高效的体积渲染。此外，本文展望了 CT 重建和体绘制的潜在方向。旨在指导未来研究快速选择高效、精确的方法，开发通过虚拟-物理交互实时在线监测内部材料缺陷的新思路和新方法，将数字孪生模型应用于结构健康监测（SHM）。</w:t>
      </w:r>
    </w:p>
    <w:p>
      <w:pPr>
        <w:spacing w:before="120"/>
      </w:pPr>
      <w:r>
        <w:rPr>
          <w:rFonts w:ascii="Times New Roman" w:hAnsi="Times New Roman" w:eastAsia="宋体"/>
          <w:b/>
          <w:sz w:val="21"/>
        </w:rPr>
        <w:t>English Abstract:</w:t>
      </w:r>
    </w:p>
    <w:p>
      <w:r>
        <w:rPr>
          <w:rFonts w:ascii="Times New Roman" w:hAnsi="Times New Roman" w:eastAsia="宋体"/>
          <w:sz w:val="21"/>
        </w:rPr>
        <w:t>As Micro-CT technology continues to refine its characterization of material microstructures, industrial CT ultra-precision inspection is generating increasingly large datasets, necessitating solutions to the trade-off between accuracy and efficiency in the 3D characterization of defects during ultra-precise detection. This article provides a unique perspective on recent advances in accurate and efficient 3D visualization using Micro-CT, tracing its evolution from medical imaging to industrial non-destructive testing (NDT). Among the numerous CT reconstruction and volume rendering methods, this article selectively reviews and analyzes approaches that balance accuracy and efficiency, offering a comprehensive analysis to help researchers quickly grasp highly efficient and accurate 3D reconstruction methods for microscopic features. By comparing the principles of computed tomography with advancements in microstructural technology, this article examines the evolution of CT reconstruction algorithms from analytical methods to deep learning techniques, as well as improvements in volume rendering algorithms, acceleration, and data reduction. Additionally, it explores advanced lighting models for high-accuracy, photorealistic, and efficient volume rendering. Furthermore, this article envisions potential directions in CT reconstruction and volume rendering. It aims to guide future research in quickly selecting efficient and precise methods and developing new ideas and approaches for real-time online monitoring of internal material defects through virtual-physical interaction, for applying digital twin model to structural health monitoring (SHM).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BREPS：快速分割的边界框鲁棒性评估</w:t>
      </w:r>
    </w:p>
    <w:p>
      <w:r>
        <w:rPr>
          <w:rFonts w:ascii="Times New Roman" w:hAnsi="Times New Roman" w:eastAsia="宋体"/>
          <w:b/>
          <w:color w:val="003264"/>
          <w:sz w:val="24"/>
        </w:rPr>
        <w:t>BREPS: Bounding-Box Robustness Evaluation of Promptable Segmentation</w:t>
      </w:r>
    </w:p>
    <w:p>
      <w:r>
        <w:rPr>
          <w:rFonts w:ascii="Times New Roman" w:hAnsi="Times New Roman" w:eastAsia="宋体"/>
          <w:sz w:val="21"/>
        </w:rPr>
        <w:t>作者: Vlad Shakhuro</w:t>
        <w:br/>
      </w:r>
      <w:r>
        <w:rPr>
          <w:rFonts w:ascii="Times New Roman" w:hAnsi="Times New Roman" w:eastAsia="宋体"/>
          <w:sz w:val="21"/>
        </w:rPr>
        <w:t xml:space="preserve">时间: 2026-01-21T16:02:21Z | </w:t>
      </w:r>
      <w:r>
        <w:t xml:space="preserve">链接: </w:t>
      </w:r>
      <w:hyperlink r:id="rId85">
        <w:r>
          <w:rPr>
            <w:rFonts w:ascii="Times New Roman" w:hAnsi="Times New Roman" w:eastAsia="宋体"/>
            <w:color w:val="0000FF"/>
            <w:sz w:val="21"/>
            <w:u w:val="single"/>
          </w:rPr>
          <w:t>https://arxiv.org/abs/2601.15123v1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诸如 SAM 之类的即时分割模型已经建立了一个强大的范例，能够以最少的用户输入（包括点、边界框和文本提示）对不可见的对象和域进行强泛化。其中，边界框特别有效，通常优于点，同时显着降低注释成本。然而，当前的培训和评估协议通常依赖于通过简单启发式生成的合成提示，对现实世界的稳健性提供的了解有限。在本文中，我们研究了提示分割模型对边界框提示自然变化的鲁棒性。首先，我们进行受控用户研究并收集数千个真实的边界框注释。我们的分析揭示了同一模型和实例的不同用户的分割质量存在显着差异，这表明类似 SAM 的模型对自然提示噪声高度敏感。然后，由于对所有可能的用户输入进行详尽的测试在计算上是令人望而却步的，因此我们将稳健性评估重新表述为边界框提示空间上的白盒优化问题。我们引入了 BREPS，一种生成对抗性边界框的方法，可以在遵守自然性约束的同时最小化或最大化分割误差。最后，我们对 10 个数据集的最先进模型进行基准测试，涵盖日常场景到医学成像。代码 - https://github.com/emb-ai/BREPS。</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models such as SAM have established a powerful paradigm, enabling strong generalization to unseen objects and domains with minimal user input, including points, bounding boxes, and text prompts. Among these, bounding boxes stand out as particularly effective, often outperforming points while significantly reducing annotation costs. However, current training and evaluation protocols typically rely on synthetic prompts generated through simple heuristics, offering limited insight into real-world robustness. In this paper, we investigate the robustness of promptable segmentation models to natural variations in bounding box prompts. First, we conduct a controlled user study and collect thousands of real bounding box annotations. Our analysis reveals substantial variability in segmentation quality across users for the same model and instance, indicating that SAM-like models are highly sensitive to natural prompt noise. Then, since exhaustive testing of all possible user inputs is computationally prohibitive, we reformulate robustness evaluation as a white-box optimization problem over the bounding box prompt space. We introduce BREPS, a method for generating adversarial bounding boxes that minimize or maximize segmentation error while adhering to naturalness constraints. Finally, we benchmark state-of-the-art models across 10 datasets, spanning everyday scenes to medical imaging. Code - https://github.com/emb-ai/BREPS.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通过子图预测进行图识别</w:t>
      </w:r>
    </w:p>
    <w:p>
      <w:r>
        <w:rPr>
          <w:rFonts w:ascii="Times New Roman" w:hAnsi="Times New Roman" w:eastAsia="宋体"/>
          <w:b/>
          <w:color w:val="003264"/>
          <w:sz w:val="24"/>
        </w:rPr>
        <w:t>Graph Recognition via Subgraph Prediction</w:t>
      </w:r>
    </w:p>
    <w:p>
      <w:r>
        <w:rPr>
          <w:rFonts w:ascii="Times New Roman" w:hAnsi="Times New Roman" w:eastAsia="宋体"/>
          <w:sz w:val="21"/>
        </w:rPr>
        <w:t>作者: Pascal Friederich</w:t>
        <w:br/>
      </w:r>
      <w:r>
        <w:rPr>
          <w:rFonts w:ascii="Times New Roman" w:hAnsi="Times New Roman" w:eastAsia="宋体"/>
          <w:sz w:val="21"/>
        </w:rPr>
        <w:t xml:space="preserve">时间: 2026-01-21T16:07:17Z | </w:t>
      </w:r>
      <w:r>
        <w:t xml:space="preserve">链接: </w:t>
      </w:r>
      <w:hyperlink r:id="rId86">
        <w:r>
          <w:rPr>
            <w:rFonts w:ascii="Times New Roman" w:hAnsi="Times New Roman" w:eastAsia="宋体"/>
            <w:color w:val="0000FF"/>
            <w:sz w:val="21"/>
            <w:u w:val="single"/>
          </w:rPr>
          <w:t>https://arxiv.org/abs/2601.15133v1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图像分类、对象检测和分割等任务取得了巨大进步，但视觉关系的识别（通常建模为从图像中提取图形）仍然是一项具有挑战性的任务。我们认为这主要源于这样一个事实：没有规范的方法来处理视觉图形识别任务。大多数现有的解决方案都是特定于某个问题的，即使概念问题保持不变，也不能在不同的上下文之间立即转移。考虑到广泛的适用性和简单性，在本文中，我们开发了一种方法，通过 \textbf{S}ubgraph \textbf{P}rediction (\textbf{GraSP}) 进行 \textbf{Gra}ph 识别，用于识别图像中的图形。我们通过几个综合基准和一个实际应用程序展示了我们的方法适用于一组不同类型的图形及其绘图，并且可以在任务之间转移而无需特定于任务的修改，从而为更统一的视觉图形识别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Despite tremendous improvements in tasks such as image classification, object detection, and segmentation, the recognition of visual relationships, commonly modeled as the extraction of a graph from an image, remains a challenging task. We believe that this mainly stems from the fact that there is no canonical way to approach the visual graph recognition task. Most existing solutions are specific to a problem and cannot be transferred between different contexts out-of-the box, even though the conceptual problem remains the same. With broad applicability and simplicity in mind, in this paper we develop a method, \textbf{Gra}ph Recognition via \textbf{S}ubgraph \textbf{P}rediction (\textbf{GraSP}), for recognizing graphs in images. We show across several synthetic benchmarks and one real-world application that our method works with a set of diverse types of graphs and their drawings, and can be transferred between tasks without task-specific modifications, paving the way to a more unified framework for visual graph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ZENITH：自动梯度范数知情随机优化</w:t>
      </w:r>
    </w:p>
    <w:p>
      <w:r>
        <w:rPr>
          <w:rFonts w:ascii="Times New Roman" w:hAnsi="Times New Roman" w:eastAsia="宋体"/>
          <w:b/>
          <w:color w:val="003264"/>
          <w:sz w:val="24"/>
        </w:rPr>
        <w:t>ZENITH: Automated Gradient Norm Informed Stochastic Optimization</w:t>
      </w:r>
    </w:p>
    <w:p>
      <w:r>
        <w:rPr>
          <w:rFonts w:ascii="Times New Roman" w:hAnsi="Times New Roman" w:eastAsia="宋体"/>
          <w:sz w:val="21"/>
        </w:rPr>
        <w:t>作者: Dhrubo Saha</w:t>
        <w:br/>
      </w:r>
      <w:r>
        <w:rPr>
          <w:rFonts w:ascii="Times New Roman" w:hAnsi="Times New Roman" w:eastAsia="宋体"/>
          <w:sz w:val="21"/>
        </w:rPr>
        <w:t xml:space="preserve">时间: 2026-01-21T17:36:12Z | </w:t>
      </w:r>
      <w:r>
        <w:t xml:space="preserve">链接: </w:t>
      </w:r>
      <w:hyperlink r:id="rId87">
        <w:r>
          <w:rPr>
            <w:rFonts w:ascii="Times New Roman" w:hAnsi="Times New Roman" w:eastAsia="宋体"/>
            <w:color w:val="0000FF"/>
            <w:sz w:val="21"/>
            <w:u w:val="single"/>
          </w:rPr>
          <w:t>https://arxiv.org/abs/2601.15212v1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训练深度计算机视觉模型需要手动监督或学习率 (LR) 计划的超参数调整。虽然现有的自适应优化器会自动调度 LR，但它们会遭受计算和内存开销、与正则化不兼容以及 LR 选择次优等问题。在这项工作中，我们引入了 ZENITH（使用范数信息训练历史的零开销进化）优化器，它使用梯度范数的时间进化来适应 LR。跨越 6 个 CNN 架构和 6 个基准的图像分类实验表明，ZENITH 在比基线更短的挂钟时间内实现了更高的测试精度。它还使用 R-CNN 系列模型在 MS COCO 上的对象检测、关键点检测和实例分割方面产生了出色的 mAP。此外，它与正则化的兼容性可以实现更好的泛化。</w:t>
      </w:r>
    </w:p>
    <w:p>
      <w:pPr>
        <w:spacing w:before="120"/>
      </w:pPr>
      <w:r>
        <w:rPr>
          <w:rFonts w:ascii="Times New Roman" w:hAnsi="Times New Roman" w:eastAsia="宋体"/>
          <w:b/>
          <w:sz w:val="21"/>
        </w:rPr>
        <w:t>English Abstract:</w:t>
      </w:r>
    </w:p>
    <w:p>
      <w:r>
        <w:rPr>
          <w:rFonts w:ascii="Times New Roman" w:hAnsi="Times New Roman" w:eastAsia="宋体"/>
          <w:sz w:val="21"/>
        </w:rPr>
        <w:t>Training deep computer vision models requires manual oversight or hyperparameter tuning of the learning rate (LR) schedule. While existing adaptive optimizers schedule the LR automatically, they suffer from computational and memory overhead, incompatibility with regularization, and suboptimal LR choices. In this work, we introduce the ZENITH (Zero-overhead Evolution using Norm-Informed Training History) optimizer, which adapts the LR using the temporal evolution of the gradient norm. Image classification experiments spanning 6 CNN architectures and 6 benchmarks demonstrate that ZENITH achieves higher test accuracy in lower wall-clock time than baselines. It also yielded superior mAP in object detection, keypoint detection, and instance segmentation on MS COCO using the R-CNN family of models. Furthermore, its compatibility with regularization enables even better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ScenDi：城市一代的 3D 到 2D 场景扩散级联</w:t>
      </w:r>
    </w:p>
    <w:p>
      <w:r>
        <w:rPr>
          <w:rFonts w:ascii="Times New Roman" w:hAnsi="Times New Roman" w:eastAsia="宋体"/>
          <w:b/>
          <w:color w:val="003264"/>
          <w:sz w:val="24"/>
        </w:rPr>
        <w:t>ScenDi: 3D-to-2D Scene Diffusion Cascades for Urban Generation</w:t>
      </w:r>
    </w:p>
    <w:p>
      <w:r>
        <w:rPr>
          <w:rFonts w:ascii="Times New Roman" w:hAnsi="Times New Roman" w:eastAsia="宋体"/>
          <w:sz w:val="21"/>
        </w:rPr>
        <w:t>作者: Yiyi Liao</w:t>
        <w:br/>
      </w:r>
      <w:r>
        <w:rPr>
          <w:rFonts w:ascii="Times New Roman" w:hAnsi="Times New Roman" w:eastAsia="宋体"/>
          <w:sz w:val="21"/>
        </w:rPr>
        <w:t xml:space="preserve">时间: 2026-01-21T17:53:21Z | </w:t>
      </w:r>
      <w:r>
        <w:t xml:space="preserve">链接: </w:t>
      </w:r>
      <w:hyperlink r:id="rId88">
        <w:r>
          <w:rPr>
            <w:rFonts w:ascii="Times New Roman" w:hAnsi="Times New Roman" w:eastAsia="宋体"/>
            <w:color w:val="0000FF"/>
            <w:sz w:val="21"/>
            <w:u w:val="single"/>
          </w:rPr>
          <w:t>https://arxiv.org/abs/2601.15221v1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使用扩散模型生成 3D 对象的最新进展取得了显着的成功，但生成逼真的 3D 城市场景仍然具有挑战性。仅依赖 3D 扩散模型的现有方法往往会导致外观细节的退化，而仅使用 2D 扩散模型的方法通常会损害相机的可控性。为了克服这一限制，我们提出了 ScenDi，一种集成了 3D 和 2D 扩散模型的城市场景生成方法。我们首先训练 3D 潜在扩散模型来生成 3D 高斯，从而能够以相对较低的分辨率渲染图像。为了实现可控合成，可以通过指定 3D 边界框、路线图或文本提示等输入来选择性地调节此 3DGS 生成过程。然后，我们训练 2D 视频扩散模型，以增强基于 3D 高斯渲染图像的外观细节。通过利用粗略 3D 场景作为 2D 视频扩散的指导，ScenDi 根据输入条件生成所需的场景，并成功遵循准确的摄像机轨迹。在两个具有挑战性的现实世界数据集 Waymo 和 KITTI-360 上进行的实验证明了我们方法的有效性。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object generation using diffusion models have achieved remarkable success, but generating realistic 3D urban scenes remains challenging. Existing methods relying solely on 3D diffusion models tend to suffer a degradation in appearance details, while those utilizing only 2D diffusion models typically compromise camera controllability. To overcome this limitation, we propose ScenDi, a method for urban scene generation that integrates both 3D and 2D diffusion models. We first train a 3D latent diffusion model to generate 3D Gaussians, enabling the rendering of images at a relatively low resolution. To enable controllable synthesis, this 3DGS generation process can be optionally conditioned by specifying inputs such as 3d bounding boxes, road maps, or text prompts. Then, we train a 2D video diffusion model to enhance appearance details conditioned on rendered images from the 3D Gaussians. By leveraging the coarse 3D scene as guidance for 2D video diffusion, ScenDi generates desired scenes based on input conditions and successfully adheres to accurate camera trajectories. Experiments on two challenging real-world datasets, Waymo and KITTI-360, demonstrate the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FlowSSC：通过一步潜在扩散实现通用生成单目语义场景完成</w:t>
      </w:r>
    </w:p>
    <w:p>
      <w:r>
        <w:rPr>
          <w:rFonts w:ascii="Times New Roman" w:hAnsi="Times New Roman" w:eastAsia="宋体"/>
          <w:b/>
          <w:color w:val="003264"/>
          <w:sz w:val="24"/>
        </w:rPr>
        <w:t>FlowSSC: Universal Generative Monocular Semantic Scene Completion via One-Step Latent Diffusion</w:t>
      </w:r>
    </w:p>
    <w:p>
      <w:r>
        <w:rPr>
          <w:rFonts w:ascii="Times New Roman" w:hAnsi="Times New Roman" w:eastAsia="宋体"/>
          <w:sz w:val="21"/>
        </w:rPr>
        <w:t>作者: Qun-Ce Xu</w:t>
        <w:br/>
      </w:r>
      <w:r>
        <w:rPr>
          <w:rFonts w:ascii="Times New Roman" w:hAnsi="Times New Roman" w:eastAsia="宋体"/>
          <w:sz w:val="21"/>
        </w:rPr>
        <w:t xml:space="preserve">时间: 2026-01-21T18:32:27Z | </w:t>
      </w:r>
      <w:r>
        <w:t xml:space="preserve">链接: </w:t>
      </w:r>
      <w:hyperlink r:id="rId89">
        <w:r>
          <w:rPr>
            <w:rFonts w:ascii="Times New Roman" w:hAnsi="Times New Roman" w:eastAsia="宋体"/>
            <w:color w:val="0000FF"/>
            <w:sz w:val="21"/>
            <w:u w:val="single"/>
          </w:rPr>
          <w:t>https://arxiv.org/abs/2601.15250v1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由于从单个视图推断被遮挡的 3D 几何图形固有的模糊性，单目 RGB 图像的语义场景完成 (SSC) 是一项基本但具有挑战性的任务。虽然前馈方法取得了进展，但它们常常难以在遮挡区域中生成合理的细节并保留对象的基本空间关系。这种针对整个 3D 空间的准确生成推理能力在现实应用中至关重要。在本文中，我们提出了 FlowSSC，这是第一个直接应用于单目语义场景完成的生成框架。 FlowSSC将SSC任务视为条件生成问题，并且可以与现有的前馈SSC方法无缝集成，以显着提高其性能。为了在不影响质量的情况下实现实时推理，我们引入了在紧凑的三平面潜在空间中运行的快捷流匹配。与需要数百个步骤的标准扩散模型不同，我们的方法利用快捷机制在一步中实现高保真生成，从而能够在自治系统中实际部署。 SemanticKITTI 上的大量实验表明 FlowSSC 实现了最先进的性能，显着优于现有基准。</w:t>
      </w:r>
    </w:p>
    <w:p>
      <w:pPr>
        <w:spacing w:before="120"/>
      </w:pPr>
      <w:r>
        <w:rPr>
          <w:rFonts w:ascii="Times New Roman" w:hAnsi="Times New Roman" w:eastAsia="宋体"/>
          <w:b/>
          <w:sz w:val="21"/>
        </w:rPr>
        <w:t>English Abstract:</w:t>
      </w:r>
    </w:p>
    <w:p>
      <w:r>
        <w:rPr>
          <w:rFonts w:ascii="Times New Roman" w:hAnsi="Times New Roman" w:eastAsia="宋体"/>
          <w:sz w:val="21"/>
        </w:rPr>
        <w:t>Semantic Scene Completion (SSC) from monocular RGB images is a fundamental yet challenging task due to the inherent ambiguity of inferring occluded 3D geometry from a single view. While feed-forward methods have made progress, they often struggle to generate plausible details in occluded regions and preserve the fundamental spatial relationships of objects. Such accurate generative reasoning capability for the entire 3D space is critical in real-world applications. In this paper, we present FlowSSC, the first generative framework applied directly to monocular semantic scene completion. FlowSSC treats the SSC task as a conditional generation problem and can seamlessly integrate with existing feed-forward SSC methods to significantly boost their performance. To achieve real-time inference without compromising quality, we introduce Shortcut Flow-matching that operates in a compact triplane latent space. Unlike standard diffusion models that require hundreds of steps, our method utilizes a shortcut mechanism to achieve high-fidelity generation in a single step, enabling practical deployment in autonomous systems. Extensive experiments on SemanticKITTI demonstrate that FlowSSC achieves state-of-the-art performance, significantly outperforming existing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DrivIng：具有全面数字孪生集成的大规模多模式驾驶数据集</w:t>
      </w:r>
    </w:p>
    <w:p>
      <w:r>
        <w:rPr>
          <w:rFonts w:ascii="Times New Roman" w:hAnsi="Times New Roman" w:eastAsia="宋体"/>
          <w:b/>
          <w:color w:val="003264"/>
          <w:sz w:val="24"/>
        </w:rPr>
        <w:t>DrivIng: A Large-Scale Multimodal Driving Dataset with Full Digital Twin Integration</w:t>
      </w:r>
    </w:p>
    <w:p>
      <w:r>
        <w:rPr>
          <w:rFonts w:ascii="Times New Roman" w:hAnsi="Times New Roman" w:eastAsia="宋体"/>
          <w:sz w:val="21"/>
        </w:rPr>
        <w:t>作者: Torsten Schön</w:t>
        <w:br/>
      </w:r>
      <w:r>
        <w:rPr>
          <w:rFonts w:ascii="Times New Roman" w:hAnsi="Times New Roman" w:eastAsia="宋体"/>
          <w:sz w:val="21"/>
        </w:rPr>
        <w:t xml:space="preserve">时间: 2026-01-21T18:41:05Z | </w:t>
      </w:r>
      <w:r>
        <w:t xml:space="preserve">链接: </w:t>
      </w:r>
      <w:hyperlink r:id="rId90">
        <w:r>
          <w:rPr>
            <w:rFonts w:ascii="Times New Roman" w:hAnsi="Times New Roman" w:eastAsia="宋体"/>
            <w:color w:val="0000FF"/>
            <w:sz w:val="21"/>
            <w:u w:val="single"/>
          </w:rPr>
          <w:t>https://arxiv.org/abs/2601.15260v1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感知是自动驾驶的基石，使车辆能够了解周围环境并做出安全、可靠的决策。开发强大的感知算法需要大规模、高质量的数据集，涵盖不同的驾驶条件并支持全面的评估。现有数据集通常缺乏高保真数字孪生，限制了系统测试、边缘情况模拟、传感器修改和模拟到真实的评估。为了解决这一差距，我们推出了 DrivIng，这是一个大型多模式数据集，具有跨越城市、郊区和高速公路段的约 18 公里路线的完整地理参考数字孪生。我们的数据集提供来自 6 个 RGB 摄像头、1 个 LiDAR 和基于 ADMA 的高精度定位的连续记录，涵盖白天、黄昏和夜间的捕获。所有序列均以 10 Hz 频率通过 12 个类别的 3D 边界框和轨道 ID 进行注释，产生约 120 万个注释实例。除了数字孪生的优势之外，DrivIng 还能够将真实流量一对一地传输到模拟中，保留代理交互，同时实现现实且灵活的场景测试。为了支持可重复的研究和稳健的验证，我们使用最先进的感知模型对 DrivIng 进行基准测试，并公开发布数据集、数字孪生、高清地图和代码库。</w:t>
      </w:r>
    </w:p>
    <w:p>
      <w:pPr>
        <w:spacing w:before="120"/>
      </w:pPr>
      <w:r>
        <w:rPr>
          <w:rFonts w:ascii="Times New Roman" w:hAnsi="Times New Roman" w:eastAsia="宋体"/>
          <w:b/>
          <w:sz w:val="21"/>
        </w:rPr>
        <w:t>English Abstract:</w:t>
      </w:r>
    </w:p>
    <w:p>
      <w:r>
        <w:rPr>
          <w:rFonts w:ascii="Times New Roman" w:hAnsi="Times New Roman" w:eastAsia="宋体"/>
          <w:sz w:val="21"/>
        </w:rPr>
        <w:t>Perception is a cornerstone of autonomous driving, enabling vehicles to understand their surroundings and make safe, reliable decisions. Developing robust perception algorithms requires large-scale, high-quality datasets that cover diverse driving conditions and support thorough evaluation. Existing datasets often lack a high-fidelity digital twin, limiting systematic testing, edge-case simulation, sensor modification, and sim-to-real evaluations. To address this gap, we present DrivIng, a large-scale multimodal dataset with a complete geo-referenced digital twin of a ~18 km route spanning urban, suburban, and highway segments. Our dataset provides continuous recordings from six RGB cameras, one LiDAR, and high-precision ADMA-based localization, captured across day, dusk, and night. All sequences are annotated at 10 Hz with 3D bounding boxes and track IDs across 12 classes, yielding ~1.2 million annotated instances. Alongside the benefits of a digital twin, DrivIng enables a 1-to-1 transfer of real traffic into simulation, preserving agent interactions while enabling realistic and flexible scenario testing. To support reproducible research and robust validation, we benchmark DrivIng with state-of-the-art perception models and publicly release the dataset, digital twin, HD map, and codebase.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RayRoPE：用于多视图注意力的投影射线位置编码</w:t>
      </w:r>
    </w:p>
    <w:p>
      <w:r>
        <w:rPr>
          <w:rFonts w:ascii="Times New Roman" w:hAnsi="Times New Roman" w:eastAsia="宋体"/>
          <w:b/>
          <w:color w:val="003264"/>
          <w:sz w:val="24"/>
        </w:rPr>
        <w:t>RayRoPE: Projective Ray Positional Encoding for Multi-view Attention</w:t>
      </w:r>
    </w:p>
    <w:p>
      <w:r>
        <w:rPr>
          <w:rFonts w:ascii="Times New Roman" w:hAnsi="Times New Roman" w:eastAsia="宋体"/>
          <w:sz w:val="21"/>
        </w:rPr>
        <w:t>作者: Shubham Tulsiani</w:t>
        <w:br/>
      </w:r>
      <w:r>
        <w:rPr>
          <w:rFonts w:ascii="Times New Roman" w:hAnsi="Times New Roman" w:eastAsia="宋体"/>
          <w:sz w:val="21"/>
        </w:rPr>
        <w:t xml:space="preserve">时间: 2026-01-21T18:55:51Z | </w:t>
      </w:r>
      <w:r>
        <w:t xml:space="preserve">链接: </w:t>
      </w:r>
      <w:hyperlink r:id="rId91">
        <w:r>
          <w:rPr>
            <w:rFonts w:ascii="Times New Roman" w:hAnsi="Times New Roman" w:eastAsia="宋体"/>
            <w:color w:val="0000FF"/>
            <w:sz w:val="21"/>
            <w:u w:val="single"/>
          </w:rPr>
          <w:t>https://arxiv.org/abs/2601.15275v1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我们研究了多视图变换器的位置编码，该变换器处理来自一组姿势输入图像的标记，并寻求一种独特地编码补丁的机制，允许具有多频率相似性的 SE(3) 不变注意，并且可以适应底层场景的几何形状。我们发现先前的（绝对或相对）多视图注意力编码方案不能满足上述要求，并提出 RayRoPE 来解决这一差距。 RayRoPE 基于相关光线表示补丁位置，但利用沿光线的预测点而不是几何感知编码的方向。为了实现 SE(3) 不变性，RayRoPE 计算查询帧投影坐标以计算多频率相似性。最后，由于沿着射线的“预测”3D 点可能不精确，RayRoPE 提出了一种在不确定性下分析计算预期位置编码的机制。我们在新颖视图合成和立体深度估计任务上验证了 RayRoPE，并表明它比替代位置编码方案持续改进（例如，CO3D 中的 LPIPS 相对改进了 15%）。我们还表明，RayRoPE 可以无缝合并 RGB-D 输入，从而比无法对该信息进行位置编码的替代方案获得更大的收益。</w:t>
      </w:r>
    </w:p>
    <w:p>
      <w:pPr>
        <w:spacing w:before="120"/>
      </w:pPr>
      <w:r>
        <w:rPr>
          <w:rFonts w:ascii="Times New Roman" w:hAnsi="Times New Roman" w:eastAsia="宋体"/>
          <w:b/>
          <w:sz w:val="21"/>
        </w:rPr>
        <w:t>English Abstract:</w:t>
      </w:r>
    </w:p>
    <w:p>
      <w:r>
        <w:rPr>
          <w:rFonts w:ascii="Times New Roman" w:hAnsi="Times New Roman" w:eastAsia="宋体"/>
          <w:sz w:val="21"/>
        </w:rPr>
        <w:t>We study positional encodings for multi-view transformers that process tokens from a set of posed input images, and seek a mechanism that encodes patches uniquely, allows SE(3)-invariant attention with multi-frequency similarity, and can be adaptive to the geometry of the underlying scene. We find that prior (absolute or relative) encoding schemes for multi-view attention do not meet the above desiderata, and present RayRoPE to address this gap. RayRoPE represents patch positions based on associated rays but leverages a predicted point along the ray instead of the direction for a geometry-aware encoding. To achieve SE(3) invariance, RayRoPE computes query-frame projective coordinates for computing multi-frequency similarity. Lastly, as the 'predicted' 3D point along a ray may not be precise, RayRoPE presents a mechanism to analytically compute the expected position encoding under uncertainty. We validate RayRoPE on the tasks of novel-view synthesis and stereo depth estimation and show that it consistently improves over alternate position encoding schemes (e.g. 15% relative improvement on LPIPS in CO3D). We also show that RayRoPE can seamlessly incorporate RGB-D input, resulting in even larger gains over alternatives that cannot positionally encode this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StableWorld：迈向稳定一致的长互动视频生成</w:t>
      </w:r>
    </w:p>
    <w:p>
      <w:r>
        <w:rPr>
          <w:rFonts w:ascii="Times New Roman" w:hAnsi="Times New Roman" w:eastAsia="宋体"/>
          <w:b/>
          <w:color w:val="003264"/>
          <w:sz w:val="24"/>
        </w:rPr>
        <w:t>StableWorld: Towards Stable and Consistent Long Interactive Video Generation</w:t>
      </w:r>
    </w:p>
    <w:p>
      <w:r>
        <w:rPr>
          <w:rFonts w:ascii="Times New Roman" w:hAnsi="Times New Roman" w:eastAsia="宋体"/>
          <w:sz w:val="21"/>
        </w:rPr>
        <w:t>作者: Chenyang Si</w:t>
        <w:br/>
      </w:r>
      <w:r>
        <w:rPr>
          <w:rFonts w:ascii="Times New Roman" w:hAnsi="Times New Roman" w:eastAsia="宋体"/>
          <w:sz w:val="21"/>
        </w:rPr>
        <w:t xml:space="preserve">时间: 2026-01-21T18:59:02Z | </w:t>
      </w:r>
      <w:r>
        <w:t xml:space="preserve">链接: </w:t>
      </w:r>
      <w:hyperlink r:id="rId149">
        <w:r>
          <w:rPr>
            <w:rFonts w:ascii="Times New Roman" w:hAnsi="Times New Roman" w:eastAsia="宋体"/>
            <w:color w:val="0000FF"/>
            <w:sz w:val="21"/>
            <w:u w:val="single"/>
          </w:rPr>
          <w:t>https://arxiv.org/abs/2601.15281v1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探讨了交互式视频生成中被忽视的稳定性和时间一致性的挑战，它通过相机移动和文本提示等交互行为合成动态且可控的视频世界。尽管世界建模取得了显着进展，但当前的方法仍然存在严重的不稳定性和时间退化，常常导致长视域交互过程中的空间漂移和场景崩溃。为了更好地理解这个问题，我们首先调查了不稳定的根本原因，并确定错误累积的主要来源源于同一场景，其中生成的帧逐渐偏离初始干净状态并将错误传播到后续帧。基于这一观察，我们提出了一种简单而有效的方法，\textbf{StableWorld}，一种动态帧驱逐机制。通过不断过滤掉退化的帧，同时保留几何一致的帧，StableWorld 有效地从源头防止累积漂移，从而使交互生成更加稳定和时间一致性。在多个交互式视频模型（例如 Matrix-Game、Open-Oasis 和 Hunyuan-GameCraft）上取得的有希望的结果表明，StableWorld 是模型无关的，可以应用于不同的交互式视频生成框架，以显着提高跨不同交互式场景的稳定性、时间一致性和泛化性。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explore the overlooked challenge of stability and temporal consistency in interactive video generation, which synthesizes dynamic and controllable video worlds through interactive behaviors such as camera movements and text prompts. Despite remarkable progress in world modeling, current methods still suffer from severe instability and temporal degradation, often leading to spatial drift and scene collapse during long-horizon interactions. To better understand this issue, we initially investigate the underlying causes of instability and identify that the major source of error accumulation originates from the same scene, where generated frames gradually deviate from the initial clean state and propagate errors to subsequent frames. Building upon this observation, we propose a simple yet effective method, \textbf{StableWorld}, a Dynamic Frame Eviction Mechanism. By continuously filtering out degraded frames while retaining geometrically consistent ones, StableWorld effectively prevents cumulative drift at its source, leading to more stable and temporal consistency of interactive generation. Promising results on multiple interactive video models, \eg, Matrix-Game, Open-Oasis, and Hunyuan-GameCraft, demonstrate that StableWorld is model-agnostic and can be applied to different interactive video generation frameworks to substantially improve stability, temporal consistency, and generalization across diverse interactive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LuxRemix: Lighting Decomposition and Remixing for Indoor Scenes</w:t>
      </w:r>
    </w:p>
    <w:p>
      <w:r>
        <w:rPr>
          <w:rFonts w:ascii="Times New Roman" w:hAnsi="Times New Roman" w:eastAsia="宋体"/>
          <w:sz w:val="21"/>
        </w:rPr>
        <w:t>作者: Christian Richardt</w:t>
        <w:br/>
      </w:r>
      <w:r>
        <w:rPr>
          <w:rFonts w:ascii="Times New Roman" w:hAnsi="Times New Roman" w:eastAsia="宋体"/>
          <w:sz w:val="21"/>
        </w:rPr>
        <w:t xml:space="preserve">时间: 2026-01-21T18:59:22Z | </w:t>
      </w:r>
      <w:r>
        <w:t xml:space="preserve">链接: </w:t>
      </w:r>
      <w:hyperlink r:id="rId150">
        <w:r>
          <w:rPr>
            <w:rFonts w:ascii="Times New Roman" w:hAnsi="Times New Roman" w:eastAsia="宋体"/>
            <w:color w:val="0000FF"/>
            <w:sz w:val="21"/>
            <w:u w:val="single"/>
          </w:rPr>
          <w:t>https://arxiv.org/abs/2601.15283v1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单个多视图场景捕获在室内场景中进行交互式灯光编辑的新颖方法。我们的方法利用基于生成图像的光分解模型，将复杂的室内场景照明分解为其组成光源。这种分解使得能够独立操纵各个光源，特别是允许控制它们的状态（开/关）、色度和强度。我们进一步引入多视图照明协调，以确保照明分解在所有场景视图中的一致传播。它被集成到可重新点亮的 3D 高斯喷射表示中，提供对各个光源的实时交互控制。我们的结果展示了不同室内场景中高度真实的照明分解和重新照明结果。我们在合成数据集和真实数据集上评估我们的方法，并提供与最先进技术的定量和定性比较。有关视频结果和交互式演示，请参阅 https://luxremix.github.io。</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approach for interactive light editing in indoor scenes from a single multi-view scene capture. Our method leverages a generative image-based light decomposition model that factorizes complex indoor scene illumination into its constituent light sources. This factorization enables independent manipulation of individual light sources, specifically allowing control over their state (on/off), chromaticity, and intensity. We further introduce multi-view lighting harmonization to ensure consistent propagation of the lighting decomposition across all scene views. This is integrated into a relightable 3D Gaussian splatting representation, providing real-time interactive control over the individual light sources. Our results demonstrate highly photorealistic lighting decomposition and relighting outcomes across diverse indoor scenes. We evaluate our method on both synthetic and real-world datasets and provide a quantitative and qualitative comparison to state-of-the-art techniques. For video results and interactive demos, see https://luxremix.github.io.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Iterative Refinement Improves Compositional Image Generation</w:t>
      </w:r>
    </w:p>
    <w:p>
      <w:r>
        <w:rPr>
          <w:rFonts w:ascii="Times New Roman" w:hAnsi="Times New Roman" w:eastAsia="宋体"/>
          <w:sz w:val="21"/>
        </w:rPr>
        <w:t>作者: Deepak Pathak</w:t>
        <w:br/>
      </w:r>
      <w:r>
        <w:rPr>
          <w:rFonts w:ascii="Times New Roman" w:hAnsi="Times New Roman" w:eastAsia="宋体"/>
          <w:sz w:val="21"/>
        </w:rPr>
        <w:t xml:space="preserve">时间: 2026-01-21T18:59:40Z | </w:t>
      </w:r>
      <w:r>
        <w:t xml:space="preserve">链接: </w:t>
      </w:r>
      <w:hyperlink r:id="rId151">
        <w:r>
          <w:rPr>
            <w:rFonts w:ascii="Times New Roman" w:hAnsi="Times New Roman" w:eastAsia="宋体"/>
            <w:color w:val="0000FF"/>
            <w:sz w:val="21"/>
            <w:u w:val="single"/>
          </w:rPr>
          <w:t>https://arxiv.org/abs/2601.15286v1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 (T2I) 模型已经取得了显着的进步，但它们仍然在处理需要同时处理多个对象、关系和属性的复杂提示。现有的推理时间策略，例如与验证器的并行采样或简单地增加去噪步骤，可以改善即时对齐，但对于必须满足许多约束的丰富组合设置仍然不够。受到大型语言模型中思想链推理成功的启发，我们提出了一种迭代测试时间策略，其中 T2I 模型在作为循环批评者的视觉语言模型的反馈的指导下，跨多个步骤逐步完善其生成。我们的方法很简单，不需要外部工具或先验知识，并且可以灵活地应用于各种图像生成器和视觉语言模型。根据经验，我们展示了跨基准图像生成的一致收益：与计算匹配的并行采样相比，ConceptMix (k=7) 的正确率提高了 16.9%，T2I-CompBench（3D 空间类别）提高了 13.8%，Visual Jenga 场景分解提高了 12.5%。除了定量收益之外，迭代细化通过将复杂的提示分解为顺序修正来产生更忠实的生成，对于并行基线，人类评估者在 58.7% 的情况下更喜欢我们的方法，而不是 41.3% 的情况。 Together, these findings highlight iterative self-correction as a broadly applicable principle for compositional image generation. Results and visualizations are available at https://iterative-img-gen.github.io/</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progress, yet they continue to struggle with complex prompts that require simultaneously handling multiple objects, relations, and attributes. Existing inference-time strategies, such as parallel sampling with verifiers or simply increasing denoising steps, can improve prompt alignment but remain inadequate for richly compositional settings where many constraints must be satisfied. Inspired by the success of chain-of-thought reasoning in large language models, we propose an iterative test-time strategy in which a T2I model progressively refines its generations across multiple steps, guided by feedback from a vision-language model as the critic in the loop. Our approach is simple, requires no external tools or priors, and can be flexibly applied to a wide range of image generators and vision-language models. Empirically, we demonstrate consistent gains on image generation across benchmarks: a 16.9% improvement in all-correct rate on ConceptMix (k=7), a 13.8% improvement on T2I-CompBench (3D-Spatial category) and a 12.5% improvement on Visual Jenga scene decomposition compared to compute-matched parallel sampling. Beyond quantitative gains, iterative refinement produces more faithful generations by decomposing complex prompts into sequential corrections, with human evaluators preferring our method 58.7% of the time over 41.3% for the parallel baseline. Together, these findings highlight iterative self-correction as a broadly applicable principle for compositional image generation. Results and visualizations are available at https://iterative-img-gen.github.io/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APPLE：基于扩散的面部交换的属性保留伪标签</w:t>
      </w:r>
    </w:p>
    <w:p>
      <w:r>
        <w:rPr>
          <w:rFonts w:ascii="Times New Roman" w:hAnsi="Times New Roman" w:eastAsia="宋体"/>
          <w:b/>
          <w:color w:val="003264"/>
          <w:sz w:val="24"/>
        </w:rPr>
        <w:t>APPLE: Attribute-Preserving Pseudo-Labeling for Diffusion-Based Face Swapping</w:t>
      </w:r>
    </w:p>
    <w:p>
      <w:r>
        <w:rPr>
          <w:rFonts w:ascii="Times New Roman" w:hAnsi="Times New Roman" w:eastAsia="宋体"/>
          <w:sz w:val="21"/>
        </w:rPr>
        <w:t>作者: Seungryong Kim</w:t>
        <w:br/>
      </w:r>
      <w:r>
        <w:rPr>
          <w:rFonts w:ascii="Times New Roman" w:hAnsi="Times New Roman" w:eastAsia="宋体"/>
          <w:sz w:val="21"/>
        </w:rPr>
        <w:t xml:space="preserve">时间: 2026-01-21T18:59:55Z | </w:t>
      </w:r>
      <w:r>
        <w:t xml:space="preserve">链接: </w:t>
      </w:r>
      <w:hyperlink r:id="rId152">
        <w:r>
          <w:rPr>
            <w:rFonts w:ascii="Times New Roman" w:hAnsi="Times New Roman" w:eastAsia="宋体"/>
            <w:color w:val="0000FF"/>
            <w:sz w:val="21"/>
            <w:u w:val="single"/>
          </w:rPr>
          <w:t>https://arxiv.org/abs/2601.15288v1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交换旨在将源面部的身份转移到目标面部，同时保留目标特定的属性，例如姿势、表情、灯光、肤色和化妆。然而，由于无法获得人脸交换的真实数据，因此实现准确的身份转移和高质量的属性保存仍然具有挑战性。此外，最近基于扩散的方法试图通过对蒙版目标图像进行条件修复来提高视觉保真度，但蒙版条件消除了目标的关键外观线索，导致看似合理但未对齐的属性。为了解决这些限制，我们提出了 APPLE（属性保留伪标签），这是一种基于扩散的师生框架，通过属性感知伪标签监督来增强属性保真度。我们将面部交换重新定义为一项条件去模糊任务，以更忠实地保留特定目标的属性，例如光照、肤色和化妆。 In addition, we introduce an attribute-aware inversion scheme to further improve detailed attribute preservation.通过为教师学习精心设计的属性保留设计，APPLE 生成了高质量的伪三元组，明确为学生提供直接的换脸监督。总体而言，APPLE 在属性保存和身份转移方面实现了最先进的性能，产生了更加逼真和目标忠实的结果。</w:t>
      </w:r>
    </w:p>
    <w:p>
      <w:pPr>
        <w:spacing w:before="120"/>
      </w:pPr>
      <w:r>
        <w:rPr>
          <w:rFonts w:ascii="Times New Roman" w:hAnsi="Times New Roman" w:eastAsia="宋体"/>
          <w:b/>
          <w:sz w:val="21"/>
        </w:rPr>
        <w:t>English Abstract:</w:t>
      </w:r>
    </w:p>
    <w:p>
      <w:r>
        <w:rPr>
          <w:rFonts w:ascii="Times New Roman" w:hAnsi="Times New Roman" w:eastAsia="宋体"/>
          <w:sz w:val="21"/>
        </w:rPr>
        <w:t>Face swapping aims to transfer the identity of a source face onto a target face while preserving target-specific attributes such as pose, expression, lighting, skin tone, and makeup. However, since real ground truth for face swapping is unavailable, achieving both accurate identity transfer and high-quality attribute preservation remains challenging. In addition, recent diffusion-based approaches attempt to improve visual fidelity through conditional inpainting on masked target images, but the masked condition removes crucial appearance cues of target, resulting in plausible yet misaligned attributes. To address these limitations, we propose APPLE (Attribute-Preserving Pseudo-Labeling), a diffusion-based teacher-student framework that enhances attribute fidelity through attribute-aware pseudo-label supervision. We reformulate face swapping as a conditional deblurring task to more faithfully preserve target-specific attributes such as lighting, skin tone, and makeup. In addition, we introduce an attribute-aware inversion scheme to further improve detailed attribute preservation. Through an elaborate attribute-preserving design for teacher learning, APPLE produces high-quality pseudo triplets that explicitly provide the student with direct face-swapping supervision. Overall, APPLE achieves state-of-the-art performance in terms of attribute preservation and identity transfer, producing more photorealistic and target-faithful results.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无外来离子掺杂的零维无铅金属卤化物纳米晶体的多模态发光用于高安全性加密</w:t>
      </w:r>
    </w:p>
    <w:p>
      <w:r>
        <w:rPr>
          <w:rFonts w:ascii="Times New Roman" w:hAnsi="Times New Roman" w:eastAsia="宋体"/>
          <w:b/>
          <w:color w:val="003264"/>
          <w:sz w:val="24"/>
        </w:rPr>
        <w:t>Multimodal Luminescence of Zero‐Dimensional Lead‐Free Metal Halide Nanocrystals Without Foreign‐Ion Doping for High‐Security Encryption</w:t>
      </w:r>
    </w:p>
    <w:p>
      <w:r>
        <w:rPr>
          <w:rFonts w:ascii="Times New Roman" w:hAnsi="Times New Roman" w:eastAsia="宋体"/>
          <w:sz w:val="21"/>
        </w:rPr>
        <w:t xml:space="preserve">作者: Yuxin Luo, </w:t>
        <w:br/>
        <w:t xml:space="preserve">Gencai Pan, </w:t>
        <w:br/>
        <w:t xml:space="preserve">Zhipeng Lv, </w:t>
        <w:br/>
        <w:t xml:space="preserve">Mengke Wang, </w:t>
        <w:br/>
        <w:t xml:space="preserve">Hongye Tang, </w:t>
        <w:br/>
        <w:t xml:space="preserve">Huiping Gao, </w:t>
        <w:br/>
        <w:t xml:space="preserve">Wenwu You, </w:t>
        <w:br/>
        <w:t>Yanli Mao</w:t>
        <w:br/>
      </w:r>
      <w:r>
        <w:rPr>
          <w:rFonts w:ascii="Times New Roman" w:hAnsi="Times New Roman" w:eastAsia="宋体"/>
          <w:sz w:val="21"/>
        </w:rPr>
        <w:t xml:space="preserve">时间: Tue, 20 Jan 2026 06:10:42 -0800 | </w:t>
      </w:r>
      <w:r>
        <w:t xml:space="preserve">链接: </w:t>
      </w:r>
      <w:hyperlink r:id="rId92">
        <w:r>
          <w:rPr>
            <w:rFonts w:ascii="Times New Roman" w:hAnsi="Times New Roman" w:eastAsia="宋体"/>
            <w:color w:val="0000FF"/>
            <w:sz w:val="21"/>
            <w:u w:val="single"/>
          </w:rPr>
          <w:t>https://doi.org/10.1002/lpor.202502570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7">
        <w:r>
          <w:rPr>
            <w:rFonts w:ascii="Times New Roman" w:hAnsi="Times New Roman" w:eastAsia="宋体"/>
            <w:color w:val="0000FF"/>
            <w:sz w:val="21"/>
            <w:u w:val="single"/>
          </w:rPr>
          <w:t>https://doi.org/10.1021/phv013i002_2031573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Error 500 (Server Error)!!1500.That’s an error.There was an error. Please try again later.That’s all we know.</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通过颜色编码和空间频域学习进行单次高动态范围 3D 测量</w:t>
      </w:r>
    </w:p>
    <w:p>
      <w:r>
        <w:rPr>
          <w:rFonts w:ascii="Times New Roman" w:hAnsi="Times New Roman" w:eastAsia="宋体"/>
          <w:b/>
          <w:color w:val="003264"/>
          <w:sz w:val="24"/>
        </w:rPr>
        <w:t>Single-shot high-dynamic-range 3-D measurement via color coding and spatial-frequency domain learning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6">
        <w:r>
          <w:rPr>
            <w:rFonts w:ascii="Times New Roman" w:hAnsi="Times New Roman" w:eastAsia="宋体"/>
            <w:color w:val="0000FF"/>
            <w:sz w:val="21"/>
            <w:u w:val="single"/>
          </w:rPr>
          <w:t>https://www.sciencedirect.com/science/article/pii/S0143816626000333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Jing Xin, Fuqian Li, Qican Zhang, Yajun Wang, Haojie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Jing Xin, Fuqian Li, Qican Zhang, Yajun Wang, Haojie Wei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通过多偏振成像通过人字形微通道区分不同姿势的单个微藻</w:t>
      </w:r>
    </w:p>
    <w:p>
      <w:r>
        <w:rPr>
          <w:rFonts w:ascii="Times New Roman" w:hAnsi="Times New Roman" w:eastAsia="宋体"/>
          <w:b/>
          <w:color w:val="003264"/>
          <w:sz w:val="24"/>
        </w:rPr>
        <w:t>Differentiating individual microalgae at different postures through herringbone microchannel via multiple polarization imaging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9">
        <w:r>
          <w:rPr>
            <w:rFonts w:ascii="Times New Roman" w:hAnsi="Times New Roman" w:eastAsia="宋体"/>
            <w:color w:val="0000FF"/>
            <w:sz w:val="21"/>
            <w:u w:val="single"/>
          </w:rPr>
          <w:t>https://www.sciencedirect.com/science/article/pii/S003039922600054X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Baohui Han, Zheng Hu, Shaoyuan Peng, Fang Dong, Hongyuan Liu, Jiajin Li, Xiang Qian, Ran Liao, Hui Ma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Baohui Han, Zheng Hu, Shaoyuan Peng, Fang Dong, Hongyuan Liu, Jiajin Li, Xiang Qian, Ran Liao, Hui 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用于无人机航拍图像中小物体检测的交互式特征金字塔网络</w:t>
      </w:r>
    </w:p>
    <w:p>
      <w:r>
        <w:rPr>
          <w:rFonts w:ascii="Times New Roman" w:hAnsi="Times New Roman" w:eastAsia="宋体"/>
          <w:b/>
          <w:color w:val="003264"/>
          <w:sz w:val="24"/>
        </w:rPr>
        <w:t>Interactive feature pyramid network for small object detection in UAV aerial images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4">
        <w:r>
          <w:rPr>
            <w:rFonts w:ascii="Times New Roman" w:hAnsi="Times New Roman" w:eastAsia="宋体"/>
            <w:color w:val="0000FF"/>
            <w:sz w:val="21"/>
            <w:u w:val="single"/>
          </w:rPr>
          <w:t>https://www.sciencedirect.com/science/article/pii/S0141938226000156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Jinhang Zhang, LiQiang Song, Min Gao, Wenzhao Li, Zhuang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Jinhang Zhang, LiQiang Song, Min Gao, Wenzhao Li, Zhuang Wei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VENI：自然照明的变分编码器</w:t>
      </w:r>
    </w:p>
    <w:p>
      <w:r>
        <w:rPr>
          <w:rFonts w:ascii="Times New Roman" w:hAnsi="Times New Roman" w:eastAsia="宋体"/>
          <w:b/>
          <w:color w:val="003264"/>
          <w:sz w:val="24"/>
        </w:rPr>
        <w:t>VENI: Variational Encoder for Natural Illumination</w:t>
      </w:r>
    </w:p>
    <w:p>
      <w:r>
        <w:rPr>
          <w:rFonts w:ascii="Times New Roman" w:hAnsi="Times New Roman" w:eastAsia="宋体"/>
          <w:sz w:val="21"/>
        </w:rPr>
        <w:t>作者: Bernhard Egger</w:t>
        <w:br/>
      </w:r>
      <w:r>
        <w:rPr>
          <w:rFonts w:ascii="Times New Roman" w:hAnsi="Times New Roman" w:eastAsia="宋体"/>
          <w:sz w:val="21"/>
        </w:rPr>
        <w:t xml:space="preserve">时间: 2026-01-20T15:38:02Z | </w:t>
      </w:r>
      <w:r>
        <w:t xml:space="preserve">链接: </w:t>
      </w:r>
      <w:hyperlink r:id="rId145">
        <w:r>
          <w:rPr>
            <w:rFonts w:ascii="Times New Roman" w:hAnsi="Times New Roman" w:eastAsia="宋体"/>
            <w:color w:val="0000FF"/>
            <w:sz w:val="21"/>
            <w:u w:val="single"/>
          </w:rPr>
          <w:t>https://arxiv.org/abs/2601.14079v1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是一个不适定问题，但是像照明先验这样的先验可以简化它。现有的工作要么忽视照明环境的球形和旋转等变性质，要么不提供表现良好的潜在空间。我们提出了一种旋转等变变分自动编码器，可以在不依赖 2D 投影的情况下对球体上的自然照明进行建模。为了保持环境图的 SO(2) 等变性，我们使用新颖的矢量神经元视觉变换器 (VN-ViT) 作为编码器，使用旋转等变条件神经场作为解码器。在编码器中，我们使用新颖的 SO(2) 等变全连接层（矢量神经元的扩展）将等方差从 SO(3) 减少到 SO(2)。我们证明，当我们的 SO(2) 等变模型中使用时，我们的 SO(2) 等变全连接层的性能优于标准矢量神经元。与以前的方法相比，我们的变分自动编码器可以在潜在空间中实现更平滑的插值，并提供表现更良好的潜在空间。</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is an ill-posed problem, but priors like illumination priors, can simplify it. Existing work either disregards the spherical and rotation-equivariant nature of illumination environments or does not provide a well-behaved latent space. We propose a rotation-equivariant variational autoencoder that models natural illumination on the sphere without relying on 2D projections. To preserve the SO(2)-equivariance of environment maps, we use a novel Vector Neuron Vision Transformer (VN-ViT) as encoder and a rotation-equivariant conditional neural field as decoder. In the encoder, we reduce the equivariance from SO(3) to SO(2) using a novel SO(2)-equivariant fully connected layer, an extension of Vector Neurons. We show that our SO(2)-equivariant fully connected layer outperforms standard Vector Neurons when used in our SO(2)-equivariant model. Compared to previous methods, our variational autoencoder enables smoother interpolation in latent space and offers a more well-behaved latent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隐式神经表示促进统一通用视觉编码</w:t>
      </w:r>
    </w:p>
    <w:p>
      <w:r>
        <w:rPr>
          <w:rFonts w:ascii="Times New Roman" w:hAnsi="Times New Roman" w:eastAsia="宋体"/>
          <w:b/>
          <w:color w:val="003264"/>
          <w:sz w:val="24"/>
        </w:rPr>
        <w:t>Implicit Neural Representation Facilitates Unified Universal Vision Encoding</w:t>
      </w:r>
    </w:p>
    <w:p>
      <w:r>
        <w:rPr>
          <w:rFonts w:ascii="Times New Roman" w:hAnsi="Times New Roman" w:eastAsia="宋体"/>
          <w:sz w:val="21"/>
        </w:rPr>
        <w:t>作者: Zhenheng Yang</w:t>
        <w:br/>
      </w:r>
      <w:r>
        <w:rPr>
          <w:rFonts w:ascii="Times New Roman" w:hAnsi="Times New Roman" w:eastAsia="宋体"/>
          <w:sz w:val="21"/>
        </w:rPr>
        <w:t xml:space="preserve">时间: 2026-01-20T18:59:57Z | </w:t>
      </w:r>
      <w:r>
        <w:t xml:space="preserve">链接: </w:t>
      </w:r>
      <w:hyperlink r:id="rId146">
        <w:r>
          <w:rPr>
            <w:rFonts w:ascii="Times New Roman" w:hAnsi="Times New Roman" w:eastAsia="宋体"/>
            <w:color w:val="0000FF"/>
            <w:sz w:val="21"/>
            <w:u w:val="single"/>
          </w:rPr>
          <w:t>https://arxiv.org/abs/2601.14256v1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表示学习的模型通常是为识别或生成而设计的。各种形式的对比学习可帮助模型学习将图像转换为可用于分类、检测和分割的嵌入。另一方面，可以训练模型来重建具有像素级、感知性和对抗性损失的图像，以便学习对图像生成有用的潜在空间。我们寻求通过首个模型来统一这两个方向，该模型学习同时可用于识别和生成的表示。我们将模型训练为隐式神经表示的超网络，它学习将图像映射到模型权重，以实现快速、准确的重建。我们进一步将 INR 超网络与知识蒸馏相结合，以提高其泛化性和性能。除了新颖的训练设计之外，该模型还学习了前所未有的压缩嵌入空间，对于各种视觉任务具有出色的性能。完整的模型可与图像表示学习的最先进结果相媲美，同时还通过其高质量的微小嵌入实现生成能力。该代码可在 https://github.com/tiktok/huvr 获取。</w:t>
      </w:r>
    </w:p>
    <w:p>
      <w:pPr>
        <w:spacing w:before="120"/>
      </w:pPr>
      <w:r>
        <w:rPr>
          <w:rFonts w:ascii="Times New Roman" w:hAnsi="Times New Roman" w:eastAsia="宋体"/>
          <w:b/>
          <w:sz w:val="21"/>
        </w:rPr>
        <w:t>English Abstract:</w:t>
      </w:r>
    </w:p>
    <w:p>
      <w:r>
        <w:rPr>
          <w:rFonts w:ascii="Times New Roman" w:hAnsi="Times New Roman" w:eastAsia="宋体"/>
          <w:sz w:val="21"/>
        </w:rPr>
        <w:t>Models for image representation learning are typically designed for either recognition or generation. Various forms of contrastive learning help models learn to convert images to embeddings that are useful for classification, detection, and segmentation. On the other hand, models can be trained to reconstruct images with pixel-wise, perceptual, and adversarial losses in order to learn a latent space that is useful for image generation. We seek to unify these two directions with a first-of-its-kind model that learns representations which are simultaneously useful for recognition and generation. We train our model as a hyper-network for implicit neural representation, which learns to map images to model weights for fast, accurate reconstruction. We further integrate our INR hyper-network with knowledge distillation to improve its generalization and performance. Beyond the novel training design, the model also learns an unprecedented compressed embedding space with outstanding performance for various visual tasks. The complete model competes with state-of-the-art results for image representation learning, while also enabling generative capabilities with its high-quality tiny embeddings. The code is available at https://github.com/tiktok/huvr.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POTR：训练后 3DGS 压缩</w:t>
      </w:r>
    </w:p>
    <w:p>
      <w:r>
        <w:rPr>
          <w:rFonts w:ascii="Times New Roman" w:hAnsi="Times New Roman" w:eastAsia="宋体"/>
          <w:b/>
          <w:color w:val="003264"/>
          <w:sz w:val="24"/>
        </w:rPr>
        <w:t>POTR: Post-Training 3DGS Compression</w:t>
      </w:r>
    </w:p>
    <w:p>
      <w:r>
        <w:rPr>
          <w:rFonts w:ascii="Times New Roman" w:hAnsi="Times New Roman" w:eastAsia="宋体"/>
          <w:sz w:val="21"/>
        </w:rPr>
        <w:t>作者: Glenn Van Wallendael</w:t>
        <w:br/>
      </w:r>
      <w:r>
        <w:rPr>
          <w:rFonts w:ascii="Times New Roman" w:hAnsi="Times New Roman" w:eastAsia="宋体"/>
          <w:sz w:val="21"/>
        </w:rPr>
        <w:t xml:space="preserve">时间: 2026-01-21T09:47:45Z | </w:t>
      </w:r>
      <w:r>
        <w:t xml:space="preserve">链接: </w:t>
      </w:r>
      <w:hyperlink r:id="rId147">
        <w:r>
          <w:rPr>
            <w:rFonts w:ascii="Times New Roman" w:hAnsi="Times New Roman" w:eastAsia="宋体"/>
            <w:color w:val="0000FF"/>
            <w:sz w:val="21"/>
            <w:u w:val="single"/>
          </w:rPr>
          <w:t>https://arxiv.org/abs/2601.14821v1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最近在 3D 场景重建和实时新视图合成领域成为神经辐射场 (NeRF) 的有力竞争者。 3DGS 在训练和推理速度方面优于 NeRF，但存储要求要高得多。为了弥补这一缺点，我们提出了 POTR，一种基于两种新技术的训练后 3DGS 编解码器。首先，POTR 引入了一种新颖的修剪方法，该方法使用改进的 3DGS 光栅器来同时有效地计算每个 splat 的单独去除效果。与其他训练后修剪技术相比，该技术的 splats 数量减少了 2-4 倍，因此还显着加速了推理速度，实验表明推理速度比其他压缩模型快 1.5-2 倍。其次，我们提出了一种重新计算照明系数的新颖方法，无需使用任何形式的训练即可显着降低其熵。我们的快速且高度并行的方法尤其提高了交流照明系数的稀疏性，实验证明稀疏性从 70% 提高到 97%，同时质量损失最小。最后，我们通过简单的微调方案扩展 POTR，以进一步增强剪枝、推理和率失真性能。实验表明，即使没有微调，POTR 在率失真性能和推理速度方面也始终优于所有其他训练后压缩技术。</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emerged as a promising contender to Neural Radiance Fields (NeRF) in 3D scene reconstruction and real-time novel view synthesis. 3DGS outperforms NeRF in training and inference speed but has substantially higher storage requirements. To remedy this downside, we propose POTR, a post-training 3DGS codec built on two novel techniques. First, POTR introduces a novel pruning approach that uses a modified 3DGS rasterizer to efficiently calculate every splat's individual removal effect simultaneously. This technique results in 2-4x fewer splats than other post-training pruning techniques and as a result also significantly accelerates inference with experiments demonstrating 1.5-2x faster inference than other compressed models. Second, we propose a novel method to recompute lighting coefficients, significantly reducing their entropy without using any form of training. Our fast and highly parallel approach especially increases AC lighting coefficient sparsity, with experiments demonstrating increases from 70% to 97%, with minimal loss in quality. Finally, we extend POTR with a simple fine-tuning scheme to further enhance pruning, inference, and rate-distortion performance. Experiments demonstrate that POTR, even without fine-tuning, consistently outperforms all other post-training compression techniques in both rate-distortion performance and inference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GAT-NeRF：用于高保真 4D 面部头像的几何感知变压器增强神经辐射场</w:t>
      </w:r>
    </w:p>
    <w:p>
      <w:r>
        <w:rPr>
          <w:rFonts w:ascii="Times New Roman" w:hAnsi="Times New Roman" w:eastAsia="宋体"/>
          <w:b/>
          <w:color w:val="003264"/>
          <w:sz w:val="24"/>
        </w:rPr>
        <w:t>GAT-NeRF: Geometry-Aware-Transformer Enhanced Neural Radiance Fields for High-Fidelity 4D Facial Avatars</w:t>
      </w:r>
    </w:p>
    <w:p>
      <w:r>
        <w:rPr>
          <w:rFonts w:ascii="Times New Roman" w:hAnsi="Times New Roman" w:eastAsia="宋体"/>
          <w:sz w:val="21"/>
        </w:rPr>
        <w:t>作者: Hui Yu</w:t>
        <w:br/>
      </w:r>
      <w:r>
        <w:rPr>
          <w:rFonts w:ascii="Times New Roman" w:hAnsi="Times New Roman" w:eastAsia="宋体"/>
          <w:sz w:val="21"/>
        </w:rPr>
        <w:t xml:space="preserve">时间: 2026-01-21T11:05:13Z | </w:t>
      </w:r>
      <w:r>
        <w:t xml:space="preserve">链接: </w:t>
      </w:r>
      <w:hyperlink r:id="rId148">
        <w:r>
          <w:rPr>
            <w:rFonts w:ascii="Times New Roman" w:hAnsi="Times New Roman" w:eastAsia="宋体"/>
            <w:color w:val="0000FF"/>
            <w:sz w:val="21"/>
            <w:u w:val="single"/>
          </w:rPr>
          <w:t>https://arxiv.org/abs/2601.14875v1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随着对沉浸式虚拟人应用的需求不断增长，从单眼视频重建高保真 4D 动态面部头像是一项关键但具有挑战性的任务。虽然神经辐射场 (NeRF) 具有先进的场景表示能力，但其捕获高频面部细节（例如信息受限的单眼流中的动态皱纹和微妙纹理）的能力需要显着增强。为了应对这一挑战，我们提出了一种新颖的混合神经辐射场框架，称为几何感知变换器增强型 NeRF (GAT-NeRF)，用于高保真且可控的 4D 面部头像重建，它将 Transformer 机制集成到 NeRF 管道中。 GAT-NeRF 将坐标对齐的多层感知器 (MLP) 与轻量级 Transformer 模块协同结合，由于其处理包含显式几何先验的多模态输入，因此被称为几何感知变换器 (GAT)。 GAT 模块通过融合多模态输入特征来实现，包括 3D 空间坐标、3D 可变形模型 (3DMM) 表达参数和可学习潜在代码，以有效学习和增强与细粒度几何相关的特征表示。 Transformer 的有效特征学习功能可显着增强复杂局部面部模式（如动态皱纹和痤疮疤痕）的建模。综合实验明确证明了 GAT-NeRF 在视觉保真度和高频细节恢复方面的最先进性能，为为多媒体应用创建逼真的动态数字人类开辟了新途径。</w:t>
      </w:r>
    </w:p>
    <w:p>
      <w:pPr>
        <w:spacing w:before="120"/>
      </w:pPr>
      <w:r>
        <w:rPr>
          <w:rFonts w:ascii="Times New Roman" w:hAnsi="Times New Roman" w:eastAsia="宋体"/>
          <w:b/>
          <w:sz w:val="21"/>
        </w:rPr>
        <w:t>English Abstract:</w:t>
      </w:r>
    </w:p>
    <w:p>
      <w:r>
        <w:rPr>
          <w:rFonts w:ascii="Times New Roman" w:hAnsi="Times New Roman" w:eastAsia="宋体"/>
          <w:sz w:val="21"/>
        </w:rPr>
        <w:t>High-fidelity 4D dynamic facial avatar reconstruction from monocular video is a critical yet challenging task, driven by increasing demands for immersive virtual human applications. While Neural Radiance Fields (NeRF) have advanced scene representation, their capacity to capture high-frequency facial details, such as dynamic wrinkles and subtle textures from information-constrained monocular streams, requires significant enhancement. To tackle this challenge, we propose a novel hybrid neural radiance field framework, called Geometry-Aware-Transformer Enhanced NeRF (GAT-NeRF) for high-fidelity and controllable 4D facial avatar reconstruction, which integrates the Transformer mechanism into the NeRF pipeline. GAT-NeRF synergistically combines a coordinate-aligned Multilayer Perceptron (MLP) with a lightweight Transformer module, termed as Geometry-Aware-Transformer (GAT) due to its processing of multi-modal inputs containing explicit geometric priors. The GAT module is enabled by fusing multi-modal input features, including 3D spatial coordinates, 3D Morphable Model (3DMM) expression parameters, and learnable latent codes to effectively learn and enhance feature representations pertinent to fine-grained geometry. The Transformer's effective feature learning capabilities are leveraged to significantly augment the modeling of complex local facial patterns like dynamic wrinkles and acne scars. Comprehensive experiments unequivocally demonstrate GAT-NeRF's state-of-the-art performance in visual fidelity and high-frequency detail recovery, forging new pathways for creating realistic dynamic digital humans for multimedia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04:09 ---</w:t>
      </w:r>
    </w:p>
    <w:p>
      <w:pPr>
        <w:pStyle w:val="Heading2"/>
      </w:pPr>
      <w:r/>
      <w:r>
        <w:rPr>
          <w:rFonts w:ascii="Times New Roman" w:hAnsi="Times New Roman" w:eastAsia="宋体"/>
          <w:b/>
          <w:color w:val="000000"/>
          <w:sz w:val="24"/>
        </w:rPr>
        <w:t>使用太赫兹时域光谱和深度学习对化学品和隐藏爆炸物进行检测和成像</w:t>
      </w:r>
    </w:p>
    <w:p>
      <w:r>
        <w:rPr>
          <w:rFonts w:ascii="Times New Roman" w:hAnsi="Times New Roman" w:eastAsia="宋体"/>
          <w:b/>
          <w:color w:val="003264"/>
          <w:sz w:val="24"/>
        </w:rPr>
        <w:t>Detection and imaging of chemicals and hidden explosives using terahertz time-domain spectroscopy and deep learning</w:t>
      </w:r>
    </w:p>
    <w:p>
      <w:r>
        <w:rPr>
          <w:rFonts w:ascii="Times New Roman" w:hAnsi="Times New Roman" w:eastAsia="宋体"/>
          <w:sz w:val="21"/>
        </w:rPr>
        <w:t>作者: Mona Jarrahi</w:t>
        <w:br/>
      </w:r>
      <w:r>
        <w:rPr>
          <w:rFonts w:ascii="Times New Roman" w:hAnsi="Times New Roman" w:eastAsia="宋体"/>
          <w:sz w:val="21"/>
        </w:rPr>
        <w:t xml:space="preserve">时间:  | </w:t>
      </w:r>
      <w:r>
        <w:t xml:space="preserve">链接: </w:t>
      </w:r>
      <w:hyperlink r:id="rId153">
        <w:r>
          <w:rPr>
            <w:rFonts w:ascii="Times New Roman" w:hAnsi="Times New Roman" w:eastAsia="宋体"/>
            <w:color w:val="0000FF"/>
            <w:sz w:val="21"/>
            <w:u w:val="single"/>
          </w:rPr>
          <w:t>https://www.nature.com/articles/s41377-026-02190-z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doi:10.1038/s41377-026-02190-z利用太赫兹时域光谱和深度学习对化学品和隐藏爆炸物进行检测和成像</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doi:10.1038/s41377-026-02190-zDetection and imaging of chemicals and hidden explosives using terahertz time-domain spectroscopy and deep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光学微腔中旋转对称破缺的色散工程</w:t>
      </w:r>
    </w:p>
    <w:p>
      <w:r>
        <w:rPr>
          <w:rFonts w:ascii="Times New Roman" w:hAnsi="Times New Roman" w:eastAsia="宋体"/>
          <w:b/>
          <w:color w:val="003264"/>
          <w:sz w:val="24"/>
        </w:rPr>
        <w:t>Dispersion engineering by rotational symmetry breaking in an optical microcavity</w:t>
      </w:r>
    </w:p>
    <w:p>
      <w:r>
        <w:rPr>
          <w:rFonts w:ascii="Times New Roman" w:hAnsi="Times New Roman" w:eastAsia="宋体"/>
          <w:sz w:val="21"/>
        </w:rPr>
        <w:t>作者: Yun-Feng Xiao</w:t>
        <w:br/>
      </w:r>
      <w:r>
        <w:rPr>
          <w:rFonts w:ascii="Times New Roman" w:hAnsi="Times New Roman" w:eastAsia="宋体"/>
          <w:sz w:val="21"/>
        </w:rPr>
        <w:t xml:space="preserve">时间:  | </w:t>
      </w:r>
      <w:r>
        <w:t xml:space="preserve">链接: </w:t>
      </w:r>
      <w:hyperlink r:id="rId154">
        <w:r>
          <w:rPr>
            <w:rFonts w:ascii="Times New Roman" w:hAnsi="Times New Roman" w:eastAsia="宋体"/>
            <w:color w:val="0000FF"/>
            <w:sz w:val="21"/>
            <w:u w:val="single"/>
          </w:rPr>
          <w:t>https://www.nature.com/articles/s41377-025-02169-2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doi:10.1038/s41377-025-02169-2光学微腔中旋转对称破缺的色散工程</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doi:10.1038/s41377-025-02169-2Dispersion engineering by rotational symmetry breaking in an optical microcavity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使用高次谐波发生在水窗光谱范围内进行相干断层扫描的软 X 射线成像</w:t>
      </w:r>
    </w:p>
    <w:p>
      <w:r>
        <w:rPr>
          <w:rFonts w:ascii="Times New Roman" w:hAnsi="Times New Roman" w:eastAsia="宋体"/>
          <w:b/>
          <w:color w:val="003264"/>
          <w:sz w:val="24"/>
        </w:rPr>
        <w:t>Soft X-ray imaging with coherence tomography in the water window spectral range using high-harmonic generation</w:t>
      </w:r>
    </w:p>
    <w:p>
      <w:r>
        <w:rPr>
          <w:rFonts w:ascii="Times New Roman" w:hAnsi="Times New Roman" w:eastAsia="宋体"/>
          <w:sz w:val="21"/>
        </w:rPr>
        <w:t>作者: Silvio Fuchs</w:t>
        <w:br/>
      </w:r>
      <w:r>
        <w:rPr>
          <w:rFonts w:ascii="Times New Roman" w:hAnsi="Times New Roman" w:eastAsia="宋体"/>
          <w:sz w:val="21"/>
        </w:rPr>
        <w:t xml:space="preserve">时间:  | </w:t>
      </w:r>
      <w:r>
        <w:t xml:space="preserve">链接: </w:t>
      </w:r>
      <w:hyperlink r:id="rId155">
        <w:r>
          <w:rPr>
            <w:rFonts w:ascii="Times New Roman" w:hAnsi="Times New Roman" w:eastAsia="宋体"/>
            <w:color w:val="0000FF"/>
            <w:sz w:val="21"/>
            <w:u w:val="single"/>
          </w:rPr>
          <w:t>https://www.nature.com/articles/s41377-025-02057-9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doi:10.1038/s41377-025-02057-9使用软X射线相干断层扫描（SXCT）实现高次谐波产生的水窗成像，以12纳米轴向分辨率揭示埋入纳米层的横截面结构。</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doi:10.1038/s41377-025-02057-9Water window imaging with high-harmonic generation is achieved using soft X-ray coherence tomography (SXCT), revealing the cross-sectional structure of buried nanolayers with 12 nm axial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超快光学时空模拟计算的实验演示</w:t>
      </w:r>
    </w:p>
    <w:p>
      <w:r>
        <w:rPr>
          <w:rFonts w:ascii="Times New Roman" w:hAnsi="Times New Roman" w:eastAsia="宋体"/>
          <w:b/>
          <w:color w:val="003264"/>
          <w:sz w:val="24"/>
        </w:rPr>
        <w:t>Experimental demonstration of spatiotemporal analog computation in ultrafast optics</w:t>
      </w:r>
    </w:p>
    <w:p>
      <w:r>
        <w:rPr>
          <w:rFonts w:ascii="Times New Roman" w:hAnsi="Times New Roman" w:eastAsia="宋体"/>
          <w:sz w:val="21"/>
        </w:rPr>
        <w:t>作者: Zhichao Ruan</w:t>
        <w:br/>
      </w:r>
      <w:r>
        <w:rPr>
          <w:rFonts w:ascii="Times New Roman" w:hAnsi="Times New Roman" w:eastAsia="宋体"/>
          <w:sz w:val="21"/>
        </w:rPr>
        <w:t xml:space="preserve">时间:  | </w:t>
      </w:r>
      <w:r>
        <w:t xml:space="preserve">链接: </w:t>
      </w:r>
      <w:hyperlink r:id="rId156">
        <w:r>
          <w:rPr>
            <w:rFonts w:ascii="Times New Roman" w:hAnsi="Times New Roman" w:eastAsia="宋体"/>
            <w:color w:val="0000FF"/>
            <w:sz w:val="21"/>
            <w:u w:val="single"/>
          </w:rPr>
          <w:t>https://www.nature.com/articles/s41377-025-02109-0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doi:10.1038/s41377-025-02109-0超快光学中时空模拟计算的实验演示</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doi:10.1038/s41377-025-02109-0Experimental demonstration of spatiotemporal analog computation in ultrafast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具有超表面的矢量广义涡阵列的生成</w:t>
      </w:r>
    </w:p>
    <w:p>
      <w:r>
        <w:rPr>
          <w:rFonts w:ascii="Times New Roman" w:hAnsi="Times New Roman" w:eastAsia="宋体"/>
          <w:b/>
          <w:color w:val="003264"/>
          <w:sz w:val="24"/>
        </w:rPr>
        <w:t>Generation of vectorial generalized vortex array with metasurfaces</w:t>
      </w:r>
    </w:p>
    <w:p>
      <w:r>
        <w:rPr>
          <w:rFonts w:ascii="Times New Roman" w:hAnsi="Times New Roman" w:eastAsia="宋体"/>
          <w:sz w:val="21"/>
        </w:rPr>
        <w:t>作者: Guoxing Zheng</w:t>
        <w:br/>
      </w:r>
      <w:r>
        <w:rPr>
          <w:rFonts w:ascii="Times New Roman" w:hAnsi="Times New Roman" w:eastAsia="宋体"/>
          <w:sz w:val="21"/>
        </w:rPr>
        <w:t xml:space="preserve">时间:  | </w:t>
      </w:r>
      <w:r>
        <w:t xml:space="preserve">链接: </w:t>
      </w:r>
      <w:hyperlink r:id="rId157">
        <w:r>
          <w:rPr>
            <w:rFonts w:ascii="Times New Roman" w:hAnsi="Times New Roman" w:eastAsia="宋体"/>
            <w:color w:val="0000FF"/>
            <w:sz w:val="21"/>
            <w:u w:val="single"/>
          </w:rPr>
          <w:t>https://www.nature.com/articles/s41377-025-02102-7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doi:10.1038/s41377-025-02102-7具有超表面的矢量广义涡阵列的生成</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doi:10.1038/s41377-025-02102-7Generation of vectorial generalized vortex array with metasurfaces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0550" TargetMode="External"/><Relationship Id="rId11" Type="http://schemas.openxmlformats.org/officeDocument/2006/relationships/hyperlink" Target="https://doi.org/10.1364/oe.584439" TargetMode="External"/><Relationship Id="rId12" Type="http://schemas.openxmlformats.org/officeDocument/2006/relationships/hyperlink" Target="https://doi.org/10.1364/oe.585267" TargetMode="External"/><Relationship Id="rId13" Type="http://schemas.openxmlformats.org/officeDocument/2006/relationships/hyperlink" Target="https://doi.org/10.1364/oe.589629" TargetMode="External"/><Relationship Id="rId14" Type="http://schemas.openxmlformats.org/officeDocument/2006/relationships/hyperlink" Target="https://doi.org/10.1364/oe.582572" TargetMode="External"/><Relationship Id="rId15" Type="http://schemas.openxmlformats.org/officeDocument/2006/relationships/hyperlink" Target="https://doi.org/10.1364/oe.580334" TargetMode="External"/><Relationship Id="rId16" Type="http://schemas.openxmlformats.org/officeDocument/2006/relationships/hyperlink" Target="https://doi.org/10.1364/oe.582669" TargetMode="External"/><Relationship Id="rId17" Type="http://schemas.openxmlformats.org/officeDocument/2006/relationships/hyperlink" Target="https://doi.org/10.1364/oe.587364" TargetMode="External"/><Relationship Id="rId18" Type="http://schemas.openxmlformats.org/officeDocument/2006/relationships/hyperlink" Target="https://doi.org/10.1364/oe.588211" TargetMode="External"/><Relationship Id="rId19" Type="http://schemas.openxmlformats.org/officeDocument/2006/relationships/hyperlink" Target="https://doi.org/10.1364/oe.586460" TargetMode="External"/><Relationship Id="rId20" Type="http://schemas.openxmlformats.org/officeDocument/2006/relationships/hyperlink" Target="https://doi.org/10.1364/oe.578618" TargetMode="External"/><Relationship Id="rId21" Type="http://schemas.openxmlformats.org/officeDocument/2006/relationships/hyperlink" Target="https://doi.org/10.1364/aop.580214" TargetMode="External"/><Relationship Id="rId22" Type="http://schemas.openxmlformats.org/officeDocument/2006/relationships/hyperlink" Target="https://arxiv.org/abs/2601.14381v1" TargetMode="External"/><Relationship Id="rId23" Type="http://schemas.openxmlformats.org/officeDocument/2006/relationships/hyperlink" Target="https://arxiv.org/abs/2601.14474v1" TargetMode="External"/><Relationship Id="rId24" Type="http://schemas.openxmlformats.org/officeDocument/2006/relationships/hyperlink" Target="https://arxiv.org/abs/2601.14552v1" TargetMode="External"/><Relationship Id="rId25" Type="http://schemas.openxmlformats.org/officeDocument/2006/relationships/hyperlink" Target="https://arxiv.org/abs/2601.14565v1" TargetMode="External"/><Relationship Id="rId26" Type="http://schemas.openxmlformats.org/officeDocument/2006/relationships/hyperlink" Target="https://arxiv.org/abs/2601.14645v1" TargetMode="External"/><Relationship Id="rId27" Type="http://schemas.openxmlformats.org/officeDocument/2006/relationships/hyperlink" Target="https://arxiv.org/abs/2601.14656v1" TargetMode="External"/><Relationship Id="rId28" Type="http://schemas.openxmlformats.org/officeDocument/2006/relationships/hyperlink" Target="https://arxiv.org/abs/2601.14670v1" TargetMode="External"/><Relationship Id="rId29" Type="http://schemas.openxmlformats.org/officeDocument/2006/relationships/hyperlink" Target="https://arxiv.org/abs/2601.14708v1" TargetMode="External"/><Relationship Id="rId30" Type="http://schemas.openxmlformats.org/officeDocument/2006/relationships/hyperlink" Target="https://arxiv.org/abs/2601.14715v1" TargetMode="External"/><Relationship Id="rId31" Type="http://schemas.openxmlformats.org/officeDocument/2006/relationships/hyperlink" Target="https://arxiv.org/abs/2601.14726v1" TargetMode="External"/><Relationship Id="rId32" Type="http://schemas.openxmlformats.org/officeDocument/2006/relationships/hyperlink" Target="https://arxiv.org/abs/2601.14854v1" TargetMode="External"/><Relationship Id="rId33" Type="http://schemas.openxmlformats.org/officeDocument/2006/relationships/hyperlink" Target="https://arxiv.org/abs/2601.14938v1" TargetMode="External"/><Relationship Id="rId34" Type="http://schemas.openxmlformats.org/officeDocument/2006/relationships/hyperlink" Target="https://arxiv.org/abs/2601.14963v1" TargetMode="External"/><Relationship Id="rId35" Type="http://schemas.openxmlformats.org/officeDocument/2006/relationships/hyperlink" Target="https://arxiv.org/abs/2601.15137v1" TargetMode="External"/><Relationship Id="rId36" Type="http://schemas.openxmlformats.org/officeDocument/2006/relationships/hyperlink" Target="https://arxiv.org/abs/2601.15193v1" TargetMode="External"/><Relationship Id="rId37" Type="http://schemas.openxmlformats.org/officeDocument/2006/relationships/hyperlink" Target="https://arxiv.org/abs/2601.15210v1" TargetMode="External"/><Relationship Id="rId38" Type="http://schemas.openxmlformats.org/officeDocument/2006/relationships/hyperlink" Target="https://arxiv.org/abs/2601.15248v1" TargetMode="External"/><Relationship Id="rId39" Type="http://schemas.openxmlformats.org/officeDocument/2006/relationships/hyperlink" Target="https://arxiv.org/abs/2601.15261v1" TargetMode="External"/><Relationship Id="rId40" Type="http://schemas.openxmlformats.org/officeDocument/2006/relationships/hyperlink" Target="https://arxiv.org/abs/2601.14406v1" TargetMode="External"/><Relationship Id="rId41" Type="http://schemas.openxmlformats.org/officeDocument/2006/relationships/hyperlink" Target="https://arxiv.org/abs/2601.14477v1" TargetMode="External"/><Relationship Id="rId42" Type="http://schemas.openxmlformats.org/officeDocument/2006/relationships/hyperlink" Target="https://arxiv.org/abs/2601.14793v1" TargetMode="External"/><Relationship Id="rId43" Type="http://schemas.openxmlformats.org/officeDocument/2006/relationships/hyperlink" Target="https://arxiv.org/abs/2601.14997v1" TargetMode="External"/><Relationship Id="rId44" Type="http://schemas.openxmlformats.org/officeDocument/2006/relationships/hyperlink" Target="https://arxiv.org/abs/2601.15102v1" TargetMode="External"/><Relationship Id="rId45" Type="http://schemas.openxmlformats.org/officeDocument/2006/relationships/hyperlink" Target="https://arxiv.org/abs/2601.15119v1" TargetMode="External"/><Relationship Id="rId46" Type="http://schemas.openxmlformats.org/officeDocument/2006/relationships/hyperlink" Target="https://arxiv.org/abs/2601.14438v1" TargetMode="External"/><Relationship Id="rId47" Type="http://schemas.openxmlformats.org/officeDocument/2006/relationships/hyperlink" Target="https://arxiv.org/abs/2601.14448v1" TargetMode="External"/><Relationship Id="rId48" Type="http://schemas.openxmlformats.org/officeDocument/2006/relationships/hyperlink" Target="https://arxiv.org/abs/2601.14475v1" TargetMode="External"/><Relationship Id="rId49" Type="http://schemas.openxmlformats.org/officeDocument/2006/relationships/hyperlink" Target="https://arxiv.org/abs/2601.14530v1" TargetMode="External"/><Relationship Id="rId50" Type="http://schemas.openxmlformats.org/officeDocument/2006/relationships/hyperlink" Target="https://arxiv.org/abs/2601.14563v1" TargetMode="External"/><Relationship Id="rId51" Type="http://schemas.openxmlformats.org/officeDocument/2006/relationships/hyperlink" Target="https://arxiv.org/abs/2601.14584v1" TargetMode="External"/><Relationship Id="rId52" Type="http://schemas.openxmlformats.org/officeDocument/2006/relationships/hyperlink" Target="https://arxiv.org/abs/2601.14593v1" TargetMode="External"/><Relationship Id="rId53" Type="http://schemas.openxmlformats.org/officeDocument/2006/relationships/hyperlink" Target="https://arxiv.org/abs/2601.14602v1" TargetMode="External"/><Relationship Id="rId54" Type="http://schemas.openxmlformats.org/officeDocument/2006/relationships/hyperlink" Target="https://arxiv.org/abs/2601.14605v1" TargetMode="External"/><Relationship Id="rId55" Type="http://schemas.openxmlformats.org/officeDocument/2006/relationships/hyperlink" Target="https://arxiv.org/abs/2601.14625v1" TargetMode="External"/><Relationship Id="rId56" Type="http://schemas.openxmlformats.org/officeDocument/2006/relationships/hyperlink" Target="https://arxiv.org/abs/2601.14637v1" TargetMode="External"/><Relationship Id="rId57" Type="http://schemas.openxmlformats.org/officeDocument/2006/relationships/hyperlink" Target="https://arxiv.org/abs/2601.14671v1" TargetMode="External"/><Relationship Id="rId58" Type="http://schemas.openxmlformats.org/officeDocument/2006/relationships/hyperlink" Target="https://arxiv.org/abs/2601.14674v1" TargetMode="External"/><Relationship Id="rId59" Type="http://schemas.openxmlformats.org/officeDocument/2006/relationships/hyperlink" Target="https://arxiv.org/abs/2601.14677v1" TargetMode="External"/><Relationship Id="rId60" Type="http://schemas.openxmlformats.org/officeDocument/2006/relationships/hyperlink" Target="https://arxiv.org/abs/2601.14678v1" TargetMode="External"/><Relationship Id="rId61" Type="http://schemas.openxmlformats.org/officeDocument/2006/relationships/hyperlink" Target="https://arxiv.org/abs/2601.14706v1" TargetMode="External"/><Relationship Id="rId62" Type="http://schemas.openxmlformats.org/officeDocument/2006/relationships/hyperlink" Target="https://arxiv.org/abs/2601.14718v1" TargetMode="External"/><Relationship Id="rId63" Type="http://schemas.openxmlformats.org/officeDocument/2006/relationships/hyperlink" Target="https://arxiv.org/abs/2601.14732v1" TargetMode="External"/><Relationship Id="rId64" Type="http://schemas.openxmlformats.org/officeDocument/2006/relationships/hyperlink" Target="https://arxiv.org/abs/2601.14738v1" TargetMode="External"/><Relationship Id="rId65" Type="http://schemas.openxmlformats.org/officeDocument/2006/relationships/hyperlink" Target="https://arxiv.org/abs/2601.14741v1" TargetMode="External"/><Relationship Id="rId66" Type="http://schemas.openxmlformats.org/officeDocument/2006/relationships/hyperlink" Target="https://arxiv.org/abs/2601.14742v1" TargetMode="External"/><Relationship Id="rId67" Type="http://schemas.openxmlformats.org/officeDocument/2006/relationships/hyperlink" Target="https://arxiv.org/abs/2601.14750v1" TargetMode="External"/><Relationship Id="rId68" Type="http://schemas.openxmlformats.org/officeDocument/2006/relationships/hyperlink" Target="https://arxiv.org/abs/2601.14757v1" TargetMode="External"/><Relationship Id="rId69" Type="http://schemas.openxmlformats.org/officeDocument/2006/relationships/hyperlink" Target="https://arxiv.org/abs/2601.14771v1" TargetMode="External"/><Relationship Id="rId70" Type="http://schemas.openxmlformats.org/officeDocument/2006/relationships/hyperlink" Target="https://arxiv.org/abs/2601.14774v1" TargetMode="External"/><Relationship Id="rId71" Type="http://schemas.openxmlformats.org/officeDocument/2006/relationships/hyperlink" Target="https://arxiv.org/abs/2601.14791v1" TargetMode="External"/><Relationship Id="rId72" Type="http://schemas.openxmlformats.org/officeDocument/2006/relationships/hyperlink" Target="https://arxiv.org/abs/2601.14797v1" TargetMode="External"/><Relationship Id="rId73" Type="http://schemas.openxmlformats.org/officeDocument/2006/relationships/hyperlink" Target="https://arxiv.org/abs/2601.14802v1" TargetMode="External"/><Relationship Id="rId74" Type="http://schemas.openxmlformats.org/officeDocument/2006/relationships/hyperlink" Target="https://arxiv.org/abs/2601.14804v1" TargetMode="External"/><Relationship Id="rId75" Type="http://schemas.openxmlformats.org/officeDocument/2006/relationships/hyperlink" Target="https://arxiv.org/abs/2601.14822v1" TargetMode="External"/><Relationship Id="rId76" Type="http://schemas.openxmlformats.org/officeDocument/2006/relationships/hyperlink" Target="https://arxiv.org/abs/2601.14841v1" TargetMode="External"/><Relationship Id="rId77" Type="http://schemas.openxmlformats.org/officeDocument/2006/relationships/hyperlink" Target="https://arxiv.org/abs/2601.14951v1" TargetMode="External"/><Relationship Id="rId78" Type="http://schemas.openxmlformats.org/officeDocument/2006/relationships/hyperlink" Target="https://arxiv.org/abs/2601.14978v1" TargetMode="External"/><Relationship Id="rId79" Type="http://schemas.openxmlformats.org/officeDocument/2006/relationships/hyperlink" Target="https://arxiv.org/abs/2601.15021v1" TargetMode="External"/><Relationship Id="rId80" Type="http://schemas.openxmlformats.org/officeDocument/2006/relationships/hyperlink" Target="https://arxiv.org/abs/2601.15049v1" TargetMode="External"/><Relationship Id="rId81" Type="http://schemas.openxmlformats.org/officeDocument/2006/relationships/hyperlink" Target="https://arxiv.org/abs/2601.15061v1" TargetMode="External"/><Relationship Id="rId82" Type="http://schemas.openxmlformats.org/officeDocument/2006/relationships/hyperlink" Target="https://arxiv.org/abs/2601.15065v1" TargetMode="External"/><Relationship Id="rId83" Type="http://schemas.openxmlformats.org/officeDocument/2006/relationships/hyperlink" Target="https://arxiv.org/abs/2601.15071v1" TargetMode="External"/><Relationship Id="rId84" Type="http://schemas.openxmlformats.org/officeDocument/2006/relationships/hyperlink" Target="https://arxiv.org/abs/2601.15098v1" TargetMode="External"/><Relationship Id="rId85" Type="http://schemas.openxmlformats.org/officeDocument/2006/relationships/hyperlink" Target="https://arxiv.org/abs/2601.15123v1" TargetMode="External"/><Relationship Id="rId86" Type="http://schemas.openxmlformats.org/officeDocument/2006/relationships/hyperlink" Target="https://arxiv.org/abs/2601.15133v1" TargetMode="External"/><Relationship Id="rId87" Type="http://schemas.openxmlformats.org/officeDocument/2006/relationships/hyperlink" Target="https://arxiv.org/abs/2601.15212v1" TargetMode="External"/><Relationship Id="rId88" Type="http://schemas.openxmlformats.org/officeDocument/2006/relationships/hyperlink" Target="https://arxiv.org/abs/2601.15221v1" TargetMode="External"/><Relationship Id="rId89" Type="http://schemas.openxmlformats.org/officeDocument/2006/relationships/hyperlink" Target="https://arxiv.org/abs/2601.15250v1" TargetMode="External"/><Relationship Id="rId90" Type="http://schemas.openxmlformats.org/officeDocument/2006/relationships/hyperlink" Target="https://arxiv.org/abs/2601.15260v1" TargetMode="External"/><Relationship Id="rId91" Type="http://schemas.openxmlformats.org/officeDocument/2006/relationships/hyperlink" Target="https://arxiv.org/abs/2601.15275v1" TargetMode="External"/><Relationship Id="rId92" Type="http://schemas.openxmlformats.org/officeDocument/2006/relationships/hyperlink" Target="https://doi.org/10.1002/lpor.202502570" TargetMode="External"/><Relationship Id="rId93" Type="http://schemas.openxmlformats.org/officeDocument/2006/relationships/hyperlink" Target="https://doi.org/10.1002/lpor.202502666" TargetMode="External"/><Relationship Id="rId94" Type="http://schemas.openxmlformats.org/officeDocument/2006/relationships/hyperlink" Target="https://doi.org/10.1002/lpor.202502319" TargetMode="External"/><Relationship Id="rId95" Type="http://schemas.openxmlformats.org/officeDocument/2006/relationships/hyperlink" Target="https://doi.org/10.1002/lpor.202502608" TargetMode="External"/><Relationship Id="rId96" Type="http://schemas.openxmlformats.org/officeDocument/2006/relationships/hyperlink" Target="https://doi.org/10.1002/lpor.202503247" TargetMode="External"/><Relationship Id="rId97" Type="http://schemas.openxmlformats.org/officeDocument/2006/relationships/hyperlink" Target="https://doi.org/10.1021/phv013i002_2031573" TargetMode="External"/><Relationship Id="rId98" Type="http://schemas.openxmlformats.org/officeDocument/2006/relationships/hyperlink" Target="https://doi.org/10.1021/phv013i002_2031574" TargetMode="External"/><Relationship Id="rId99" Type="http://schemas.openxmlformats.org/officeDocument/2006/relationships/hyperlink" Target="https://doi.org/10.1021/acsphotonics.5c02761" TargetMode="External"/><Relationship Id="rId100" Type="http://schemas.openxmlformats.org/officeDocument/2006/relationships/hyperlink" Target="https://doi.org/10.1021/acsphotonics.5c02743" TargetMode="External"/><Relationship Id="rId101" Type="http://schemas.openxmlformats.org/officeDocument/2006/relationships/hyperlink" Target="https://doi.org/10.1021/acsphotonics.5c02685" TargetMode="External"/><Relationship Id="rId102" Type="http://schemas.openxmlformats.org/officeDocument/2006/relationships/hyperlink" Target="https://doi.org/10.1021/acsphotonics.5c02677" TargetMode="External"/><Relationship Id="rId103" Type="http://schemas.openxmlformats.org/officeDocument/2006/relationships/hyperlink" Target="https://doi.org/10.1021/acsphotonics.5c02587" TargetMode="External"/><Relationship Id="rId104" Type="http://schemas.openxmlformats.org/officeDocument/2006/relationships/hyperlink" Target="https://doi.org/10.1021/acsphotonics.5c02548" TargetMode="External"/><Relationship Id="rId105" Type="http://schemas.openxmlformats.org/officeDocument/2006/relationships/hyperlink" Target="https://doi.org/10.1021/acsphotonics.5c02535" TargetMode="External"/><Relationship Id="rId106" Type="http://schemas.openxmlformats.org/officeDocument/2006/relationships/hyperlink" Target="https://doi.org/10.1021/acsphotonics.5c02483" TargetMode="External"/><Relationship Id="rId107" Type="http://schemas.openxmlformats.org/officeDocument/2006/relationships/hyperlink" Target="https://doi.org/10.1021/acsphotonics.5c02477" TargetMode="External"/><Relationship Id="rId108" Type="http://schemas.openxmlformats.org/officeDocument/2006/relationships/hyperlink" Target="https://doi.org/10.1021/acsphotonics.5c02472" TargetMode="External"/><Relationship Id="rId109" Type="http://schemas.openxmlformats.org/officeDocument/2006/relationships/hyperlink" Target="https://doi.org/10.1021/acsphotonics.5c02463" TargetMode="External"/><Relationship Id="rId110" Type="http://schemas.openxmlformats.org/officeDocument/2006/relationships/hyperlink" Target="https://doi.org/10.1021/acsphotonics.5c02366" TargetMode="External"/><Relationship Id="rId111" Type="http://schemas.openxmlformats.org/officeDocument/2006/relationships/hyperlink" Target="https://doi.org/10.1021/acsphotonics.5c02363" TargetMode="External"/><Relationship Id="rId112" Type="http://schemas.openxmlformats.org/officeDocument/2006/relationships/hyperlink" Target="https://doi.org/10.1021/acsphotonics.5c02360" TargetMode="External"/><Relationship Id="rId113" Type="http://schemas.openxmlformats.org/officeDocument/2006/relationships/hyperlink" Target="https://doi.org/10.1021/acsphotonics.5c02347" TargetMode="External"/><Relationship Id="rId114" Type="http://schemas.openxmlformats.org/officeDocument/2006/relationships/hyperlink" Target="https://doi.org/10.1021/acsphotonics.5c02303" TargetMode="External"/><Relationship Id="rId115" Type="http://schemas.openxmlformats.org/officeDocument/2006/relationships/hyperlink" Target="https://doi.org/10.1021/acsphotonics.5c02297" TargetMode="External"/><Relationship Id="rId116" Type="http://schemas.openxmlformats.org/officeDocument/2006/relationships/hyperlink" Target="https://doi.org/10.1021/acsphotonics.5c02229" TargetMode="External"/><Relationship Id="rId117" Type="http://schemas.openxmlformats.org/officeDocument/2006/relationships/hyperlink" Target="https://doi.org/10.1021/acsphotonics.5c02202" TargetMode="External"/><Relationship Id="rId118" Type="http://schemas.openxmlformats.org/officeDocument/2006/relationships/hyperlink" Target="https://doi.org/10.1021/acsphotonics.5c02170" TargetMode="External"/><Relationship Id="rId119" Type="http://schemas.openxmlformats.org/officeDocument/2006/relationships/hyperlink" Target="https://doi.org/10.1021/acsphotonics.5c02041" TargetMode="External"/><Relationship Id="rId120" Type="http://schemas.openxmlformats.org/officeDocument/2006/relationships/hyperlink" Target="https://doi.org/10.1021/acsphotonics.5c01983" TargetMode="External"/><Relationship Id="rId121" Type="http://schemas.openxmlformats.org/officeDocument/2006/relationships/hyperlink" Target="https://doi.org/10.1021/acsphotonics.5c01864" TargetMode="External"/><Relationship Id="rId122" Type="http://schemas.openxmlformats.org/officeDocument/2006/relationships/hyperlink" Target="https://doi.org/10.1021/acsphotonics.5c01844" TargetMode="External"/><Relationship Id="rId123" Type="http://schemas.openxmlformats.org/officeDocument/2006/relationships/hyperlink" Target="https://doi.org/10.1021/acsphotonics.5c01774" TargetMode="External"/><Relationship Id="rId124" Type="http://schemas.openxmlformats.org/officeDocument/2006/relationships/hyperlink" Target="https://doi.org/10.1021/acsphotonics.5c01389" TargetMode="External"/><Relationship Id="rId125" Type="http://schemas.openxmlformats.org/officeDocument/2006/relationships/hyperlink" Target="https://doi.org/10.1021/acsphotonics.5c00993" TargetMode="External"/><Relationship Id="rId126" Type="http://schemas.openxmlformats.org/officeDocument/2006/relationships/hyperlink" Target="https://www.sciencedirect.com/science/article/pii/S0143816626000333" TargetMode="External"/><Relationship Id="rId127" Type="http://schemas.openxmlformats.org/officeDocument/2006/relationships/hyperlink" Target="https://www.sciencedirect.com/science/article/pii/S0143816626000321" TargetMode="External"/><Relationship Id="rId128" Type="http://schemas.openxmlformats.org/officeDocument/2006/relationships/hyperlink" Target="https://www.sciencedirect.com/science/article/pii/S0143816626000291" TargetMode="External"/><Relationship Id="rId129" Type="http://schemas.openxmlformats.org/officeDocument/2006/relationships/hyperlink" Target="https://www.sciencedirect.com/science/article/pii/S003039922600054X" TargetMode="External"/><Relationship Id="rId130" Type="http://schemas.openxmlformats.org/officeDocument/2006/relationships/hyperlink" Target="https://www.sciencedirect.com/science/article/pii/S0030399226001027" TargetMode="External"/><Relationship Id="rId131" Type="http://schemas.openxmlformats.org/officeDocument/2006/relationships/hyperlink" Target="https://www.sciencedirect.com/science/article/pii/S0030399226000459" TargetMode="External"/><Relationship Id="rId132" Type="http://schemas.openxmlformats.org/officeDocument/2006/relationships/hyperlink" Target="https://www.sciencedirect.com/science/article/pii/S0030399225021851" TargetMode="External"/><Relationship Id="rId133" Type="http://schemas.openxmlformats.org/officeDocument/2006/relationships/hyperlink" Target="https://www.sciencedirect.com/science/article/pii/S003039922600126X" TargetMode="External"/><Relationship Id="rId134" Type="http://schemas.openxmlformats.org/officeDocument/2006/relationships/hyperlink" Target="https://www.sciencedirect.com/science/article/pii/S0030399225022388" TargetMode="External"/><Relationship Id="rId135" Type="http://schemas.openxmlformats.org/officeDocument/2006/relationships/hyperlink" Target="https://www.sciencedirect.com/science/article/pii/S0030399226000897" TargetMode="External"/><Relationship Id="rId136" Type="http://schemas.openxmlformats.org/officeDocument/2006/relationships/hyperlink" Target="https://www.sciencedirect.com/science/article/pii/S0030399226001179" TargetMode="External"/><Relationship Id="rId137" Type="http://schemas.openxmlformats.org/officeDocument/2006/relationships/hyperlink" Target="https://www.sciencedirect.com/science/article/pii/S0030399226001131" TargetMode="External"/><Relationship Id="rId138" Type="http://schemas.openxmlformats.org/officeDocument/2006/relationships/hyperlink" Target="https://www.sciencedirect.com/science/article/pii/S0030399226000915" TargetMode="External"/><Relationship Id="rId139" Type="http://schemas.openxmlformats.org/officeDocument/2006/relationships/hyperlink" Target="https://www.sciencedirect.com/science/article/pii/S0030399226001210" TargetMode="External"/><Relationship Id="rId140" Type="http://schemas.openxmlformats.org/officeDocument/2006/relationships/hyperlink" Target="https://www.sciencedirect.com/science/article/pii/S0030399226000435" TargetMode="External"/><Relationship Id="rId141" Type="http://schemas.openxmlformats.org/officeDocument/2006/relationships/hyperlink" Target="https://www.sciencedirect.com/science/article/pii/S0030399225021929" TargetMode="External"/><Relationship Id="rId142" Type="http://schemas.openxmlformats.org/officeDocument/2006/relationships/hyperlink" Target="https://www.sciencedirect.com/science/article/pii/S0030399226001039" TargetMode="External"/><Relationship Id="rId143" Type="http://schemas.openxmlformats.org/officeDocument/2006/relationships/hyperlink" Target="https://www.sciencedirect.com/science/article/pii/S0030399226000654" TargetMode="External"/><Relationship Id="rId144" Type="http://schemas.openxmlformats.org/officeDocument/2006/relationships/hyperlink" Target="https://www.sciencedirect.com/science/article/pii/S0141938226000156" TargetMode="External"/><Relationship Id="rId145" Type="http://schemas.openxmlformats.org/officeDocument/2006/relationships/hyperlink" Target="https://arxiv.org/abs/2601.14079v1" TargetMode="External"/><Relationship Id="rId146" Type="http://schemas.openxmlformats.org/officeDocument/2006/relationships/hyperlink" Target="https://arxiv.org/abs/2601.14256v1" TargetMode="External"/><Relationship Id="rId147" Type="http://schemas.openxmlformats.org/officeDocument/2006/relationships/hyperlink" Target="https://arxiv.org/abs/2601.14821v1" TargetMode="External"/><Relationship Id="rId148" Type="http://schemas.openxmlformats.org/officeDocument/2006/relationships/hyperlink" Target="https://arxiv.org/abs/2601.14875v1" TargetMode="External"/><Relationship Id="rId149" Type="http://schemas.openxmlformats.org/officeDocument/2006/relationships/hyperlink" Target="https://arxiv.org/abs/2601.15281v1" TargetMode="External"/><Relationship Id="rId150" Type="http://schemas.openxmlformats.org/officeDocument/2006/relationships/hyperlink" Target="https://arxiv.org/abs/2601.15283v1" TargetMode="External"/><Relationship Id="rId151" Type="http://schemas.openxmlformats.org/officeDocument/2006/relationships/hyperlink" Target="https://arxiv.org/abs/2601.15286v1" TargetMode="External"/><Relationship Id="rId152" Type="http://schemas.openxmlformats.org/officeDocument/2006/relationships/hyperlink" Target="https://arxiv.org/abs/2601.15288v1" TargetMode="External"/><Relationship Id="rId153" Type="http://schemas.openxmlformats.org/officeDocument/2006/relationships/hyperlink" Target="https://www.nature.com/articles/s41377-026-02190-z" TargetMode="External"/><Relationship Id="rId154" Type="http://schemas.openxmlformats.org/officeDocument/2006/relationships/hyperlink" Target="https://www.nature.com/articles/s41377-025-02169-2" TargetMode="External"/><Relationship Id="rId155" Type="http://schemas.openxmlformats.org/officeDocument/2006/relationships/hyperlink" Target="https://www.nature.com/articles/s41377-025-02057-9" TargetMode="External"/><Relationship Id="rId156" Type="http://schemas.openxmlformats.org/officeDocument/2006/relationships/hyperlink" Target="https://www.nature.com/articles/s41377-025-02109-0" TargetMode="External"/><Relationship Id="rId157" Type="http://schemas.openxmlformats.org/officeDocument/2006/relationships/hyperlink" Target="https://www.nature.com/articles/s41377-025-0210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