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极化子霍夫斯塔特阶梯中的人工规范场和尺寸</w:t>
      </w:r>
    </w:p>
    <w:p>
      <w:r>
        <w:rPr>
          <w:rFonts w:ascii="Times New Roman" w:hAnsi="Times New Roman" w:eastAsia="宋体"/>
          <w:b/>
          <w:color w:val="003264"/>
          <w:sz w:val="24"/>
        </w:rPr>
        <w:t>Artificial gauge fields and dimensions in a polariton hofstadter ladder</w:t>
      </w:r>
    </w:p>
    <w:p>
      <w:r>
        <w:rPr>
          <w:rFonts w:ascii="Times New Roman" w:hAnsi="Times New Roman" w:eastAsia="宋体"/>
          <w:sz w:val="21"/>
        </w:rPr>
        <w:t>作者: Simon Widmann, Jonas Bellmann, Johannes Düreth, Siddhartha Dam, Christian G. Mayer, Philipp Gagel, Simon Betzold, Monika Emmerling, Subhaskar Mandal, Rimi Banerjee, Timothy C. H. Liew, Ronny Thomale, Sven Höfling, Sebastian Klembt</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https://doi.org/10.1038/s41467-026-68530-0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工规范场允许光子等不带电粒子模仿带电粒子在磁场下的行为，为改变有效动力学和探索拓扑物理提供了强大的平台。拓扑激子极化激光器引起了人们极大的兴趣，但通常需要强磁场来实现传播拓扑边缘态。在这里，我们通过使用人工规范场，利用极化子的圆偏振作为人工维度，实验性地实现了微米级微柱链中的拓扑霍尔效应。椭圆形微柱的仔细旋转排列会引起严格依赖于极化的边缘态传播，证明极化子赝自旋的非互易传输。我们的结果表明，拓扑界面态的维数限制以及耦合拓扑激光阵列中强外部磁场的要求是可以克服的。我们的结果为实现拓扑极化子晶格和具有附加人工维度的相关光学活性器件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Artificial gauge fields allow uncharged particles such as photons to mimic the behaviour of charged particles subjected to magnetic fields, providing a powerful platform to alter the effective dynamics and exploring topological physics. Topological exciton-polariton lasers have attracted considerable interest, but often require strong magnetic fields to realise propagating topological edge states. Here we experimentally realise the topological Hall effect in a micron-scale micropillar chain by using an artificial gauge field, exploiting the circular polarisation of polaritons as an artificial dimension. Careful rotational alignment of elliptical micropillars induces strictly polarisation-dependent edge-state propagation, demonstrating non-reciprocal transport of the polariton pseudospins. Our results demonstrate that the dimensionality limitation of topological interface states as well as requirements for strong external magnetic fields in coupled topological laser arrays can be overcome. Our results open new ways towards the implementation of topological polariton lattices and related optically active devices with additional artificial dimension.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型糖尿病进展各个阶段的人类胰腺的综合组织病理学</w:t>
      </w:r>
    </w:p>
    <w:p>
      <w:r>
        <w:rPr>
          <w:rFonts w:ascii="Times New Roman" w:hAnsi="Times New Roman" w:eastAsia="宋体"/>
          <w:b/>
          <w:color w:val="003264"/>
          <w:sz w:val="24"/>
        </w:rPr>
        <w:t>Integrated histopathology of the human pancreas throughout stages of type 1 diabetes progression</w:t>
      </w:r>
    </w:p>
    <w:p>
      <w:r>
        <w:rPr>
          <w:rFonts w:ascii="Times New Roman" w:hAnsi="Times New Roman" w:eastAsia="宋体"/>
          <w:sz w:val="21"/>
        </w:rPr>
        <w:t>作者: Verena van der Heide, Sara McArdle, Michael S. Nelson, Karen Cerosaletti, Sacha Gnjatic, Zbigniew Mikulski, Amanda L. Posgai, Irina Kusmartseva, Mark A. Atkinson, Dirk Homann</w:t>
        <w:br/>
      </w:r>
      <w:r>
        <w:rPr>
          <w:rFonts w:ascii="Times New Roman" w:hAnsi="Times New Roman" w:eastAsia="宋体"/>
          <w:sz w:val="21"/>
        </w:rPr>
        <w:t xml:space="preserve">时间: 2026-02-11 | </w:t>
      </w:r>
      <w:r>
        <w:t xml:space="preserve">链接: </w:t>
      </w:r>
      <w:hyperlink r:id="rId85">
        <w:r>
          <w:rPr>
            <w:rFonts w:ascii="Times New Roman" w:hAnsi="Times New Roman" w:eastAsia="宋体"/>
            <w:color w:val="0000FF"/>
            <w:sz w:val="21"/>
            <w:u w:val="single"/>
          </w:rPr>
          <w:t>https://doi.org/10.1038/s41467-026-68610-1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1 型糖尿病 (T1D) 是一种进行性自身免疫性疾病，最终导致产生胰岛素的 β 细胞丧失。胰腺组织病理学为疾病的发生/进展提供了重要的见解，但缺乏对原位致病过程的综合视角。在这里，我们结合了多重免疫染色、高倍率全玻片成像、数字病理学和半自动图像分析来检查 T1D 阶段的胰尾和头部切片，包括高危病例和发病病例。对约 25,000 个胰岛的结构特征、内分泌细胞组成、免疫细胞负荷和空间关系进行解卷积，有效地将先前在健康和 T1D 中建立的和其他胰腺标志置于背景中。我们的结果揭示了内分泌胰腺的空间同质性和胰岛大小相关的结构组织、器官范围致病过程的显着协调以及多种组织病理学相关性，这些都预示着临床前阶段已经存在的独特的 T1D 组织病理学。总之，我们提出了修订后的 T1D 自然史，对进一步的组织病理学研究和发病机制的考虑具有重要意义。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Type 1 diabetes (T1D) is a progressive autoimmune condition that culminates in loss of insulin-producing beta cells. Pancreatic histopathology provides essential insights into disease initiation/progression yet an integrated perspective onto in situ pathogenic processes is lacking. Here, we combined multiplexed immunostaining, high-magnification whole-slide imaging, digital pathology, and semi-automated image analyses to interrogate pancreatic tail and head sections across T1D stages, including at-risk and at-onset cases. Deconvolution of architectural features, endocrine cell composition, immune cell burden, and spatial relations of ~25,000 islets effectively contextualizes previously established and additional pancreatic hallmarks in health and T1D. Our results reveal a spatially homogenous and islet size-contingent architectural organization of the endocrine pancreas, a notable coordination of organ-wide pathogenic processes, and multiple histopathological correlates that foreshadow distinctive T1D histopathology already at the preclinical stage. Altogether, we propose a revised natural history of T1D with implications for further histopathological investigations and considerations of pathogenetic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烟曲霉非编码转录物的全基因组发现和表型分析揭示了 lncRNA 在抗真菌药物敏感性中的作用</w:t>
      </w:r>
    </w:p>
    <w:p>
      <w:r>
        <w:rPr>
          <w:rFonts w:ascii="Times New Roman" w:hAnsi="Times New Roman" w:eastAsia="宋体"/>
          <w:b/>
          <w:color w:val="003264"/>
          <w:sz w:val="24"/>
        </w:rPr>
        <w:t>Genome-wide discovery and phenotyping of non-coding transcripts in A. fumigatus reveals lncRNAs with a role in antifungal drug sensitivity</w:t>
      </w:r>
    </w:p>
    <w:p>
      <w:r>
        <w:rPr>
          <w:rFonts w:ascii="Times New Roman" w:hAnsi="Times New Roman" w:eastAsia="宋体"/>
          <w:sz w:val="21"/>
        </w:rPr>
        <w:t>作者: Danielle Weaver, Tanda Qi, Harry Chown, Marcin Fraczek, Ressa Lebedinec, Lauren Dineen, Clara Valero, Norman van Rhijn, Takanori Furukawa, Michael Bromley, Daniela Delneri, Paul Bowyer</w:t>
        <w:br/>
      </w:r>
      <w:r>
        <w:rPr>
          <w:rFonts w:ascii="Times New Roman" w:hAnsi="Times New Roman" w:eastAsia="宋体"/>
          <w:sz w:val="21"/>
        </w:rPr>
        <w:t xml:space="preserve">时间: 2026-02-11 | </w:t>
      </w:r>
      <w:r>
        <w:t xml:space="preserve">链接: </w:t>
      </w:r>
      <w:hyperlink r:id="rId152">
        <w:r>
          <w:rPr>
            <w:rFonts w:ascii="Times New Roman" w:hAnsi="Times New Roman" w:eastAsia="宋体"/>
            <w:color w:val="0000FF"/>
            <w:sz w:val="21"/>
            <w:u w:val="single"/>
          </w:rPr>
          <w:t>https://doi.org/10.1038/s41467-026-68543-9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摘要：最近的数据表明，一种真菌烟曲霉每年造成的死亡人数比艾滋病毒或疟疾造成的死亡人数总和还要多。加上抗​​真菌药物耐药性的迅速出现、有效治疗的范围有限以及&gt; 50%的死亡率，曲霉病是传染病领域的一个重大挑战。最近的研究发现，长链非编码 RNA (lncRNA) 与念珠菌等病原酵母菌的耐药性和毒力有关。然而，对包括烟曲霉在内的人类致病霉菌中的 lncRNA 的了解非常有限。在这里，我们利用暴露于不同环境的烟曲霉的转录组学数据来注释映射到 2388 个基因组位点的转录本。经过手动管理后，我们生成了包含 1000 多个 lncRNA 的数据库。我们观察到，lncRNA 在药物治疗后显示出精心设计的转录谱，其中许多接近于涉及唑类敏感性的基因。我们敲除一组基因间lncRNA并进行大规模表型分析，以确定60个lncRNA突变体表现出条件依赖性适应性变化，其中35个突变体在唑胁迫下表现出正生长表型。总体而言，这项研究产生并通过实验验证了一个重要资源，使更广泛的研究界能够加深对烟曲霉中 lncRNA 功能重要性的理解，包括它们与药物敏感性的关系。</w:t>
      </w:r>
    </w:p>
    <w:p>
      <w:pPr>
        <w:spacing w:before="120"/>
      </w:pPr>
      <w:r>
        <w:rPr>
          <w:rFonts w:ascii="Times New Roman" w:hAnsi="Times New Roman" w:eastAsia="宋体"/>
          <w:b/>
          <w:sz w:val="21"/>
        </w:rPr>
        <w:t>English Abstract:</w:t>
      </w:r>
    </w:p>
    <w:p>
      <w:r>
        <w:rPr>
          <w:rFonts w:ascii="Times New Roman" w:hAnsi="Times New Roman" w:eastAsia="宋体"/>
          <w:sz w:val="21"/>
        </w:rPr>
        <w:t>Abstract Recent data suggests one fungus, Aspergillus fumigatus , causes more deaths annually than HIV or malaria combined. Coupled with rapid emergence of antifungal drug resistance, the limited range of effective treatments, and mortality rates of &gt;50%, aspergillosis represents a major challenge in infectious diseases. Recent studies have identified long-noncoding RNAs (lncRNAs) involved in drug resistance and virulence in pathogenic yeasts such as Candida spp. However, there is very limited knowledge of lncRNAs in human pathogenic moulds, including A. fumigatus . Here we exploit transcriptomics data of A. fumigatus exposed to different environments to annotate transcripts mapping to 2388 genomic loci. After manual curation we generate a database of over 1000 lncRNAs. We observe that the lncRNAs display orchestrated transcriptional profiles upon drug treatment and many are proximal to genes involved in azole sensitivity. We knock out a set of intergenic lncRNAs and perform a large-scale phenotypic analysis to identify 60 lncRNA mutants displaying condition-dependent fitness changes with 35 mutants exhibiting a positive growth phenotype under azole stress. Overall, this study generates and experimentally validates an important resource that will enable the wider research community to increase understanding of the functional importance of lncRNAs in A. fumigatus , including their involvement in drug sensitivity.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单相固体中依赖取向的相互晶态和非晶态顺序</w:t>
      </w:r>
    </w:p>
    <w:p>
      <w:r>
        <w:rPr>
          <w:rFonts w:ascii="Times New Roman" w:hAnsi="Times New Roman" w:eastAsia="宋体"/>
          <w:b/>
          <w:color w:val="003264"/>
          <w:sz w:val="24"/>
        </w:rPr>
        <w:t>Orientation-dependent mutual crystalline and amorphous order in a single phase solid</w:t>
      </w:r>
    </w:p>
    <w:p>
      <w:r>
        <w:rPr>
          <w:rFonts w:ascii="Times New Roman" w:hAnsi="Times New Roman" w:eastAsia="宋体"/>
          <w:sz w:val="21"/>
        </w:rPr>
        <w:t>作者: Rui Xia, Jiantao Li, Yorick A. Birkhölzer, Haoyang Peng, Kangning Zhao, Ruohan Yu, Congli Sun, Lei Zhang, Qi Liu, Sungsik Lee, Tianyi Li, Yang Ren, Jie Zheng, Johan E. ten Elshof, Mark Huijben</w:t>
        <w:br/>
      </w:r>
      <w:r>
        <w:rPr>
          <w:rFonts w:ascii="Times New Roman" w:hAnsi="Times New Roman" w:eastAsia="宋体"/>
          <w:sz w:val="21"/>
        </w:rPr>
        <w:t xml:space="preserve">时间: 2026-02-12 | </w:t>
      </w:r>
      <w:r>
        <w:t xml:space="preserve">链接: </w:t>
      </w:r>
      <w:hyperlink r:id="rId241">
        <w:r>
          <w:rPr>
            <w:rFonts w:ascii="Times New Roman" w:hAnsi="Times New Roman" w:eastAsia="宋体"/>
            <w:color w:val="0000FF"/>
            <w:sz w:val="21"/>
            <w:u w:val="single"/>
          </w:rPr>
          <w:t>https://doi.org/10.1038/s41467-026-69359-3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非晶材料与晶体材料的区别在于缺乏长程有序性，同时保留了局部尺度（2-5 Å）的结构有序性。然而，拓扑和化学顺序的复杂性使得当前的表征工具无法完全揭示无序材料的结构。因此，非晶材料中程有序的性质仍然难以捉摸。 Zachariasen 和晶体竞争模型已被提出来描述无序相，并且均已通过合成和表征得到验证。它们之间的主要区别被认为是非晶相是否表现出中程有序。在这里，我们展示了一种有组织的无机物质，它在二维上是无定形的，而在第三维上表现出长程有序和高度结晶度。该结构由周期性堆叠的二维非晶 Nb-W-O 单层组成，没有长程面内有序。沿一个主轴的独特周期性和晶体堆叠使得能够直接成像，并揭示非晶 Nb-W-O 单层的形成与二维的 Zachariasen 模型一致。我们的研究结果表明，结晶材料和非晶材料之间的差距不仅取决于中程有序，而且也适用于同一固体内的主要尺寸。</w:t>
      </w:r>
    </w:p>
    <w:p>
      <w:pPr>
        <w:spacing w:before="120"/>
      </w:pPr>
      <w:r>
        <w:rPr>
          <w:rFonts w:ascii="Times New Roman" w:hAnsi="Times New Roman" w:eastAsia="宋体"/>
          <w:b/>
          <w:sz w:val="21"/>
        </w:rPr>
        <w:t>English Abstract:</w:t>
      </w:r>
    </w:p>
    <w:p>
      <w:r>
        <w:rPr>
          <w:rFonts w:ascii="Times New Roman" w:hAnsi="Times New Roman" w:eastAsia="宋体"/>
          <w:sz w:val="21"/>
        </w:rPr>
        <w:t>Abstract Amorphous materials distinguish themselves from crystalline materials by lacking long-range order while retaining structural order at the local scale (2–5 Å). However, the complexity in topological and chemical order prevents current characterization tools from fully unveiling the structure in disordered materials. Consequently, the nature of medium-range order in amorphous materials has remained elusive. The Zachariasen and crystal competing models have been proposed to describe disordered phases and have both been verified through synthesis and characterization. The main difference between them is thought to be whether the amorphous phase shows medium-range order. Here we demonstrate a form of organized inorganic matter that is amorphous in two dimensions, while exhibiting long-range order and a high degree of crystallinity in the third. The structure consists of periodically stacked 2-dimensional amorphous Nb-W-O monolayers without long-range in-plane order. The unique periodic and therefore crystalline stacking along one principal axis enables direct imaging and revealed that the amorphous Nb-W-O monolayers formed in agreement with the Zachariasen model for 2 dimensions. Our findings show that the gap between crystalline and amorphous materials does not only depend on medium-range order but can also apply to principal dimensions within the same solid.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金刚石砧座的光谱极限为 520 GPa 和预计带隙闭合</w:t>
      </w:r>
    </w:p>
    <w:p>
      <w:r>
        <w:rPr>
          <w:rFonts w:ascii="Times New Roman" w:hAnsi="Times New Roman" w:eastAsia="宋体"/>
          <w:b/>
          <w:color w:val="003264"/>
          <w:sz w:val="24"/>
        </w:rPr>
        <w:t>Spectroscopic limits of diamond anvils to 520 GPa and projected bandgap closure</w:t>
      </w:r>
    </w:p>
    <w:p>
      <w:r>
        <w:rPr>
          <w:rFonts w:ascii="Times New Roman" w:hAnsi="Times New Roman" w:eastAsia="宋体"/>
          <w:sz w:val="21"/>
        </w:rPr>
        <w:t>作者: A. Hilberer, P. Loubeyre, C. Pépin, F. Occelli, G. Weck, R. André, P. Dumas</w:t>
        <w:br/>
      </w:r>
      <w:r>
        <w:rPr>
          <w:rFonts w:ascii="Times New Roman" w:hAnsi="Times New Roman" w:eastAsia="宋体"/>
          <w:sz w:val="21"/>
        </w:rPr>
        <w:t xml:space="preserve">时间: 2026-02-12 | </w:t>
      </w:r>
      <w:r>
        <w:t xml:space="preserve">链接: </w:t>
      </w:r>
      <w:hyperlink r:id="rId242">
        <w:r>
          <w:rPr>
            <w:rFonts w:ascii="Times New Roman" w:hAnsi="Times New Roman" w:eastAsia="宋体"/>
            <w:color w:val="0000FF"/>
            <w:sz w:val="21"/>
            <w:u w:val="single"/>
          </w:rPr>
          <w:t>https://doi.org/10.1038/s41467-026-69533-7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金刚石砧广泛用于高压研究，以研究极端条件下的物质。此处，宽带光谱用于测量压力驱动的金刚石砧座的不透明度（高达 520 GPa），揭示带隙变窄和光学行为，重新定义了高压光谱的极限。</w:t>
      </w:r>
    </w:p>
    <w:p>
      <w:pPr>
        <w:spacing w:before="120"/>
      </w:pPr>
      <w:r>
        <w:rPr>
          <w:rFonts w:ascii="Times New Roman" w:hAnsi="Times New Roman" w:eastAsia="宋体"/>
          <w:b/>
          <w:sz w:val="21"/>
        </w:rPr>
        <w:t>English Abstract:</w:t>
      </w:r>
    </w:p>
    <w:p>
      <w:r>
        <w:rPr>
          <w:rFonts w:ascii="Times New Roman" w:hAnsi="Times New Roman" w:eastAsia="宋体"/>
          <w:sz w:val="21"/>
        </w:rPr>
        <w:t>Diamond anvils are widely used in high-pressure research to investigate matter under extreme conditions. Here, broadband spectroscopy is used to measure pressure-driven opacity of diamond anvils to 520 GPa, revealing bandgap narrowing and optical behavior that redefines the limits of high-pressure spectroscopy.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用于评估与动脉瘤投影相关的前交通动脉瘤破裂风险的数值流实验</w:t>
      </w:r>
    </w:p>
    <w:p>
      <w:r>
        <w:rPr>
          <w:rFonts w:ascii="Times New Roman" w:hAnsi="Times New Roman" w:eastAsia="宋体"/>
          <w:b/>
          <w:color w:val="003264"/>
          <w:sz w:val="24"/>
        </w:rPr>
        <w:t>A numerical flow experiment for assessing the risk of rupture in anterior communicating artery aneurysms in relation to aneurysm projection</w:t>
      </w:r>
    </w:p>
    <w:p>
      <w:r>
        <w:rPr>
          <w:rFonts w:ascii="Times New Roman" w:hAnsi="Times New Roman" w:eastAsia="宋体"/>
          <w:sz w:val="21"/>
        </w:rPr>
        <w:t>作者: Karol Wiśniewski, Zbigniew Tyfa, Anna Dębska, Karol Zaczkowski, Dariusz J. Jaskólski, Michael G. Brandel, Yasuaki Inoue</w:t>
        <w:br/>
      </w:r>
      <w:r>
        <w:rPr>
          <w:rFonts w:ascii="Times New Roman" w:hAnsi="Times New Roman" w:eastAsia="宋体"/>
          <w:sz w:val="21"/>
        </w:rPr>
        <w:t xml:space="preserve">时间: 2026-02-11 | </w:t>
      </w:r>
      <w:r>
        <w:t xml:space="preserve">链接: </w:t>
      </w:r>
      <w:hyperlink r:id="rId101">
        <w:r>
          <w:rPr>
            <w:rFonts w:ascii="Times New Roman" w:hAnsi="Times New Roman" w:eastAsia="宋体"/>
            <w:color w:val="0000FF"/>
            <w:sz w:val="21"/>
            <w:u w:val="single"/>
          </w:rPr>
          <w:t>https://doi.org/10.1038/s41598-026-38826-8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前交通动脉 (AcoA) 动脉瘤可能向不同方向突出——前、后、上或下——每个方向都可以显着改变动脉瘤内的血流模式，并可能影响破裂风险。本研究探讨了动脉瘤投射方向对与破裂和血栓形成相关的血流动力学特征的影响。使用 AcoA 动脉瘤的理想化参数模型进行瞬态计算流体动力学 (CFD) 模拟，该模型具有四种定义的投影类型：前部（朝向额叶）、后部（朝向视交叉）、上部（朝向下丘脑）和下部（朝向颅底）。分析了两个动脉瘤的大小。在代表生理性脑循环的脉动流条件下，将血液建模为非牛顿剪切稀化流体。在多个心动周期中评估了关键的血液动力学参数，包括壁剪切应力及其空间梯度、压力、速度、涡度、相对停留时间、粘度和血液冲刷。虽然整体脑血流分布保持不变，但动脉瘤投影在动脉瘤内血流动力学方面产生了显着差异。向前突出的动脉瘤表现出更高的速度、更强的涡流结构、升高的壁剪切应力和快速的血液冲刷，表明容易破裂的血流环境。相反，向下突出的动脉瘤表现出低速度、高粘度、涡度降低和血液停留时间延长，这与有利于囊内血栓形成的条件一致。这些依赖于投影的模式在两种尺寸的动脉瘤中均得到保留。动脉瘤投射方向是 AcoA 动脉瘤血流动力学的关键决定因素，与大小无关。前部投射与血流状况相关，而血流状况会增加破裂风险，而下方投射会促进血流停滞和血栓形成的可能性。这些发现强调了将预测特异性血流动力学评估纳入超出基于大小标准的动脉瘤风险分层的重要性。</w:t>
      </w:r>
    </w:p>
    <w:p>
      <w:pPr>
        <w:spacing w:before="120"/>
      </w:pPr>
      <w:r>
        <w:rPr>
          <w:rFonts w:ascii="Times New Roman" w:hAnsi="Times New Roman" w:eastAsia="宋体"/>
          <w:b/>
          <w:sz w:val="21"/>
        </w:rPr>
        <w:t>English Abstract:</w:t>
      </w:r>
    </w:p>
    <w:p>
      <w:r>
        <w:rPr>
          <w:rFonts w:ascii="Times New Roman" w:hAnsi="Times New Roman" w:eastAsia="宋体"/>
          <w:sz w:val="21"/>
        </w:rPr>
        <w:t>Anterior communicating artery (AcoA) aneurysms may project in different directions - anterior, posterior, superior, or inferior - each of which can substantially alter intra-aneurysmal flow patterns and potentially influence rupture risk. The present study investigates the impact of aneurysm projection direction on hemodynamic characteristics associated with rupture and thrombosis. Transient computational fluid dynamics (CFD) simulations were performed using idealized, parametric models of AcoA aneurysms with four defined projection types: anterior (toward the frontal lobe), posterior (toward the optic chiasm), superior (toward the hypothalamus), and inferior (toward the skull base). Two aneurysm sizes were analyzed. Blood was modeled as a non-Newtonian, shear-thinning fluid under pulsatile flow conditions representative of physiological cerebral circulation. Key hemodynamic parameters, including wall shear stress and its spatial gradient, pressure, velocity, vorticity, relative residence time, viscosity, and blood washout were evaluated over multiple cardiac cycles. While global cerebral flow distribution remained unchanged, aneurysm projection produced marked differences in intra-aneurysmal hemodynamics. Anteriorly projecting aneurysms exhibited higher velocities, stronger vortical structures, elevated wall shear stress, and rapid blood washout, indicating a rupture-prone flow environment. In contrast, inferiorly projecting aneurysms demonstrated low velocity, high viscosity, reduced vorticity, and prolonged blood residence time, consistent with conditions favoring intrasaccular thrombosis. These projection-dependent patterns were preserved across both aneurysm sizes. Aneurysm projection direction is a critical determinant of AcoA aneurysm hemodynamics, independent of size. Anterior projections are associated with flow conditions linked to increased rupture risk, whereas inferior projections promote flow stagnation and thrombotic potential. These findings highlight the importance of incorporating projection-specific hemodynamic assessment into aneurysm risk stratification beyond size-based criteria.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玉米秸秆灰硅粉胶凝材料高强混凝土配合比优化及水化研究</w:t>
      </w:r>
    </w:p>
    <w:p>
      <w:r>
        <w:rPr>
          <w:rFonts w:ascii="Times New Roman" w:hAnsi="Times New Roman" w:eastAsia="宋体"/>
          <w:b/>
          <w:color w:val="003264"/>
          <w:sz w:val="24"/>
        </w:rPr>
        <w:t>Optimization of mix proportions and hydration study of high-strength concrete incorporating corn stalk ash and silica fume as supplementary cementitious materials</w:t>
      </w:r>
    </w:p>
    <w:p>
      <w:r>
        <w:rPr>
          <w:rFonts w:ascii="Times New Roman" w:hAnsi="Times New Roman" w:eastAsia="宋体"/>
          <w:sz w:val="21"/>
        </w:rPr>
        <w:t>作者: Rui Wang, Yulin Chen, Gengyue Wei, Yiqi Wang, Xinran Xie</w:t>
        <w:br/>
      </w:r>
      <w:r>
        <w:rPr>
          <w:rFonts w:ascii="Times New Roman" w:hAnsi="Times New Roman" w:eastAsia="宋体"/>
          <w:sz w:val="21"/>
        </w:rPr>
        <w:t xml:space="preserve">时间: 2026-02-11 | </w:t>
      </w:r>
      <w:r>
        <w:t xml:space="preserve">链接: </w:t>
      </w:r>
      <w:hyperlink r:id="rId102">
        <w:r>
          <w:rPr>
            <w:rFonts w:ascii="Times New Roman" w:hAnsi="Times New Roman" w:eastAsia="宋体"/>
            <w:color w:val="0000FF"/>
            <w:sz w:val="21"/>
            <w:u w:val="single"/>
          </w:rPr>
          <w:t>https://doi.org/10.1038/s41598-026-39419-1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随意处置玉米秸秆和水泥生产造成的环境污染，本研究利用玉米秸秆灰（CSA）和硅灰（SF）作为胶凝材料的部分替代品，配制生物质灰高强混凝土。研究重点是三个关键变量——CSA含量、水胶比（W/B）和砂胶比（S/B）对玉米秆高强混凝土（CSHC）抗压强度的影响。采用正交试验设计，分析确定影响28天抗压强度的因素顺序为：S/B&gt;CSA含量&gt;W/B。在CSA含量15%、W/B比为0.21、S/B比为1.2的条件下，CHSC的28天抗压强度最高为109.7MPa。使用 X 射线衍射 (XRD) 和扫描电子显微镜结合能量色散光谱 (SEM-EDS) 对 7 天和 28 天时最高强度样品中的水合产物进行表征。结果表明，CSA中丰富的活性SiO2显着促进了水泥的二次水化，导致硅酸钙水合物（C-S-H）的形成增加，从而提高了CSHC的机械强度。该研究为CSA作为辅助胶凝材料生产高强生物质灰混凝土的工程应用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To mitigate environmental pollution caused by the indiscriminate disposal of corn stalks and cement production, this study utilized corn stalk ash (CSA) and silica fume (SF) as partial replacements for cementitious materials in the formulation of biomass ash high-strength concrete. The investigation focused on the effects of three key variables—CSA content, water-to-binder ratio (W/B), and sand-to-binder ratio (S/B)—on the compressive strength of corn stalk high-strength concrete(CSHC). Using an orthogonal experimental design, the analysis determined that the factors influenced the 28-day compressive strength in the following order: S/B &gt; CSA content &gt; W/B.The highest 28-day compressive strength of CHSC, measured at 109.7 MPa, was achieved under the conditions of 15% CSA content, a W/B ratio of 0.21, and an S/B ratio of 1.2. Characterization of hydration products in the highest-strength samples at 7 and 28 days was performed using X-ray diffraction (XRD) and scanning electron microscopy coupled with energy-dispersive spectroscopy (SEM–EDS). The results revealed that the abundant reactive SiO2 in CSA significantly promotes the secondary hydration of cement, leading to increased formation of calcium silicate hydrate (C–S–H) and thereby enhancing the mechanical strength of CSHC. This research provides a theoretical foundation supporting the engineering application of CSA as a supplementary cementitious material in the production of high-strength biomass ash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针对有 OHSS 风险的 PCOS 患者补充虾青素的探索性试点试验，重点关注 RAGE-NFκB 通路</w:t>
      </w:r>
    </w:p>
    <w:p>
      <w:r>
        <w:rPr>
          <w:rFonts w:ascii="Times New Roman" w:hAnsi="Times New Roman" w:eastAsia="宋体"/>
          <w:b/>
          <w:color w:val="003264"/>
          <w:sz w:val="24"/>
        </w:rPr>
        <w:t>Exploratory pilot trial of astaxanthin supplementation in PCOS patients at risk of OHSS with focus on RAGE–NFκB pathway</w:t>
      </w:r>
    </w:p>
    <w:p>
      <w:r>
        <w:rPr>
          <w:rFonts w:ascii="Times New Roman" w:hAnsi="Times New Roman" w:eastAsia="宋体"/>
          <w:sz w:val="21"/>
        </w:rPr>
        <w:t>作者: Arezoo Maleki-Hajiagha, Ashraf Aleyasin, Fardin Amidi</w:t>
        <w:br/>
      </w:r>
      <w:r>
        <w:rPr>
          <w:rFonts w:ascii="Times New Roman" w:hAnsi="Times New Roman" w:eastAsia="宋体"/>
          <w:sz w:val="21"/>
        </w:rPr>
        <w:t xml:space="preserve">时间: 2026-02-11 | </w:t>
      </w:r>
      <w:r>
        <w:t xml:space="preserve">链接: </w:t>
      </w:r>
      <w:hyperlink r:id="rId103">
        <w:r>
          <w:rPr>
            <w:rFonts w:ascii="Times New Roman" w:hAnsi="Times New Roman" w:eastAsia="宋体"/>
            <w:color w:val="0000FF"/>
            <w:sz w:val="21"/>
            <w:u w:val="single"/>
          </w:rPr>
          <w:t>https://doi.org/10.1038/s41598-026-36449-7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多囊卵巢综合征（PCOS）是控制性卵巢刺激（COS）期间卵巢过度刺激综合征（OHSS）的主要危险因素。由晚期糖基化终末产物 (AGE) - AGE 受体 (RAGE) - 核因子 kappa-B (NFκB) 通路介导的氧化应激和炎症会导致 OHSS 的发生和卵母细胞质量受损。虾青素 (AST) 是一种有效的抗氧化剂，可以调节该途径。在这项采用三盲、随机、安慰剂对照设计的探索性试点试验中，44 名 OHSS 高风险 PCOS 患者被分配接受 AST (n = 22) 或安慰剂 (n = 22) 辅助 COS 方案。 COS 采用促性腺激素释放激素 (GnRH) 拮抗剂方案和个体化促性腺激素剂量进行。各组之间的刺激特征、促性腺激素剂量和卵泡分布具有可比性。使用 AST 回收卵母细胞的平均数量略高，并且卵母细胞成熟率 (OMR) 显着更高。 AST 组在触发日的雌二醇和孕酮水平较低，但没有统计学意义。分子分析显示，颗粒细胞 (GC) 中 RAGE 表达减少，磷酸化 kappa-B 抑制剂 (pIκB)/kappa-B 抑制剂 (IκB) 比例降低，卵泡液 (FF) 中白细胞介素 6 (IL-6) 显着降低，血管内皮生长因子 (VEGF) 呈下降趋势。这些研究结果表明，补充 AST 可以改善 COS 结局并有利地调节炎症通路，有可能降低高危 PCOS 患者的 OHSS 风险。然而，该试点试验的力度不足以确认主要 OHSS 终点，需要更大规模的研究进行验证。试用注册：注册ID：IRCT20231028059882N2；报名日期：2024年6月15日；更新日期：2025-03-16；直接访问链接：https://irct.behdasht.gov.ir/Trial/77250。</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major risk factor for ovarian hyperstimulation syndrome (OHSS) during controlled ovarian stimulation (COS). Oxidative stress and inflammation, mediated by the advanced glycation end products (AGE)–receptor for AGE (RAGE)–nuclear factor kappa-B (NFκB) pathway, contribute to OHSS development and impaired oocyte quality. Astaxanthin (AST), a potent antioxidant, may modulate this pathway. In this exploratory pilot trial using a triple‑blind, randomized, placebo‑controlled design, 44 PCOS patients at high risk for OHSS were assigned to receive AST (n = 22) or placebo (n = 22) adjunct to the COS regimen. COS was performed using a gonadotropin-releasing hormone (GnRH) antagonist protocol with individualized gonadotropin dosing. Stimulation characteristics, gonadotropin dose, and follicle distribution were comparable between groups. The mean number of retrieved oocytes was slightly higher with AST, and the oocyte maturity rate (OMR) was significantly greater. Estradiol and progesterone levels on trigger day were lower in the AST group, though not statistically significant. Molecular analyses showed reduced RAGE expression, a lower phosphorylated inhibitor of kappa-B (pIκB)/inhibitor of kappa-B (IκB) ratio in granulosa cells (GCs), and significantly decreased interleukin-6 (IL-6) in follicular fluid (FF), with vascular endothelial growth factor (VEGF) showing a downward trend. These findings suggest that AST supplementation may improve COS outcomes and favorably modulate inflammatory pathways, with potential to reduce OHSS risk in high-risk PCOS patients. However, this pilot trial was not powered enough to confirm the primary OHSS endpoint, and larger studies are required for validation. Trial registration: Registration ID: IRCT20231028059882N2; Registration date: 2024-06-15; Update date: 2025-03-16; Direct Access Link: https://irct.behdasht.gov.ir/trial/77250.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抑制基波谐振时屏蔽环路的环路电流</w:t>
      </w:r>
    </w:p>
    <w:p>
      <w:r>
        <w:rPr>
          <w:rFonts w:ascii="Times New Roman" w:hAnsi="Times New Roman" w:eastAsia="宋体"/>
          <w:b/>
          <w:color w:val="003264"/>
          <w:sz w:val="24"/>
        </w:rPr>
        <w:t>Suppressing loop current of shielded loops at fundamental resonance</w:t>
      </w:r>
    </w:p>
    <w:p>
      <w:r>
        <w:rPr>
          <w:rFonts w:ascii="Times New Roman" w:hAnsi="Times New Roman" w:eastAsia="宋体"/>
          <w:sz w:val="21"/>
        </w:rPr>
        <w:t>作者: Wenjun Wang, Rasmus Alexander Jepsen, Juan Diego Sánchez-Heredia, Vitaliy Zhurbenko, Jan Henrik Ardenkjær-Larsen</w:t>
        <w:br/>
      </w:r>
      <w:r>
        <w:rPr>
          <w:rFonts w:ascii="Times New Roman" w:hAnsi="Times New Roman" w:eastAsia="宋体"/>
          <w:sz w:val="21"/>
        </w:rPr>
        <w:t xml:space="preserve">时间: 2026-02-11 | </w:t>
      </w:r>
      <w:r>
        <w:t xml:space="preserve">链接: </w:t>
      </w:r>
      <w:hyperlink r:id="rId104">
        <w:r>
          <w:rPr>
            <w:rFonts w:ascii="Times New Roman" w:hAnsi="Times New Roman" w:eastAsia="宋体"/>
            <w:color w:val="0000FF"/>
            <w:sz w:val="21"/>
            <w:u w:val="single"/>
          </w:rPr>
          <w:t>https://doi.org/10.1038/s41598-026-36956-7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磁共振成像（MRI）中，小环形天线/线圈阵列广泛用于信号接收。在此类阵列中，必须抑制环路电流，以防止接收阵列中的发射天线或其他元件失谐，从而保持图像质量。虽然抑制传统环形天线/线圈中的电流很简单，但在屏蔽环路中实现有效抑制仍然是一个尚未解决的挑战。在本文中，我们推导了在基波谐振时最佳抑制屏蔽环路环路电流的理论原理，并通过实验进行验证。通过仔细选择天线输出端的电气负载可以实现最大电流抑制。我们确定了特定于屏蔽环路的环路电感和负载电感之间的关键关系。我们的结果表明，与直接但次优的短路天线输出方法相比，最佳抑制方法将环路电流额外减少​​了 31-36 dB。这些发现可以促进为 MRI 应用开发更强大的天线/线圈阵列。</w:t>
      </w:r>
    </w:p>
    <w:p>
      <w:pPr>
        <w:spacing w:before="120"/>
      </w:pPr>
      <w:r>
        <w:rPr>
          <w:rFonts w:ascii="Times New Roman" w:hAnsi="Times New Roman" w:eastAsia="宋体"/>
          <w:b/>
          <w:sz w:val="21"/>
        </w:rPr>
        <w:t>English Abstract:</w:t>
      </w:r>
    </w:p>
    <w:p>
      <w:r>
        <w:rPr>
          <w:rFonts w:ascii="Times New Roman" w:hAnsi="Times New Roman" w:eastAsia="宋体"/>
          <w:sz w:val="21"/>
        </w:rPr>
        <w:t>Abstract In magnetic resonance imaging (MRI), arrays of small loop antennas/coils are extensively used for signal reception. In such arrays, the loop current must be suppressed to prevent transmit antennas or other elements in a receive array from being detuned, thereby preserving image quality. While suppressing the current in conventional loop antennas/coils is straightforward, achieving effective suppression in shielded loops has remained an unresolved challenge. In this article, we derive theoretical principles for optimally suppressing the loop current of shielded loops at fundamental resonance and verify them experimentally. Maximal current suppression is achieved by carefully selecting the electrical load at the antenna outputs. We identify a critical relationship between loop inductance and load inductance specific to shielded loops. Our results demonstrate that the optimal suppression method reduces loop current by an additional 31–36 dB compared with the straightforward yet suboptimal approach of shorting the antenna outputs. These findings can facilitate the development of more robust antenna/coil arrays for MRI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使用改进的无镜面成像和 EfficientNetB2 进行肾脏疾病检测的两阶段深度学习框架</w:t>
      </w:r>
    </w:p>
    <w:p>
      <w:r>
        <w:rPr>
          <w:rFonts w:ascii="Times New Roman" w:hAnsi="Times New Roman" w:eastAsia="宋体"/>
          <w:b/>
          <w:color w:val="003264"/>
          <w:sz w:val="24"/>
        </w:rPr>
        <w:t>A two-stage deep learning framework for kidney disease detection using modified specular-free imaging and EfficientNetB2</w:t>
      </w:r>
    </w:p>
    <w:p>
      <w:r>
        <w:rPr>
          <w:rFonts w:ascii="Times New Roman" w:hAnsi="Times New Roman" w:eastAsia="宋体"/>
          <w:sz w:val="21"/>
        </w:rPr>
        <w:t>作者: Noha A. El-Hag, Walid El-Shafai, Hayam A. Abd El-Hameed, Naglaa F. Soliman, Abeer D. Algarni, Fathi E. Abd El-Samie</w:t>
        <w:br/>
      </w:r>
      <w:r>
        <w:rPr>
          <w:rFonts w:ascii="Times New Roman" w:hAnsi="Times New Roman" w:eastAsia="宋体"/>
          <w:sz w:val="21"/>
        </w:rPr>
        <w:t xml:space="preserve">时间: 2026-02-11 | </w:t>
      </w:r>
      <w:r>
        <w:t xml:space="preserve">链接: </w:t>
      </w:r>
      <w:hyperlink r:id="rId105">
        <w:r>
          <w:rPr>
            <w:rFonts w:ascii="Times New Roman" w:hAnsi="Times New Roman" w:eastAsia="宋体"/>
            <w:color w:val="0000FF"/>
            <w:sz w:val="21"/>
            <w:u w:val="single"/>
          </w:rPr>
          <w:t>https://doi.org/10.1038/s41598-025-04606-z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脏疾病是一个重大的公共卫生问题，其发病率在过去十年中显着增加。为了应对这一挑战，我们的研究引入了复杂的两阶段诊断模型，以提高各种肾脏病理的检测准确性。所提出模型的初始阶段包括一种新颖的改良无镜面反射 (MSF) 技术，旨在提高肾脏图像的视觉质量。该技术通过应用有针对性的增强来自适应地增强图像细节，以更好地区分暗和亮的亮度级别。该技术的目的是恢复关键图像信息并丰富具有诊断意义的区域的颜色表示。然后，增强后的图像将通过第二阶段进行处理，其中涉及使用 EfficientNet-B2 深度学习架构进行分类。我们的模型与一套已建立的预训练模型进行了严格比较，包括 VGG16、ResNet50、VGG19、DenseNet121、DenseNet169、DenseNet201、EfficientNet-B0、EfficientNet-B1 和 EfficientNet-B3。综合测试表明，我们的模型不仅优于这些基准，而且准确率高达 98.27%。该模型能够有效区分正常肾脏状况和肿瘤、肾结石和囊肿等各种病理，进一步确保了模型的稳健性。这项研究不仅展示了将先进图像增强技术与尖端分类模型相结合的潜力，而且还引入了一种可扩展的方法，用于提高其他复杂医学成像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Kidney diseases represent a substantial public health concern, with their incidence increasing markedly over the past decade. Addressing this challenge, our research introduces a sophisticated two-stage diagnostic model for enhancing the detection accuracy of various kidney pathologies. The initial stage of the proposed model comprises a novel Modified Specular-Free (MSF) technique designed to improve the visual quality of renal images. This technique adaptively enhances image details by applying targeted enhancements for more discrimination between dark and bright luminance levels. The objective of this technique is to restore critical image information and enrich color representation in diagnostically-significant areas. The enhanced images are then processed through the second stage, which involves classification using the EfficientNet-B2 deep learning architecture. Our model was rigorously compared against a suite of established pre-trained models, including VGG16, ResNet50, VGG19, DenseNet121, DenseNet169, DenseNet201, EfficientNet-B0, EfficientNet-B1, and EfficientNet-B3. Comprehensive testing revealed that our model not only outperforms these benchmarks, but does so with a notable accuracy of 98.27%. The robustness of the model was further ensured through its capability to effectively differentiate between normal renal conditions and various pathologies such as tumors, kidney stones, and cysts. This research not only demonstrates the potential of integrating advanced image enhancement techniques with cutting-edge classification models but also introduces a scalable approach for improving diagnostic accuracies in other complex medical imaging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胃癌脏坏死和肿瘤坏死的预后评估</w:t>
      </w:r>
    </w:p>
    <w:p>
      <w:r>
        <w:rPr>
          <w:rFonts w:ascii="Times New Roman" w:hAnsi="Times New Roman" w:eastAsia="宋体"/>
          <w:b/>
          <w:color w:val="003264"/>
          <w:sz w:val="24"/>
        </w:rPr>
        <w:t>Prognostic evaluation of dirty necrosis and tumor necrosis in gastric cancers</w:t>
      </w:r>
    </w:p>
    <w:p>
      <w:r>
        <w:rPr>
          <w:rFonts w:ascii="Times New Roman" w:hAnsi="Times New Roman" w:eastAsia="宋体"/>
          <w:sz w:val="21"/>
        </w:rPr>
        <w:t>作者: Nazlı Sena Şeker, Osman Furkan Mülkem, Evrim Yılmaz, Funda Canaz, Metin Demir, Bülent Yıldız, Gözde Ağdaş, Muzaffer Bilgin</w:t>
        <w:br/>
      </w:r>
      <w:r>
        <w:rPr>
          <w:rFonts w:ascii="Times New Roman" w:hAnsi="Times New Roman" w:eastAsia="宋体"/>
          <w:sz w:val="21"/>
        </w:rPr>
        <w:t xml:space="preserve">时间: 2026-02-11 | </w:t>
      </w:r>
      <w:r>
        <w:t xml:space="preserve">链接: </w:t>
      </w:r>
      <w:hyperlink r:id="rId106">
        <w:r>
          <w:rPr>
            <w:rFonts w:ascii="Times New Roman" w:hAnsi="Times New Roman" w:eastAsia="宋体"/>
            <w:color w:val="0000FF"/>
            <w:sz w:val="21"/>
            <w:u w:val="single"/>
          </w:rPr>
          <w:t>https://doi.org/10.1038/s41598-026-39605-1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胃癌中肿瘤坏死和脏坏死的预后意义。肿瘤坏死通常与肿瘤快速生长和血管化不足有关，是多种癌症类型中已知的不良预后指标。脏性坏死是中性粒细胞和坏死碎片中常见的一种特殊形式，在结直肠癌和肾细胞癌等癌症中具有预后价值。肿瘤相关中性粒细胞 (TAN) 和 NETosis（中性粒细胞释放细胞外陷阱的过程）的存在也在肿瘤进展和预后中发挥着作用。这项研究纳入了 187 名在埃斯基谢希尔奥斯曼加齐大学接受手术的胃癌患者。 39.6% 的病例存在脏性坏死，脏性坏死与肿瘤类型、分级、淋巴结分期和 TIL 存在之间存在显着关联。该研究表明，脏坏死与较长的无复发生存期和总生存期相关。此外，脏坏死和显着 TIL 的患者表现出更好的生存结果。研究结果表明脏坏死，特别是与 TIL 相关时，可能表明胃癌的预后较好。这项研究强调了重新评估坏死类型在胃癌预后和治疗策略中的重要性。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the prognostic significance of tumor necrosis and dirty necrosis in gastric cancer. Tumor necrosis, often linked to rapid tumor growth and insufficient vascularization, is a known poor prognostic indicator in several cancer types. Dirty necrosis, a special form seen with neutrophils and necrotic debris, has prognostic value in cancers like colorectal carcinoma and renal cell carcinoma. The presence of tumor-associated neutrophils (TANs) and NETosis, a process where neutrophils release extracellular traps, also plays a role in tumor progression and prognosis. This study included 187 gastric cancer patients who underwent surgery at Eskisehir Osmangazi University. Dirty necrosis was present in 39.6% of cases, with significant associations found between dirty necrosis and tumor type, grade, lymph node stage, and TIL presence. The study demonstrated that dirty necrosis correlated with longer recurrence-free survival and overall survival. Additionally, patients with dirty necrosis and prominent TILs exhibited improved survival outcomes. The findings suggest that dirty necrosis, particularly when associated with TIL, may indicate a better prognosis in gastric cancer. This study highlights the importance of re-evaluating necrosis types in gastric cancer prognosis and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来自非弹性 X 射线散射的超临界 $$\text {CO}_2$$ 中的二元动力学</w:t>
      </w:r>
    </w:p>
    <w:p>
      <w:r>
        <w:rPr>
          <w:rFonts w:ascii="Times New Roman" w:hAnsi="Times New Roman" w:eastAsia="宋体"/>
          <w:b/>
          <w:color w:val="003264"/>
          <w:sz w:val="24"/>
        </w:rPr>
        <w:t>Two-component dynamics in supercritical $$\text {CO}_2$$ from inelastic X-ray scattering</w:t>
      </w:r>
    </w:p>
    <w:p>
      <w:r>
        <w:rPr>
          <w:rFonts w:ascii="Times New Roman" w:hAnsi="Times New Roman" w:eastAsia="宋体"/>
          <w:sz w:val="21"/>
        </w:rPr>
        <w:t>作者: Arijit Majumdar, Peihao Sun, Madison Singleton, Luigi Paolasini, Alexey Bosak, Alfred Q. R. Baron, Jerome Hastings, Matthias Ihme</w:t>
        <w:br/>
      </w:r>
      <w:r>
        <w:rPr>
          <w:rFonts w:ascii="Times New Roman" w:hAnsi="Times New Roman" w:eastAsia="宋体"/>
          <w:sz w:val="21"/>
        </w:rPr>
        <w:t xml:space="preserve">时间: 2026-02-11 | </w:t>
      </w:r>
      <w:r>
        <w:t xml:space="preserve">链接: </w:t>
      </w:r>
      <w:hyperlink r:id="rId107">
        <w:r>
          <w:rPr>
            <w:rFonts w:ascii="Times New Roman" w:hAnsi="Times New Roman" w:eastAsia="宋体"/>
            <w:color w:val="0000FF"/>
            <w:sz w:val="21"/>
            <w:u w:val="single"/>
          </w:rPr>
          <w:t>https://doi.org/10.1038/s41598-026-38697-z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超临界流体具有独特的热力学性质。这些特性之一是存在与流体的不同低频和高频振动响应相关的二分量动力学。然而，这种行为的起源仍然未知。通过结合非弹性 X 射线散射和分子动力学模拟，我们表明这种行为可以与分子簇产生的密度异质性相关。对测量和分子轨迹的分析表明，由于簇状分子和未结合分子的独特动量波动而出现了双组分动力学。团簇和二元动力学之间的这种联系凸显了超临界流体、胶体和凝聚态物质系统中分子结构异质性的重要性。</w:t>
      </w:r>
    </w:p>
    <w:p>
      <w:pPr>
        <w:spacing w:before="120"/>
      </w:pPr>
      <w:r>
        <w:rPr>
          <w:rFonts w:ascii="Times New Roman" w:hAnsi="Times New Roman" w:eastAsia="宋体"/>
          <w:b/>
          <w:sz w:val="21"/>
        </w:rPr>
        <w:t>English Abstract:</w:t>
      </w:r>
    </w:p>
    <w:p>
      <w:r>
        <w:rPr>
          <w:rFonts w:ascii="Times New Roman" w:hAnsi="Times New Roman" w:eastAsia="宋体"/>
          <w:sz w:val="21"/>
        </w:rPr>
        <w:t>Supercritical fluids are characterized by unique thermodynamic properties. One of these properties is the existence of two-component dynamics that is associated with distinct low-frequency and high-frequency vibrational responses of the fluid. However, the origin of this behavior remains unknown. By combining inelastic X-ray scattering and molecular dynamics simulations, we show that this behavior can be connected to density heterogeneities arising from molecular clusters. Analyses of measurements and molecular trajectories suggest that the two-component dynamics emerges due to distinct momentum fluctuations of clustered and unbound molecules. This connection between clusters and two-component dynamics highlights the importance of molecular-structural heterogeneities in supercritical fluids, colloids, and condensed-matter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采用物联网和实时监控的智能水培方法实现可持续城市农业</w:t>
      </w:r>
    </w:p>
    <w:p>
      <w:r>
        <w:rPr>
          <w:rFonts w:ascii="Times New Roman" w:hAnsi="Times New Roman" w:eastAsia="宋体"/>
          <w:b/>
          <w:color w:val="003264"/>
          <w:sz w:val="24"/>
        </w:rPr>
        <w:t>Sustainable urban farming using a smart hydroponic approach using IoT and real time monitoring</w:t>
      </w:r>
    </w:p>
    <w:p>
      <w:r>
        <w:rPr>
          <w:rFonts w:ascii="Times New Roman" w:hAnsi="Times New Roman" w:eastAsia="宋体"/>
          <w:sz w:val="21"/>
        </w:rPr>
        <w:t>作者: Ley Wei En, Chong Lye Lim, Chiang Liang Kok, Yit Yan Koh, Charles C. C. Lee</w:t>
        <w:br/>
      </w:r>
      <w:r>
        <w:rPr>
          <w:rFonts w:ascii="Times New Roman" w:hAnsi="Times New Roman" w:eastAsia="宋体"/>
          <w:sz w:val="21"/>
        </w:rPr>
        <w:t xml:space="preserve">时间: 2026-02-11 | </w:t>
      </w:r>
      <w:r>
        <w:t xml:space="preserve">链接: </w:t>
      </w:r>
      <w:hyperlink r:id="rId108">
        <w:r>
          <w:rPr>
            <w:rFonts w:ascii="Times New Roman" w:hAnsi="Times New Roman" w:eastAsia="宋体"/>
            <w:color w:val="0000FF"/>
            <w:sz w:val="21"/>
            <w:u w:val="single"/>
          </w:rPr>
          <w:t>https://doi.org/10.1038/s41598-026-37971-4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由于世界人口增长导致对新鲜产品的需求不断增长，因此需要可持续的耕作方法。光照和水温因素会影响所选绿叶蔬菜的生长，物联网智能系统有助于监控这些条件。本项目旨在通过将 Arduino UNO WIFI 微控制器与家庭水培系统集成作为支持物联网的智能家庭水培系统，探索水温和光照强度如何影响绿叶蔬菜的生长。智能家庭水培系统由传感器、Arduino UNO WIFI微控制器和家庭水培系统组成。智能家居水培系统实时监控和管理水培中的环境变量。智能家居水培系统通过监测温度、相对湿度 (RH)、pH 值和养分浓度信息来帮助促进生长条件。使用羽衣甘蓝作为模型作物，在 4 周的生长期内测试了结合不同光源（LED 与自然光）和环境条件（房间与空调）的四种实验装置。通过云系统监测和记录光强度和水温。结果表明，室温条件下的 LED 照明产生了最高的生长性能，与其他条件相比，叶子数量和生物量增加了 15-20%。最佳水温范围为 28-30°C，稳定的 pH 值在 6.5 至 7.0 之间与更快的根系发育相关。该研究表明，使用物联网传感器的有效性可以提供更好的受控环境，并有助于提高城市家庭环境中水培系统的效率。</w:t>
      </w:r>
    </w:p>
    <w:p>
      <w:pPr>
        <w:spacing w:before="120"/>
      </w:pPr>
      <w:r>
        <w:rPr>
          <w:rFonts w:ascii="Times New Roman" w:hAnsi="Times New Roman" w:eastAsia="宋体"/>
          <w:b/>
          <w:sz w:val="21"/>
        </w:rPr>
        <w:t>English Abstract:</w:t>
      </w:r>
    </w:p>
    <w:p>
      <w:r>
        <w:rPr>
          <w:rFonts w:ascii="Times New Roman" w:hAnsi="Times New Roman" w:eastAsia="宋体"/>
          <w:sz w:val="21"/>
        </w:rPr>
        <w:t>Sustainable farming methods are needed due to the rising demand for fresh products brought on by the world’s population growth. The light and water temperature factors affect the growth of selected leafy greens, and the Internet of Things-enabled smart system helps monitor these conditions. The present project aims to explore how the water temperature and light intensity affect the growth of leafy greens by integrating an Arduino UNO WIFI microcontroller with a household hydroponic system as an Internet of Things-enabled smart home hydroponic system. The smart home hydroponic system consists of sensors, an Arduino UNO WIFI microcontroller, and a home hydroponic system. The smart home hydroponic system monitors and manages environmental variables in real-time in hydroponics. The smart home hydroponic system helps to catalyse growing conditions by monitoring the information on temperature, relative humidity (RH), pH, and nutrient concentrations. Four experimental setups combining different lighting sources (LED vs. natural light) and ambient conditions (room vs. air-conditioned) were tested over a 4-week growth period using kale as the model crop. The light intensity and water temperature were monitored and recorded through a cloud system. Results showed that LED lighting with room temperature conditions yielded the highest growth performance, with a 15–20% increase in leaf count and biomass compared to other conditions. The optimal water temperature range was identified as 28–30 °C, and stable pH values between 6.5 and 7.0 were correlated with faster root development. The study demonstrates the effectiveness of using IoT sensors provides a better-controlled environment and helps improve the efficiency of hydroponic systems in an urban household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甘油三酯-葡萄糖指数、遗传易感性和 2 型糖尿病微血管多发病的轨迹</w:t>
      </w:r>
    </w:p>
    <w:p>
      <w:r>
        <w:rPr>
          <w:rFonts w:ascii="Times New Roman" w:hAnsi="Times New Roman" w:eastAsia="宋体"/>
          <w:b/>
          <w:color w:val="003264"/>
          <w:sz w:val="24"/>
        </w:rPr>
        <w:t>Triglyceride-glucose index, genetic susceptibility, and trajectory of microvascular multimorbidity in type 2 diabetes</w:t>
      </w:r>
    </w:p>
    <w:p>
      <w:r>
        <w:rPr>
          <w:rFonts w:ascii="Times New Roman" w:hAnsi="Times New Roman" w:eastAsia="宋体"/>
          <w:sz w:val="21"/>
        </w:rPr>
        <w:t>作者: Xiangling Yuan, Min Peng, Xuan Shi, Dahong Yang, Fang Wang, Chao Hou, Gelin Xu</w:t>
        <w:br/>
      </w:r>
      <w:r>
        <w:rPr>
          <w:rFonts w:ascii="Times New Roman" w:hAnsi="Times New Roman" w:eastAsia="宋体"/>
          <w:sz w:val="21"/>
        </w:rPr>
        <w:t xml:space="preserve">时间: 2026-02-11 | </w:t>
      </w:r>
      <w:r>
        <w:t xml:space="preserve">链接: </w:t>
      </w:r>
      <w:hyperlink r:id="rId109">
        <w:r>
          <w:rPr>
            <w:rFonts w:ascii="Times New Roman" w:hAnsi="Times New Roman" w:eastAsia="宋体"/>
            <w:color w:val="0000FF"/>
            <w:sz w:val="21"/>
            <w:u w:val="single"/>
          </w:rPr>
          <w:t>https://doi.org/10.1038/s41598-026-39777-w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甘油三酯-葡萄糖 (TyG) 指数在糖尿病微血管并发症 (DMC) 多发病进展中的作用仍不清楚。此外，其与 2 型糖尿病 (T2D) 遗传易感性的相互作用尚未完全阐明。这项研究包括来自英国生物银行的 T2D 患者。主要结局是首次 DMC 和 DMC 多种疾病（包括视网膜病变、神经病变和肾病）的发生率。使用多变量 Cox 回归和多状态模型来评估 TyG 指数和 DMC 进展之间的关联。交互作用分析检查了 TyG 指数和 T2D 遗传风险的联合关联。总共纳入了 19,512 名 T2D 患者，中位随访时间为 12.9 年。其中，5,875 人（30.11%）首次出现 DMC，1,314 人（22.37%）发展为多种疾病。 TyG 每增加 1-SD，首次 DMC 风险就会增加 19%，多种疾病的风险就会增加 38%。多状态模型显示，TyG 是从首次 DMC 进展为多种疾病的重要预测因子（HR = 1.25；95% CI：1.15–1.37；P &lt; 0.001），特别是在患有视网膜病变（HR = 1.39）或肾病（HR = 1.14）的患者中。观察到高 TyG 指数与遗传风险升高之间存在联合关联，表明 DMC 发病和进展的风险逐步增加。在这个以人群为基础的大型 T2D 患者队列中，TyG 指数升高独立预测了 DMC 多发病的发生和进展。这种关联在视网膜病变或肾病患者中尤其明显，在遗传风险较高的个体中观察到的风险最高，这凸显了 TyG 在风险分层和精准预防策略方面的潜在效用。</w:t>
      </w:r>
    </w:p>
    <w:p>
      <w:pPr>
        <w:spacing w:before="120"/>
      </w:pPr>
      <w:r>
        <w:rPr>
          <w:rFonts w:ascii="Times New Roman" w:hAnsi="Times New Roman" w:eastAsia="宋体"/>
          <w:b/>
          <w:sz w:val="21"/>
        </w:rPr>
        <w:t>English Abstract:</w:t>
      </w:r>
    </w:p>
    <w:p>
      <w:r>
        <w:rPr>
          <w:rFonts w:ascii="Times New Roman" w:hAnsi="Times New Roman" w:eastAsia="宋体"/>
          <w:sz w:val="21"/>
        </w:rPr>
        <w:t>The role of the triglyceride-glucose (TyG) index in the progression of diabetic microvascular complication (DMC) multimorbidity remains unclear. Moreover, its interaction with genetic susceptibility to type 2 diabetes (T2D) has not been fully elucidated. This study included T2D patients from the UK Biobank. Primary outcomes were the incidence of first DMC and DMC multimorbidity (including retinopathy, neuropathy, and nephropathy). Multivariable Cox regression and multistate models were used to assess associations between the TyG index and DMC progression. Interaction analyses examined the joint association of the TyG index and T2D genetic risk. A total of 19,512 T2D patients were included, with a median follow-up of 12.9 years. Among them, 5,875 (30.11%) developed a first DMC, and 1,314 (22.37%) progressed to multimorbidity. Each 1-SD increase in TyG was associated with a 19% increased risk of first DMC and a 38% higher risk of multimorbidity. Multistate models showed TyG was a significant predictor of progression from first DMC to multimorbidity (HR = 1.25; 95% CI: 1.15–1.37; P &lt; 0.001), particularly among those with retinopathy (HR = 1.39) or nephropathy (HR = 1.14). A combined association was observed between high TyG index and elevated genetic risk, demonstrating a stepwise increase in risk for DMC onset and progression. In this large, population-based cohort of T2D patients, an elevated TyG index independently predicted both the onset and progression of DMC multimorbidity. This association was particularly evident in patients with retinopathy or nephropathy, with the highest risk observed among individuals with higher genetic risk, highlighting the potential utility of TyG for risk stratification and precision prevention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通过分析方法研究 (2 + 1) 维复杂修正 Korteweg–de Vries 系统的光孤子波剖面以及分数阶导数的影响</w:t>
      </w:r>
    </w:p>
    <w:p>
      <w:r>
        <w:rPr>
          <w:rFonts w:ascii="Times New Roman" w:hAnsi="Times New Roman" w:eastAsia="宋体"/>
          <w:b/>
          <w:color w:val="003264"/>
          <w:sz w:val="24"/>
        </w:rPr>
        <w:t>Optical soliton wave profiles for the (2 + 1)-dimensional complex modified Korteweg–de Vries system with the impact of fractional derivative via analytical approach</w:t>
      </w:r>
    </w:p>
    <w:p>
      <w:r>
        <w:rPr>
          <w:rFonts w:ascii="Times New Roman" w:hAnsi="Times New Roman" w:eastAsia="宋体"/>
          <w:sz w:val="21"/>
        </w:rPr>
        <w:t>作者: Muhammad Ishfaq Khan, Meraj Ali Khan, Mujahid Iqbal, Weam Gaoud Alghabban, Abeer Aljohani, Ibrahim Al-Dayel, Baboucarr Ceesay</w:t>
        <w:br/>
      </w:r>
      <w:r>
        <w:rPr>
          <w:rFonts w:ascii="Times New Roman" w:hAnsi="Times New Roman" w:eastAsia="宋体"/>
          <w:sz w:val="21"/>
        </w:rPr>
        <w:t xml:space="preserve">时间: 2026-02-11 | </w:t>
      </w:r>
      <w:r>
        <w:t xml:space="preserve">链接: </w:t>
      </w:r>
      <w:hyperlink r:id="rId110">
        <w:r>
          <w:rPr>
            <w:rFonts w:ascii="Times New Roman" w:hAnsi="Times New Roman" w:eastAsia="宋体"/>
            <w:color w:val="0000FF"/>
            <w:sz w:val="21"/>
            <w:u w:val="single"/>
          </w:rPr>
          <w:t>https://doi.org/10.1038/s41598-026-39517-0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在本文中，我们使用截断 M 分数阶导数和雅可比椭圆函数展开方法研究了 (2+1) 维复数修正 Korteweg–de Vries (CmKdV) 系统的精确解析解。 CmKdV 系统在光学、等离子体物理和流体动力学中的非线性波传播建模中发挥着核心作用。通过应用截断的M分数阶导数，系统被转化为更容易处理的形式，从而能够有效地利用雅可比椭圆函数展开方法来构造精确的孤子和周期波解。结果提供了对系统非线性动力学的更深入的了解，并强调了所提出方法的鲁棒性。 Mathematica 中生成的图形模拟说明了所获得的解决方案在多个维度（例如二维、三维和轮廓）的物理行为，以及时间对波传播的影响。总体而言，将雅可比椭圆函数展开法与截断 M 分数阶导数相结合，为求解复杂微分方程创建了强大的框架，从而带来了新的可能性。存在研究和开发的机会。这项研究增加了我们对 (2+1) 维复杂修正 Korteweg-de Vries (CmKdV) 系统的理解，并展示了如何将理论数学应用于实际问题。数学建模和计算可视化可以对工程和科学产生重大影响，我们的发现促进了多学科的研究方法。</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investigate exact analytical solutions of the (2+1)-dimensional complex modified Korteweg–de Vries (CmKdV) system using the truncated M-fractional derivative together with the Jacobi elliptic function expansion method. The CmKdV system plays a central role in modeling nonlinear wave propagation in optics, plasma physics, and fluid dynamics. By applying the truncated M-fractional derivative, the system is transformed into a more tractable form, enabling the effective use of the Jacobi elliptic function expansion method to construct exact soliton and periodic wave solutions. The results offer deeper insight into the system’s nonlinear dynamics and highlight the robustness of the proposed method. Graphical simulations generated in Mathematica illustrate the physical behavior of the obtained solutions across multiple dimensions, such as two-dimensional, three-dimensional, and contour, and the influence of time on the wave propagations. Overall, combining the Jacobi elliptic function expansion method and truncated M-fractional derivatives creates a strong framework for solving complex differential equations, leading to new possibilities. Opportunities for research and development exist. This research adds to our understanding of the (2+1)-dimensional complex modified Korteweg-de Vries (CmKdV) system and demonstrates how theoretical mathematics can be applied to real concerns. Mathematical modeling and computational visualization can significantly impact engineering and science, and our findings promote a multidisciplinary approach to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使用光子晶体光纤传感器的机器学习辅助疟疾检测</w:t>
      </w:r>
    </w:p>
    <w:p>
      <w:r>
        <w:rPr>
          <w:rFonts w:ascii="Times New Roman" w:hAnsi="Times New Roman" w:eastAsia="宋体"/>
          <w:b/>
          <w:color w:val="003264"/>
          <w:sz w:val="24"/>
        </w:rPr>
        <w:t>Machine learning assisted malaria detection using photonic crystal fibre optical sensors</w:t>
      </w:r>
    </w:p>
    <w:p>
      <w:r>
        <w:rPr>
          <w:rFonts w:ascii="Times New Roman" w:hAnsi="Times New Roman" w:eastAsia="宋体"/>
          <w:sz w:val="21"/>
        </w:rPr>
        <w:t>作者: Mohammad Abdullah-Al-Shafi, Shuvo Sen, Mashiyat Mubassera</w:t>
        <w:br/>
      </w:r>
      <w:r>
        <w:rPr>
          <w:rFonts w:ascii="Times New Roman" w:hAnsi="Times New Roman" w:eastAsia="宋体"/>
          <w:sz w:val="21"/>
        </w:rPr>
        <w:t xml:space="preserve">时间: 2026-02-11 | </w:t>
      </w:r>
      <w:r>
        <w:t xml:space="preserve">链接: </w:t>
      </w:r>
      <w:hyperlink r:id="rId111">
        <w:r>
          <w:rPr>
            <w:rFonts w:ascii="Times New Roman" w:hAnsi="Times New Roman" w:eastAsia="宋体"/>
            <w:color w:val="0000FF"/>
            <w:sz w:val="21"/>
            <w:u w:val="single"/>
          </w:rPr>
          <w:t>https://doi.org/10.1038/s41598-026-37709-2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基于光子晶体光纤的光学传感器，具有简单实用的架构，可利用红细胞折射率的变化来检测疟疾。所提出的传感器由一个中空的中心核心组成，周围有五个同心的七边形包层层，可实现有效的样品渗透并增强光物质相互作用。这种配置对细微的折射率变化具有高灵敏度，同时保持适合现实世界诊断部署的结构简单性。对应于不同疟原虫发育阶段的折射率变化被转化为不同的波长变化，从而可以可靠地区分环状滋养体和裂殖体阶段。该传感器的工作折射率范围为 1.373 至 1.402，与疟疾感染的红细胞的光学特性非常匹配。数值结果表明，健康细胞的相对灵敏度较高，为 97.45%，环期为 96.89%，滋养体期为 96.22%，裂殖体期为 95.45%。光限制损耗仍然极低，在 2.2 THz 的工作频率下约为每米 10-8 dB。这些结果凸显了光子晶体光纤传感器作为一种具有成本效益的高性能平台的潜力，可用于早期疟疾检测和更广泛的生物医学传感应用。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photonic crystal fibre based optical sensor with a simple and practical architecture for malaria detection using refractive index variations in red blood cells. The proposed sensor consists of a hollow central core surrounded by five concentric layers of heptagonal cladding, enabling efficient sample infiltration and enhanced light matter interaction. This configuration provides high sensitivity to subtle refractive index changes while maintaining structural simplicity suitable for real world diagnostic deployment. Refractive index variations corresponding to different Plasmodium developmental stages are converted into distinct wavelength shifts, allowing reliable discrimination between ring trophozoite and schizont stages. The sensor operates over a refractive index range of 1.373 to 1.402, closely matching the optical properties of malaria infected red blood cells. Numerical results demonstrate high relative sensitivity of 97.45% for healthy cells, 96.89% for the ring stage, 96.22% for the trophozoite stage, and 95.45% for the schizont stage. Optical confinement losses remain extremely low, on the order of 10–8 dB per metre at an operating frequency of 2.2 THz. These results highlight the potential of photonic crystal fibre sensors as a cost effective and high-performance platform for early malaria detection and broader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肺微环境中紫外线诱导的免疫调节可减缓癌症进展</w:t>
      </w:r>
    </w:p>
    <w:p>
      <w:r>
        <w:rPr>
          <w:rFonts w:ascii="Times New Roman" w:hAnsi="Times New Roman" w:eastAsia="宋体"/>
          <w:b/>
          <w:color w:val="003264"/>
          <w:sz w:val="24"/>
        </w:rPr>
        <w:t>UV-induced immune modulation in the lung niche slows cancer progression</w:t>
      </w:r>
    </w:p>
    <w:p>
      <w:r>
        <w:rPr>
          <w:rFonts w:ascii="Times New Roman" w:hAnsi="Times New Roman" w:eastAsia="宋体"/>
          <w:sz w:val="21"/>
        </w:rPr>
        <w:t>作者: Avishai Maliah, Shivang Parikh, Andrew C. Stevenson, Dan Bijaoui, Esther Goodman, Yuval Sade, Roma Parikh, Gal Binshtok, Paulee Manich, Tamar Golan, Itay Tal, Justine Del Rio, Richard Weller, Amaya Virós, Ruth Percik, Zvi Granot, Chen Luxenburg, Yaron Carmi, Mehdi Khaled, Chris Dibben, Carmit Levy</w:t>
        <w:br/>
      </w:r>
      <w:r>
        <w:rPr>
          <w:rFonts w:ascii="Times New Roman" w:hAnsi="Times New Roman" w:eastAsia="宋体"/>
          <w:sz w:val="21"/>
        </w:rPr>
        <w:t xml:space="preserve">时间: 2026-02-11 | </w:t>
      </w:r>
      <w:r>
        <w:t xml:space="preserve">链接: </w:t>
      </w:r>
      <w:hyperlink r:id="rId112">
        <w:r>
          <w:rPr>
            <w:rFonts w:ascii="Times New Roman" w:hAnsi="Times New Roman" w:eastAsia="宋体"/>
            <w:color w:val="0000FF"/>
            <w:sz w:val="21"/>
            <w:u w:val="single"/>
          </w:rPr>
          <w:t>https://doi.org/10.1038/s41598-025-33900-z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紫外线辐射对皮肤具有明显的局部免疫抑制作用，可以促进皮下肿瘤的生长；然而，其对内脏器官癌症进展的系统影响仍知之甚少。在这里，我们发现黑色素瘤转移到肺部后长期暴露于 UVB 会抑制转移生长并适度提高小鼠的存活率。在英国生物银行参与者中，较高的太阳辐射暴露与肺癌生存率的提高呈正相关。从机制上讲，UVB 调节肿瘤免疫环境：对 UVB 照射和假照射小鼠肺转移瘤的 CD45+ 免疫浸润细胞进行质谱流式分析，结果显示 UVB 诱导 CXCR2− 中性粒细胞增加，Ly6C+ 炎性单核细胞减少，但调节性 T 细胞或免疫检查点分子表达没有变化。总之，这些结果凸显了 UVB 和太阳辐射的潜在保护作用，并为进一步研究紫外线作为增强抗肿瘤免疫力的因素提供了理论依据。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Ultraviolet radiation has a well-documented local immunosuppressive effect on the skin that can enhance subcutaneous tumor growth; however, its systemic impact on cancer progression in internal organs remains poorly understood. Here, we show that chronic UVB exposure after melanoma metastasis to the lung inhibits metastatic growth and modestly improves survival in mice. In UK Biobank participants, higher solar radiation exposure is positively associated with improved lung cancer survival. Mechanistically, UVB modulates the tumor immune environment: Mass cytometry of CD45+ immune infiltrate cells from lung metastases of mice UVB-and sham-irradiated revealed a UVB-induced increase in CXCR2− neutrophils and a reduction in Ly6C+ inflammatory monocytes, with no changes in regulatory T cells or expression of immune checkpoint molecules. Together, these results highlight a potentially protective role of UVB and solar radiation and provide a rationale for further investigation into UV as a factor that enhances antitumor immunity.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对从大气样品中提取 DNA 进行第三代测序（无需扩增）的商业试剂盒和纯化方法进行评估</w:t>
      </w:r>
    </w:p>
    <w:p>
      <w:r>
        <w:rPr>
          <w:rFonts w:ascii="Times New Roman" w:hAnsi="Times New Roman" w:eastAsia="宋体"/>
          <w:b/>
          <w:color w:val="003264"/>
          <w:sz w:val="24"/>
        </w:rPr>
        <w:t>Evaluation of commercial kits and purification approaches for DNA extraction from atmospheric samples for 3rd generation sequencing without amplification</w:t>
      </w:r>
    </w:p>
    <w:p>
      <w:r>
        <w:rPr>
          <w:rFonts w:ascii="Times New Roman" w:hAnsi="Times New Roman" w:eastAsia="宋体"/>
          <w:sz w:val="21"/>
        </w:rPr>
        <w:t>作者: Julija Salokas, Svetlana Sofieva-Rios, Jussi Paatero, Eija Asmi, Ari Karppinen, Mikhail Sofiev</w:t>
        <w:br/>
      </w:r>
      <w:r>
        <w:rPr>
          <w:rFonts w:ascii="Times New Roman" w:hAnsi="Times New Roman" w:eastAsia="宋体"/>
          <w:sz w:val="21"/>
        </w:rPr>
        <w:t xml:space="preserve">时间: 2026-02-11 | </w:t>
      </w:r>
      <w:r>
        <w:t xml:space="preserve">链接: </w:t>
      </w:r>
      <w:hyperlink r:id="rId113">
        <w:r>
          <w:rPr>
            <w:rFonts w:ascii="Times New Roman" w:hAnsi="Times New Roman" w:eastAsia="宋体"/>
            <w:color w:val="0000FF"/>
            <w:sz w:val="21"/>
            <w:u w:val="single"/>
          </w:rPr>
          <w:t>https://doi.org/10.1038/s41598-026-38534-3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摘要：我们提出了一种在空气质量监测中广泛使用的玻璃纤维过滤器上收集的大气生物气溶胶样品的 DNA 提取方案。该方案产生适合第三代测序和其他应用的高质量分子。最初的方案是在 2021 年使用低容量空气采样器在芬兰和立陶宛进行的生物气溶胶活动中开发和应用的，这对方法的灵敏度提出了严格的要求。该方案包括用于 DNA 纯化的苯酚-氯仿步骤，因此涉及腐蚀性试剂；也相当费时费力。本研究提出了该方案，通过使用 SPRI 顺磁珠技术进行 DNA 纯化来排除危险化学品的使用，并将其与几种商业提取方法进行比较。尽管效率落后于最初的方法，但事实证明，新开发的方法比几种基于柱的商业试剂盒更有效。更新后的方案对于生物材料与过滤材料相对较高的质量比是有效的：过滤器上的 70 纳克潜在 DNA 比一毫克过滤纤维，如最初基于苯酚-氯仿的方法所检测到的。然而，对于每毫克过滤材料中潜在 DNA 的质量比低于 15 纳克的情况，新方法并不有效。通过使用 Oxford Nanopore (ONT) GridION 测序仪对样品进行后续处理，证实了第三代测序样品制备新方案的适用性。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DNA extraction protocol for atmospheric bioaerosol samples collected on glass-fiber filters widely used in air quality monitoring. The protocol produces high-quality molecules suitable for third-generation sequencing and other applications. The initial protocol was developed and applied in a Bioaerosol campaign performed in Finland and Lithuania in 2021 using low-volume air samplers, which posed stringent requirements to the method sensitivity. The protocol included a phenol–chloroform step for DNA purification, thus involving aggressive reagents; it was also quite time consuming and laborious. The present study advances this protocol to exclude the use of hazardous chemicals by using the SPRI paramagnetic bead technology for DNA purification and compares it to several commercial extraction methods. Despite trailing in efficiency to the initial method, the new development proved to be more efficient than several column-based commercial kits. The updated protocol was effective for a relatively high mass ratio of biological material to filter material: 70 nanograms of potential DNA on the filter to one milligram of filter fiber, as detected with the initial phenol–chloroform-based method. However, the new approach was not effective for a mass ratio lower than 15 nanograms of potential DNA per milligram of the filter material. The applicability of the new protocol for preparation of samples for the 3rd generation sequencing was confirmed by subsequent processing of the samples with the Oxford Nanopore (ONT) GridION sequencer.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手动指向偏差反映了数字知识的空间组织</w:t>
      </w:r>
    </w:p>
    <w:p>
      <w:r>
        <w:rPr>
          <w:rFonts w:ascii="Times New Roman" w:hAnsi="Times New Roman" w:eastAsia="宋体"/>
          <w:b/>
          <w:color w:val="003264"/>
          <w:sz w:val="24"/>
        </w:rPr>
        <w:t>Manual pointing bias reflects spatial organization of number knowledge</w:t>
      </w:r>
    </w:p>
    <w:p>
      <w:r>
        <w:rPr>
          <w:rFonts w:ascii="Times New Roman" w:hAnsi="Times New Roman" w:eastAsia="宋体"/>
          <w:sz w:val="21"/>
        </w:rPr>
        <w:t>作者: Carlotta Isabella Zona, Martin H Fischer</w:t>
        <w:br/>
      </w:r>
      <w:r>
        <w:rPr>
          <w:rFonts w:ascii="Times New Roman" w:hAnsi="Times New Roman" w:eastAsia="宋体"/>
          <w:sz w:val="21"/>
        </w:rPr>
        <w:t xml:space="preserve">时间: 2026-02-11 | </w:t>
      </w:r>
      <w:r>
        <w:t xml:space="preserve">链接: </w:t>
      </w:r>
      <w:hyperlink r:id="rId114">
        <w:r>
          <w:rPr>
            <w:rFonts w:ascii="Times New Roman" w:hAnsi="Times New Roman" w:eastAsia="宋体"/>
            <w:color w:val="0000FF"/>
            <w:sz w:val="21"/>
            <w:u w:val="single"/>
          </w:rPr>
          <w:t>https://doi.org/10.1038/s41598-026-39170-7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概念被认为是沿着心理数字线在空间上组织的，数字线从左到右（在西方人中）和从下到上递增。然而，手动指向中出现水平和/或垂直空间数字关联（SNA）的证据是混杂的，并且暗示物理空间中依赖于幅度的数字排列的任务阻止了关于 SNA 的出现和范围的结论。为了解决这些问题，我们通过两步指向任务研究了 SNA，其中运动的第一步（在听完语音后提供）始终以触摸屏上显示的同一中心目标结束。我们分析了这个空间不变、与幅度无关的第一步的空间偏差。第二步，参与者将说出的数字定位在钟面排列中，从而将物理距离和数字距离解耦。在实验 1（N = 20，说出从 1 到 12 的数字）中，（空间不变）指向位置之间的成对数值距离和欧几里德距离呈正相关。连续试验中口语数字大小的变化产生了表明系统性指向位置变化的趋势。实验 2（N = 20）提出了 24 个语音目标（1-12.5，例如“三点五”）以增加钟面显着性。钟面距离和数值差都预测了指向位置之间的欧几里得距离。在连续的试验中，正的幅度变化导致指向位置向左（钟面一致）和向上（MNL 一致）移动。结果表明，数值差异可以表示为 2D 物理距离，并支持手动指向中垂直 SNA 的出现，同时避免了先前的实验混淆。研究结果与概念知识以空间组织的低维模型表示的观点相一致。</w:t>
      </w:r>
    </w:p>
    <w:p>
      <w:pPr>
        <w:spacing w:before="120"/>
      </w:pPr>
      <w:r>
        <w:rPr>
          <w:rFonts w:ascii="Times New Roman" w:hAnsi="Times New Roman" w:eastAsia="宋体"/>
          <w:b/>
          <w:sz w:val="21"/>
        </w:rPr>
        <w:t>English Abstract:</w:t>
      </w:r>
    </w:p>
    <w:p>
      <w:r>
        <w:rPr>
          <w:rFonts w:ascii="Times New Roman" w:hAnsi="Times New Roman" w:eastAsia="宋体"/>
          <w:sz w:val="21"/>
        </w:rPr>
        <w:t>Abstract Number concepts are thought to be spatially organized along a mental number line increasing left-to-right (in Westerners) and bottom-to-top. However, the evidence for the emergence of horizontal and/or vertical spatial-numerical associations (SNAs) in manual pointing is mixed, and tasks implying magnitude-dependent number arrangements in physical space prevent conclusions about the emergence and extent of SNAs. Addressing these issues, we investigated SNAs with a two-step pointing task where the movement’s first step (provided after listening to a spoken number) always ended on the same central target displayed on a touchscreen. We analyzed spatial bias of this space-invariant, magnitude-independent first step. In the second step, participants localized the spoken number’s position in a clock-face arrangement, decoupling physical and numerical distance. In Experiment 1 (N = 20, spoken numbers from 1 to 12), pairwise numerical and Euclidean distances between (space-invariant) pointing locations were positively associated. Changes in magnitude of spoken numbers across successive trials yielded trends suggesting systematic pointing-location shifts. Experiment 2 (N = 20) presented 24 spoken targets (1–12.5, e.g., “three point five”) to increase clock-face salience. Both clock-face distance and numerical difference predicted Euclidean distances between pointing locations. In successive trials, positive magnitude changes resulted in leftward (clock-face congruent) and upward (MNL-congruent) shifts of pointing locations. The results suggest that numerical differences may be represented as 2D physical distances and support the emergence of vertical SNAs in manual pointing while avoiding previous experimental confounds. The findings align with the view that conceptual knowledge is represented in low-dimensional models that are spatially organized.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利用便携式音视频阵列揭示同域珊瑚栖息鱼类的声学生态</w:t>
      </w:r>
    </w:p>
    <w:p>
      <w:r>
        <w:rPr>
          <w:rFonts w:ascii="Times New Roman" w:hAnsi="Times New Roman" w:eastAsia="宋体"/>
          <w:b/>
          <w:color w:val="003264"/>
          <w:sz w:val="24"/>
        </w:rPr>
        <w:t>Uncovering the acoustic ecology of sympatric coral-dwelling fish with portable audio-video arrays</w:t>
      </w:r>
    </w:p>
    <w:p>
      <w:r>
        <w:rPr>
          <w:rFonts w:ascii="Times New Roman" w:hAnsi="Times New Roman" w:eastAsia="宋体"/>
          <w:sz w:val="21"/>
        </w:rPr>
        <w:t>作者: Juan Carlos Azofeifa-Solano, Xavier Mouy, Christine Erbe, Rohan M. Brooker, Robert D. McCauley, Craig A. Radford, Miles J. G. Parsons</w:t>
        <w:br/>
      </w:r>
      <w:r>
        <w:rPr>
          <w:rFonts w:ascii="Times New Roman" w:hAnsi="Times New Roman" w:eastAsia="宋体"/>
          <w:sz w:val="21"/>
        </w:rPr>
        <w:t xml:space="preserve">时间: 2026-02-11 | </w:t>
      </w:r>
      <w:r>
        <w:t xml:space="preserve">链接: </w:t>
      </w:r>
      <w:hyperlink r:id="rId115">
        <w:r>
          <w:rPr>
            <w:rFonts w:ascii="Times New Roman" w:hAnsi="Times New Roman" w:eastAsia="宋体"/>
            <w:color w:val="0000FF"/>
            <w:sz w:val="21"/>
            <w:u w:val="single"/>
          </w:rPr>
          <w:t>https://doi.org/10.1038/s41598-026-38774-3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音交流在鱼类生态和行为中发挥着重要作用。了解声学信号如何在物种和种群之间变化对于性选择、种群分化和交流环境调节等问题至关重要。然而，许多鱼类的叫声仍然无法归因于物种或行为，限制了它们融入更广泛的生态研究和监测。我们在两个珊瑚礁系统部署了便携式音频视频阵列，以研究两种同域雀鲷（Dascyllus aruanus 和 D. reticulatus）的求偶叫声。阵列将四个水听器与摄像机集成在一起，能够自动检测脉冲序列、3D 定位、运动分类和行为观察。我们发现叫声结构存在种间差异和强烈的种群水平差异，地点效应往往超过物种效应。这表明当地的热条件可能会影响声音产生的性能，从而可能限制海洋热浪下的通信。我们的研究表明，将小型音频视频阵列与行为验证相结合不仅提供了一种监测工具，而且还揭示了社交介导的求偶信号如何在广泛的空间尺度上在物种内部和物种之间发生变化。这种双重视角加强了鱼类生物声学在生态和保护框架中的作用。</w:t>
      </w:r>
    </w:p>
    <w:p>
      <w:pPr>
        <w:spacing w:before="120"/>
      </w:pPr>
      <w:r>
        <w:rPr>
          <w:rFonts w:ascii="Times New Roman" w:hAnsi="Times New Roman" w:eastAsia="宋体"/>
          <w:b/>
          <w:sz w:val="21"/>
        </w:rPr>
        <w:t>English Abstract:</w:t>
      </w:r>
    </w:p>
    <w:p>
      <w:r>
        <w:rPr>
          <w:rFonts w:ascii="Times New Roman" w:hAnsi="Times New Roman" w:eastAsia="宋体"/>
          <w:sz w:val="21"/>
        </w:rPr>
        <w:t>Acoustic communication plays an important role in fish ecology and behaviour. Understanding how acoustic signals vary across species and populations is central to questions of sexual selection, population divergence, and environmental modulation of communication. Yet many fish calls remain unattributed to species or behaviour, limiting their integration into broader ecological studies and monitoring. We deployed portable audio-video arrays at two coral reef systems to study the courtship calls of two sympatric damselfishes, Dascyllus aruanus and D. reticulatus. Arrays integrated four hydrophones with a video camera, enabling automated detection of pulse trains, 3D localisation, motion classification, and behavioural observations. We found interspecific differences and strong population-level divergence in call structure, with site effects often exceeding species effects. This suggests that local thermal conditions may influence the performance of sound production, potentially constraining communication under marine heatwaves. Our study shows that integrating small audio-video arrays with behavioural validation not only provides a tool for monitoring but also reveals how socially mediated courtship signals vary within and between species across broad spatial scales. This dual perspective strengthens the role of fish bioacoustics in ecological and conservation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具有活化能的达西-福希海默混合纳米流体传热的深度神经网络模型</w:t>
      </w:r>
    </w:p>
    <w:p>
      <w:r>
        <w:rPr>
          <w:rFonts w:ascii="Times New Roman" w:hAnsi="Times New Roman" w:eastAsia="宋体"/>
          <w:b/>
          <w:color w:val="003264"/>
          <w:sz w:val="24"/>
        </w:rPr>
        <w:t>A deep neural network model for heat transfer in darcy–forchheimer hybrid nanofluid flow with activation energy</w:t>
      </w:r>
    </w:p>
    <w:p>
      <w:r>
        <w:rPr>
          <w:rFonts w:ascii="Times New Roman" w:hAnsi="Times New Roman" w:eastAsia="宋体"/>
          <w:sz w:val="21"/>
        </w:rPr>
        <w:t>作者: Mohammad Ayman-Mursaleen, Syed Tauseef Saeed, Saja Mohammad Almohammadi, Khalid Arif, Muhammad Imran</w:t>
        <w:br/>
      </w:r>
      <w:r>
        <w:rPr>
          <w:rFonts w:ascii="Times New Roman" w:hAnsi="Times New Roman" w:eastAsia="宋体"/>
          <w:sz w:val="21"/>
        </w:rPr>
        <w:t xml:space="preserve">时间: 2026-02-11 | </w:t>
      </w:r>
      <w:r>
        <w:t xml:space="preserve">链接: </w:t>
      </w:r>
      <w:hyperlink r:id="rId116">
        <w:r>
          <w:rPr>
            <w:rFonts w:ascii="Times New Roman" w:hAnsi="Times New Roman" w:eastAsia="宋体"/>
            <w:color w:val="0000FF"/>
            <w:sz w:val="21"/>
            <w:u w:val="single"/>
          </w:rPr>
          <w:t>https://doi.org/10.1038/s41598-026-39536-x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本文研究了卡森型混合纳米流体通过氧化铝 ($${\varvec{A}}{{\varvec{l}}}_{2}{{\varvec{O}}}_{3}$$) 以及二氧化钛的磁流体动力学 (MHD) 流动以及传热传质行为($${\varvec{T}}{\varvec{i}}{{\varvec{O}}}_{2}$$) 纳米颗粒分散在发动机油中，发动机油是一种热稳定的功能流体，用于最工业化的热交换器应用。该先进模型综合了非线性化学反应条件下热辐射、Darcy-Forchheimer 渗透介质阻力、磁场加热和活化能的集体影响。利用相似变换，复杂的控制方程被简化为常微分方程 (ODE)，并通过 Bvp4c 求解器进行数值求解。通过 Bvp4c 算法获得的数值解用于训练具有粒子群优化的 Morlet 小波神经网络以及神经网络算法 (MWNN-PSO-NNA)，通过提高预测鲁棒性和通用性行为。结果表明，加强磁场会导致速度分布减小，而热辐射会导致温度增加，整个流域的变化范围在 15-25% 范围内。据观察，活化能提高了近 30%，可以调节物质浓度并促进多孔结构内更受控制的热响应。与基液和单纳米粒子悬浮液相比，混合纳米流体表现出优异的热性能。此外，MWNN-PSO-NNA 结果与数值解保持密切一致，产生 10⁻5–10⁻⁶ 量级的误差水平，这证实了所提出的与工业热应用相关的复杂非牛顿混合纳米流体系统框架的可靠性。所提出的神经网络模型表现出强大的预测能力，与传统数值方法相比，准确率高于 99%，同时计算时间减少约 45%。人工神经网络的开发是为了快速预测流量、热量和质量传递。在 bvp4c 数据上进行训练后，与重复数值模拟相比，它实现了相当的精度，同时减少了 45% 的计算时间。此外，混合纳米流体配方在工业润滑应用、机械部件的热控制和基于能量的冷却系统中显示出巨大的潜力，其中提高传热效率是主要的性能要求。这项研究的主要动机是满足涉及非牛顿流体的工业润滑系统中对高效热管理日益增长的需求。目标是应用强大的 MWNN-PSO-NNA 框架来准确预测卡森混合纳米流体在组合物理效应下在径向拉伸表面上的流动、热量和质量传递特性。这项研究首次将基于发动机油的 Casson 混合纳米流体模型与 Darcy-Forchheimer 多孔效应和优化的 MWNN-PSO-NNA 框架相结合，提供与先进工业传热系统相关的高精度热流体预测。</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magnetohydrodynamic (MHD) flow along with heat and mass transfer behavior of Casson-type hybrid nanofluid through aluminum oxide ($${\varvec{A}}{{\varvec{l}}}_{2}{{\varvec{O}}}_{3}$$) as well as titanium dioxide ($${\varvec{T}}{\varvec{i}}{{\varvec{O}}}_{2}$$) nanoparticles dispersed throughout engine oil, a thermally stable functioning fluid that is used in utmost industrialized thermal exchanger applications. The advanced model incorporates the collective influences of heat radiation, Darcy–Forchheimer permeable media resistance, magnetic field-heating, and activation energy under nonlinear chemical reaction circumstances. Employing similarity transformations, the intricate governing equations are streamlined to ordinary differential equations (ODEs) that are numerically solved by means of the Bvp4c solver. The numerical solutions attained via the Bvp4c algorithm are employed for training a Morlet Wavelet Neural Network with Particle Swarm Optimization as well as Neural Network Algorithm (MWNN–PSO–NNA), through improving prediction robustness as well as generality behavior. The results show that strengthening the magnetic field leads to a decrease in the velocity distribution whereas thermal radiation growth in temperature, via variations falling within the range of 15–25% across the flow domain. Raising activation energy nearly 30% is observed to regulate species concentration as well as promote a more controlled thermal response inside the porous structure. In comparison with the base fluid and single-nanoparticle suspensions, the hybrid nanofluid exhibits superior thermal performance. Moreover, the MWNN–PSO–NNA outcomes remain in close agreement with the numerical solutions, yielding error levels of the order 10⁻5–10⁻⁶, which confirms the reliability of the proposed framework for complex non-Newtonian hybrid nanofluid systems relevant to industrial thermal applications. The proposed neural network model demonstrates strong predictive capability, achieving an accuracy greater than 99% while reducing computational time by approximately 45% when compared with traditional numerical methods. An ANN is developed to rapidly predict flow, heat, and mass transfer. Trained on bvp4c data, it achieves comparable accuracy while reducing computational time by 45% compared to repeated numerical simulations. Additionally, the hybrid nanofluid formulation displays strong potential for industrial lubrication applications, thermal control of mechanical components, and energy-based cooling systems, where improved heat transfer productivity is a main performance requirement. The main motivation of this study is to address the growing demand for efficient thermal management in industrial lubrication systems involving non-Newtonian fluids. The goal is to apply a robust MWNN–PSO–NNA framework to accurately predict the flow, heat, and mass transfer characteristics of Casson hybrid nanofluid over a radially stretching surface under combined physical effects. This study is the first to integrate engine-oil-based Casson hybrid nanofluid modeling with Darcy–Forchheimer porous effects and an optimized MWNN–PSO–NNA framework, providing highly accurate thermal–fluid predictions relevant to advanced industrial heat transfer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优化水泥颗粒尺寸以增强轻质砂浆的强度并减少二氧化碳排放</w:t>
      </w:r>
    </w:p>
    <w:p>
      <w:r>
        <w:rPr>
          <w:rFonts w:ascii="Times New Roman" w:hAnsi="Times New Roman" w:eastAsia="宋体"/>
          <w:b/>
          <w:color w:val="003264"/>
          <w:sz w:val="24"/>
        </w:rPr>
        <w:t>Optimizing cement particle size for strength enhancement and CO₂ reduction in lightweight mortars</w:t>
      </w:r>
    </w:p>
    <w:p>
      <w:r>
        <w:rPr>
          <w:rFonts w:ascii="Times New Roman" w:hAnsi="Times New Roman" w:eastAsia="宋体"/>
          <w:sz w:val="21"/>
        </w:rPr>
        <w:t>作者: Martyna Nieświec, Adrian Chajec, Izabela Walendzik, Łukasz Sadowski</w:t>
        <w:br/>
      </w:r>
      <w:r>
        <w:rPr>
          <w:rFonts w:ascii="Times New Roman" w:hAnsi="Times New Roman" w:eastAsia="宋体"/>
          <w:sz w:val="21"/>
        </w:rPr>
        <w:t xml:space="preserve">时间: 2026-02-11 | </w:t>
      </w:r>
      <w:r>
        <w:t xml:space="preserve">链接: </w:t>
      </w:r>
      <w:hyperlink r:id="rId117">
        <w:r>
          <w:rPr>
            <w:rFonts w:ascii="Times New Roman" w:hAnsi="Times New Roman" w:eastAsia="宋体"/>
            <w:color w:val="0000FF"/>
            <w:sz w:val="21"/>
            <w:u w:val="single"/>
          </w:rPr>
          <w:t>https://doi.org/10.1038/s41598-026-39546-9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本研究探讨了水泥颗粒尺寸（通过筛分改性）如何影响轻质砂浆的新鲜和硬化性能，重点关注早期微观结构的发展和环境性能。实验计划包括三个级别的水泥细度，并在水化的前 12 小时内应用先进的表征技术，例如 X 射线衍射 (XRD)、热重分析 (TGA) 和透射电子显微镜 (TEM)。结果表明，由于颗粒堆积的改善，更细的水泥颗粒可增强和易性并增加堆积密度。虽然拉伸强度略有下降，但压缩强度显着增加，尤其是在 7 天后，这归因于微观结构证据证实的水合动力学加速。全面的生命周期评估（LCA）表明，更细的水泥需要更多的能量来加工，但增加的强度排放比使其成为一种具有成本效益和可持续的选择。将水泥筛选至 50 微米以下，可将单位强度的二氧化碳排放量减少高达 14%。然而，在更精细的系统中，收缩率的增加可能会由于裂纹敏感性更大而损害长期耐用性。拟议的基于 LCA 的框架支持在水泥材料设计中平衡性能收益与环境成本。</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cement particle size (modified through sieving) affects the fresh and hardened properties of lightweight mortars, with emphasis on early-age microstructural development and environmental performance. The experimental program included three levels of cement fineness and applied advanced characterization techniques such as X-ray diffraction (XRD), thermogravimetric analysis (TGA), and transmission electron microscopy (TEM) during the first 12 h of hydration. Results demonstrate that finer cement particles enhance workability and increase bulk density due to improved particle packing. While tensile strength slightly decreases, compressive strength increases significantly, especially after 7 days, attributed to accelerated hydration kinetics confirmed by microstructural evidence. A comprehensive life cycle assessment (LCA) shows that finer cement requires more energy to process, but the increased strength-to-emission ratio makes it a cost-effective and sustainable option. Screening cement to below 50 μm enabled up to 14% reduction in CO₂ emissions per unit strength. However, increased shrinkage in finer systems may compromise long-term durability due to greater crack susceptibility. The proposed LCA-based framework supports balancing performance gains with environmental costs in cementitious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金聚合物混合超表面用于偏振无关的增强紫外三次谐波产生</w:t>
      </w:r>
    </w:p>
    <w:p>
      <w:r>
        <w:rPr>
          <w:rFonts w:ascii="Times New Roman" w:hAnsi="Times New Roman" w:eastAsia="宋体"/>
          <w:b/>
          <w:color w:val="003264"/>
          <w:sz w:val="24"/>
        </w:rPr>
        <w:t>Gold-polymer hybrid metasurface for polarization-independent enhanced third harmonic generation in the ultraviolet</w:t>
      </w:r>
    </w:p>
    <w:p>
      <w:r>
        <w:rPr>
          <w:rFonts w:ascii="Times New Roman" w:hAnsi="Times New Roman" w:eastAsia="宋体"/>
          <w:sz w:val="21"/>
        </w:rPr>
        <w:t>作者: Shroddha Mukhopadhyay, Ana Conde-Rubio, Jose Trull, Agustín Mihi, Michael Scalora, Maria Antonietta Vincenti, Crina Cojocaru</w:t>
        <w:br/>
      </w:r>
      <w:r>
        <w:rPr>
          <w:rFonts w:ascii="Times New Roman" w:hAnsi="Times New Roman" w:eastAsia="宋体"/>
          <w:sz w:val="21"/>
        </w:rPr>
        <w:t xml:space="preserve">时间: 2026-02-11 | </w:t>
      </w:r>
      <w:r>
        <w:t xml:space="preserve">链接: </w:t>
      </w:r>
      <w:hyperlink r:id="rId118">
        <w:r>
          <w:rPr>
            <w:rFonts w:ascii="Times New Roman" w:hAnsi="Times New Roman" w:eastAsia="宋体"/>
            <w:color w:val="0000FF"/>
            <w:sz w:val="21"/>
            <w:u w:val="single"/>
          </w:rPr>
          <w:t>https://doi.org/10.1038/s41598-026-39260-6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三维金聚合物混合超表面中非线性光与物质相互作用的实验和理论相结合的研究。传统的二维设计通过对称性可以支持横向电（TE）或横向磁（TM）偏振，与此相反，我们的体积架构同时接受TE和TM模式，反映了光子器件所需的维度和多功能性。超表面由嵌入介电聚合物基质中的金纳米结构的周期性晶格组成，形成复杂的金属-介电界面，维持严格限制的等离子体共振。当由超快近红外 (NIR) 脉冲驱动时，这些共振将光能集中在纳米级，从而实现高效的三次谐波生成并将可见光上转换为紫外 (UV) 和深紫外区域，并提高转换效率。我们在 TE 和 TM 激励下对非线性响应进行空间和时间映射。我们的测量揭示了由平面超表面中无法实现的三维形态能力引起的与偏振无关的场增强和光谱可调性，其中二维对称性本质上限制了偏振灵活性和功能带宽。该准 3D 平台为偏振无关的 UV 和深 UV 光源提供了灵活的设计工具箱。潜在的应用包括高分辨率紫外光谱、光复用、数据存储和新兴的量子光子架构。通过建立对三维非线性超表面行为的基本见解，我们的工作为下一代可重构、多偏振纳米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We present a combined experimental and theoretical study of nonlinear light-matter interactions in a three-dimensional gold-polymer hybrid metasurface. In contrast to conventional two-dimensional designs, which by symmetry may support either transverse electric (TE) or transverse magnetic (TM) polarization, our volumetric architecture accepts both TE and TM modes simultaneously, reflecting the dimensionality and versatility required by the photonic devices. The metasurface comprises a periodic lattice of gold nanostructures embedded in a dielectric polymer matrix, creating complex metal–dielectric interfaces that sustain tightly confined plasmonic resonances. When driven by ultrafast near-infrared (NIR) pulses, these resonances concentrate optical energy at the nanoscale, enabling efficient third-harmonic generation and upconversion of visible light into the ultraviolet (UV) and deep-UV regimes with enhanced conversion efficiency. We perform spatial and temporal mapping of the nonlinear response under both TE and TM excitation. Our measurements reveal polarization-agnostic field enhancement and spectral tunability arising from the three-dimensional morphology-capabilities unattainable in planar metasurfaces, where two-dimensional symmetry inherently limits polarization flexibility and functional bandwidth. This quasi-3D platform provides a flexible design toolbox for polarization-independent UV and deep-UV light sources. Potential applications include high-resolution UV spectroscopy, optical multiplexing, data storage, and emerging quantum photonic architectures. By establishing fundamental insights into three-dimensional nonlinear metasurface behavior, our work paves the way for next-generation reconfigurable, multi-polarization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翅片在球形蓄热容器中增强相变材料熔化的作用</w:t>
      </w:r>
    </w:p>
    <w:p>
      <w:r>
        <w:rPr>
          <w:rFonts w:ascii="Times New Roman" w:hAnsi="Times New Roman" w:eastAsia="宋体"/>
          <w:b/>
          <w:color w:val="003264"/>
          <w:sz w:val="24"/>
        </w:rPr>
        <w:t>Effect of fins in enhancing phase change material fusion in a spherical thermal energy storage container</w:t>
      </w:r>
    </w:p>
    <w:p>
      <w:r>
        <w:rPr>
          <w:rFonts w:ascii="Times New Roman" w:hAnsi="Times New Roman" w:eastAsia="宋体"/>
          <w:sz w:val="21"/>
        </w:rPr>
        <w:t>作者: Banumathi Munuswamy Swami Punniakodi, M. Veeramanikandan, M. Manickam, A. Arunkumar, Dhinesh Balasubramanian, Utku Kale, Artūras Kilikevičius, Vilma Locaitienė</w:t>
        <w:br/>
      </w:r>
      <w:r>
        <w:rPr>
          <w:rFonts w:ascii="Times New Roman" w:hAnsi="Times New Roman" w:eastAsia="宋体"/>
          <w:sz w:val="21"/>
        </w:rPr>
        <w:t xml:space="preserve">时间: 2026-02-12 | </w:t>
      </w:r>
      <w:r>
        <w:t xml:space="preserve">链接: </w:t>
      </w:r>
      <w:hyperlink r:id="rId153">
        <w:r>
          <w:rPr>
            <w:rFonts w:ascii="Times New Roman" w:hAnsi="Times New Roman" w:eastAsia="宋体"/>
            <w:color w:val="0000FF"/>
            <w:sz w:val="21"/>
            <w:u w:val="single"/>
          </w:rPr>
          <w:t>https://doi.org/10.1038/s41598-026-38262-8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化石燃料日益枯竭，需要太阳能等替代能源来满足日常需求。然而，太阳能是间歇性的，因此它与热能存储（TES）系统集成。 TES 系统中使用了相变材料 (PCM)，但它们的导热性较差，导致熔合较少。本研究使用四种不同的情况增强 PCM 融合，即情况 1（无翅片）、情况 2（两个翅片放置在顶部附近）、情况 3（两个翅片放置在底部附近）和情况 4（两个翅片放置在顶部和底部附近）。该研究是在传热流体 (HTF) 温度为 70 °C 和 75 °C、流速为 30 LPH 的情况下完成的。与案例 1 相比，案例 4 的熔化时间减少了 34%，减少了 47.7%。热效率和有效性也很高。结果表明，由于最佳的翅片放置，案例 4 可有效加速聚变并增强存储性能，因此建议用于太阳能应用。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increased depletion of fossil fuels needs alternatives like solar energy to address daily demands. However, solar energy is intermittent, hence it is integrated with thermal energy storage (TES) systems. Phase change materials (PCM) are used in TES systems, but they suffer from meagre thermal conductivity, leading to less fusion. This study enhances PCM fusion using four different cases, namely, case 1 (without fins), case 2 (with two fins placed near the top), case 3 (with two fins placed near the bottom), and case 4 (with two fins placed near the top and bottom), respectively. The study is done with heat transfer fluid (HTF) temperature at 70 °C and 75 °C with a 30 LPH flow rate. Case 4 displayed a melting time reduction of 34%, and 47.7% when compared with case 1. It is also found with high thermal efficiency and effectiveness. The results indicate that case 4 is effective in expediting fusion and enhancing storage performance due to optimal fin placement, hence suggested for solar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使用计算机视觉和机器学习技术早期检测太阳能模块上的灰尘堆积</w:t>
      </w:r>
    </w:p>
    <w:p>
      <w:r>
        <w:rPr>
          <w:rFonts w:ascii="Times New Roman" w:hAnsi="Times New Roman" w:eastAsia="宋体"/>
          <w:b/>
          <w:color w:val="003264"/>
          <w:sz w:val="24"/>
        </w:rPr>
        <w:t>Early detection of dust accumulation on solar energy modules using computer vision and machine learning techniques</w:t>
      </w:r>
    </w:p>
    <w:p>
      <w:r>
        <w:rPr>
          <w:rFonts w:ascii="Times New Roman" w:hAnsi="Times New Roman" w:eastAsia="宋体"/>
          <w:sz w:val="21"/>
        </w:rPr>
        <w:t>作者: Sara Hesham, Mohamed Elgohary, Mariam Massoud, Nouran Adel, Omar Elmahy, Sameh Abdellatif</w:t>
        <w:br/>
      </w:r>
      <w:r>
        <w:rPr>
          <w:rFonts w:ascii="Times New Roman" w:hAnsi="Times New Roman" w:eastAsia="宋体"/>
          <w:sz w:val="21"/>
        </w:rPr>
        <w:t xml:space="preserve">时间: 2026-02-12 | </w:t>
      </w:r>
      <w:r>
        <w:t xml:space="preserve">链接: </w:t>
      </w:r>
      <w:hyperlink r:id="rId154">
        <w:r>
          <w:rPr>
            <w:rFonts w:ascii="Times New Roman" w:hAnsi="Times New Roman" w:eastAsia="宋体"/>
            <w:color w:val="0000FF"/>
            <w:sz w:val="21"/>
            <w:u w:val="single"/>
          </w:rPr>
          <w:t>https://doi.org/10.1038/s41598-026-37020-0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提出了一种创新的人工智能驱动解决方案，利用计算机视觉和机器学习技术来早期检测太阳能模块上的灰尘堆积。该研究发现了现有文献中的两个显着差距：数据集质量对研究成果的影响以及二元分类模型的主导地位，这限制了光伏（PV）模块灰尘水平的分析。为了解决这些差距，我们提出了一个复杂的系统，该系统利用由 Raspberry Pi 相机捕获的连续监控图像的视觉数据集，以及来自跟踪实时能源生产指标的逆变器的原始数据集。我们的模型使用机器学习算法进行训练，以动态优化清洁模式，最大限度地提高能源输出，同时最大限度地降低运营成本。结果表明，人工智能驱动的系统提高了光伏性能并有助于降低成本，最终促进太阳能生产的可持续性。清洁分级机可根据情况自动进行清洁，减少例行检查的需要，并防止因灰尘堆积而造成高达 30% 的能量损失。该系统的清洁效率达到 1.23，与传统的定期清洁方法相比，能源产量增加了 23%，从而节省了 2,023 美元的成本。此外，WattsUp 移动应用程序的实施通过允许监控太阳能电池板状态和维护说明来促进用户交互，从而增强用户与系统的互动。该应用程序设计强调用户的信任和参与，其特色的入门元素强调了太阳能管理在应对气候变化方面的重要性。这种综合方法不仅证明了动态清洁模型的可行性，而且还建立了不到一年的投资回收期，强调了所提出的系统在实际应用中的经济可行性。</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an innovative AI-driven solution for the early detection of dust accumulation on solar energy modules, leveraging computer vision and machine learning techniques. The study identifies two significant gaps in existing literature: the impact of dataset quality on research outcomes and the predominance of binary classification models, which limit the analysis of dust levels on photovoltaic (PV) modules. To address these gaps, we propose a sophisticated system that utilizes a visual dataset of continuously monitored images captured by a Raspberry Pi camera, alongside a raw dataset from the inverter tracking real-time energy production metrics. Our model is trained using machine learning algorithms to optimize cleaning patterns dynamically, maximizing energy output while minimizing operational costs. The results indicate that the AI-powered system enhances PV performance and contributes to cost reductions, ultimately promoting sustainability in solar energy production. The cleaning classifier automates condition-based cleaning, reducing the need for routine inspections and preventing up to 30% energy loss due to dust accumulation. The system achieves a cleaning efficiency of 1.23, reflecting a 23% increase in energy production compared to traditional periodic cleaning methods, resulting in a cost saving of $2,023. Furthermore, the implementation of the WattsUp mobile application facilitates user interaction by allowing monitoring of solar panel status and maintenance instructions, enhancing user engagement with the system. The application design emphasizes user trust and participation, featuring onboarding elements that highlight the importance of solar energy management in combating climate change. This comprehensive approach not only demonstrates the feasibility of a dynamic cleaning model but also establishes a payback period of less than a year, underscoring the economic viability of the proposed system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再生废玻璃和脱铝偏高岭土粉碱激活矿渣混凝土力学性能的实验和数值评价</w:t>
      </w:r>
    </w:p>
    <w:p>
      <w:r>
        <w:rPr>
          <w:rFonts w:ascii="Times New Roman" w:hAnsi="Times New Roman" w:eastAsia="宋体"/>
          <w:b/>
          <w:color w:val="003264"/>
          <w:sz w:val="24"/>
        </w:rPr>
        <w:t>Experimental and numerical evaluation of the mechanical behavior of alkali-activated slag concrete with recycled waste glass and dealuminated metakaolin powders</w:t>
      </w:r>
    </w:p>
    <w:p>
      <w:r>
        <w:rPr>
          <w:rFonts w:ascii="Times New Roman" w:hAnsi="Times New Roman" w:eastAsia="宋体"/>
          <w:sz w:val="21"/>
        </w:rPr>
        <w:t>作者: Marina A. Nader, Mohamed O. R. El-Hariri, Ahmed Kamar, Islam N. Fathy, Mohamed S. Saif</w:t>
        <w:br/>
      </w:r>
      <w:r>
        <w:rPr>
          <w:rFonts w:ascii="Times New Roman" w:hAnsi="Times New Roman" w:eastAsia="宋体"/>
          <w:sz w:val="21"/>
        </w:rPr>
        <w:t xml:space="preserve">时间: 2026-02-12 | </w:t>
      </w:r>
      <w:r>
        <w:t xml:space="preserve">链接: </w:t>
      </w:r>
      <w:hyperlink r:id="rId155">
        <w:r>
          <w:rPr>
            <w:rFonts w:ascii="Times New Roman" w:hAnsi="Times New Roman" w:eastAsia="宋体"/>
            <w:color w:val="0000FF"/>
            <w:sz w:val="21"/>
            <w:u w:val="single"/>
          </w:rPr>
          <w:t>https://doi.org/10.1038/s41598-026-36359-8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评估含有不同粗骨料（白云石和玄武岩）、回收废玻璃粉（WGP）、脱铝偏高岭土（DK）和钢纤维（SF）的常温碱活化矿渣混凝土（AASC）的力学性能。进行了一项实验计划来评估所研究的混合物的机械性能。还使用 SEM-EDX 分析检查微观结构特征，以支持机械趋势的解释。此外，在 ABAQUS 中开发了有限元 (FE) 仿真模型，并根据实验结果进行了验证。研究结果表明，含有 10% DK 和 1% SF 的 AASC 表现出最高的整体机械性能。根据实验结果，开发了非线性混凝土损伤塑性 (CDP) 模型并经过严格校准，从而能够对 AASC 行为进行可靠的有限元模拟。随后，经过验证的模型被用于广泛的参数研究，以研究加固 AASC 梁的弯曲响应，结果表明，加入 1% SF 后，承载能力增加了约 46%，同时跨中挠度减少了约 19.7%。结果表明，优化后的混合物，特别是那些包含 WGP + SF 或 DK + SF 的混合物，实现了更高的极限载荷、减少的挠度、延迟的裂纹萌生和提高的延展性。所提出的有限元模型可准确预测负载能力和失效模式，为未来利用工业副产品和废料进行结构设计和优化可持续 AASC 元件提供强大的工具。这项研究的新颖之处在于对回收的 WGP 和 DK 进行了全面研究，将它们与 AASC 中的 SF 结合，并得到综合实验和数值分析的支持，以阐明它们对机械行为的协同效应。</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evaluate the mechanical performance of ambient-cured Alkali-Activated Slag Concrete (AASC) incorporating different coarse aggregates (dolomite and basalt), recycled waste glass powder (WGP), dealuminated metakaolin (DK), and steel fibers (SF). An experimental program was conducted to assess the mechanical properties of the investigated mixes. Microstructural characteristics were also examined using SEM-EDX analysis to support the interpretation of mechanical trends. Furthermore, finite element (FE) simulation models were developed in ABAQUS and validated against experimental results. The findings indicate that AASC incorporating 10% DK and 1% SF exhibits the highest overall mechanical performance. Based on the experimental results, a nonlinear Concrete Damaged Plasticity (CDP) model was developed and rigorously calibrated, enabling reliable FE simulation of AASC behavior. The validated model was subsequently employed in an extensive parametric study to investigate the flexural response of reinforced AASC beams, which demonstrated that the inclusion of 1% SF increased load-carrying capacity by approximately 46% while reducing mid-span deflection by about 19.7%. The results show that the optimized mixes, particularly those incorporating WGP + SF or DK + SF, achieved higher ultimate loads, reduced deflections, delayed crack initiation, and improved ductility. The proposed FE model accurately predicts load capacity and failure modes, providing a robust tool for future structural design and optimization of sustainable AASC elements utilizing industrial by-products and waste materials. The novelty of this study lies in the comprehensive investigation of recycled WGP and DK, each combined with SF in AASC, supported by integrated experimental and numerical analyses to elucidate their synergistic effects on mechanical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开发基于智能手机的高分辨率尿液分析光谱仪</w:t>
      </w:r>
    </w:p>
    <w:p>
      <w:r>
        <w:rPr>
          <w:rFonts w:ascii="Times New Roman" w:hAnsi="Times New Roman" w:eastAsia="宋体"/>
          <w:b/>
          <w:color w:val="003264"/>
          <w:sz w:val="24"/>
        </w:rPr>
        <w:t>Development of a smartphone based spectrometer for high-resolution urinalysis</w:t>
      </w:r>
    </w:p>
    <w:p>
      <w:r>
        <w:rPr>
          <w:rFonts w:ascii="Times New Roman" w:hAnsi="Times New Roman" w:eastAsia="宋体"/>
          <w:sz w:val="21"/>
        </w:rPr>
        <w:t>作者: Kefan Song, Ilan Mandel, Jason Cobb, Tanzeem Choudhury, Alexander T. Adams</w:t>
        <w:br/>
      </w:r>
      <w:r>
        <w:rPr>
          <w:rFonts w:ascii="Times New Roman" w:hAnsi="Times New Roman" w:eastAsia="宋体"/>
          <w:sz w:val="21"/>
        </w:rPr>
        <w:t xml:space="preserve">时间: 2026-02-12 | </w:t>
      </w:r>
      <w:r>
        <w:t xml:space="preserve">链接: </w:t>
      </w:r>
      <w:hyperlink r:id="rId156">
        <w:r>
          <w:rPr>
            <w:rFonts w:ascii="Times New Roman" w:hAnsi="Times New Roman" w:eastAsia="宋体"/>
            <w:color w:val="0000FF"/>
            <w:sz w:val="21"/>
            <w:u w:val="single"/>
          </w:rPr>
          <w:t>https://doi.org/10.1038/s41598-026-38307-y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慢性肾病 (CKD) 影响着全世界数百万人，但诊断不足，尤其是在资源有限的地区。目前的诊断方法，包括视觉和试纸尿液分析，缺乏定量准确性，而基于实验室的测试仍然无法进行常规或远程监测。在此，我们推出 SpectraPhone，这是一款集成智能手机的便携式光谱仪，专为定量、护理点尿液分析而设计。 SpectraPhone 利用智能手机的内置摄像头和手电筒，捕获高分辨率光谱数据，以准确量化血尿和白蛋白尿，这两者都是 CKD 的生物标志物。通过严格的光学表征和经验验证，SpectraPhone 展现出卓越的定量性能，可准确测量红细胞浓度（$$R^2$$ = 0.9913，RMSE = 61.6086 RBC/$$\upmu$$L，MAE = 43.9077 RBC/$$\upmu$$L）和白蛋白水平（$$R^2$$ = 0.9981，RMSE = 11.8525 mg/dL，MAE = 8.4985 mg/dL），显着超越传统定性方法的能力。通过添加溴酚蓝试剂，SpectraPhone 实现了更准确的尿白蛋白测量（$$R^2$$ = 0.9997，RMSE = 4.2583 mg/dL，MAE = 3.2625 mg/dL），从而实现临床级白蛋白尿检测。 SpectraPhone 的经济性、易用性和强大的性能凸显了其改变常规 CKD 筛查、促进早期检测、改善疾病管理和增加全球医疗保健可及性的潜力。</w:t>
      </w:r>
    </w:p>
    <w:p>
      <w:pPr>
        <w:spacing w:before="120"/>
      </w:pPr>
      <w:r>
        <w:rPr>
          <w:rFonts w:ascii="Times New Roman" w:hAnsi="Times New Roman" w:eastAsia="宋体"/>
          <w:b/>
          <w:sz w:val="21"/>
        </w:rPr>
        <w:t>English Abstract:</w:t>
      </w:r>
    </w:p>
    <w:p>
      <w:r>
        <w:rPr>
          <w:rFonts w:ascii="Times New Roman" w:hAnsi="Times New Roman" w:eastAsia="宋体"/>
          <w:sz w:val="21"/>
        </w:rPr>
        <w:t>Chronic kidney disease (CKD) affects millions worldwide but remains under-diagnosed, especially in resource-limited settings. Current diagnostic methods, including visual and dipstick urinalysis, lack quantitative accuracy, while laboratory-based tests remain inaccessible for routine or remote monitoring. Here we present SpectraPhone, a smartphone-integrated, portable spectrometer designed for quantitative, point-of-care urinalysis. Leveraging the smartphone’s built-in camera and flashlight, SpectraPhone captures high-resolution spectral data to accurately quantify hematuria and albuminuria, which are both biomarkers of CKD. Through rigorous optical characterization and empirical validation, SpectraPhone demonstrates superior quantification performance, accurately measuring red blood cell concentrations ($$R^2$$ = 0.9913, RMSE = 61.6086 RBC/$$\upmu$$L, MAE = 43.9077 RBC/$$\upmu$$L) and albumin levels ($$R^2$$ = 0.9981, RMSE = 11.8525 mg/dL, MAE = 8.4985 mg/dL), significantly surpassing the capabilities of conventional qualitative methods. With the addition of bromophenol blue reagent, SpectraPhone achieves more accurate urine albumin measurements ($$R^2$$ = 0.9997, RMSE = 4.2583 mg/dL, MAE = 3.2625 mg/dL), enabling clinical-grade albuminuria detection. SpectraPhone’s affordability, ease of use, and robust performance highlight its potential to transform routine CKD screening, facilitate early detection, improve disease management, and increase healthcare access globally.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利用自然语言处理和机器学习从初级保健电子病历中识别慢性病</w:t>
      </w:r>
    </w:p>
    <w:p>
      <w:r>
        <w:rPr>
          <w:rFonts w:ascii="Times New Roman" w:hAnsi="Times New Roman" w:eastAsia="宋体"/>
          <w:b/>
          <w:color w:val="003264"/>
          <w:sz w:val="24"/>
        </w:rPr>
        <w:t>Leveraging natural language processing and machine learning to identify chronic conditions from primary care electronic medical records</w:t>
      </w:r>
    </w:p>
    <w:p>
      <w:r>
        <w:rPr>
          <w:rFonts w:ascii="Times New Roman" w:hAnsi="Times New Roman" w:eastAsia="宋体"/>
          <w:sz w:val="21"/>
        </w:rPr>
        <w:t>作者: Na Zhang, Marjan Abbasi, Sheny Khera, Mehrnoosh Bazrafkan, Reza Abbasi-Dezfouly, Linglong Kong</w:t>
        <w:br/>
      </w:r>
      <w:r>
        <w:rPr>
          <w:rFonts w:ascii="Times New Roman" w:hAnsi="Times New Roman" w:eastAsia="宋体"/>
          <w:sz w:val="21"/>
        </w:rPr>
        <w:t xml:space="preserve">时间: 2026-02-12 | </w:t>
      </w:r>
      <w:r>
        <w:t xml:space="preserve">链接: </w:t>
      </w:r>
      <w:hyperlink r:id="rId157">
        <w:r>
          <w:rPr>
            <w:rFonts w:ascii="Times New Roman" w:hAnsi="Times New Roman" w:eastAsia="宋体"/>
            <w:color w:val="0000FF"/>
            <w:sz w:val="21"/>
            <w:u w:val="single"/>
          </w:rPr>
          <w:t>https://doi.org/10.1038/s41598-026-38594-5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初级保健电子病历 (EMR) 包含丰富的数据，可以支持主动识别慢性健康状况。然而，利用非结构化 EMR 数据需要使用新颖的计算方法。我们将自然语言处理和机器学习 (ML) 技术应用于结构化和非结构化 EMR 数据，以检测关节炎、慢性肾病、糖尿病、高血压和呼吸系统疾病。使用来自加拿大一家初级保健诊所 449 名社区居住老年人的数据，我们开发了一个分析流程，其中包括非结构化数据的预处理、潜在狄利克雷分配主题建模和监督 ML 模型（正则逻辑回归 [RLR]、支持向量机 [SVM]、人工神经网络 [ANN]）以及类别加权学习和合成少数过采样技术来解决类别不平衡问题。集成非结构化临床记录提高了模型性能，特别是对于结构化数据中经常编码不足的情况。例如，关节炎检测中 SVM 分类器的接收者操作特征曲线下面积从 0.724 增加到 0.841，呼吸系统疾病检测中 ANN 的接收者操作特征曲线下面积从 0.733 增加到 0.890。糖尿病、高血压和慢性肾病的改善不太明显。这些发现强调，虽然非结构化数据的性能提升因情况而异，但利用这些数据可以改善初级保健 EMR 数据中的疾病检测。</w:t>
      </w:r>
    </w:p>
    <w:p>
      <w:pPr>
        <w:spacing w:before="120"/>
      </w:pPr>
      <w:r>
        <w:rPr>
          <w:rFonts w:ascii="Times New Roman" w:hAnsi="Times New Roman" w:eastAsia="宋体"/>
          <w:b/>
          <w:sz w:val="21"/>
        </w:rPr>
        <w:t>English Abstract:</w:t>
      </w:r>
    </w:p>
    <w:p>
      <w:r>
        <w:rPr>
          <w:rFonts w:ascii="Times New Roman" w:hAnsi="Times New Roman" w:eastAsia="宋体"/>
          <w:sz w:val="21"/>
        </w:rPr>
        <w:t>Primary care electronic medical records (EMRs) contain rich data that can support proactive identification of chronic health conditions. However, leveraging unstructured EMR data requires the use of novel computational methods. We applied natural language processing and machine learning (ML) techniques to structured and unstructured EMR data to detect arthritis, chronic kidney disease, diabetes, hypertension, and respiratory diseases. Using data from 449 community-dwelling older adults in one Canadian primary care clinic, we developed an analytical pipeline that included preprocessing of unstructured data, Latent Dirichlet Allocation topic modelling, and supervised ML models (regularized logistic regression [RLR], support vector machine [SVM], artificial neural networks [ANNs]) with class-weighted learning and Synthetic Minority Oversampling Technique techniques to address class imbalance. Integrating unstructured clinical notes improved model performance, particularly for conditions often under-coded in structured data. For example, the area under the receiver operating characteristic curve increased from 0.724 to 0.841 for SVM classifiers in arthritis detection and from 0.733 to 0.890 for ANNs in respiratory disease detection. Less pronounced improvements were observed for diabetes, hypertension, and CKD. These findings highlight that while performance gains from unstructured data vary by condition, leveraging these data can improve disease detection in primary care EMR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人体膝关节最大自主等距伸展的计算生物力学，重点关注关节中心定位的作用</w:t>
      </w:r>
    </w:p>
    <w:p>
      <w:r>
        <w:rPr>
          <w:rFonts w:ascii="Times New Roman" w:hAnsi="Times New Roman" w:eastAsia="宋体"/>
          <w:b/>
          <w:color w:val="003264"/>
          <w:sz w:val="24"/>
        </w:rPr>
        <w:t>Computational biomechanics of human knee joint in maximum voluntary isometric extension with focus on the role of joint center positioning</w:t>
      </w:r>
    </w:p>
    <w:p>
      <w:r>
        <w:rPr>
          <w:rFonts w:ascii="Times New Roman" w:hAnsi="Times New Roman" w:eastAsia="宋体"/>
          <w:sz w:val="21"/>
        </w:rPr>
        <w:t>作者: Pooya Salehi, Aboulfazl Shirazi-Adl</w:t>
        <w:br/>
      </w:r>
      <w:r>
        <w:rPr>
          <w:rFonts w:ascii="Times New Roman" w:hAnsi="Times New Roman" w:eastAsia="宋体"/>
          <w:sz w:val="21"/>
        </w:rPr>
        <w:t xml:space="preserve">时间: 2026-02-12 | </w:t>
      </w:r>
      <w:r>
        <w:t xml:space="preserve">链接: </w:t>
      </w:r>
      <w:hyperlink r:id="rId158">
        <w:r>
          <w:rPr>
            <w:rFonts w:ascii="Times New Roman" w:hAnsi="Times New Roman" w:eastAsia="宋体"/>
            <w:color w:val="0000FF"/>
            <w:sz w:val="21"/>
            <w:u w:val="single"/>
          </w:rPr>
          <w:t>https://doi.org/10.1038/s41598-026-39495-3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最大自主等长收缩 (MVIC) 伸展可评估膝关节股四头肌功能、力量、神经肌肉恢复和康复计划。我们使用下肢肌肉骨骼 (MS) 模型，其中包含尸体膝盖的有限元 (FE)。在模拟三个膝关节屈曲角度 (KFA)（30°、60°、90°）坐姿下的 MVIC 伸展时，计算肌肉/韧带/接触力、组织应力/应变和被动反应力矩。使用田口正交设计，MVIC 伸展力矩、向后导向的外力的杠杆臂和膝屈肌的共激活这三个输入参数分别在四个水平上变化。估计输出参数对这些输入变量的敏感性。验证力矩方程的关节中心的位置也有所不同。结果表明，KFA (p &lt; 0.001) 和 MVIC 力矩 (p &lt; 0.001) 使股四头肌、髌腱和髌股接触力显着增加。更大的外力杠杆臂增加了ACL的力量。与同一 MVIC 的 OpenSim 模拟相比，关节中心位置的变化仅影响被动反应力矩，这些被动反应力矩会变化以保持平衡，而计算的肌肉力和内部韧带/接触载荷保持不变。研究结果凸显了 MS 模型的固有局限性，该模型将整个膝关节理想化为位于其旋转中心的关节。</w:t>
      </w:r>
    </w:p>
    <w:p>
      <w:pPr>
        <w:spacing w:before="120"/>
      </w:pPr>
      <w:r>
        <w:rPr>
          <w:rFonts w:ascii="Times New Roman" w:hAnsi="Times New Roman" w:eastAsia="宋体"/>
          <w:b/>
          <w:sz w:val="21"/>
        </w:rPr>
        <w:t>English Abstract:</w:t>
      </w:r>
    </w:p>
    <w:p>
      <w:r>
        <w:rPr>
          <w:rFonts w:ascii="Times New Roman" w:hAnsi="Times New Roman" w:eastAsia="宋体"/>
          <w:sz w:val="21"/>
        </w:rPr>
        <w:t>Maximum voluntary isometric contraction (MVIC) extension assesses knee quadriceps function, strength, neuromuscular recovery and rehabilitation programs. We use a musculoskeletal (MS) model of the lower limb that incorporates a finite element (FE) of a cadaver knee. Muscle/ligament/contact forces, tissue stresses/strains and passive reaction moments are computed while simulating MVIC extension in seated posture at three knee flexion angles (KFA) (30°, 60°, 90°). Three input parameters of MVIC extension moment, lever arm of the posteriorly-directed external force, and coactivation in knee flexors were each varied at four levels using a Taguchi orthogonal design. Sensitivity of output parameters to these input variables were estimated. The location of the joint center where moment equations are verified was also varied. Results demonstrated a significant increase in quadriceps, patellar tendon, and patellofemoral contact forces with KFA (p &lt; 0.001) and MVIC moment (p &lt; 0.001). Greater lever arm of the external force increased ACL forces. In contrast to OpenSim simulation of the same MVIC, changes in the joint center location affected only the passive reaction moments that varied to maintain equilibrium while the computed muscle forces and internal ligament/contact loads remained unchanged. Findings highlight inherent limitations in MS models that idealize the entire knee as a joint located at its center of rotation.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匈牙利野鼠大肠杆菌的耐药性及 CTX-M-1 型 ESBL 质粒的表征</w:t>
      </w:r>
    </w:p>
    <w:p>
      <w:r>
        <w:rPr>
          <w:rFonts w:ascii="Times New Roman" w:hAnsi="Times New Roman" w:eastAsia="宋体"/>
          <w:b/>
          <w:color w:val="003264"/>
          <w:sz w:val="24"/>
        </w:rPr>
        <w:t>Antimicrobial resistance of Escherichia coli in Hungarian wild rats and characterization of a CTX-M-1 type ESBL plasmid</w:t>
      </w:r>
    </w:p>
    <w:p>
      <w:r>
        <w:rPr>
          <w:rFonts w:ascii="Times New Roman" w:hAnsi="Times New Roman" w:eastAsia="宋体"/>
          <w:sz w:val="21"/>
        </w:rPr>
        <w:t>作者: Ama Szmolka, Gabriella Locsmándi, Anita Makó, Adél Kiss, Ákos Gellért, László Egyed</w:t>
        <w:br/>
      </w:r>
      <w:r>
        <w:rPr>
          <w:rFonts w:ascii="Times New Roman" w:hAnsi="Times New Roman" w:eastAsia="宋体"/>
          <w:sz w:val="21"/>
        </w:rPr>
        <w:t xml:space="preserve">时间: 2026-02-12 | </w:t>
      </w:r>
      <w:r>
        <w:t xml:space="preserve">链接: </w:t>
      </w:r>
      <w:hyperlink r:id="rId243">
        <w:r>
          <w:rPr>
            <w:rFonts w:ascii="Times New Roman" w:hAnsi="Times New Roman" w:eastAsia="宋体"/>
            <w:color w:val="0000FF"/>
            <w:sz w:val="21"/>
            <w:u w:val="single"/>
          </w:rPr>
          <w:t>https://doi.org/10.1038/s41598-026-38191-6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摘要：本研究对褐鼠（Rattusnorvegicus）大肠杆菌的抗菌药物耐药性进行了全面分析，重点关注耐药性的发生和遗传基础，并鉴定了具有完全解析的 CTX-M-1 质粒的产 ESBL 大肠杆菌菌株。 90 只棕色大鼠中，25.6% 携带 AMR 大肠杆菌菌株，其中 8.9% 表现出多重耐药性。主要耐药模式是对氨苄西林 (17.8%) 和四环素 (12%) 的联合耐药，以及质粒相关耐药基因 bla TEM−1 和 tet (A)/tet (B)。该研究在匈牙利的一只城市大鼠中鉴定出了第一个产 ESBL 的大肠杆菌菌株 (88/Ec2)，该菌株在约 92 kb IncI1 质粒 pCTX-M-1_88/Ec2 上携带有 bla CTX−M−1 基因。比较质粒分析显示与人源病原体的 CTX-M-1 质粒有 98% 的结构相似性。菌株 88/Ec2 的血清型为 O168:H38，并分配给新的序列类型 ST17982。从系统发育角度来看，它与人类 CTX-M 大肠杆菌谱系具有核心关系，表明与全球传播的人类流行性大肠杆菌谱系具有共同的基因组背景。这些发现强调了城市褐鼠在“同一个健康”框架内作为抗菌药物耐药性储存库和潜在载体的作用，并主张加强对城市野生动物中抗菌素耐药性的监测，以更好地了解和减轻耐药基因的人畜共患转移。</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 comprehensive analysis of antimicrobial resistance in E. coli from brown rats ( Rattus norvegicus ), focusing on the occurrence and genetic basis of resistance and characterizing an ESBL-producing E. coli strain with a fully resolved CTX-M-1 plasmid. 25.6% of 90 brown rats carried AMR E. coli strains, with 8.9% displaying multidrug resistance. The predominant resistance pattern was combined resistance to ampicillin (17.8%) and tetracycline (12%), with plasmid-associated resistance genes bla TEM−1 and tet (A)/ tet (B). The study identified the first ESBL-producing E. coli strain (88/Ec2) in an urban rat in Hungary, harboring the gene bla CTX−M−1 on an approximately 92 kb IncI1 plasmid pCTX-M-1_88/Ec2. Comparative plasmid analysis showed 98% structural similarity to CTX-M-1 plasmids from human-derived pathogens. Strain 88/Ec2 was serotyped as O168:H38 and assigned to a novel sequence type, ST17982. Phylogenetically, it exhibits a central relationship to human CTX-M E. coli lineages, suggesting a shared genomic background with globally disseminated, human epidemic E. coli lineages. These findings highlight the role of urban brown rats as reservoirs and potential vectors of antimicrobial resistance within the One Health framework and advocate for enhanced surveillance of AMR in urban wildlife to better understand and mitigate the zoonotic transfer of resistance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双重调节纵向研究中青少年的抑郁症和社交媒体成瘾</w:t>
      </w:r>
    </w:p>
    <w:p>
      <w:r>
        <w:rPr>
          <w:rFonts w:ascii="Times New Roman" w:hAnsi="Times New Roman" w:eastAsia="宋体"/>
          <w:b/>
          <w:color w:val="003264"/>
          <w:sz w:val="24"/>
        </w:rPr>
        <w:t>Depression and social media addiction among teenagers in a longitudinal study with dual moderation</w:t>
      </w:r>
    </w:p>
    <w:p>
      <w:r>
        <w:rPr>
          <w:rFonts w:ascii="Times New Roman" w:hAnsi="Times New Roman" w:eastAsia="宋体"/>
          <w:sz w:val="21"/>
        </w:rPr>
        <w:t>作者: Pingfan Liu, Jingbo Wang, Qiangzhi Zuo, Tong Han, Junwei Zhang</w:t>
        <w:br/>
      </w:r>
      <w:r>
        <w:rPr>
          <w:rFonts w:ascii="Times New Roman" w:hAnsi="Times New Roman" w:eastAsia="宋体"/>
          <w:sz w:val="21"/>
        </w:rPr>
        <w:t xml:space="preserve">时间: 2026-02-12 | </w:t>
      </w:r>
      <w:r>
        <w:t xml:space="preserve">链接: </w:t>
      </w:r>
      <w:hyperlink r:id="rId244">
        <w:r>
          <w:rPr>
            <w:rFonts w:ascii="Times New Roman" w:hAnsi="Times New Roman" w:eastAsia="宋体"/>
            <w:color w:val="0000FF"/>
            <w:sz w:val="21"/>
            <w:u w:val="single"/>
          </w:rPr>
          <w:t>https://doi.org/10.1038/s41598-026-38729-8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抑郁症一直与社交媒体成瘾有关，但这种关系背后的心理过程仍然没有得到充分的了解。本研究旨在探讨青少年抑郁症与社交媒体成瘾之间的纵向关联，特别关注难以描述感受和体验性回避的潜在调节作用。对 3,184 名中国青少年进行了三波纵向研究。参与者完成了自我报告措施，评估抑郁症、社交媒体成瘾、描述感受困难和体验性回避。使用描述性统计、相关性分析和调节回归模型来检验所提出的纵向关联。时间 1 (T1) 的抑郁症与时间 3 (T3) 的社交媒体成瘾呈正相关。此外，在时间 2 (T2) 时难以描述感受和体验性回避显着调节了 T1 抑郁症与 T3 社交媒体成瘾之间的关联。那些在描述自己的感受时遇到更大困难或倾向于避免不愉快的内部经历的青少年似乎更容易受到抑郁症和社交媒体成瘾之间纵向关联的影响。这些发现强调了情绪理解和调节能力在塑造青少年社交媒体使用模式方面的重要性，并为理论发展以及有针对性的预防和干预工作提供了启示。</w:t>
      </w:r>
    </w:p>
    <w:p>
      <w:pPr>
        <w:spacing w:before="120"/>
      </w:pPr>
      <w:r>
        <w:rPr>
          <w:rFonts w:ascii="Times New Roman" w:hAnsi="Times New Roman" w:eastAsia="宋体"/>
          <w:b/>
          <w:sz w:val="21"/>
        </w:rPr>
        <w:t>English Abstract:</w:t>
      </w:r>
    </w:p>
    <w:p>
      <w:r>
        <w:rPr>
          <w:rFonts w:ascii="Times New Roman" w:hAnsi="Times New Roman" w:eastAsia="宋体"/>
          <w:sz w:val="21"/>
        </w:rPr>
        <w:t>Depression has been consistently associated with social media addiction, yet the psychological processes underlying this relationship remain insufficiently understood. The present study aimed to examine the longitudinal association between depression and social media addiction among teenagers, with particular attention to the potential moderating roles of difficulty describing feelings and experiential avoidance. A three-wave longitudinal study was conducted with 3,184 teenagers from China. Participants completed self-report measures assessing depression, social media addiction, difficulty describing feelings, and experiential avoidance. Descriptive statistics, correlation analyses, and moderated regression models were used to examine the proposed longitudinal associations. Depression at Time 1 (T1) was positively associated with social media addiction at Time 3 (T3). In addition, difficulty describing feelings and experiential avoidance at Time 2 (T2) significantly moderated the association between T1 depression and T3 social media addiction. Teenagers who experienced greater difficulty describing their feelings or who tended to avoid unpleasant internal experiences appeared more vulnerable to the longitudinal association between depression and social media addiction. These findings highlight the importance of emotional understanding and regulation capacities in shaping patterns of social media use among adolescents and offer implications for theory development as well as targeted prevention and intervention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尼日利亚Esa-Odo水库季节变化、重金属污染指数及健康风险评估</w:t>
      </w:r>
    </w:p>
    <w:p>
      <w:r>
        <w:rPr>
          <w:rFonts w:ascii="Times New Roman" w:hAnsi="Times New Roman" w:eastAsia="宋体"/>
          <w:b/>
          <w:color w:val="003264"/>
          <w:sz w:val="24"/>
        </w:rPr>
        <w:t>Seasonal variation, heavy metal pollution indices and health risk assessment in the Esa-Odo reservoir, Nigeria</w:t>
      </w:r>
    </w:p>
    <w:p>
      <w:r>
        <w:rPr>
          <w:rFonts w:ascii="Times New Roman" w:hAnsi="Times New Roman" w:eastAsia="宋体"/>
          <w:sz w:val="21"/>
        </w:rPr>
        <w:t>作者: Oluwafisayo Azeez Ayodeji, Henry Adefisayo Adewole, Oluwadamilare Emmanuel Obayemi, Saanu Emmanuel Kosemani, Fatimah Adenike Ajadi, Adebukola Adenike Adedeji, Victor Folorunso Olaleye</w:t>
        <w:br/>
      </w:r>
      <w:r>
        <w:rPr>
          <w:rFonts w:ascii="Times New Roman" w:hAnsi="Times New Roman" w:eastAsia="宋体"/>
          <w:sz w:val="21"/>
        </w:rPr>
        <w:t xml:space="preserve">时间: 2026-02-12 | </w:t>
      </w:r>
      <w:r>
        <w:t xml:space="preserve">链接: </w:t>
      </w:r>
      <w:hyperlink r:id="rId245">
        <w:r>
          <w:rPr>
            <w:rFonts w:ascii="Times New Roman" w:hAnsi="Times New Roman" w:eastAsia="宋体"/>
            <w:color w:val="0000FF"/>
            <w:sz w:val="21"/>
            <w:u w:val="single"/>
          </w:rPr>
          <w:t>https://doi.org/10.1038/s41598-026-39049-7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本研究调查了尼日利亚奥孙州埃萨奥多水库水中重金属浓度的时空变化。 2018 年 3 月至 2019 年 12 月期间，使用简易水采样器从三个指定站采集了地表水样本，涵盖两个不同的季节。采用原子吸收分光光度法 (AAS) 方法分析酸化水样（每升水 2 毫升浓 HNO3）中选定的重金属。每两个月采集一次样本，总共 36 个。风险评估采用危害商和危害指数来衡量非致癌风险，利用目标癌症风险来衡量致癌风险。研究结果表明，锌的浓度最高，其次是铁和铜，砷通常含量微量。虽然空间分析显示重金属浓度没有显着变化（p &gt; 0.05），但季节性变化很明显，雨季浓度明显更高。分析的五种重金属（Cr³⁺、Mn²⁺、Fe²⁺、Cu²⁺ 和 Zn²⁺）均在 NESREA 和 USEPA 允许限度内。镉和铅超过了建议的监管阈值，表明对人类健康和水生生态系统存在潜在风险。尽管砷浓度低于 WHO 饮用水限值 10 µg/L，但根据更严格的 NESREA/USEPA 环境质量标准，砷浓度仍可能引起关注。主成分分析和聚类分析确定了金属之间的相关性和分组模式。采用加权指数法计算的重金属污染指数（HMPI）均超过了100的临界阈值，雨季（264.27）的值高于旱季（199.65）。危险指数 (HI) 值仍低于阈值 1，表明健康风险总体较低。此外，根据摄入和皮肤接触重金属的目标癌症风险 (TCR) 评估，Esa-Odo 水库对成人和儿童的致癌风险较低。该研究将水库中重金属浓度的增加与农业径流、手工采矿和集水区周围的其他环境干扰联系起来。观察到的季节性变化凸显了污染的动态，强调需要持续监测和管理策略，以减轻污染影响并保护水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spatial and temporal variations in heavy metal concentrations in the water of the Esa-Odo Reservoir, located in Osun State, Nigeria. Surface water samples were collected from three designated stations using an improvised water sampler between March 2018 and December 2019, covering two distinct seasons. The Atomic Absorption Spectrophotometric (AAS) method was employed to analyse the acidified water samples (two millilitres of concentrated HNO3 per litre of water) for the selected heavy metals. Samples were collected bi-monthly, totaling thirty-six. The risk assessment utilized the hazard quotient and hazard index for non-carcinogenic risk, and the target cancer risk for carcinogenic risk. The findings indicated that zinc had the highest concentration, followed by iron and copper, with arsenic usually found in trace amounts. While spatial analysis showed no significant variation (p &gt; 0.05) in heavy metal concentrations, seasonal variations were apparent, with notably higher concentrations during the wet season. Five of the analyzed heavy metals (Cr³⁺, Mn²⁺, Fe²⁺, Cu²⁺, and Zn²⁺) were within the NESREA and USEPA permissible limits. Cadmium and lead exceeded the recommended regulatory thresholds, indicating potential risks to human health and aquatic ecosystems. Although arsenic concentrations were below the WHO drinking water limit of 10 µg/L, they may still pose concern based on stricter NESREA/USEPA environmental quality criteria. Principal component analysis and cluster analysis identified correlations and grouping patterns among metals. The heavy metal pollution index (HMPI), calculated using a weighted index method, surpassed the critical threshold of 100 at all stations, with higher values recorded in the wet season (264.27) compared to the dry season (199.65). The hazard index (HI) values remained below the threshold of 1, suggesting a generally low health risk. Furthermore, the Esa-Odo Reservoir showed a low carcinogenic risk for both adults and children based on the target cancer risk (TCR) assessments for heavy metals from ingestion and dermal contact. The study linked increased heavy metal concentrations in the reservoir to agricultural runoff, artisanal mining, and other environmental disturbances surrounding the catchment area. The observed seasonal variations highlight the dynamics of pollution, emphasizing the need for ongoing monitoring and management strategies to mitigate pollution impacts and preserve water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A2-pancortins 与 Bcl-xL 和 WAVE1 相互作用，促进线粒体-ER 接触位点 (MERC) 并加剧线粒体钙升高，从而介导中风中的细胞死亡</w:t>
      </w:r>
    </w:p>
    <w:p>
      <w:r>
        <w:rPr>
          <w:rFonts w:ascii="Times New Roman" w:hAnsi="Times New Roman" w:eastAsia="宋体"/>
          <w:b/>
          <w:color w:val="003264"/>
          <w:sz w:val="24"/>
        </w:rPr>
        <w:t>A2-pancortins interact with Bcl-xL and WAVE1 to promote mitochondria-ER contact sites (MERCs) and exacerbate mitochondrial calcium elevation to mediate cell death in stroke</w:t>
      </w:r>
    </w:p>
    <w:p>
      <w:r>
        <w:rPr>
          <w:rFonts w:ascii="Times New Roman" w:hAnsi="Times New Roman" w:eastAsia="宋体"/>
          <w:sz w:val="21"/>
        </w:rPr>
        <w:t>作者: Qi Yang, Chen-Chi Wang, Tomohiro Matsuyama, Kazuki Kuroda, Min-Jue Xie, Misato Yasumura, Chao-Yuan Tsai, Yuichiro Oka, Hideshi Yagi, Makoto Sato</w:t>
        <w:br/>
      </w:r>
      <w:r>
        <w:rPr>
          <w:rFonts w:ascii="Times New Roman" w:hAnsi="Times New Roman" w:eastAsia="宋体"/>
          <w:sz w:val="21"/>
        </w:rPr>
        <w:t xml:space="preserve">时间: 2026-02-12 | </w:t>
      </w:r>
      <w:r>
        <w:t xml:space="preserve">链接: </w:t>
      </w:r>
      <w:hyperlink r:id="rId246">
        <w:r>
          <w:rPr>
            <w:rFonts w:ascii="Times New Roman" w:hAnsi="Times New Roman" w:eastAsia="宋体"/>
            <w:color w:val="0000FF"/>
            <w:sz w:val="21"/>
            <w:u w:val="single"/>
          </w:rPr>
          <w:t>https://doi.org/10.1038/s41598-026-38928-3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Pancortin (PCT) 是一种在神经发育过程中在皮质中高度表达的蛋白质，包含四种异构体 (PCT1-4)，其特征是中央 B 区、N 末端 (A1/A2) 和 C 末端 (C1/C2)。虽然 PCT2 在成年小鼠皮层中富集，通过与 WAVE1 和 Bcl-xL 相互作用介导缺血性神经元死亡，但围产期亚型（A2-PCT，即 PCT3 和 PCT4）仍不清楚。鉴于发育中的大脑容易受到缺氧引起的神经功能缺陷的影响，我们在此询问 A2-PCT 是否会导致发育中的皮质缺血性损伤。在原代皮质神经元中，PCT 的敲低可减轻氧糖剥夺引起的细胞死亡。一致的是，使用大脑中动脉闭塞的 A2-PCT 基因敲除小鼠，我们观察到年轻动物的皮质损伤显着减少，这表明 A2-PCT 在缺氧条件下是促死亡因素。从机制上讲，A2-PCTs 与 Bcl-xL 和 WAVE1 形成三联复合物。 HEK293 细胞中 A2-PCT 的过度表达导致细胞死亡率升高，并且正如 SPLICS（一种基于分裂 GFP 的接触位点传感器）基于线粒体-ER 接触位点 (MERC) 成像所显示的那样，增加了其对 MERC 的定位。此外，A2-PCTs 以 Bcl-xL/WAVE1 依赖性方式与 MERCs 束缚蛋白 GRP75 相互作用。 A2-PCTs/Bcl-xL/WAVE1 复合物增加了 IP3R 介导的钙从 ER 到线粒体的转移，导致细胞质和线粒体钙超载，而 IP3R 抑制可减弱这种情况。在遭受氧-葡萄糖剥夺的 Neuro2a 细胞中，PCT 敲低同样抑制了病理性钙流动。我们的研究确定 A2-PCT 是新生儿中风中 MERC 介导的钙失调的关键调节因子，表明它们作为减轻发育中大脑缺血性脑损伤的治疗靶点的潜力。</w:t>
      </w:r>
    </w:p>
    <w:p>
      <w:pPr>
        <w:spacing w:before="120"/>
      </w:pPr>
      <w:r>
        <w:rPr>
          <w:rFonts w:ascii="Times New Roman" w:hAnsi="Times New Roman" w:eastAsia="宋体"/>
          <w:b/>
          <w:sz w:val="21"/>
        </w:rPr>
        <w:t>English Abstract:</w:t>
      </w:r>
    </w:p>
    <w:p>
      <w:r>
        <w:rPr>
          <w:rFonts w:ascii="Times New Roman" w:hAnsi="Times New Roman" w:eastAsia="宋体"/>
          <w:sz w:val="21"/>
        </w:rPr>
        <w:t>Pancortin (PCT), a protein highly expressed in the cortex during neurodevelopment, comprises four isoforms (PCT1–4) characterized by a central B-region and N-termini (A1/A2) and C-termini (C1/C2). While PCT2, enriched in adult mouse cortex, mediates ischemic neuronal death via interactions with WAVE1 and Bcl-xL, perinatal isoforms (A2-PCTs, namely PCT3 and PCT4) remain poorly defined. Given the vulnerability of the developing brain to hypoxia-induced neurological deficits, here we asked whether A2-PCTs contribute to ischemic damage in the developing cortex. In primary cortical neurons, knockdown of PCTs mitigated cell death induced by oxygen-glucose deprivation. Consistently, using A2-PCTs knockout mice subjected to middle cerebral artery occlusion, we observed significantly reduced cortical damage in younger animals, implicating A2-PCTs as pro-death factors in hypoxic conditions. Mechanistically, A2-PCTs formed a tripartite complex with Bcl-xL and WAVE1. Overexpression of A2-PCTs in HEK293 cells resulted in elevated cell mortality, and as revealed by SPLICS (a split-GFP-based contact site sensor)-based imaging of mitochondria-ER contact sites (MERCs), increased its localization to MERCs. Furthermore, A2-PCTs interacted with GRP75, a MERCs-tethering protein, in a Bcl-xL/WAVE1-dependent manner. A2-PCTs/Bcl-xL/WAVE1 complex increased IP3R-mediated calcium transfer from the ER to mitochondria, leading to cytosolic and mitochondrial calcium overload, which was attenuated by IP3R inhibition. In Neuro2a cells subjected to oxygen-glucose deprivation, PCTs knockdown similarly suppressed pathological calcium flux. Our study identifies A2-PCTs as key regulators of MERCs-mediated calcium dysregulation in neonatal stroke, pointing to their potential as therapeutic targets for mitigating ischemic brain injury in the developing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加沙地带中部地区冲突期间儿童脓疱疮和疥疮负担和危险因素的横断面研究</w:t>
      </w:r>
    </w:p>
    <w:p>
      <w:r>
        <w:rPr>
          <w:rFonts w:ascii="Times New Roman" w:hAnsi="Times New Roman" w:eastAsia="宋体"/>
          <w:b/>
          <w:color w:val="003264"/>
          <w:sz w:val="24"/>
        </w:rPr>
        <w:t>A cross-sectional study of the burden and risk factors of impetigo and scabies among children during conflict in the middle area of the Gaza strip</w:t>
      </w:r>
    </w:p>
    <w:p>
      <w:r>
        <w:rPr>
          <w:rFonts w:ascii="Times New Roman" w:hAnsi="Times New Roman" w:eastAsia="宋体"/>
          <w:sz w:val="21"/>
        </w:rPr>
        <w:t>作者: Alaa Shaban Mohammed Hassan, Areej Hashem Hussein Barakat, Duha Marwan Hassan Abudayya, Lena Mohammed Saleh Abulkhair, Marwa Abed Al Raouf Salem Abu Amra, Noora Nahed Ezzat Abdullateif, Tarek A. Owais, Maya Sabboh, Jameel Suliman, Haya Jebreen Mohammed Warasna, Mohammad Yaser Hasan Awad, Raed Abed Alkareem Abu Serriya</w:t>
        <w:br/>
      </w:r>
      <w:r>
        <w:rPr>
          <w:rFonts w:ascii="Times New Roman" w:hAnsi="Times New Roman" w:eastAsia="宋体"/>
          <w:sz w:val="21"/>
        </w:rPr>
        <w:t xml:space="preserve">时间: 2026-02-12 | </w:t>
      </w:r>
      <w:r>
        <w:t xml:space="preserve">链接: </w:t>
      </w:r>
      <w:hyperlink r:id="rId247">
        <w:r>
          <w:rPr>
            <w:rFonts w:ascii="Times New Roman" w:hAnsi="Times New Roman" w:eastAsia="宋体"/>
            <w:color w:val="0000FF"/>
            <w:sz w:val="21"/>
            <w:u w:val="single"/>
          </w:rPr>
          <w:t>https://doi.org/10.1038/s41598-026-38441-7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脓疱疮和疥疮是一种高度传染性的皮肤感染，在因冲突而加剧的过度拥挤和不卫生的环境中大量繁殖。这项横断面研究分析了人道主义危机期间加沙地带中部地区儿童感染的人口、环境和 WaSH 相关决定因素。该研究于 2024 年 7 月至 11 月期间进行。参与者是通过混合非概率抽样策略招募的，该策略结合了流离失所者收容所的系统筛查和红新月会皮肤科诊所的连续招募。脓疱疮和疥疮的诊断由皮肤科医生根据世界卫生组织针对群体性紧急情况的病例定义进行临床确认。使用单变量和多变量逻辑回归模型对数据进行分析，以估计粗略比值比和调整后比值比 (aOR)，置信区间 (CI) 为 95%。该研究共有 409 名受访者； 356 例（87%）被诊断为脓疱病，150 例（36.7%）被诊断为疥疮，其中 99 例（24.2%）被诊断为合并感染。大多数参与者来自代尔巴拉赫 (81%)，并报告说，自冲突开始以来，他们至少流离失所过一次 (91%)。大多数受访者居住在过度拥挤的地区（76%），并报告睡眠空间占用人数超过 10 人（61%）。与0-4岁儿童（参考组）相比，5-9岁儿童（aOR = 0.30，95% CI 0.11-0.76，p = 0.013）、10-14岁儿童（aOR = 0.31，95% CI 0.11-0.82，p = 0.024）和10-14岁儿童患脓疱疮的几率显着较低。 15-18 岁（aOR = 0.11，95% CI 0.04-0.37，p &lt; 0.001）。对于疥疮，15-18 岁青少年的发病率明显高于 0-4 岁组（aOR = 5.67，95% CI 2.50-13.31，p &lt; 0.001）。获得清洁水的机会有限会显着增加患脓疱疮的几率（aOR = 2.63，95% CI 1.12–6.25，p = 0.028），而单独使用公共浴室会增加疥疮的风险（aOR = 2.26，95% CI 1.23–4.29，p = 0.010）。研究结果强调，迫切需要采取协调一致的卫生干预措施，重点是恢复清洁水源、提供肥皂和消毒用品以及减少住所过度拥挤。对高危年龄组进行快速、有针对性的治疗和教育，以及改善共用设施的卫生管理，对于阻断传播至关重要。应优先考虑加强疾病监测和修复受损的卫生和供水基础设施，以防止疫情反复爆发并减少严重并发症。</w:t>
      </w:r>
    </w:p>
    <w:p>
      <w:pPr>
        <w:spacing w:before="120"/>
      </w:pPr>
      <w:r>
        <w:rPr>
          <w:rFonts w:ascii="Times New Roman" w:hAnsi="Times New Roman" w:eastAsia="宋体"/>
          <w:b/>
          <w:sz w:val="21"/>
        </w:rPr>
        <w:t>English Abstract:</w:t>
      </w:r>
    </w:p>
    <w:p>
      <w:r>
        <w:rPr>
          <w:rFonts w:ascii="Times New Roman" w:hAnsi="Times New Roman" w:eastAsia="宋体"/>
          <w:sz w:val="21"/>
        </w:rPr>
        <w:t>Impetigo and scabies, highly contagious skin infections, proliferate in the overcrowded and unhygienic conditions exacerbated by conflict. This cross-sectional study analyzed the demographic, environmental, and WaSH-related determinants of these infections among children in the middle area of the Gaza strip during its humanitarian crisis. The study was conducted between July and November 2024. Participants were recruited through a mixed non-probability sampling strategy combining systematic screening in displacement shelters and consecutive recruitment from red crescent dermatology clinics. Diagnoses of impetigo and scabies were clinically confirmed by a dermatologist following WHO case definitions for mass emergencies. Data were analyzed using univariate and multivariate logistic regression models to estimate crude and adjusted odds ratios (aOR) with 95% confidence intervals (CI). A total of 409 respondents were included in the study; 356 (87%) were diagnosed with impetigo and 150 (36.7%) with scabies, including 99 (24.2%) with co-infection. The majority of participants were from Deir Al-Balah (81%) and reported that they had been displaced at least once since the start of the conflict (91%). Most respondents lived in overcrowded areas (76%) and reported a sleeping-space occupancy exceeding ten individuals (61%). Compared with children aged 0–4 years (reference group), the odds of impetigo were significantly lower among those aged 5–9 years (aOR = 0.30, 95% CI 0.11–0.76, p = 0.013), 10–14 years (aOR = 0.31, 95% CI 0.11–0.82, p = 0.024), and 15–18 years (aOR = 0.11, 95% CI 0.04–0.37, p &lt; 0.001). For scabies, adolescents aged 15–18 years had markedly higher odds compared with the 0–4 year group (aOR = 5.67, 95% CI 2.50–13.31, p &lt; 0.001). Limited access to clean water significantly increased the odds of impetigo (aOR = 2.63, 95% CI 1.12–6.25, p = 0.028), and using public bathrooms independently increased the risk of scabies (aOR = 2.26, 95% CI 1.23–4.29, p = 0.010). The findings highlight an urgent need for coordinated hygiene interventions focused on restoring clean-water access, providing soap and disinfection supplies, and reducing shelter overcrowding. Rapid, targeted treatment and education for high-risk age groups, alongside improved sanitation management in shared facilities, are essential to interrupt transmission. Strengthening disease surveillance and repairing damaged health and water infrastructure should be prioritized to prevent recurrent outbreaks and reduce severe complications.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基于横向颞下颌关节的颞下颌关节活动过度的分类，以及有助于非手术治疗方案的磁共振成像</w:t>
      </w:r>
    </w:p>
    <w:p>
      <w:r>
        <w:rPr>
          <w:rFonts w:ascii="Times New Roman" w:hAnsi="Times New Roman" w:eastAsia="宋体"/>
          <w:b/>
          <w:color w:val="003264"/>
          <w:sz w:val="24"/>
        </w:rPr>
        <w:t>Classification of temporomandibular joint hypermobility based on lateral TMJ, and magnetic resonance imaging contributing to a nonsurgical treatment protocol</w:t>
      </w:r>
    </w:p>
    <w:p>
      <w:r>
        <w:rPr>
          <w:rFonts w:ascii="Times New Roman" w:hAnsi="Times New Roman" w:eastAsia="宋体"/>
          <w:sz w:val="21"/>
        </w:rPr>
        <w:t>作者: Ayman F. Hegab, Mohammad Shuman, Hossam Abd Al Hameed, Khaled Karam</w:t>
        <w:br/>
      </w:r>
      <w:r>
        <w:rPr>
          <w:rFonts w:ascii="Times New Roman" w:hAnsi="Times New Roman" w:eastAsia="宋体"/>
          <w:sz w:val="21"/>
        </w:rPr>
        <w:t xml:space="preserve">时间: 2026-02-12 | </w:t>
      </w:r>
      <w:r>
        <w:t xml:space="preserve">链接: </w:t>
      </w:r>
      <w:hyperlink r:id="rId248">
        <w:r>
          <w:rPr>
            <w:rFonts w:ascii="Times New Roman" w:hAnsi="Times New Roman" w:eastAsia="宋体"/>
            <w:color w:val="0000FF"/>
            <w:sz w:val="21"/>
            <w:u w:val="single"/>
          </w:rPr>
          <w:t>https://doi.org/10.1038/s41598-026-36461-x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颞下颌关节 (TMJ) 的过度活动可能会出现各种髁突和椎间盘位置。本研究的目的是评估不同程度颞下颌关节过度活动患者的髁突和椎间盘位置，并提出一个新的分类系统和相关的非手术治疗方案。连续招募了 144 名患有内部紊乱的患者。进行了临床检查、颞下颌关节侧位X光片和磁共振成像（MRI）。根据建议的分期系统对患者进行分类，并采用相应的非手术方案进行治疗。主要结果变量是最大自主张口度和视觉模拟评分（VAS）疼痛评分。次要结果变量是关节声音。统计分析表明，研究期间张口度显着下降（治疗后 12 个月时 P &lt; 0.001）。所有研究组和时间点的 VAS 评分也显示出统计学上的显着降低（治疗后 12 个月时 P &lt; 0.0001）。在整个研究期间，关节声音显着改善（治疗后 12 个月时 P &lt; 0.001）。所提出的分类系统简单实用，提供了 TMJ 过度活动中髁突和椎间盘位置的详细描述。相关的非手术治疗方案被证明是有效的，并且适合关节中观察到的病理变化。</w:t>
      </w:r>
    </w:p>
    <w:p>
      <w:pPr>
        <w:spacing w:before="120"/>
      </w:pPr>
      <w:r>
        <w:rPr>
          <w:rFonts w:ascii="Times New Roman" w:hAnsi="Times New Roman" w:eastAsia="宋体"/>
          <w:b/>
          <w:sz w:val="21"/>
        </w:rPr>
        <w:t>English Abstract:</w:t>
      </w:r>
    </w:p>
    <w:p>
      <w:r>
        <w:rPr>
          <w:rFonts w:ascii="Times New Roman" w:hAnsi="Times New Roman" w:eastAsia="宋体"/>
          <w:sz w:val="21"/>
        </w:rPr>
        <w:t>Hypermobility of the temporomandibular joint (TMJ) may present with a wide range of condylar and disk positions. The aim of this study was to evaluate condylar and disk positions in patients with varying degrees of TMJ hypermobility and to propose a new classification system with an associated nonsurgical treatment protocol. A consecutive sample of 144 patients with internal derangement was enrolled. Clinical examinations, lateral TMJ radiographs, and magnetic resonance imaging (MRI) were performed. Patients were classified according to the proposed staging system and treated with the corresponding nonsurgical protocol. The primary outcome variables were maximum voluntary mouth opening and visual analogue scale (VAS) pain scores. The secondary outcome variable was joint sounds. Statistical analysis demonstrated a significant decrease in mouth opening during the study period (P &lt; 0.001 at 12 months posttreatment). VAS scores also showed a statistically significant reduction across all study groups and time points (P &lt; 0.0001 at 12 months posttreatment). Joint sounds improved significantly throughout the study period (P &lt; 0.001 at 12 months posttreatment). The proposed classification system is simple and practical, providing a detailed description of condylar and disk positions in TMJ hypermobility. The associated nonsurgical treatment protocol proved to be effective and tailored to the pathological changes observed in the joint.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Dental-QAD：全景放射照片中推理驱动的质量评估和诊断</w:t>
      </w:r>
    </w:p>
    <w:p>
      <w:r>
        <w:rPr>
          <w:rFonts w:ascii="Times New Roman" w:hAnsi="Times New Roman" w:eastAsia="宋体"/>
          <w:b/>
          <w:color w:val="003264"/>
          <w:sz w:val="24"/>
        </w:rPr>
        <w:t>Dental-QAD: Reasoning-driven quality assessment and diagnosis in panoramic radiographs</w:t>
      </w:r>
    </w:p>
    <w:p>
      <w:r>
        <w:rPr>
          <w:rFonts w:ascii="Times New Roman" w:hAnsi="Times New Roman" w:eastAsia="宋体"/>
          <w:sz w:val="21"/>
        </w:rPr>
        <w:t>作者: Shuangqing Wang, Kaiyuan Ji, Yushuo Zheng, Zhihan Wu, Xiaorong Zhu, Zijian Chen, Lu Sun, Shuo Wang, Jianbo Zhang, Zicheng Zhang, Xiangyang Zhu, Yuan Tian, Jing Han, Lele Hao, Zhiyu Chen, Jiannan Liu</w:t>
        <w:br/>
      </w:r>
      <w:r>
        <w:rPr>
          <w:rFonts w:ascii="Times New Roman" w:hAnsi="Times New Roman" w:eastAsia="宋体"/>
          <w:sz w:val="21"/>
        </w:rPr>
        <w:t xml:space="preserve">时间: 2026-02-01 | </w:t>
      </w:r>
      <w:r>
        <w:t xml:space="preserve">链接: </w:t>
      </w:r>
      <w:hyperlink r:id="rId122">
        <w:r>
          <w:rPr>
            <w:rFonts w:ascii="Times New Roman" w:hAnsi="Times New Roman" w:eastAsia="宋体"/>
            <w:color w:val="0000FF"/>
            <w:sz w:val="21"/>
            <w:u w:val="single"/>
          </w:rPr>
          <w:t>https://doi.org/10.1016/j.displa.2026.103380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使用光纤传感器对对空间状态进行集成传感和颜色表达</w:t>
      </w:r>
    </w:p>
    <w:p>
      <w:r>
        <w:rPr>
          <w:rFonts w:ascii="Times New Roman" w:hAnsi="Times New Roman" w:eastAsia="宋体"/>
          <w:b/>
          <w:color w:val="003264"/>
          <w:sz w:val="24"/>
        </w:rPr>
        <w:t>Integrated sensing and colour expression of spatial status using a fibre optic sensor pair</w:t>
      </w:r>
    </w:p>
    <w:p>
      <w:r>
        <w:rPr>
          <w:rFonts w:ascii="Times New Roman" w:hAnsi="Times New Roman" w:eastAsia="宋体"/>
          <w:sz w:val="21"/>
        </w:rPr>
        <w:t>作者: Xiang Wang, Huijiang Wang, Zhaojie Sun, Fan Ye, Fumiya Iida</w:t>
        <w:br/>
      </w:r>
      <w:r>
        <w:rPr>
          <w:rFonts w:ascii="Times New Roman" w:hAnsi="Times New Roman" w:eastAsia="宋体"/>
          <w:sz w:val="21"/>
        </w:rPr>
        <w:t xml:space="preserve">时间: 2026-06-01 | </w:t>
      </w:r>
      <w:r>
        <w:t xml:space="preserve">链接: </w:t>
      </w:r>
      <w:hyperlink r:id="rId123">
        <w:r>
          <w:rPr>
            <w:rFonts w:ascii="Times New Roman" w:hAnsi="Times New Roman" w:eastAsia="宋体"/>
            <w:color w:val="0000FF"/>
            <w:sz w:val="21"/>
            <w:u w:val="single"/>
          </w:rPr>
          <w:t>https://doi.org/10.1016/j.optlastec.2026.114907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高重复率飞秒激光灯丝中热量积累引起的中心会聚气流柱的观察</w:t>
      </w:r>
    </w:p>
    <w:p>
      <w:r>
        <w:rPr>
          <w:rFonts w:ascii="Times New Roman" w:hAnsi="Times New Roman" w:eastAsia="宋体"/>
          <w:b/>
          <w:color w:val="003264"/>
          <w:sz w:val="24"/>
        </w:rPr>
        <w:t>Observation of centrally converging airflow columns induced by heat accumulation in high-repetition-rate femtosecond laser filaments</w:t>
      </w:r>
    </w:p>
    <w:p>
      <w:r>
        <w:rPr>
          <w:rFonts w:ascii="Times New Roman" w:hAnsi="Times New Roman" w:eastAsia="宋体"/>
          <w:sz w:val="21"/>
        </w:rPr>
        <w:t>作者: Zheyuan Hou, Xinyu Liu, Tie-Jun Wang, Yaoxiang Liu, Yingxia Wei, Xianwang Li, Yuxin Leng</w:t>
        <w:br/>
      </w:r>
      <w:r>
        <w:rPr>
          <w:rFonts w:ascii="Times New Roman" w:hAnsi="Times New Roman" w:eastAsia="宋体"/>
          <w:sz w:val="21"/>
        </w:rPr>
        <w:t xml:space="preserve">时间: 2026-06-01 | </w:t>
      </w:r>
      <w:r>
        <w:t xml:space="preserve">链接: </w:t>
      </w:r>
      <w:hyperlink r:id="rId124">
        <w:r>
          <w:rPr>
            <w:rFonts w:ascii="Times New Roman" w:hAnsi="Times New Roman" w:eastAsia="宋体"/>
            <w:color w:val="0000FF"/>
            <w:sz w:val="21"/>
            <w:u w:val="single"/>
          </w:rPr>
          <w:t>https://doi.org/10.1016/j.optlastec.2026.114918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通过具有二次残差和基于强化学习的采样的增强型 PINN 来预测竞争三次五次饱和介质中的 PT 对称孤子</w:t>
      </w:r>
    </w:p>
    <w:p>
      <w:r>
        <w:rPr>
          <w:rFonts w:ascii="Times New Roman" w:hAnsi="Times New Roman" w:eastAsia="宋体"/>
          <w:b/>
          <w:color w:val="003264"/>
          <w:sz w:val="24"/>
        </w:rPr>
        <w:t>Predicting PT-symmetric solitons in competing cubic–quintic saturable medium via enhanced PINN with quadratic residual and reinforcement learning-based sampling</w:t>
      </w:r>
    </w:p>
    <w:p>
      <w:r>
        <w:rPr>
          <w:rFonts w:ascii="Times New Roman" w:hAnsi="Times New Roman" w:eastAsia="宋体"/>
          <w:sz w:val="21"/>
        </w:rPr>
        <w:t>作者: Tian-Hao Zhou, Ru-Meng Zhao, Zheng-Xin Yu, Xin Yan, Ji-Tao Li, Chao-Qing Dai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OmniLens：通过 LensLib 到特定域的适应实现通用镜头像差校正</w:t>
      </w:r>
    </w:p>
    <w:p>
      <w:r>
        <w:rPr>
          <w:rFonts w:ascii="Times New Roman" w:hAnsi="Times New Roman" w:eastAsia="宋体"/>
          <w:b/>
          <w:color w:val="003264"/>
          <w:sz w:val="24"/>
        </w:rPr>
        <w:t>OmniLens: Towards universal lens aberration correction via LensLib-to-specific domain adaptation</w:t>
      </w:r>
    </w:p>
    <w:p>
      <w:r>
        <w:rPr>
          <w:rFonts w:ascii="Times New Roman" w:hAnsi="Times New Roman" w:eastAsia="宋体"/>
          <w:sz w:val="21"/>
        </w:rPr>
        <w:t>作者: Qi Jiang, Yao Gao, Shaohua Gao, Zhonghua Yi, Xiaolong Qian, Hao Shi, Kailun Yang, Lei Sun, Kaiwei Wang, Jian Bai</w:t>
        <w:br/>
      </w:r>
      <w:r>
        <w:rPr>
          <w:rFonts w:ascii="Times New Roman" w:hAnsi="Times New Roman" w:eastAsia="宋体"/>
          <w:sz w:val="21"/>
        </w:rPr>
        <w:t xml:space="preserve">时间: 2026-06-01 | </w:t>
      </w:r>
      <w:r>
        <w:t xml:space="preserve">链接: </w:t>
      </w:r>
      <w:hyperlink r:id="rId126">
        <w:r>
          <w:rPr>
            <w:rFonts w:ascii="Times New Roman" w:hAnsi="Times New Roman" w:eastAsia="宋体"/>
            <w:color w:val="0000FF"/>
            <w:sz w:val="21"/>
            <w:u w:val="single"/>
          </w:rPr>
          <w:t>https://doi.org/10.1016/j.optlastec.2026.114858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突发模式飞秒激光烧蚀 SiC 中热积累和屏蔽效应的协同机制</w:t>
      </w:r>
    </w:p>
    <w:p>
      <w:r>
        <w:rPr>
          <w:rFonts w:ascii="Times New Roman" w:hAnsi="Times New Roman" w:eastAsia="宋体"/>
          <w:b/>
          <w:color w:val="003264"/>
          <w:sz w:val="24"/>
        </w:rPr>
        <w:t>Synergistic mechanism of thermal accumulation and shielding effects in burst-mode femtosecond laser ablation of SiC</w:t>
      </w:r>
    </w:p>
    <w:p>
      <w:r>
        <w:rPr>
          <w:rFonts w:ascii="Times New Roman" w:hAnsi="Times New Roman" w:eastAsia="宋体"/>
          <w:sz w:val="21"/>
        </w:rPr>
        <w:t>作者: Guangxian Li, Qijian Zhu, Ruiguang Fan, Luyang Ding, Yu Long, Lili Yuan, Wei Wei</w:t>
        <w:br/>
      </w:r>
      <w:r>
        <w:rPr>
          <w:rFonts w:ascii="Times New Roman" w:hAnsi="Times New Roman" w:eastAsia="宋体"/>
          <w:sz w:val="21"/>
        </w:rPr>
        <w:t xml:space="preserve">时间: 2026-06-01 | </w:t>
      </w:r>
      <w:r>
        <w:t xml:space="preserve">链接: </w:t>
      </w:r>
      <w:hyperlink r:id="rId161">
        <w:r>
          <w:rPr>
            <w:rFonts w:ascii="Times New Roman" w:hAnsi="Times New Roman" w:eastAsia="宋体"/>
            <w:color w:val="0000FF"/>
            <w:sz w:val="21"/>
            <w:u w:val="single"/>
          </w:rPr>
          <w:t>https://doi.org/10.1016/j.optlastec.2026.114917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 纳米粒子装饰的 β-Ga2O3/n-GaN 日盲紫外光电探测器，具有增强的光响应，适用于可重构光电逻辑门</w:t>
      </w:r>
    </w:p>
    <w:p>
      <w:r>
        <w:rPr>
          <w:rFonts w:ascii="Times New Roman" w:hAnsi="Times New Roman" w:eastAsia="宋体"/>
          <w:b/>
          <w:color w:val="003264"/>
          <w:sz w:val="24"/>
        </w:rPr>
        <w:t>Pt Nanoparticle–Decorated β-Ga2O3/n-GaN Solar–Blind UV photodetectors with enhanced photoresponse for reconfigurable optoelectronic logic gates</w:t>
      </w:r>
    </w:p>
    <w:p>
      <w:r>
        <w:rPr>
          <w:rFonts w:ascii="Times New Roman" w:hAnsi="Times New Roman" w:eastAsia="宋体"/>
          <w:sz w:val="21"/>
        </w:rPr>
        <w:t>作者: Peize Xuan, Dan Zhang, Chuxuan Zhang, Jiarong Liang, Haowen Yang, Xingui Tang, Wei Zheng</w:t>
        <w:br/>
      </w:r>
      <w:r>
        <w:rPr>
          <w:rFonts w:ascii="Times New Roman" w:hAnsi="Times New Roman" w:eastAsia="宋体"/>
          <w:sz w:val="21"/>
        </w:rPr>
        <w:t xml:space="preserve">时间: 2026-06-01 | </w:t>
      </w:r>
      <w:r>
        <w:t xml:space="preserve">链接: </w:t>
      </w:r>
      <w:hyperlink r:id="rId162">
        <w:r>
          <w:rPr>
            <w:rFonts w:ascii="Times New Roman" w:hAnsi="Times New Roman" w:eastAsia="宋体"/>
            <w:color w:val="0000FF"/>
            <w:sz w:val="21"/>
            <w:u w:val="single"/>
          </w:rPr>
          <w:t>https://doi.org/10.1016/j.optlastec.2026.114937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具有超高轴向分辨率的原位荧光光学纳米断层扫描</w:t>
      </w:r>
    </w:p>
    <w:p>
      <w:r>
        <w:rPr>
          <w:rFonts w:ascii="Times New Roman" w:hAnsi="Times New Roman" w:eastAsia="宋体"/>
          <w:b/>
          <w:color w:val="003264"/>
          <w:sz w:val="24"/>
        </w:rPr>
        <w:t>In situ fluorescence optical nanotomography with ultra-high axial resolution</w:t>
      </w:r>
    </w:p>
    <w:p>
      <w:r>
        <w:rPr>
          <w:rFonts w:ascii="Times New Roman" w:hAnsi="Times New Roman" w:eastAsia="宋体"/>
          <w:sz w:val="21"/>
        </w:rPr>
        <w:t>作者: Anton E. Efimov, Daria O. Solovyeva, Oksana I. Sutyagina, Alexei V. Lyundup, Olga I. Agapova, Igor I. Agapov, Vladimir A. Oleinikov, Alexander V. Popov, Konstantin E. Mochalov</w:t>
        <w:br/>
      </w:r>
      <w:r>
        <w:rPr>
          <w:rFonts w:ascii="Times New Roman" w:hAnsi="Times New Roman" w:eastAsia="宋体"/>
          <w:sz w:val="21"/>
        </w:rPr>
        <w:t xml:space="preserve">时间: 2026-06-01 | </w:t>
      </w:r>
      <w:r>
        <w:t xml:space="preserve">链接: </w:t>
      </w:r>
      <w:hyperlink r:id="rId127">
        <w:r>
          <w:rPr>
            <w:rFonts w:ascii="Times New Roman" w:hAnsi="Times New Roman" w:eastAsia="宋体"/>
            <w:color w:val="0000FF"/>
            <w:sz w:val="21"/>
            <w:u w:val="single"/>
          </w:rPr>
          <w:t>https://doi.org/10.1016/j.optlaseng.2026.109677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非中心对称非线性晶体中丝诱导超连续谱的产生</w:t>
      </w:r>
    </w:p>
    <w:p>
      <w:r>
        <w:rPr>
          <w:rFonts w:ascii="Times New Roman" w:hAnsi="Times New Roman" w:eastAsia="宋体"/>
          <w:b/>
          <w:color w:val="003264"/>
          <w:sz w:val="24"/>
        </w:rPr>
        <w:t>Filament-induced supercontinuum generation in the non-centrosymmetric nonlinear crystal</w:t>
      </w:r>
    </w:p>
    <w:p>
      <w:r>
        <w:rPr>
          <w:rFonts w:ascii="Times New Roman" w:hAnsi="Times New Roman" w:eastAsia="宋体"/>
          <w:sz w:val="21"/>
        </w:rPr>
        <w:t>作者: Zezi Chang, Feitong Dang, Zhongben Pan, Kejian Yang, Tao Li, Tianli Feng</w:t>
        <w:br/>
      </w:r>
      <w:r>
        <w:rPr>
          <w:rFonts w:ascii="Times New Roman" w:hAnsi="Times New Roman" w:eastAsia="宋体"/>
          <w:sz w:val="21"/>
        </w:rPr>
        <w:t xml:space="preserve">时间: 2026-01-30 | </w:t>
      </w:r>
      <w:r>
        <w:t xml:space="preserve">链接: </w:t>
      </w:r>
      <w:hyperlink r:id="rId165">
        <w:r>
          <w:rPr>
            <w:rFonts w:ascii="Times New Roman" w:hAnsi="Times New Roman" w:eastAsia="宋体"/>
            <w:color w:val="0000FF"/>
            <w:sz w:val="21"/>
            <w:u w:val="single"/>
          </w:rPr>
          <w:t>https://doi.org/10.1364/oe.584320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我们报告了由数百个 1030 nm 飞秒激光脉冲驱动的非中心对称 KTA 非线性晶体中灯丝诱导超连续谱 (SC) 生成的实验研究。在s偏振激光器的驱动下，当驱动激光器的峰值功率超过临界功率的5倍时，即可实现跨度为400 nm至900 nm的可见SC。偏振分析揭示了生成的 s 偏振和 p 偏振超连续谱分量的不同光谱和空间分布。这项工作证明了控制非线性晶体中灯丝引起的非线性过程的可行性，支持它们在级联非线性光学应用中的潜在用途。</w:t>
      </w:r>
    </w:p>
    <w:p>
      <w:pPr>
        <w:spacing w:before="120"/>
      </w:pPr>
      <w:r>
        <w:rPr>
          <w:rFonts w:ascii="Times New Roman" w:hAnsi="Times New Roman" w:eastAsia="宋体"/>
          <w:b/>
          <w:sz w:val="21"/>
        </w:rPr>
        <w:t>English Abstract:</w:t>
      </w:r>
    </w:p>
    <w:p>
      <w:r>
        <w:rPr>
          <w:rFonts w:ascii="Times New Roman" w:hAnsi="Times New Roman" w:eastAsia="宋体"/>
          <w:sz w:val="21"/>
        </w:rPr>
        <w:t>We report on the experimental investigation of filament-induced supercontinuum (SC) generation in a non-centrosymmetric KTA nonlinear crystal driven by hundreds of femtosecond laser pulses at 1030 nm. Driven by the s-polarized laser, a visible SC spanning from 400 nm to 900 nm is achieved when the peak power of the driving laser exceeds 5 times the critical power. Polarization analysis reveals distinct spectral and spatial profiles for the generated s- and p-polarized supercontinuum components. This work demonstrates the feasibility of controlling filament-induced nonlinear processes in nonlinear crystals, supporting their potential use in cascaded nonlinear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使用带有监控光电二极管的商用激光二极管进行脉冲持续时间检索</w:t>
      </w:r>
    </w:p>
    <w:p>
      <w:r>
        <w:rPr>
          <w:rFonts w:ascii="Times New Roman" w:hAnsi="Times New Roman" w:eastAsia="宋体"/>
          <w:b/>
          <w:color w:val="003264"/>
          <w:sz w:val="24"/>
        </w:rPr>
        <w:t>Pulse duration retrieval using a commercial laser diode with a monitor photodiode</w:t>
      </w:r>
    </w:p>
    <w:p>
      <w:r>
        <w:rPr>
          <w:rFonts w:ascii="Times New Roman" w:hAnsi="Times New Roman" w:eastAsia="宋体"/>
          <w:sz w:val="21"/>
        </w:rPr>
        <w:t>作者: Adrian Chlebowski, Lukasz Sterczewski, Jaroslaw Sotor</w:t>
        <w:br/>
      </w:r>
      <w:r>
        <w:rPr>
          <w:rFonts w:ascii="Times New Roman" w:hAnsi="Times New Roman" w:eastAsia="宋体"/>
          <w:sz w:val="21"/>
        </w:rPr>
        <w:t xml:space="preserve">时间: 2026-01-15 | </w:t>
      </w:r>
      <w:r>
        <w:t xml:space="preserve">链接: </w:t>
      </w:r>
      <w:hyperlink r:id="rId166">
        <w:r>
          <w:rPr>
            <w:rFonts w:ascii="Times New Roman" w:hAnsi="Times New Roman" w:eastAsia="宋体"/>
            <w:color w:val="0000FF"/>
            <w:sz w:val="21"/>
            <w:u w:val="single"/>
          </w:rPr>
          <w:t>https://doi.org/10.1364/oe.584103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半导体激光器将相干光发射与光电检测相结合，并且由于其活动区域中的三阶非线性，可用作灵敏的室温双光子吸收（TPA）探测器。在这里，我们利用商用 InGaAsP 半导体激光二极管和集成 InGaAs 监控光电二极管提供的这些功能来测量电信波长的飞秒脉冲的持续时间。从两个探测器获得的非线性和线性信号能够以飞秒精度检索脉冲持续时间，而无需移动部件。对于 250 MHz 重复率激光器，该功能的平均光功率低至 2 $\mu$W。</w:t>
      </w:r>
    </w:p>
    <w:p>
      <w:pPr>
        <w:spacing w:before="120"/>
      </w:pPr>
      <w:r>
        <w:rPr>
          <w:rFonts w:ascii="Times New Roman" w:hAnsi="Times New Roman" w:eastAsia="宋体"/>
          <w:b/>
          <w:sz w:val="21"/>
        </w:rPr>
        <w:t>English Abstract:</w:t>
      </w:r>
    </w:p>
    <w:p>
      <w:r>
        <w:rPr>
          <w:rFonts w:ascii="Times New Roman" w:hAnsi="Times New Roman" w:eastAsia="宋体"/>
          <w:sz w:val="21"/>
        </w:rPr>
        <w:t>Semiconductor lasers merge coherent light emission with photodetection and, owing to third-order nonlinearities in their active region, function as sensitive room temperature two-photon absorption (TPA) detectors. Here, we leverage these capabilities offered by a commercially available InGaAsP semiconductor laser diode with an integrated InGaAs monitor photodiode to measure the duration of femtosecond pulses at telecom wavelengths. The nonlinear and linear signals obtained from both detectors enable the retrieval of pulse duration with femtosecond accuracy without moving parts. This capability is demonstrated down to 2 $\mu$W average optical power for a 250 MHz repetition rate laser.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评估激光二极管对基于相位噪声的 QRNG 的适用性的简单方法</w:t>
      </w:r>
    </w:p>
    <w:p>
      <w:r>
        <w:rPr>
          <w:rFonts w:ascii="Times New Roman" w:hAnsi="Times New Roman" w:eastAsia="宋体"/>
          <w:b/>
          <w:color w:val="003264"/>
          <w:sz w:val="24"/>
        </w:rPr>
        <w:t>Simple method of evaluating laser diode suitability for phase-noise-based QRNG</w:t>
      </w:r>
    </w:p>
    <w:p>
      <w:r>
        <w:rPr>
          <w:rFonts w:ascii="Times New Roman" w:hAnsi="Times New Roman" w:eastAsia="宋体"/>
          <w:sz w:val="21"/>
        </w:rPr>
        <w:t>作者: Matthias F. Ostner, Innocenzo De Marco, Christian Roubal</w:t>
        <w:br/>
      </w:r>
      <w:r>
        <w:rPr>
          <w:rFonts w:ascii="Times New Roman" w:hAnsi="Times New Roman" w:eastAsia="宋体"/>
          <w:sz w:val="21"/>
        </w:rPr>
        <w:t xml:space="preserve">时间: 2026-01-27 | </w:t>
      </w:r>
      <w:r>
        <w:t xml:space="preserve">链接: </w:t>
      </w:r>
      <w:hyperlink r:id="rId167">
        <w:r>
          <w:rPr>
            <w:rFonts w:ascii="Times New Roman" w:hAnsi="Times New Roman" w:eastAsia="宋体"/>
            <w:color w:val="0000FF"/>
            <w:sz w:val="21"/>
            <w:u w:val="single"/>
          </w:rPr>
          <w:t>https://doi.org/10.1364/oe.584527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基于半导体激光器相位噪声的量子随机数发生器 (QRNG) 是一种廉价且高效的真随机数资源。商用技术允许设计适合特定用例的 QRNG 设置。然而，重要的是要不断监控 QRNG 在生成号码的独立性和均匀分布方面是否按照所需的安全标准执行。这在密码应用中尤其重要。本文提出了一种测试方案，有助于使用常用方法评估用于 QRNG 操作的半导体激光器可接受的操作条件。这可用于系统监控，但最重要的是还可以帮助用户选择更适合其需求的激光二极管。解释和讨论了确保设备正常运行的两个具体质量测量。提出了用于设置这些措施的接受边界的特定设置方法，并给出了显示其有效性的示例性测量数据。通过遵循此处描述的可理解的过程，可以重现针对特定安全要求定制的 QRNG 资格环境。</w:t>
      </w:r>
    </w:p>
    <w:p>
      <w:pPr>
        <w:spacing w:before="120"/>
      </w:pPr>
      <w:r>
        <w:rPr>
          <w:rFonts w:ascii="Times New Roman" w:hAnsi="Times New Roman" w:eastAsia="宋体"/>
          <w:b/>
          <w:sz w:val="21"/>
        </w:rPr>
        <w:t>English Abstract:</w:t>
      </w:r>
    </w:p>
    <w:p>
      <w:r>
        <w:rPr>
          <w:rFonts w:ascii="Times New Roman" w:hAnsi="Times New Roman" w:eastAsia="宋体"/>
          <w:sz w:val="21"/>
        </w:rPr>
        <w:t>Quantum random number generators (QRNGs) based on semiconductor laser phase noise are an inexpensive and efficient resource for true random numbers. Commercially available technology allows for designing QRNG setups tailored to specific use cases. However, it is important to constantly monitor whether the QRNG is performing according to the desired security standards in terms of independence and uniform distribution of the generated numbers. This is especially important in cryptographic applications. This paper presents a test scheme that helps to assess the acceptable operating conditions of a semiconductor laser for QRNG operation, using commonly accessible methods. This can be used for system monitoring, but crucially also to help the user choose the laser diode that better suits their needs. Two specific quality measurements, ensuring proper operation of the device, are explained and discussed. Setup-specific approaches for setting an acceptance boundary for these measures are presented, and exemplary measurement data showing their effectiveness are given. By following the comprehensible procedure described here, a QRNG qualification environment tailored to specific security requirements can be reproduced.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光栅调谐外腔量子级联激光器的频率和强度噪声</w:t>
      </w:r>
    </w:p>
    <w:p>
      <w:r>
        <w:rPr>
          <w:rFonts w:ascii="Times New Roman" w:hAnsi="Times New Roman" w:eastAsia="宋体"/>
          <w:b/>
          <w:color w:val="003264"/>
          <w:sz w:val="24"/>
        </w:rPr>
        <w:t>Frequency and intensity noise of a grating-tuned external-cavity quantum cascade laser</w:t>
      </w:r>
    </w:p>
    <w:p>
      <w:r>
        <w:rPr>
          <w:rFonts w:ascii="Times New Roman" w:hAnsi="Times New Roman" w:eastAsia="宋体"/>
          <w:sz w:val="21"/>
        </w:rPr>
        <w:t>作者: Irene La Penna, Tecla Gabbrielli, Cristina Rimoldi, Davide Mazzotti, Jérôme Faist, Luigi Consolino, Simone Borri, Paolo De Natale, Francesco Cappelli</w:t>
        <w:br/>
      </w:r>
      <w:r>
        <w:rPr>
          <w:rFonts w:ascii="Times New Roman" w:hAnsi="Times New Roman" w:eastAsia="宋体"/>
          <w:sz w:val="21"/>
        </w:rPr>
        <w:t xml:space="preserve">时间: 2026-01-16 | </w:t>
      </w:r>
      <w:r>
        <w:t xml:space="preserve">链接: </w:t>
      </w:r>
      <w:hyperlink r:id="rId249">
        <w:r>
          <w:rPr>
            <w:rFonts w:ascii="Times New Roman" w:hAnsi="Times New Roman" w:eastAsia="宋体"/>
            <w:color w:val="0000FF"/>
            <w:sz w:val="21"/>
            <w:u w:val="single"/>
          </w:rPr>
          <w:t>https://doi.org/10.1364/oe.586860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 (QCL) 是半导体异质结构器件，以其在中红外和太赫兹光谱区域的发射而闻​​名。由于其工作方式，其固有线宽比双极半导体激光器要窄得多。在这里，我们证明，通过实现基于商用衍射光栅的外腔（EC）配置，我们成功地诱导了法布里-珀罗 QCL 以单模发射，波长范围在 4.29-4.44 {μ}m 范围内广泛可调。这种非常简单的设置增强了激光器在阈值电流和发射功率方面的性能。我们进一步证明 EC 配置对激光器的噪声特性有积极影响。特别是，本征线宽显着减小，全线宽也减小（取决于积分时间尺度），并且相对强度噪声略有减小。这些在整个调谐范围内保持的特性使 EC-QCL 成为高度需要宽可调性和窄线宽的光谱学应用的良好候选者。</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semiconductor-heterostructure devices known for their emission in the mid-infrared and THz spectral regions. Due to their operating regime, their intrinsic linewidth is significantly narrower compared to bipolar semiconductor lasers. Here, we demonstrate that by implementing an external-cavity (EC) configuration based on a commercial diffraction grating, we have successfully induced a Fabry-Perot QCL to emit on a single mode with a broadly-tunable wavelength in the range 4.29-4.44 {\mu}m. This very simple setup enhances the laser's performance in terms of threshold current and emitted power. We further prove that the EC configuration positively impacts the laser's noise properties. In particular, the intrinsic linewidth is substantially reduced, the full linewidth is also decreased (depending on the integration timescale), and the relative intensity noise is slightly reduced. These characteristics, which hold within the whole tuning range, make the EC-QCL a good candidate for spectroscopy applications where broad tunability and narrow linewidth are highly demanded.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基于可编程光子处理器的超低误差多频微波光子频率测量</w:t>
      </w:r>
    </w:p>
    <w:p>
      <w:r>
        <w:rPr>
          <w:rFonts w:ascii="Times New Roman" w:hAnsi="Times New Roman" w:eastAsia="宋体"/>
          <w:b/>
          <w:color w:val="003264"/>
          <w:sz w:val="24"/>
        </w:rPr>
        <w:t>Ultralow-Error and Multifrequency Microwave Photonic Frequency Measurement Based on a Programmable Photonic Processor</w:t>
      </w:r>
    </w:p>
    <w:p>
      <w:r>
        <w:rPr>
          <w:rFonts w:ascii="Times New Roman" w:hAnsi="Times New Roman" w:eastAsia="宋体"/>
          <w:sz w:val="21"/>
        </w:rPr>
        <w:t>作者: Yuxin Liang, Guanyu Chen, Zhihui Li, Yushan Liu, Ziyao Zhang, Shijia Fan, Hanmeng Li, Naidi Cui, Junbo Feng, Tao Zhu</w:t>
        <w:br/>
      </w:r>
      <w:r>
        <w:rPr>
          <w:rFonts w:ascii="Times New Roman" w:hAnsi="Times New Roman" w:eastAsia="宋体"/>
          <w:sz w:val="21"/>
        </w:rPr>
        <w:t xml:space="preserve">时间: 2026-02-11 | </w:t>
      </w:r>
      <w:r>
        <w:t xml:space="preserve">链接: </w:t>
      </w:r>
      <w:hyperlink r:id="rId133">
        <w:r>
          <w:rPr>
            <w:rFonts w:ascii="Times New Roman" w:hAnsi="Times New Roman" w:eastAsia="宋体"/>
            <w:color w:val="0000FF"/>
            <w:sz w:val="21"/>
            <w:u w:val="single"/>
          </w:rPr>
          <w:t>https://doi.org/10.1021/acsphotonics.6c00085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06:27 ---</w:t>
      </w:r>
    </w:p>
    <w:p>
      <w:pPr>
        <w:pStyle w:val="Heading2"/>
      </w:pPr>
      <w:r/>
      <w:r>
        <w:rPr>
          <w:rFonts w:ascii="Times New Roman" w:hAnsi="Times New Roman" w:eastAsia="宋体"/>
          <w:b/>
          <w:color w:val="000000"/>
          <w:sz w:val="24"/>
        </w:rPr>
        <w:t>星形胶质细胞使杏仁核神经表征支持记忆</w:t>
      </w:r>
    </w:p>
    <w:p>
      <w:r>
        <w:rPr>
          <w:rFonts w:ascii="Times New Roman" w:hAnsi="Times New Roman" w:eastAsia="宋体"/>
          <w:b/>
          <w:color w:val="003264"/>
          <w:sz w:val="24"/>
        </w:rPr>
        <w:t>Astrocytes enable amygdala neural representations supporting memory</w:t>
      </w:r>
    </w:p>
    <w:p>
      <w:r>
        <w:rPr>
          <w:rFonts w:ascii="Times New Roman" w:hAnsi="Times New Roman" w:eastAsia="宋体"/>
          <w:sz w:val="21"/>
        </w:rPr>
        <w:t>作者: Olena Bukalo, Ruairi O’Sullivan, Yuta Tanisumi, Adriana Mendez, Chase Weinholtz, Sydney Zimmerman, Victoria Offenberg, Olivia Carpenter, Hrishikesh Bhagwat, Sophie Mosley, John J. O’Malley, Kerri Lyons, Yulan Fang, Jess Goldschlager, Linnaea E. Ostroff, Mario A. Penzo, Hiroaki Wake, Lindsay R. Halladay, Andrew Holmes</w:t>
        <w:br/>
      </w:r>
      <w:r>
        <w:rPr>
          <w:rFonts w:ascii="Times New Roman" w:hAnsi="Times New Roman" w:eastAsia="宋体"/>
          <w:sz w:val="21"/>
        </w:rPr>
        <w:t xml:space="preserve">时间: 2026-02-11 | </w:t>
      </w:r>
      <w:r>
        <w:t xml:space="preserve">链接: </w:t>
      </w:r>
      <w:hyperlink r:id="rId75">
        <w:r>
          <w:rPr>
            <w:rFonts w:ascii="Times New Roman" w:hAnsi="Times New Roman" w:eastAsia="宋体"/>
            <w:color w:val="0000FF"/>
            <w:sz w:val="21"/>
            <w:u w:val="single"/>
          </w:rPr>
          <w:t>https://doi.org/10.1038/s41586-025-10068-0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大脑系统对先前遇到的威胁进行调解反应，提供关键的生存功能。恐惧记忆和消退是由基底外侧杏仁核 (BLA) 1-7 中的神经表征支撑的，但包括星形胶质细胞在内的非神经元细胞对这些过程的贡献仍未解决。在这里，利用体内钙 (Ca 2+ ) 成像和因果星形胶质细胞操作，我们发现 BLA 星形胶质细胞动态跟踪恐惧状态并支持恐惧记忆检索和消退。通过将星形胶质细胞操作与体内 BLA 神经元 Ca 2+ 成像和电生理记录相结合，我们表明星形胶质细胞 Ca 2+ 信号传导能够实现恐惧记忆检索和消退的神经元编码，并通过 BLA 前额叶回路读出。我们的研究结果揭示了星形胶质细胞在恐惧状态相关神经表征的生成和适应中的关键作用，修正了关键杏仁核介导的适应性功能的神经中心模型。</w:t>
      </w:r>
    </w:p>
    <w:p>
      <w:pPr>
        <w:spacing w:before="120"/>
      </w:pPr>
      <w:r>
        <w:rPr>
          <w:rFonts w:ascii="Times New Roman" w:hAnsi="Times New Roman" w:eastAsia="宋体"/>
          <w:b/>
          <w:sz w:val="21"/>
        </w:rPr>
        <w:t>English Abstract:</w:t>
      </w:r>
    </w:p>
    <w:p>
      <w:r>
        <w:rPr>
          <w:rFonts w:ascii="Times New Roman" w:hAnsi="Times New Roman" w:eastAsia="宋体"/>
          <w:sz w:val="21"/>
        </w:rPr>
        <w:t>Abstract Brain systems mediating responses to previously encountered threats provide critical survival functions. Fear memory and extinction are underpinned by neural representations in the basolateral amygdala (BLA) 1–7 , but the contribution of non-neuronal cells, including astrocytes, to these processes remains unresolved. Here, using in vivo calcium (Ca 2+ ) imaging and causal astrocyte manipulations, we find that BLA astrocytes dynamically track fear state and support fear memory retrieval and extinction. By combining astrocyte manipulations with in vivo BLA neuronal Ca 2+ imaging and electrophysiological recordings, we show that astrocyte Ca 2+ signalling enables neuronal encoding of fear memory retrieval and extinction, and readout through a BLA–prefrontal circuit. Our findings reveal a key role for astrocytes in the generation and adaptation of fear-state-related neural representations, revising neurocentric models of critical amygdala-mediated adaptive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外周血细胞对脑脂质的睡眠依赖性清除</w:t>
      </w:r>
    </w:p>
    <w:p>
      <w:r>
        <w:rPr>
          <w:rFonts w:ascii="Times New Roman" w:hAnsi="Times New Roman" w:eastAsia="宋体"/>
          <w:b/>
          <w:color w:val="003264"/>
          <w:sz w:val="24"/>
        </w:rPr>
        <w:t>Sleep-dependent clearance of brain lipids by peripheral blood cells</w:t>
      </w:r>
    </w:p>
    <w:p>
      <w:r>
        <w:rPr>
          <w:rFonts w:ascii="Times New Roman" w:hAnsi="Times New Roman" w:eastAsia="宋体"/>
          <w:sz w:val="21"/>
        </w:rPr>
        <w:t>作者: Bumsik Cho, Diane E. Youngstrom, Samantha Killiany, Camilo Guevara, Caitlin E. Randolph, Connor H. Beveridge, Pooja Saklani, Gaurav Chopra, Amita Sehgal</w:t>
        <w:br/>
      </w:r>
      <w:r>
        <w:rPr>
          <w:rFonts w:ascii="Times New Roman" w:hAnsi="Times New Roman" w:eastAsia="宋体"/>
          <w:sz w:val="21"/>
        </w:rPr>
        <w:t xml:space="preserve">时间: 2026-02-11 | </w:t>
      </w:r>
      <w:r>
        <w:t xml:space="preserve">链接: </w:t>
      </w:r>
      <w:hyperlink r:id="rId76">
        <w:r>
          <w:rPr>
            <w:rFonts w:ascii="Times New Roman" w:hAnsi="Times New Roman" w:eastAsia="宋体"/>
            <w:color w:val="0000FF"/>
            <w:sz w:val="21"/>
            <w:u w:val="single"/>
          </w:rPr>
          <w:t>https://doi.org/10.1038/s41586-025-10050-w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睡眠通常是通过以大脑为中心的视角来看待的，而对于外围的作用却知之甚少 1,2 。在这里，我们确定了果蝇循环中外周巨噬细胞样细胞（血细胞）的睡眠功能，表明血细胞在睡眠期间追踪大脑并吸收由于唤醒相关的氧化损伤而积累在皮质神经胶质中的脂质。通过对血细胞中表达的吞噬细胞受体的筛选，我们发现食者（Nimrod 受体家族的成员）的敲低会减少睡眠。进食的减少还会扰乱血细胞在大脑中的定位和脂质摄取，从而导致大脑中乙酰辅酶A和乙酰化蛋白（包括线粒体蛋白PGC1α和DRP1）水平升高。线粒体失调，表现为高氧化和 NAD + 减少，伴随着记忆力和寿命受损。因此，我们认为外周血细胞是哺乳动物小胶质细胞的前体，执行日常睡眠功能以维持大脑功能和健康。</w:t>
      </w:r>
    </w:p>
    <w:p>
      <w:pPr>
        <w:spacing w:before="120"/>
      </w:pPr>
      <w:r>
        <w:rPr>
          <w:rFonts w:ascii="Times New Roman" w:hAnsi="Times New Roman" w:eastAsia="宋体"/>
          <w:b/>
          <w:sz w:val="21"/>
        </w:rPr>
        <w:t>English Abstract:</w:t>
      </w:r>
    </w:p>
    <w:p>
      <w:r>
        <w:rPr>
          <w:rFonts w:ascii="Times New Roman" w:hAnsi="Times New Roman" w:eastAsia="宋体"/>
          <w:sz w:val="21"/>
        </w:rPr>
        <w:t>Abstract Sleep is viewed typically through a brain-centric lens, with little known about the role of the periphery 1,2 . Here we identify a sleep function for peripheral macrophage-like cells (haemocytes) in the Drosophila circulation, showing that haemocytes track to the brain during sleep and take up lipids accumulated in cortex glia due to wake-associated oxidative damage. Through a screen of phagocytic receptors expressed in haemocytes, we discovered that knockdown of eater —a member of the Nimrod receptor family—reduces sleep. Loss of eater also disrupts haemocyte localization to the brain and lipid uptake, which results in increased brain levels of acetyl-CoA and acetylated proteins, including mitochondrial proteins PGC1α and DRP1. Dysregulation of mitochondria, reflected in high oxidation and reduced NAD + , is accompanied by impaired memory and lifespan. Thus, peripheral blood cells, which we suggest are precursors of mammalian microglia, perform a daily function of sleep to maintain brain function and fitness.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光学捕获多原子分子中的宇称双峰相干时间</w:t>
      </w:r>
    </w:p>
    <w:p>
      <w:r>
        <w:rPr>
          <w:rFonts w:ascii="Times New Roman" w:hAnsi="Times New Roman" w:eastAsia="宋体"/>
          <w:b/>
          <w:color w:val="003264"/>
          <w:sz w:val="24"/>
        </w:rPr>
        <w:t>Parity-doublet coherence times in optically trapped polyatomic molecules</w:t>
      </w:r>
    </w:p>
    <w:p>
      <w:r>
        <w:rPr>
          <w:rFonts w:ascii="Times New Roman" w:hAnsi="Times New Roman" w:eastAsia="宋体"/>
          <w:sz w:val="21"/>
        </w:rPr>
        <w:t>作者: Paige Robichaud, Christian Hallas, Junheng Tao, Giseok Lee, Nathaniel B. Vilas, John M. Doyle</w:t>
        <w:br/>
      </w:r>
      <w:r>
        <w:rPr>
          <w:rFonts w:ascii="Times New Roman" w:hAnsi="Times New Roman" w:eastAsia="宋体"/>
          <w:sz w:val="21"/>
        </w:rPr>
        <w:t xml:space="preserve">时间: 2026-02-11 | </w:t>
      </w:r>
      <w:r>
        <w:t xml:space="preserve">链接: </w:t>
      </w:r>
      <w:hyperlink r:id="rId77">
        <w:r>
          <w:rPr>
            <w:rFonts w:ascii="Times New Roman" w:hAnsi="Times New Roman" w:eastAsia="宋体"/>
            <w:color w:val="0000FF"/>
            <w:sz w:val="21"/>
            <w:u w:val="single"/>
          </w:rPr>
          <w:t>https://doi.org/10.1038/s41586-026-10133-2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处于宇称双峰态的光捕获 CaOH 分子实现了超过振动寿命的相干时间，这是多原子分子在量子科学中使用的一个决定性里程碑。</w:t>
      </w:r>
    </w:p>
    <w:p>
      <w:pPr>
        <w:spacing w:before="120"/>
      </w:pPr>
      <w:r>
        <w:rPr>
          <w:rFonts w:ascii="Times New Roman" w:hAnsi="Times New Roman" w:eastAsia="宋体"/>
          <w:b/>
          <w:sz w:val="21"/>
        </w:rPr>
        <w:t>English Abstract:</w:t>
      </w:r>
    </w:p>
    <w:p>
      <w:r>
        <w:rPr>
          <w:rFonts w:ascii="Times New Roman" w:hAnsi="Times New Roman" w:eastAsia="宋体"/>
          <w:sz w:val="21"/>
        </w:rPr>
        <w:t>Optically trapped CaOH molecules in parity-doublet states achieve coherence times exceeding vibrational lifetimes, which are a defining milestone for the use of polyatomic molecules in quantum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通过合成全息光场进行亚秒级体积 3D 打印</w:t>
      </w:r>
    </w:p>
    <w:p>
      <w:r>
        <w:rPr>
          <w:rFonts w:ascii="Times New Roman" w:hAnsi="Times New Roman" w:eastAsia="宋体"/>
          <w:b/>
          <w:color w:val="003264"/>
          <w:sz w:val="24"/>
        </w:rPr>
        <w:t>Sub-second volumetric 3D printing by synthesis of holographic light fields</w:t>
      </w:r>
    </w:p>
    <w:p>
      <w:r>
        <w:rPr>
          <w:rFonts w:ascii="Times New Roman" w:hAnsi="Times New Roman" w:eastAsia="宋体"/>
          <w:sz w:val="21"/>
        </w:rPr>
        <w:t>作者: Xukang Wang, Yuanzhu Ma, Yihan Niu, Bo Xiong, Anke Zhang, Guoxun Zhang, Yifan Chen, Wei Wei, Lu Fang, Jiamin Wu, Qionghai Dai</w:t>
        <w:br/>
      </w:r>
      <w:r>
        <w:rPr>
          <w:rFonts w:ascii="Times New Roman" w:hAnsi="Times New Roman" w:eastAsia="宋体"/>
          <w:sz w:val="21"/>
        </w:rPr>
        <w:t xml:space="preserve">时间: 2026-02-11 | </w:t>
      </w:r>
      <w:r>
        <w:t xml:space="preserve">链接: </w:t>
      </w:r>
      <w:hyperlink r:id="rId78">
        <w:r>
          <w:rPr>
            <w:rFonts w:ascii="Times New Roman" w:hAnsi="Times New Roman" w:eastAsia="宋体"/>
            <w:color w:val="0000FF"/>
            <w:sz w:val="21"/>
            <w:u w:val="single"/>
          </w:rPr>
          <w:t>https://doi.org/10.1038/s41586-026-10114-5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描述了一种新方法，该方法使用潜望镜生成高速、高分辨率的光场投影，从而能够在不旋转样品的情况下对毫米级物体进行亚秒级体积 3D 打印。</w:t>
      </w:r>
    </w:p>
    <w:p>
      <w:pPr>
        <w:spacing w:before="120"/>
      </w:pPr>
      <w:r>
        <w:rPr>
          <w:rFonts w:ascii="Times New Roman" w:hAnsi="Times New Roman" w:eastAsia="宋体"/>
          <w:b/>
          <w:sz w:val="21"/>
        </w:rPr>
        <w:t>English Abstract:</w:t>
      </w:r>
    </w:p>
    <w:p>
      <w:r>
        <w:rPr>
          <w:rFonts w:ascii="Times New Roman" w:hAnsi="Times New Roman" w:eastAsia="宋体"/>
          <w:sz w:val="21"/>
        </w:rPr>
        <w:t>A new method is described that uses a periscope to generate high-speed, high-resolution projections of light fields, enabling sub-second volumetric 3D printing of millimetre-scale objects without rotating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切口前结构揭示了 DNA 核苷酸切除修复的原理</w:t>
      </w:r>
    </w:p>
    <w:p>
      <w:r>
        <w:rPr>
          <w:rFonts w:ascii="Times New Roman" w:hAnsi="Times New Roman" w:eastAsia="宋体"/>
          <w:b/>
          <w:color w:val="003264"/>
          <w:sz w:val="24"/>
        </w:rPr>
        <w:t>Pre-incision structures reveal principles of DNA nucleotide excision repair</w:t>
      </w:r>
    </w:p>
    <w:p>
      <w:r>
        <w:rPr>
          <w:rFonts w:ascii="Times New Roman" w:hAnsi="Times New Roman" w:eastAsia="宋体"/>
          <w:sz w:val="21"/>
        </w:rPr>
        <w:t>作者: Eric C. L. Li, Jinseok Kim, Sem J. Brussee, Kaoru Sugasawa, Martijn S. Luijsterburg, Wei Yang</w:t>
        <w:br/>
      </w:r>
      <w:r>
        <w:rPr>
          <w:rFonts w:ascii="Times New Roman" w:hAnsi="Times New Roman" w:eastAsia="宋体"/>
          <w:sz w:val="21"/>
        </w:rPr>
        <w:t xml:space="preserve">时间: 2026-02-11 | </w:t>
      </w:r>
      <w:r>
        <w:t xml:space="preserve">链接: </w:t>
      </w:r>
      <w:hyperlink r:id="rId79">
        <w:r>
          <w:rPr>
            <w:rFonts w:ascii="Times New Roman" w:hAnsi="Times New Roman" w:eastAsia="宋体"/>
            <w:color w:val="0000FF"/>
            <w:sz w:val="21"/>
            <w:u w:val="single"/>
          </w:rPr>
          <w:t>https://doi.org/10.1038/s41586-026-10122-5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核苷酸切除修复复合物的冷冻电镜结构揭示了组成蛋白 XPA、XPB、XPC、XPD、XPF、XPG 和 RPA 在 DNA 气泡形成和损伤链切除中的作用。</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structures of nucleotide excision repair complexes reveal the roles of the constituent proteins XPA, XPB, XPC, XPD, XPF, XPG and RPA in DNA bubble formation and excision of the lesion strand.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利用有序 3D/2D 异质结最大化钙钛矿电致发光</w:t>
      </w:r>
    </w:p>
    <w:p>
      <w:r>
        <w:rPr>
          <w:rFonts w:ascii="Times New Roman" w:hAnsi="Times New Roman" w:eastAsia="宋体"/>
          <w:b/>
          <w:color w:val="003264"/>
          <w:sz w:val="24"/>
        </w:rPr>
        <w:t>Maximizing perovskite electroluminescence with ordered 3D/2D heterojunction</w:t>
      </w:r>
    </w:p>
    <w:p>
      <w:r>
        <w:rPr>
          <w:rFonts w:ascii="Times New Roman" w:hAnsi="Times New Roman" w:eastAsia="宋体"/>
          <w:sz w:val="21"/>
        </w:rPr>
        <w:t>作者: Jingyu Peng, Xulan Xue, Shihao Liu, Yingguo Yang, Tianqi Yang, Bingyan Zhu, Xin Wang, Hanzhuang Zhang, Wenfa Xie, Gengsheng Chen, Shanglei Feng, Lina Li, Renzhong Tai, Aiwei Tang, Haizhou Lu, Wenyu Ji</w:t>
        <w:br/>
      </w:r>
      <w:r>
        <w:rPr>
          <w:rFonts w:ascii="Times New Roman" w:hAnsi="Times New Roman" w:eastAsia="宋体"/>
          <w:sz w:val="21"/>
        </w:rPr>
        <w:t xml:space="preserve">时间: 2026-02-11 | </w:t>
      </w:r>
      <w:r>
        <w:t xml:space="preserve">链接: </w:t>
      </w:r>
      <w:hyperlink r:id="rId80">
        <w:r>
          <w:rPr>
            <w:rFonts w:ascii="Times New Roman" w:hAnsi="Times New Roman" w:eastAsia="宋体"/>
            <w:color w:val="0000FF"/>
            <w:sz w:val="21"/>
            <w:u w:val="single"/>
          </w:rPr>
          <w:t>https://doi.org/10.1038/s41586-026-10134-1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描述了一种使用简单的一步旋涂形成 3D/2D 垂直取向钙钛矿异质结的策略，可以制造出绿光发射效率创纪录的 42.9%（认证为 42.3%）的钙钛矿发光二极管。</w:t>
      </w:r>
    </w:p>
    <w:p>
      <w:pPr>
        <w:spacing w:before="120"/>
      </w:pPr>
      <w:r>
        <w:rPr>
          <w:rFonts w:ascii="Times New Roman" w:hAnsi="Times New Roman" w:eastAsia="宋体"/>
          <w:b/>
          <w:sz w:val="21"/>
        </w:rPr>
        <w:t>English Abstract:</w:t>
      </w:r>
    </w:p>
    <w:p>
      <w:r>
        <w:rPr>
          <w:rFonts w:ascii="Times New Roman" w:hAnsi="Times New Roman" w:eastAsia="宋体"/>
          <w:sz w:val="21"/>
        </w:rPr>
        <w:t>A strategy using simple one-step spin-coating to form 3D/2D vertically oriented perovskite heterojunctions is described, allowing the fabrication of perovskite light-emitting diodes with record-high green emission efficiencies of 42.9% (certified 42.3%).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连续波窄线宽真空紫外激光源</w:t>
      </w:r>
    </w:p>
    <w:p>
      <w:r>
        <w:rPr>
          <w:rFonts w:ascii="Times New Roman" w:hAnsi="Times New Roman" w:eastAsia="宋体"/>
          <w:b/>
          <w:color w:val="003264"/>
          <w:sz w:val="24"/>
        </w:rPr>
        <w:t>Continuous-wave narrow-linewidth vacuum ultraviolet laser source</w:t>
      </w:r>
    </w:p>
    <w:p>
      <w:r>
        <w:rPr>
          <w:rFonts w:ascii="Times New Roman" w:hAnsi="Times New Roman" w:eastAsia="宋体"/>
          <w:sz w:val="21"/>
        </w:rPr>
        <w:t>作者: Qi Xiao, Gleb Penyazkov, Xiangliang Li, Beichen Huang, Wenhao Bu, Juanlang Shi, Haoyu Shi, Tangyin Liao, Gaowei Yan, Haochen Tian, Yixuan Li, Jiatong Li, Bingkun Lu, Li You, Yige Lin, Yuxiang Mo, Shiqian Ding</w:t>
        <w:br/>
      </w:r>
      <w:r>
        <w:rPr>
          <w:rFonts w:ascii="Times New Roman" w:hAnsi="Times New Roman" w:eastAsia="宋体"/>
          <w:sz w:val="21"/>
        </w:rPr>
        <w:t xml:space="preserve">时间: 2026-02-11 | </w:t>
      </w:r>
      <w:r>
        <w:t xml:space="preserve">链接: </w:t>
      </w:r>
      <w:hyperlink r:id="rId81">
        <w:r>
          <w:rPr>
            <w:rFonts w:ascii="Times New Roman" w:hAnsi="Times New Roman" w:eastAsia="宋体"/>
            <w:color w:val="0000FF"/>
            <w:sz w:val="21"/>
            <w:u w:val="single"/>
          </w:rPr>
          <w:t>https://doi.org/10.1038/s41586-026-10107-4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研究表明，与之前 190 nm 以下的单频激光器相比，利用镉蒸气四波混频产生的连续波窄线宽真空紫外激光器可将线宽提高五个数量级。</w:t>
      </w:r>
    </w:p>
    <w:p>
      <w:pPr>
        <w:spacing w:before="120"/>
      </w:pPr>
      <w:r>
        <w:rPr>
          <w:rFonts w:ascii="Times New Roman" w:hAnsi="Times New Roman" w:eastAsia="宋体"/>
          <w:b/>
          <w:sz w:val="21"/>
        </w:rPr>
        <w:t>English Abstract:</w:t>
      </w:r>
    </w:p>
    <w:p>
      <w:r>
        <w:rPr>
          <w:rFonts w:ascii="Times New Roman" w:hAnsi="Times New Roman" w:eastAsia="宋体"/>
          <w:sz w:val="21"/>
        </w:rPr>
        <w:t>A continuous-wave narrow-linewidth vacuum ultraviolet laser generated using four-wave mixing in cadmium vapour is shown to improve linewidth by five orders of magnitude compared with previous single-frequency lasers below 190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使用原子氢对标准模型进行万亿分之一测试</w:t>
      </w:r>
    </w:p>
    <w:p>
      <w:r>
        <w:rPr>
          <w:rFonts w:ascii="Times New Roman" w:hAnsi="Times New Roman" w:eastAsia="宋体"/>
          <w:b/>
          <w:color w:val="003264"/>
          <w:sz w:val="24"/>
        </w:rPr>
        <w:t>Sub-part-per-trillion test of the Standard Model with atomic hydrogen</w:t>
      </w:r>
    </w:p>
    <w:p>
      <w:r>
        <w:rPr>
          <w:rFonts w:ascii="Times New Roman" w:hAnsi="Times New Roman" w:eastAsia="宋体"/>
          <w:sz w:val="21"/>
        </w:rPr>
        <w:t>作者: Lothar Maisenbacher, Vitaly Wirthl, Arthur Matveev, Alexey Grinin, Randolf Pohl, Theodor W. Hänsch, Thomas Udem</w:t>
        <w:br/>
      </w:r>
      <w:r>
        <w:rPr>
          <w:rFonts w:ascii="Times New Roman" w:hAnsi="Times New Roman" w:eastAsia="宋体"/>
          <w:sz w:val="21"/>
        </w:rPr>
        <w:t xml:space="preserve">时间: 2026-02-11 | </w:t>
      </w:r>
      <w:r>
        <w:t xml:space="preserve">链接: </w:t>
      </w:r>
      <w:hyperlink r:id="rId82">
        <w:r>
          <w:rPr>
            <w:rFonts w:ascii="Times New Roman" w:hAnsi="Times New Roman" w:eastAsia="宋体"/>
            <w:color w:val="0000FF"/>
            <w:sz w:val="21"/>
            <w:u w:val="single"/>
          </w:rPr>
          <w:t>https://doi.org/10.1038/s41586-026-10124-3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量子电动力学（QED）是第一个相对论量子场论，从基本层面描述了光与物质的相互作用，是标准模型（SM）的支柱之一。通过 QED 的非凡精度，SM 可以预测简单系统（例如氢原子）的能级，最多具有 13 个有效数字 1 ，使氢谱成为理想的测试台。使用 QED 从氢的不同跃迁中提取的物理常数的一致性（例如质子电荷半径 r p ）构成了对理论的检验。然而，最近测量的原子氢 2-7 的 r p 值彼此之间存在部分差异，并且与 μ 子氢光谱 8,9 的更精确值存在差异。这阻止了在实验不确定性水平上进行 QED 测试。在这里，我们提出了对原子氢中 2S-6P 跃迁的测量，其精度足以区分 r p 的差异值，并能够对 QED 和 SM 进行严格测试。我们的结果 ν 2S–6P = 730,690,248,610.79(48) kHz 给出 r p = 0.8406(15) fm 的值，比其他原子氢测定精确至少 2.5 倍，并且与 μ 值非常一致。 SM 对跃迁频率 (730,690,248,610.79(23) kHz) 的预测与我们的结果非常一致，测试 SM 至万亿分之 0.7 (ppt)，特别是，束缚态 QED 校正至百万分之 0.5 (ppm)，这是迄今为止最精确的测试。</w:t>
      </w:r>
    </w:p>
    <w:p>
      <w:pPr>
        <w:spacing w:before="120"/>
      </w:pPr>
      <w:r>
        <w:rPr>
          <w:rFonts w:ascii="Times New Roman" w:hAnsi="Times New Roman" w:eastAsia="宋体"/>
          <w:b/>
          <w:sz w:val="21"/>
        </w:rPr>
        <w:t>English Abstract:</w:t>
      </w:r>
    </w:p>
    <w:p>
      <w:r>
        <w:rPr>
          <w:rFonts w:ascii="Times New Roman" w:hAnsi="Times New Roman" w:eastAsia="宋体"/>
          <w:sz w:val="21"/>
        </w:rPr>
        <w:t>Abstract Quantum electrodynamics (QED), the first relativistic quantum field theory, describes light–matter interactions at a fundamental level and is one of the pillars of the Standard Model (SM). Through the extraordinary precision of QED, the SM predicts the energy levels of simple systems such as the hydrogen atom with up to 13 significant digits 1 , making hydrogen spectroscopy an ideal test bed. The consistency of physical constants extracted from different transitions in hydrogen using QED, such as the proton charge radius r p , constitutes a test of the theory. However, values of r p from recent measurements 2–7 of atomic hydrogen are partly discrepant with each other and with a more precise value from spectroscopy of muonic hydrogen 8,9 . This prevents a test of QED at the level of experimental uncertainties. Here we present a measurement of the 2S–6P transition in atomic hydrogen with sufficient precision to distinguish between the discrepant values of r p and enable rigorous testing of QED and the SM overall. Our result ν 2S–6P = 730,690,248,610.79(48) kHz gives a value of r p = 0.8406(15) fm at least 2.5-fold more precise than from other atomic hydrogen determinations and in excellent agreement with the muonic value. The SM prediction of the transition frequency (730,690,248,610.79(23) kHz) is in excellent agreement with our result, testing the SM to 0.7 parts per trillion (ppt) and, specifically, bound-state QED corrections to 0.5 parts per million (ppm), their most precise test so far.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CSN5i-3 是 COP9 信号体的正位分子胶抑制剂</w:t>
      </w:r>
    </w:p>
    <w:p>
      <w:r>
        <w:rPr>
          <w:rFonts w:ascii="Times New Roman" w:hAnsi="Times New Roman" w:eastAsia="宋体"/>
          <w:b/>
          <w:color w:val="003264"/>
          <w:sz w:val="24"/>
        </w:rPr>
        <w:t>CSN5i-3 is an orthosteric molecular glue inhibitor of COP9 signalosome</w:t>
      </w:r>
    </w:p>
    <w:p>
      <w:r>
        <w:rPr>
          <w:rFonts w:ascii="Times New Roman" w:hAnsi="Times New Roman" w:eastAsia="宋体"/>
          <w:sz w:val="21"/>
        </w:rPr>
        <w:t>作者: Huigang Shi, Xiaorong Wang, Clinton Yu, Haibin Mao, Fenglong Jiao, Merav Braitbard, Ben Shor, Zhongsheng Zhang, Thomas R. Hinds, Shiyun Cao, Erkang Fan, Dina Schneidman-Duhovny, Lan Huang, Ning Zheng</w:t>
        <w:br/>
      </w:r>
      <w:r>
        <w:rPr>
          <w:rFonts w:ascii="Times New Roman" w:hAnsi="Times New Roman" w:eastAsia="宋体"/>
          <w:sz w:val="21"/>
        </w:rPr>
        <w:t xml:space="preserve">时间: 2026-02-11 | </w:t>
      </w:r>
      <w:r>
        <w:t xml:space="preserve">链接: </w:t>
      </w:r>
      <w:hyperlink r:id="rId83">
        <w:r>
          <w:rPr>
            <w:rFonts w:ascii="Times New Roman" w:hAnsi="Times New Roman" w:eastAsia="宋体"/>
            <w:color w:val="0000FF"/>
            <w:sz w:val="21"/>
            <w:u w:val="single"/>
          </w:rPr>
          <w:t>https://doi.org/10.1038/s41586-026-10129-y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正位抑制剂阻断酶活性位点并阻止底物结合 1 。通过底物依赖性增强它们的特异性似乎本质上不太可能，因为它们的机制取决于直接竞争而不是选择性识别。在这里，我们展示了分子胶机制出乎意料地赋予 CSN5i-3（COP9 信号体 (CSN) 的正位抑制剂）底物依赖性效力。我们首先确认 CSN5i-3 通过占据其催化亚基 CSN5 的活性位点并直接与异肽键底物竞争来抑制 CSN，CSN 催化 cullin-RING 泛素连接酶的 NEDD8 (N8) 解离。值得注意的是，正位抑制剂仅以微摩尔亲和力结合游离 CSN，但在阻断其 deneddylase 活性方面​​却达到了纳摩尔效力。酶-底物-抑制剂复合物的低温电子显微镜结构表明，活性位点接合的 CSN5i-3 封闭了底物异肽键，同时延伸了 CSN5 的 N8 结合外位点，充当分子胶来巩固 N8-CSN5 相互作用。这种三分子 CSN5i-3–N8–CSN5 组装体的协同作用反过来将 CSN5i-3 隔离在其结合位点，赋予正位抑制剂高效力，尽管它对游离酶的亲和力较低。总之，我们的研究结果强调了分子胶对单个靶蛋白的适度亲和力要求，并将正位分子胶抑制剂确立为一类新型底物依赖性酶拮抗剂。</w:t>
      </w:r>
    </w:p>
    <w:p>
      <w:pPr>
        <w:spacing w:before="120"/>
      </w:pPr>
      <w:r>
        <w:rPr>
          <w:rFonts w:ascii="Times New Roman" w:hAnsi="Times New Roman" w:eastAsia="宋体"/>
          <w:b/>
          <w:sz w:val="21"/>
        </w:rPr>
        <w:t>English Abstract:</w:t>
      </w:r>
    </w:p>
    <w:p>
      <w:r>
        <w:rPr>
          <w:rFonts w:ascii="Times New Roman" w:hAnsi="Times New Roman" w:eastAsia="宋体"/>
          <w:sz w:val="21"/>
        </w:rPr>
        <w:t>Abstract Orthosteric inhibitors block enzyme active sites and prevent substrates from binding 1 . Enhancing their specificity through substrate dependence seems inherently unlikely, as their mechanism hinges on direct competition rather than selective recognition. Here we show that a molecular glue mechanism unexpectedly imparts substrate-dependent potency to CSN5i-3, an orthosteric inhibitor of the COP9 signalosome (CSN). We first confirm that CSN5i-3 inhibits CSN, which catalyses NEDD8 (N8) deconjugation from the cullin-RING ubiquitin ligases, by occupying the active site of its catalytic subunit, CSN5, and directly competing with the iso-peptide bond substrate. Notably, the orthosteric inhibitor binds free CSN with only micromolar affinity, yet achieves nanomolar potency in blocking its deneddylase activity. Cryogenic electron microscopy structures of the enzyme–substrate–inhibitor complex reveal that active site-engaged CSN5i-3 occludes the substrate iso-peptide linkage while simultaneously extending an N8-binding exosite of CSN5, acting as a molecular glue to cement the N8–CSN5 interaction. The cooperativity of this trimolecular CSN5i-3–N8–CSN5 assembly, in turn, sequesters CSN5i-3 at its binding site, conferring high potency to the orthosteric inhibitor despite its low affinity for the free enzyme. Together, our findings highlight the modest affinity requirements of molecule glues for individual target proteins and establish orthosteric molecular glue inhibitors as a new class of substrate-dependent enzyme antagonists.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06:28 ---</w:t>
      </w:r>
    </w:p>
    <w:p>
      <w:pPr>
        <w:pStyle w:val="Heading2"/>
      </w:pPr>
      <w:r/>
      <w:r>
        <w:rPr>
          <w:rFonts w:ascii="Times New Roman" w:hAnsi="Times New Roman" w:eastAsia="宋体"/>
          <w:b/>
          <w:color w:val="000000"/>
          <w:sz w:val="24"/>
        </w:rPr>
        <w:t>磁电纳米粒子驱动TAF9B + T H 2细胞扩增以减轻炎症</w:t>
      </w:r>
    </w:p>
    <w:p>
      <w:r>
        <w:rPr>
          <w:rFonts w:ascii="Times New Roman" w:hAnsi="Times New Roman" w:eastAsia="宋体"/>
          <w:b/>
          <w:color w:val="003264"/>
          <w:sz w:val="24"/>
        </w:rPr>
        <w:t>Magnetoelectric nanoparticles drive TAF9B + T H 2 cell expansion to alleviate inflammation</w:t>
      </w:r>
    </w:p>
    <w:p>
      <w:r>
        <w:rPr>
          <w:rFonts w:ascii="Times New Roman" w:hAnsi="Times New Roman" w:eastAsia="宋体"/>
          <w:sz w:val="21"/>
        </w:rPr>
        <w:t>作者: Jia Song, Lulu Liu, Ziqi Liu, Shuo Liu, Zhang Zhang, Xinyu Liu, Boon Chin Heng, Yaojin Wang, Dan Lu, Xuehui Zhang, Xuliang Deng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https://doi.org/10.1126/sciadv.adz3199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刺激响应纳米材料代表了一个有前途的免疫调节平台。然而，它们在协调 T 细胞反应方面的应用仍然有限。在这里，我们通过用树突状细胞膜涂覆核壳CoFe 2 O 4 @BiFeO 3 颗粒来开发仿生磁电纳米颗粒（DC@CFO/BFO），以实现选择性靶向CD4 + T细胞。在磁场刺激下，DC@CFO/BFO 定位于核糖体，并通过调节核糖体出口隧道的静电相互作用来增强蛋白质合成。这种核糖体靶向调节通过 IL-4 诱导和 TAF9B 依赖性转录编程促进 II 型免疫反应，从而增强 T 辅助细胞 2 (TH 2) 细胞增殖。在结肠炎和关节炎的小鼠模型中，全身施用 DC@CFO/BFO 和磁电响应 T H 2 细胞的过继转移均可减轻炎症并恢复免疫稳态。相反，这些效应在 Taf9b 缺陷的 T 细胞中被消除，强调了 TAF9B 在介导这种反应中的重要作用。总的来说，我们的研究结果表明磁电纳米复合材料是 T 细胞工程的有效工具，并强调了治疗自身免疫炎症的转化策略。</w:t>
      </w:r>
    </w:p>
    <w:p>
      <w:pPr>
        <w:spacing w:before="120"/>
      </w:pPr>
      <w:r>
        <w:rPr>
          <w:rFonts w:ascii="Times New Roman" w:hAnsi="Times New Roman" w:eastAsia="宋体"/>
          <w:b/>
          <w:sz w:val="21"/>
        </w:rPr>
        <w:t>English Abstract:</w:t>
      </w:r>
    </w:p>
    <w:p>
      <w:r>
        <w:rPr>
          <w:rFonts w:ascii="Times New Roman" w:hAnsi="Times New Roman" w:eastAsia="宋体"/>
          <w:sz w:val="21"/>
        </w:rPr>
        <w:t>Stimuli-responsive nanomaterials represent a promising platform for immunomodulation. However, their application in orchestrating T cell responses remains limited. Here, we develop a biomimetic magnetoelectric nanoparticle (DC@CFO/BFO) by coating core-shell CoFe 2 O 4 @BiFeO 3 particles with dendritic cell membranes to enable selective targeting of CD4 + T cells. Under magnetic field stimulation, DC@CFO/BFO localizes to ribosomes and enhances protein synthesis by modulating electrostatic interactions at the ribosomal exit tunnel. This ribosome-targeted modulation promotes type II immune response via IL-4 induction and TAF9B-dependent transcriptional programming, thereby enhancing T helper 2 (T H 2) cell proliferation. In murine models of colitis and arthritis, both systemic administration of DC@CFO/BFO and adoptive transfer of magnetoelectricity-responsive T H 2 cells attenuated inflammation and restored immune homeostasis. In contrast, these effects were abrogated in Taf9b -deficient T cells, underscoring the essential role of TAF9B in mediating this response. Collectively, our findings identify magnetoelectric nanocomposites as a potent tool for T cell engineering and highlight a translational strategy for the treatment of autoimmune inflammation.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环状RNA circHomer1通过核糖核蛋白颗粒转运和突触RNA的树突靶向介导海马功能</w:t>
      </w:r>
    </w:p>
    <w:p>
      <w:r>
        <w:rPr>
          <w:rFonts w:ascii="Times New Roman" w:hAnsi="Times New Roman" w:eastAsia="宋体"/>
          <w:b/>
          <w:color w:val="003264"/>
          <w:sz w:val="24"/>
        </w:rPr>
        <w:t>Circular RNA circHomer1 mediates hippocampal functions via ribonucleoprotein granule transport and dendritic targeting of synaptic RNAs</w:t>
      </w:r>
    </w:p>
    <w:p>
      <w:r>
        <w:rPr>
          <w:rFonts w:ascii="Times New Roman" w:hAnsi="Times New Roman" w:eastAsia="宋体"/>
          <w:sz w:val="21"/>
        </w:rPr>
        <w:t>作者: Ying Cai, Zhongyu Zheng, Haoyu Xu, Yao Zhu, José C. Zepeda, Brad A. Grueter, Xiaojie Wang, Taeyun Ku, Yangyang Duan, Hayley Wing Sum Tsang, Wing-Yu Fu, Amy Kit Yu Fu, Nikolaos Mellios, Hovy Ho-Wai Wong, Kwok-On Lai, Jacque Pak Kan Ip</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https://doi.org/10.1126/sciadv.ads7509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环状 RNA 是反向剪接的闭环 RNA，以前被认为是转录过程中形成的非编码副产物。越来越多的证据表明，环状 RNA 在大脑中具有重要功能，例如调节神经元传递和突触可塑性。然而，环状RNA发挥作用的具体分子机制在很大程度上仍未被探索。在这里，我们研究了 circHomer1（一种源自 Homer1 基因的大脑富集环状 RNA）如何影响海马依赖性学习和记忆。我们的结果表明，circHomer1 在介导编码突触后蛋白的信使 RNA 的树突靶向中发挥着至关重要的作用，它充当运动蛋白驱动蛋白 1 和神经元核糖核蛋白颗粒核心成分（包括树突上的肉瘤融合蛋白和脆性 X 智力迟钝蛋白）之间的分子桥。这种相互作用影响突触功能、树突棘的结构形态以及海马依赖性空间学习和记忆。因此，我们的研究强调了环状 RNA 在介导突触信使 RNA 靶向塑造树突棘和神经元功能中的作用。</w:t>
      </w:r>
    </w:p>
    <w:p>
      <w:pPr>
        <w:spacing w:before="120"/>
      </w:pPr>
      <w:r>
        <w:rPr>
          <w:rFonts w:ascii="Times New Roman" w:hAnsi="Times New Roman" w:eastAsia="宋体"/>
          <w:b/>
          <w:sz w:val="21"/>
        </w:rPr>
        <w:t>English Abstract:</w:t>
      </w:r>
    </w:p>
    <w:p>
      <w:r>
        <w:rPr>
          <w:rFonts w:ascii="Times New Roman" w:hAnsi="Times New Roman" w:eastAsia="宋体"/>
          <w:sz w:val="21"/>
        </w:rPr>
        <w:t>Circular RNAs are backspliced, closed-loop RNAs previously believed to be noncoding by-products formed during transcription. Increasing evidence suggests that circular RNAs have crucial functions in the brain, such as regulating neuronal transmission and synaptic plasticity. However, the specific molecular mechanisms by which circular RNAs function remain largely unexplored. Here, we investigated how circHomer1 , a brain-enriched circular RNA derived from the Homer1 gene, affects hippocampus-dependent learning and memory. Our results demonstrate that circHomer1 plays a vital role in mediating the dendritic targeting of messenger RNAs that encode postsynaptic proteins by acting as a molecular bridge between the motor protein Kinesin 1 and core components of neuronal ribonucleoprotein granules, including Fused in Sarcoma and Fragile X Mental Retardation Protein, at dendrites. This interaction influences synaptic function, the structural morphology of dendritic spines, and hippocampus-dependent spatial learning and memory. Thus, our study highlights a role of circular RNAs in mediating synaptic messenger RNA targeting to shape dendritic spines and consequently neuronal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多孔介质中胶体的扩散电泳传输</w:t>
      </w:r>
    </w:p>
    <w:p>
      <w:r>
        <w:rPr>
          <w:rFonts w:ascii="Times New Roman" w:hAnsi="Times New Roman" w:eastAsia="宋体"/>
          <w:b/>
          <w:color w:val="003264"/>
          <w:sz w:val="24"/>
        </w:rPr>
        <w:t>Diffusiophoretic transport of colloids in porous media</w:t>
      </w:r>
    </w:p>
    <w:p>
      <w:r>
        <w:rPr>
          <w:rFonts w:ascii="Times New Roman" w:hAnsi="Times New Roman" w:eastAsia="宋体"/>
          <w:sz w:val="21"/>
        </w:rPr>
        <w:t>作者: Mobin Alipour, Yiran Li, Haoyu Liu, Amir A. Pahlavan</w:t>
        <w:br/>
      </w:r>
      <w:r>
        <w:rPr>
          <w:rFonts w:ascii="Times New Roman" w:hAnsi="Times New Roman" w:eastAsia="宋体"/>
          <w:sz w:val="21"/>
        </w:rPr>
        <w:t xml:space="preserve">时间: 2026-02-13 | </w:t>
      </w:r>
      <w:r>
        <w:t xml:space="preserve">链接: </w:t>
      </w:r>
      <w:hyperlink r:id="rId88">
        <w:r>
          <w:rPr>
            <w:rFonts w:ascii="Times New Roman" w:hAnsi="Times New Roman" w:eastAsia="宋体"/>
            <w:color w:val="0000FF"/>
            <w:sz w:val="21"/>
            <w:u w:val="single"/>
          </w:rPr>
          <w:t>https://doi.org/10.1126/sciadv.ady9874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学梯度在多孔介质流中无处不在，从含水层中的潮汐盐梯度到土壤中灌溉驱动的梯度以及组织中代谢活动的离子梯度。尽管已知化学梯度可驱动胶体的扩散电泳迁移，但这些非平衡力在多孔介质流中很大程度上被忽略。在典型的地下条件下，优先路径内的流速超过电泳速度几个数量级，这表明扩散电泳将仅限于停滞区。在这里，通过微流体实验、数值模拟和理论建模，我们表明，即使是自然混合典型的中等溶质梯度，也可以显着改变胶体运输。我们发现了一个以前被忽视的效应：优先流动路径内的跨流线泳动迁移，这将宏观分散改变了几个数量级，并抑制了几何无序对传输的影响。我们的研究结果挑战了胶体运输的经典模型，强调了溶质梯度对技术、生物医学和环境应用的广泛影响。</w:t>
      </w:r>
    </w:p>
    <w:p>
      <w:pPr>
        <w:spacing w:before="120"/>
      </w:pPr>
      <w:r>
        <w:rPr>
          <w:rFonts w:ascii="Times New Roman" w:hAnsi="Times New Roman" w:eastAsia="宋体"/>
          <w:b/>
          <w:sz w:val="21"/>
        </w:rPr>
        <w:t>English Abstract:</w:t>
      </w:r>
    </w:p>
    <w:p>
      <w:r>
        <w:rPr>
          <w:rFonts w:ascii="Times New Roman" w:hAnsi="Times New Roman" w:eastAsia="宋体"/>
          <w:sz w:val="21"/>
        </w:rPr>
        <w:t>Chemical gradients are ubiquitous in porous media flows, from tidal salt gradients in aquifers to irrigation-driven gradients in soils and ionic gradients from metabolic activity in tissues. Although chemical gradients are known to drive diffusiophoretic migration of colloids, these nonequilibrium forces have largely been ignored in porous media flows. Under typical subsurface conditions, flow velocities within preferential pathways exceed phoretic velocities by orders of magnitude, suggesting that diffusiophoresis would be limited to stagnant pockets. Here, using microfluidic experiments, numerical simulations, and theoretical modeling, we show that even moderate solute gradients, typical of natural mixing, can markedly alter colloid transport. We uncover a previously overlooked effect: cross-streamline phoretic migration within preferential flow pathways, which changes macroscopic dispersion by orders of magnitude and suppresses the impact of geometric disorder on transport. Our findings challenge classical models of colloid transport, highlighting the broad implications of solute gradients for technological, biomedical, and 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手性铰链——三维磁光拓扑材料中跨维度的表面传输</w:t>
      </w:r>
    </w:p>
    <w:p>
      <w:r>
        <w:rPr>
          <w:rFonts w:ascii="Times New Roman" w:hAnsi="Times New Roman" w:eastAsia="宋体"/>
          <w:b/>
          <w:color w:val="003264"/>
          <w:sz w:val="24"/>
        </w:rPr>
        <w:t>Chiral hinge–surface transport across dimensions in three-dimensional magneto-optical topological materials</w:t>
      </w:r>
    </w:p>
    <w:p>
      <w:r>
        <w:rPr>
          <w:rFonts w:ascii="Times New Roman" w:hAnsi="Times New Roman" w:eastAsia="宋体"/>
          <w:sz w:val="21"/>
        </w:rPr>
        <w:t>作者: Hua-Shan Lai, Yan-Chen Zhou, Ze-Qun Sun, Cheng He, Yan-Feng Chen</w:t>
        <w:br/>
      </w:r>
      <w:r>
        <w:rPr>
          <w:rFonts w:ascii="Times New Roman" w:hAnsi="Times New Roman" w:eastAsia="宋体"/>
          <w:sz w:val="21"/>
        </w:rPr>
        <w:t xml:space="preserve">时间: 2026-02-13 | </w:t>
      </w:r>
      <w:r>
        <w:t xml:space="preserve">链接: </w:t>
      </w:r>
      <w:hyperlink r:id="rId89">
        <w:r>
          <w:rPr>
            <w:rFonts w:ascii="Times New Roman" w:hAnsi="Times New Roman" w:eastAsia="宋体"/>
            <w:color w:val="0000FF"/>
            <w:sz w:val="21"/>
            <w:u w:val="single"/>
          </w:rPr>
          <w:t>https://doi.org/10.1126/sciadv.aeb4171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具有完美导电通道的手性边界态是磁性拓扑材料的基本特征。突出的例子包括分别在磁场下的 2D 和 3D 量子霍尔材料中发现的一维 (1D) 手性边缘和 2D 手性表面态。然而，这些边界态仅限于特定的固定维度，因此它们很难促进跨维度的能量和信息传输。在这里，我们制造了一种独特的具有净零磁化强度的3D光子反铁磁拓扑绝缘体，它可以同时支持不同维度的铰链状态和相邻面上不成对的表面狄拉克锥。由于有限尺寸样本中存在手性反常，与具有相反符号的表面狄拉克质量的面相邻的无间隙表面狄拉克锥体被进一步转换，表现出二维平面单向传播。结合一维铰链态，我们通过实验观察到拓扑光子学中跨维度非互易铰链表面传输的闭合手性环，类似于 3D 量子反常霍尔材料中理论上提出的情况。我们的研究结果丰富了 3D 磁拓扑绝缘体的手性边界特征，并为探索理想的跨维度器件提供了拓扑策略。</w:t>
      </w:r>
    </w:p>
    <w:p>
      <w:pPr>
        <w:spacing w:before="120"/>
      </w:pPr>
      <w:r>
        <w:rPr>
          <w:rFonts w:ascii="Times New Roman" w:hAnsi="Times New Roman" w:eastAsia="宋体"/>
          <w:b/>
          <w:sz w:val="21"/>
        </w:rPr>
        <w:t>English Abstract:</w:t>
      </w:r>
    </w:p>
    <w:p>
      <w:r>
        <w:rPr>
          <w:rFonts w:ascii="Times New Roman" w:hAnsi="Times New Roman" w:eastAsia="宋体"/>
          <w:sz w:val="21"/>
        </w:rPr>
        <w:t>Chiral boundary states with perfect conducting channels are essential characteristics of magnetic topological materials. Prominent examples include the one-dimensional (1D) chiral edge and 2D chiral surface states found in 2D and 3D quantum Hall materials under magnetic fields, respectively. However, these boundary states are restricted to specific fixed dimensions, so they hardly facilitate cross-dimensional energy and information transport. Here, we fabricate a unique 3D photonic antiferromagnetic topological insulator with net zero magnetization that can simultaneously support different-dimensional hinge states and unpaired surface Dirac cones on neighboring facets. Owing to the chiral anomaly present in a finite-size sample, the gapless surface Dirac cone, neighbored by facets with surface Dirac masses of opposite signs, is further converted, exhibiting 2D planar one-way propagation. In conjunction with 1D hinge states, we experimentally observe a closed chiral loop for nonreciprocal hinge–surface transport across dimensions in topological photonics, similar to that theoretically proposed in 3D quantum anomalous Hall materials. Our findings enrich the chiral boundary features of 3D magnetic topological insulators and offer a topological strategy for exploring ideal cross-dimensional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拟南芥中一型蛋白磷酸酶 (TOPP) 催化 EIN2 去磷酸化调节乙烯信号传导</w:t>
      </w:r>
    </w:p>
    <w:p>
      <w:r>
        <w:rPr>
          <w:rFonts w:ascii="Times New Roman" w:hAnsi="Times New Roman" w:eastAsia="宋体"/>
          <w:b/>
          <w:color w:val="003264"/>
          <w:sz w:val="24"/>
        </w:rPr>
        <w:t>Type one protein phosphatases (TOPPs) catalyze EIN2 dephosphorylation to regulate ethylene signaling in Arabidopsis</w:t>
      </w:r>
    </w:p>
    <w:p>
      <w:r>
        <w:rPr>
          <w:rFonts w:ascii="Times New Roman" w:hAnsi="Times New Roman" w:eastAsia="宋体"/>
          <w:sz w:val="21"/>
        </w:rPr>
        <w:t>作者: Meifei Su, Qianqian Qin, Jing Zhang, Yingdong Li, Ailin Ye, Suomin Wang, Suiwen Hou</w:t>
        <w:br/>
      </w:r>
      <w:r>
        <w:rPr>
          <w:rFonts w:ascii="Times New Roman" w:hAnsi="Times New Roman" w:eastAsia="宋体"/>
          <w:sz w:val="21"/>
        </w:rPr>
        <w:t xml:space="preserve">时间: 2026-02-13 | </w:t>
      </w:r>
      <w:r>
        <w:t xml:space="preserve">链接: </w:t>
      </w:r>
      <w:hyperlink r:id="rId90">
        <w:r>
          <w:rPr>
            <w:rFonts w:ascii="Times New Roman" w:hAnsi="Times New Roman" w:eastAsia="宋体"/>
            <w:color w:val="0000FF"/>
            <w:sz w:val="21"/>
            <w:u w:val="single"/>
          </w:rPr>
          <w:t>https://doi.org/10.1126/sciadv.aec5937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一型蛋白磷酸酶 (TOPP) 广泛调节植物激素信号传导和应激反应，但它们在乙烯信号传导中的作用仍然未知。这项研究揭示了 TOPP 和乙烯不敏感 2 (EIN2) 介导的乙烯信号传导之间的相互调节关系。我们发现乙烯可以诱导 TOPPs 的表达，topp1/4/5 突变体表现出部分乙烯不敏感性，EIN3 蛋白减少。从机制上讲，TOPP 在 EIN2 上游发挥作用，并与其羧基末端结构域 (CEND) 相互作用，使 S655 残基去磷酸化。这种位点特异性去磷酸化促进 EIN2 稳定性和 EIN2 CEND 核积累，从而激活乙烯反应。值得注意的是，EIN2 S655A -YFP/ein2-5 植物表现出组成型乙烯反应和改善的耐盐性。进一步的研究表明，EIN3/EIN3 like 1 (EIL1) 通过结合 TOPPs 的启动子来激活 TOPPs 的表达，从而相应地放大乙烯信号传导。总之，我们的发现确立了 TOPP 作为乙烯信号传导的关键调节因子，并揭示了控制 EIN2 功能的去磷酸化开关机制，为 EIN2 翻译后修饰如何介导植物逆境适应提供了重要的见解。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Type one protein phosphatases (TOPPs) widely modulate phytohormone signaling and stress responses, but their roles in ethylene signaling remain unknown. This study reveals a reciprocal regulatory relationship between TOPPs and ethylene insensitive 2 (EIN2)–mediated ethylene signaling. We identified that ethylene can induce TOPPs ’ expression, and topp1/4/5 mutants exhibited partial ethylene insensitivity with reduced EIN3 protein. Mechanistically, TOPPs function upstream of EIN2 and interact with its carboxyl-terminal domain (CEND) to dephosphorylate the S655 residue. This site-specific dephosphorylation promotes EIN2 stability and EIN2 CEND nuclear accumulation, thereby activating ethylene responses. Notably, EIN2 S655A -YFP/ein2-5 plants displayed constitutive ethylene responses and improved salt tolerance. Further investigation showed that EIN3/EIN3 like 1 (EIL1) activates TOPPs ’ expression by binding to their promoters, amplifying ethylene signaling accordingly. Together, our finding establishes TOPPs as key regulators in ethylene signaling and reveal a dephosphorylation switch mechanism governing EIN2 function, providing critical insight into how EIN2 posttranslational modifications mediate plant stress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VMAT2 功能障碍会损害囊泡多巴胺的摄取，从而驱动 DJ-1 相关帕金森神经元的氧化和 α-突触核蛋白病理学</w:t>
      </w:r>
    </w:p>
    <w:p>
      <w:r>
        <w:rPr>
          <w:rFonts w:ascii="Times New Roman" w:hAnsi="Times New Roman" w:eastAsia="宋体"/>
          <w:b/>
          <w:color w:val="003264"/>
          <w:sz w:val="24"/>
        </w:rPr>
        <w:t>VMAT2 dysfunction impairs vesicular dopamine uptake, driving its oxidation and α-synuclein pathology in DJ-1–linked Parkinson’s neurons</w:t>
      </w:r>
    </w:p>
    <w:p>
      <w:r>
        <w:rPr>
          <w:rFonts w:ascii="Times New Roman" w:hAnsi="Times New Roman" w:eastAsia="宋体"/>
          <w:sz w:val="21"/>
        </w:rPr>
        <w:t>作者: Leonie M. Heger, Francesco Gubinelli, Andreas J. Huber, Aida Cardona-Alberich, Matteo Rovere, Ulf Matti, Stephan A. Müller, Sankarshana R. Nagaraja, Lena Jaschkowitz, Martina Schifferer, Wolfgang Wurst, Stefan F. Lichtenthaler, Christian Behrends, Sivakumar Sambandan, Lena F. Burbulla</w:t>
        <w:br/>
      </w:r>
      <w:r>
        <w:rPr>
          <w:rFonts w:ascii="Times New Roman" w:hAnsi="Times New Roman" w:eastAsia="宋体"/>
          <w:sz w:val="21"/>
        </w:rPr>
        <w:t xml:space="preserve">时间: 2026-02-13 | </w:t>
      </w:r>
      <w:r>
        <w:t xml:space="preserve">链接: </w:t>
      </w:r>
      <w:hyperlink r:id="rId91">
        <w:r>
          <w:rPr>
            <w:rFonts w:ascii="Times New Roman" w:hAnsi="Times New Roman" w:eastAsia="宋体"/>
            <w:color w:val="0000FF"/>
            <w:sz w:val="21"/>
            <w:u w:val="single"/>
          </w:rPr>
          <w:t>https://doi.org/10.1126/sciadv.adz5645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 (PD) 的特点是 α-突触核蛋白积累和多巴胺能神经元变性，其中多巴胺 (DA) 氧化成为关键的病理驱动因素。然而，这种神经毒性过程的机制仍不清楚。使用源自 PD 患者且 CRISPR 工程诱导的缺乏 DJ-1 的多能干细胞中脑多巴胺能神经元，我们发现了胞质 DA 进入突触小泡的缺陷性隔离，最终导致 DA 氧化和 α-突触核蛋白病理学。深入的蛋白质组学、最先进的成像和超灵敏的 DA 探针发现，囊泡单胺转运蛋白 2 (VMAT2) 蛋白和功能的减少会损害囊泡 DA 的摄取，导致囊泡可用性降低和囊泡形态异常。此外，VMAT2 活性和囊泡内吞作用依赖于 5′-三磷酸腺苷 (ATP)，而 DJ-1 缺陷的多巴胺能神经元中的 ATP 显着降低。 ATP 补充可恢复突变多巴胺能神经元的囊泡功能并减轻 DA 相关病理。这项研究揭示了一种 ATP 敏感机制，通过中脑多巴胺能神经元中的 VMAT2 和囊泡动力学调节 DA 稳态，强调增强 DA 隔离是一种有前途的 PD 治疗策略。</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characterized by α-synuclein accumulation and dopaminergic neuron degeneration, with dopamine (DA) oxidation emerging as a key pathological driver. However, the mechanisms underlying this neurotoxic process remain unclear. Using PD patient-derived and CRISPR-engineered induced pluripotent stem cell midbrain dopaminergic neurons lacking DJ-1, we identified defective sequestration of cytosolic DA into synaptic vesicles, which culminated in DA oxidation and α-synuclein pathology. In-depth proteomics, state-of-the-art imaging, and ultrasensitive DA probes uncovered that decreased vesicular monoamine transporter 2 (VMAT2) protein and function impaired vesicular DA uptake, resulting in reduced vesicle availability and abnormal vesicle morphology. Furthermore, VMAT2 activity and vesicle endocytosis are processes dependent on adenosine 5′-triphosphate (ATP), which is notably reduced in DJ-1–deficient dopaminergic neurons. ATP supplementation restored vesicular function and alleviated DA-related pathologies in mutant dopaminergic neurons. This study reveals an ATP-sensitive mechanism that regulates DA homeostasis through VMAT2 and vesicle dynamics in midbrain dopaminergic neurons, highlighting enhanced DA sequestration as a promising therapeutic strategy for 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通过主动采样光子纠缠态进行实验量子态认证</w:t>
      </w:r>
    </w:p>
    <w:p>
      <w:r>
        <w:rPr>
          <w:rFonts w:ascii="Times New Roman" w:hAnsi="Times New Roman" w:eastAsia="宋体"/>
          <w:b/>
          <w:color w:val="003264"/>
          <w:sz w:val="24"/>
        </w:rPr>
        <w:t>Experimental quantum state certification by actively sampling photonic entangled states</w:t>
      </w:r>
    </w:p>
    <w:p>
      <w:r>
        <w:rPr>
          <w:rFonts w:ascii="Times New Roman" w:hAnsi="Times New Roman" w:eastAsia="宋体"/>
          <w:sz w:val="21"/>
        </w:rPr>
        <w:t>作者: Michael Antesberger, Mariana M. E. Schmid, Huan Cao, Borivoje Dakić, Lee A. Rozema, Philip Walther</w:t>
        <w:br/>
      </w:r>
      <w:r>
        <w:rPr>
          <w:rFonts w:ascii="Times New Roman" w:hAnsi="Times New Roman" w:eastAsia="宋体"/>
          <w:sz w:val="21"/>
        </w:rPr>
        <w:t xml:space="preserve">时间: 2026-02-13 | </w:t>
      </w:r>
      <w:r>
        <w:t xml:space="preserve">链接: </w:t>
      </w:r>
      <w:hyperlink r:id="rId92">
        <w:r>
          <w:rPr>
            <w:rFonts w:ascii="Times New Roman" w:hAnsi="Times New Roman" w:eastAsia="宋体"/>
            <w:color w:val="0000FF"/>
            <w:sz w:val="21"/>
            <w:u w:val="single"/>
          </w:rPr>
          <w:t>https://doi.org/10.1126/sciadv.aea4144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量子态是许多量子技术的重要组成部分，但在使用之前必须对其进行验证。由于完整的表征需要大量资源，因此最近的工作重点是开发在所谓的验证框架中有效提取一些感兴趣参数的方法。大多数现有方法都是基于准备名义上相同且独立分布（IID）量子态的系综，然后测量该系综的每个副本。然而，这不会为预期的量子任务留下任何状态，并且 IID 假设在实验上并不总是成立。为了克服这些挑战，我们通过实验实现了量子态认证（QSC），它仅测量整体的一个子集，证明其余状态的多个副本的保真度。我们使用有源光开关从双光子贝尔态和三光子 GHZ（格林伯格-霍恩-蔡林格）态源中随机采样，实时报告统计声音保真度，而不会破坏整个整体。此外，我们的 QSC 协议消除了状态相同分布的假设（但仍然假设独立副本）；可以在测量的状态数量 N 中实现接近 N −1 的缩放；并且可以以与设备无关的方式实现。总之，这些优势使我们的 QSC 协议适合对大规模量子计算设备进行基准测试，并在标准和对抗情况下依赖于纠缠来部署量子通信设置。</w:t>
      </w:r>
    </w:p>
    <w:p>
      <w:pPr>
        <w:spacing w:before="120"/>
      </w:pPr>
      <w:r>
        <w:rPr>
          <w:rFonts w:ascii="Times New Roman" w:hAnsi="Times New Roman" w:eastAsia="宋体"/>
          <w:b/>
          <w:sz w:val="21"/>
        </w:rPr>
        <w:t>English Abstract:</w:t>
      </w:r>
    </w:p>
    <w:p>
      <w:r>
        <w:rPr>
          <w:rFonts w:ascii="Times New Roman" w:hAnsi="Times New Roman" w:eastAsia="宋体"/>
          <w:sz w:val="21"/>
        </w:rPr>
        <w:t>Entangled quantum states are essential ingredients for many quantum technologies, but they must be validated before they are used. As a full characterization is prohibitively resource intensive, recent work has focused on developing methods to efficiently extract a few parameters of interest, in a so-called verification framework. Most existing approaches are based on preparing an ensemble of nominally identical and independently distributed (IID) quantum states and then measuring each copy of the ensemble. However, this leaves no states left for the intended quantum tasks and the IID assumptions do not always hold experimentally. To overcome these challenges, we experimentally implement quantum state certification (QSC), which measures only a subset of the ensemble, certifying the fidelity of multiple copies of the remaining states. We use active optical switches to randomly sample from sources of two-photon Bell states and three-photon GHZ (Greenberger-Horn-Zeilinger) states, reporting statistically sound fidelities in real time without destroying the entire ensemble. In addition, our QSC protocol removes the assumption that the states are identically distributed (but still assumes independent copies); can achieve close N −1 scaling, in the number of states measured N ; and can be implemented in a device-independent manner. Together, these benefits make our QSC protocol suitable for benchmarking large-scale quantum computing devices and deployed quantum communication setups relying on entanglement in both standard and adversarial situations.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揭示植物叶绿体光合膜蛋白质景观的设计原理</w:t>
      </w:r>
    </w:p>
    <w:p>
      <w:r>
        <w:rPr>
          <w:rFonts w:ascii="Times New Roman" w:hAnsi="Times New Roman" w:eastAsia="宋体"/>
          <w:b/>
          <w:color w:val="003264"/>
          <w:sz w:val="24"/>
        </w:rPr>
        <w:t>Unraveling design principles of protein landscapes in photosynthetic membranes in plant chloroplasts</w:t>
      </w:r>
    </w:p>
    <w:p>
      <w:r>
        <w:rPr>
          <w:rFonts w:ascii="Times New Roman" w:hAnsi="Times New Roman" w:eastAsia="宋体"/>
          <w:sz w:val="21"/>
        </w:rPr>
        <w:t>作者: Ashraf Mohamed, Yuval Garty, Hui Min Olivia Oung, Sujith Puthiyaveetil, Kajwal K. Patra, Andrea Tagliabue, Steven Lenhert, Dana Charuvi, Reinat Nevo, Helmut Kirchhoff, Doran I. G. B. Raccah</w:t>
        <w:br/>
      </w:r>
      <w:r>
        <w:rPr>
          <w:rFonts w:ascii="Times New Roman" w:hAnsi="Times New Roman" w:eastAsia="宋体"/>
          <w:sz w:val="21"/>
        </w:rPr>
        <w:t xml:space="preserve">时间: 2026-02-13 | </w:t>
      </w:r>
      <w:r>
        <w:t xml:space="preserve">链接: </w:t>
      </w:r>
      <w:hyperlink r:id="rId93">
        <w:r>
          <w:rPr>
            <w:rFonts w:ascii="Times New Roman" w:hAnsi="Times New Roman" w:eastAsia="宋体"/>
            <w:color w:val="0000FF"/>
            <w:sz w:val="21"/>
            <w:u w:val="single"/>
          </w:rPr>
          <w:t>https://doi.org/10.1126/sciadv.aeb2410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合膜内蛋白质的超分子组织对于植物的能量转换至关重要。在这里，我们介绍了一个分析和计算管道，它集成了高分辨率冷冻扫描电子显微镜、生化定量、先进的蒙特卡罗计算机模拟和统计方法，以阐明完整拟南芥叶子中基粒膜难以捉摸的蛋白质景观。我们的综合分析挑战了一种普遍观点，即冷冻断裂样品中外质断裂面上的颗粒仅代表光系统 II。相反，这些颗粒还包含细胞色素b 6 f 复合物。此外，我们的空间冲突分析表明，除了较小的复合物（C 2 ）之外，堆叠膜还包含较大的 PSII 超复合物（C 2 S 2 M 2 和 C 2 S 2 ）的混合物。这表明体内 PSII 超复合物以不同大小的平衡分布存在。此外，我们发现，虽然尺寸排阻效应控制着整体蛋白质排列，但局部堆积表现出指示横向吸引力蛋白质-蛋白质相互作用的方向顺序。</w:t>
      </w:r>
    </w:p>
    <w:p>
      <w:pPr>
        <w:spacing w:before="120"/>
      </w:pPr>
      <w:r>
        <w:rPr>
          <w:rFonts w:ascii="Times New Roman" w:hAnsi="Times New Roman" w:eastAsia="宋体"/>
          <w:b/>
          <w:sz w:val="21"/>
        </w:rPr>
        <w:t>English Abstract:</w:t>
      </w:r>
    </w:p>
    <w:p>
      <w:r>
        <w:rPr>
          <w:rFonts w:ascii="Times New Roman" w:hAnsi="Times New Roman" w:eastAsia="宋体"/>
          <w:sz w:val="21"/>
        </w:rPr>
        <w:t>The supramolecular organization of proteins within photosynthetic membranes is crucial for energy conversion in plants. Here, we introduce an analytical and computational pipeline that integrates high-resolution cryo–scanning electron microscopy, biochemical quantification, advanced Monte Carlo computer simulations, and statistical methods to elucidate the elusive protein landscapes of grana membranes in intact Arabidopsis leaves. Our integrated analysis challenges the prevailing view that particles on the exoplasmic fracture faces in freeze-fracture samples represent photosystem II exclusively. Instead, these particles also include cytochrome b 6 f complexes. Furthermore, our steric clash analysis demonstrates that stacked membranes contain a mixture of larger PSII supercomplexes (C 2 S 2 M 2 and C 2 S 2 ) in addition to a smaller complex (C 2 ). This suggests that in vivo PSII supercomplexes exist in an equilibrium distribution of differing sizes. Furthermore, we discovered that, although size exclusion effects govern the global protein arrangement, local packing exhibits orientational order indicative of lateral attractive protein-protein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液晶弹性体的机器人保形 4D 打印</w:t>
      </w:r>
    </w:p>
    <w:p>
      <w:r>
        <w:rPr>
          <w:rFonts w:ascii="Times New Roman" w:hAnsi="Times New Roman" w:eastAsia="宋体"/>
          <w:b/>
          <w:color w:val="003264"/>
          <w:sz w:val="24"/>
        </w:rPr>
        <w:t>Robotic conformal 4D printing of liquid crystal elastomers</w:t>
      </w:r>
    </w:p>
    <w:p>
      <w:r>
        <w:rPr>
          <w:rFonts w:ascii="Times New Roman" w:hAnsi="Times New Roman" w:eastAsia="宋体"/>
          <w:sz w:val="21"/>
        </w:rPr>
        <w:t>作者: Christopher Chung, Huan Jiang, Alston X. Gracego, Martin L. Dunn, Kai Yu</w:t>
        <w:br/>
      </w:r>
      <w:r>
        <w:rPr>
          <w:rFonts w:ascii="Times New Roman" w:hAnsi="Times New Roman" w:eastAsia="宋体"/>
          <w:sz w:val="21"/>
        </w:rPr>
        <w:t xml:space="preserve">时间: 2026-02-13 | </w:t>
      </w:r>
      <w:r>
        <w:t xml:space="preserve">链接: </w:t>
      </w:r>
      <w:hyperlink r:id="rId94">
        <w:r>
          <w:rPr>
            <w:rFonts w:ascii="Times New Roman" w:hAnsi="Times New Roman" w:eastAsia="宋体"/>
            <w:color w:val="0000FF"/>
            <w:sz w:val="21"/>
            <w:u w:val="single"/>
          </w:rPr>
          <w:t>https://doi.org/10.1126/sciadv.aeb2417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液晶弹性体 (LCE) 的四维 (4D) 打印是一种很有前景的方法，可为软机器人、可部署系统和自适应表面等多种应用创建可逆形状变化的结构。编程这些形状变换的核心是微米级液晶介晶的空间排列。现有的 LCE 4D 打印方法受到 2D 平面内介晶排列的限制，从而限制了可实现的变形范围。这项工作提出了一种机器人直接墨水书写保形 4D 打印技术，能够将 LCE 沉积到复杂的非平面 3D 基材上。开发了一种算法来生成打印路径、点法线和控制代码以引导六轴机械臂的运动。在具有不同印刷路径的各种表面上演示了保形印刷，并研究了由此产生的形状变化行为，以突出未锁定的设计空间。与 3D 扫描的集成进一步允许打印到具有未知几何形状的基材上，例如鸡蛋表面，从而能够应用于按需保护涂层和结构修复。</w:t>
      </w:r>
    </w:p>
    <w:p>
      <w:pPr>
        <w:spacing w:before="120"/>
      </w:pPr>
      <w:r>
        <w:rPr>
          <w:rFonts w:ascii="Times New Roman" w:hAnsi="Times New Roman" w:eastAsia="宋体"/>
          <w:b/>
          <w:sz w:val="21"/>
        </w:rPr>
        <w:t>English Abstract:</w:t>
      </w:r>
    </w:p>
    <w:p>
      <w:r>
        <w:rPr>
          <w:rFonts w:ascii="Times New Roman" w:hAnsi="Times New Roman" w:eastAsia="宋体"/>
          <w:sz w:val="21"/>
        </w:rPr>
        <w:t>Four-dimensional (4D) printing of liquid crystal elastomers (LCEs) serves as a promising approach to create reversibly shape-changing structures for diverse applications, including soft robotics, deployable systems, and adaptive surfaces. Central to programming these shape transformations is the spatial alignment of microscale liquid crystal mesogens. Existing 4D printing methods for LCEs are constrained by the alignment of mesogens within 2D planes, thereby limiting the range of achievable deformation. This work presents a robotic direct-ink-writing conformal 4D printing technology that enables deposition of LCEs onto complex, nonplanar 3D substrates. An algorithm is developed to generate printing paths, point normals, and control codes to guide the motion of a six-axis robotic arm. Conformal printing is demonstrated on various surfaces with different printing paths, and the resulting shape-changing behaviors are studied to highlight the unlocked design space. Integration with 3D scanning further allows printing onto substrates with unknown geometries, such as egg surfaces, which enables applications in on-demand protective coatings and structural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深海鱼类揭示了脊椎动物视觉的另一种发育轨迹</w:t>
      </w:r>
    </w:p>
    <w:p>
      <w:r>
        <w:rPr>
          <w:rFonts w:ascii="Times New Roman" w:hAnsi="Times New Roman" w:eastAsia="宋体"/>
          <w:b/>
          <w:color w:val="003264"/>
          <w:sz w:val="24"/>
        </w:rPr>
        <w:t>Deep-sea fish reveal an alternative developmental trajectory for vertebrate vision</w:t>
      </w:r>
    </w:p>
    <w:p>
      <w:r>
        <w:rPr>
          <w:rFonts w:ascii="Times New Roman" w:hAnsi="Times New Roman" w:eastAsia="宋体"/>
          <w:sz w:val="21"/>
        </w:rPr>
        <w:t>作者: Lily G. Fogg, Stamatina Isari, Jonathan E. Barnes, Jagdish Suresh Patel, N. Marshall, Walter Salzburger, Fanny de Busserolles, Fabio Cortesi</w:t>
        <w:br/>
      </w:r>
      <w:r>
        <w:rPr>
          <w:rFonts w:ascii="Times New Roman" w:hAnsi="Times New Roman" w:eastAsia="宋体"/>
          <w:sz w:val="21"/>
        </w:rPr>
        <w:t xml:space="preserve">时间: 2026-02-13 | </w:t>
      </w:r>
      <w:r>
        <w:t xml:space="preserve">链接: </w:t>
      </w:r>
      <w:hyperlink r:id="rId95">
        <w:r>
          <w:rPr>
            <w:rFonts w:ascii="Times New Roman" w:hAnsi="Times New Roman" w:eastAsia="宋体"/>
            <w:color w:val="0000FF"/>
            <w:sz w:val="21"/>
            <w:u w:val="single"/>
          </w:rPr>
          <w:t>https://doi.org/10.1126/sciadv.adx2596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椎动物的视觉依赖于两种感光器类型：用于亮光的视锥细胞和用于暗光的视杆细胞。目前的教条是，脊椎动物首先发育出视锥细胞为主的视网膜，然后再发育出视杆细胞。在这里，我们发现深海鱼类幼体具有“混合”光感受器，在杆状细胞中表达视锥细胞特异性基因。通过发育，它们要么保留这些杆状锥体（在Maurolicus mucronatus中），要么转变为表达杆状特异性基因和转录因子的真正杆状体（在Vinciguerria mabahiss和Benthosema pterotum中）。与大多数栖息在明亮水域的海洋鱼类幼虫不同，深海鱼类幼虫生活在更深、更昏暗的环境中。通过将杆状形态与锥状分子机械相结合，混合光感受器可能会在这种条件下最大限度地提高视觉性能。一致地，光谱最大值预测和环境光估计建议在整个生命周期中适应普遍的光环境。我们的研究结果为脊椎动物视觉的另一种发育轨迹的进化提供了分子、形态学和功能证据。</w:t>
      </w:r>
    </w:p>
    <w:p>
      <w:pPr>
        <w:spacing w:before="120"/>
      </w:pPr>
      <w:r>
        <w:rPr>
          <w:rFonts w:ascii="Times New Roman" w:hAnsi="Times New Roman" w:eastAsia="宋体"/>
          <w:b/>
          <w:sz w:val="21"/>
        </w:rPr>
        <w:t>English Abstract:</w:t>
      </w:r>
    </w:p>
    <w:p>
      <w:r>
        <w:rPr>
          <w:rFonts w:ascii="Times New Roman" w:hAnsi="Times New Roman" w:eastAsia="宋体"/>
          <w:sz w:val="21"/>
        </w:rPr>
        <w:t>Vertebrate vision relies on two photoreceptor types: cones for bright light and rods for dim light. The current dogma is that vertebrates develop cone-dominated retinas first, adding rods later. Here we show that larval deep-sea fishes have “hybrid” photoreceptors, expressing cone-specific genes in rod-like cells. Through development, they either retain these rod-like cones (in Maurolicus mucronatus ) or transition to true rods expressing rod-specific genes and transcription factors (in Vinciguerria mabahiss and Benthosema pterotum ). Unlike most marine fish larvae, which inhabit brightly lit waters, deep-sea fish larvae experience deeper and dimmer environments. By combining rod-like morphology with cone-like molecular machinery, hybrid photoreceptors likely maximize visual performance under such conditions. Consistently, spectral maxima predictions and environmental light estimations suggest tuning to the prevailing light environment throughout life. Our findings provide molecular, morphological, and functional evidence for the evolution of an alternative developmental trajectory for vertebrate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通过非相干光的数据混响实现非线性光学极限学习器</w:t>
      </w:r>
    </w:p>
    <w:p>
      <w:r>
        <w:rPr>
          <w:rFonts w:ascii="Times New Roman" w:hAnsi="Times New Roman" w:eastAsia="宋体"/>
          <w:b/>
          <w:color w:val="003264"/>
          <w:sz w:val="24"/>
        </w:rPr>
        <w:t>Nonlinear optical extreme learner via data reverberation with incoherent light</w:t>
      </w:r>
    </w:p>
    <w:p>
      <w:r>
        <w:rPr>
          <w:rFonts w:ascii="Times New Roman" w:hAnsi="Times New Roman" w:eastAsia="宋体"/>
          <w:sz w:val="21"/>
        </w:rPr>
        <w:t>作者: Bofeng Liu, Xu Mei, Sadman Shafi, Tunan Xia, Iam-Choon Khoo, Zhiwen Liu, Xingjie Ni</w:t>
        <w:br/>
      </w:r>
      <w:r>
        <w:rPr>
          <w:rFonts w:ascii="Times New Roman" w:hAnsi="Times New Roman" w:eastAsia="宋体"/>
          <w:sz w:val="21"/>
        </w:rPr>
        <w:t xml:space="preserve">时间: 2026-02-13 | </w:t>
      </w:r>
      <w:r>
        <w:t xml:space="preserve">链接: </w:t>
      </w:r>
      <w:hyperlink r:id="rId96">
        <w:r>
          <w:rPr>
            <w:rFonts w:ascii="Times New Roman" w:hAnsi="Times New Roman" w:eastAsia="宋体"/>
            <w:color w:val="0000FF"/>
            <w:sz w:val="21"/>
            <w:u w:val="single"/>
          </w:rPr>
          <w:t>https://doi.org/10.1126/sciadv.aeb4237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神经网络彻底改变了从计算机视觉到自然语言处理的领域，但其不断增长的能量和计算需求威胁着未来的进步。光神经网络有望提供更高的速度、带宽和能源效率，但其光学非线性较弱。在这里，我们演示了一种低功率、非相干光兼容的光学极限学习器，它利用光学图案混响的“数据非线性”，消除了对固有非线性材料的依赖。通过在定制光学腔的空间偏振分布中对输入数据进行编码并允许光多次通过它，我们以极低的光功率实现了非线性变换。加上简单的可训练读数，我们的光学学习器在标准图像分类任务和 XOR 基准测试中始终优于线性数字网络，提供与完全非线性数字模型相匹配的精度。我们紧凑、节能的方法大大降低了复杂性、成本和能耗，为实用、可扩展的全光学机器学习平台铺平了道路。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Artificial neural networks have revolutionized fields from computer vision to natural language processing, yet their growing energy and computational demands threaten future progress. Optical neural networks promise greater speed, bandwidth, and energy efficiency but suffer from weak optical nonlinearities. Here, we demonstrate a low-power, incoherent-light-compatible optical extreme learner that leverages “data nonlinearity” from optical pattern reverberations, eliminating reliance on intrinsic nonlinear materials. By encoding input data in the spatial polarization distribution of a tailored optical cavity and allowing light to pass through it multiple times, we achieve nonlinear transformations at extremely low optical power. Coupled with a simple trainable readout, our optical learner consistently outperforms linear digital networks in standard image classification tasks and XOR benchmarks, delivering accuracy matching fully nonlinear digital models. Our compact, energy-efficient approach substantially reduces complexity, cost, and energy consumption, paving the way for practical, scalable all-optical machine learning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灵长类动物灵巧的手部运动是由功能不同的前运动神经系统控制的</w:t>
      </w:r>
    </w:p>
    <w:p>
      <w:r>
        <w:rPr>
          <w:rFonts w:ascii="Times New Roman" w:hAnsi="Times New Roman" w:eastAsia="宋体"/>
          <w:b/>
          <w:color w:val="003264"/>
          <w:sz w:val="24"/>
        </w:rPr>
        <w:t>Primate dexterous hand movements are controlled by functionally distinct premotoneuronal systems</w:t>
      </w:r>
    </w:p>
    <w:p>
      <w:r>
        <w:rPr>
          <w:rFonts w:ascii="Times New Roman" w:hAnsi="Times New Roman" w:eastAsia="宋体"/>
          <w:sz w:val="21"/>
        </w:rPr>
        <w:t>作者: Tomohiko Takei, Tomomichi Oya, Kazuhiko Seki</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https://doi.org/10.1126/sciadv.aea1184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巧的手部动作是灵长类动物所特有的，对于它们的日常活动来说是不可或缺的。传统上，它们被认为主要依赖于进化上“更新的”直接皮质运动神经元（CM）途径。然而，最近的研究表明，由脊髓前运动中间神经元（PreM-IN）介导的“较古老”的间接皮质脊髓通路也有贡献，这凸显了澄清其功能差异的必要性。在这里，我们记录了猕猴在精确握力任务期间 PreM-IN 和 CM 细胞的神经元活动，以比较它们在产生手部肌肉活动中的作用。我们的结果表明，PreM-IN 在更广泛的肌肉中发挥更强的促进作用，促进协同共激活，而 CM 细胞提供更具选择性的促进作用，从而能够控制相对单个的肌肉。分解分析进一步表明，这些系统对应于不同的控制模式——基于协同的控制和基于个体的控制——平衡稳定性和灵活性。这些发现重新定义了我们对灵长类灵巧手控制的理解，认为它是从进化上不同的前运动神经系统的合作整合中产生的。</w:t>
      </w:r>
    </w:p>
    <w:p>
      <w:pPr>
        <w:spacing w:before="120"/>
      </w:pPr>
      <w:r>
        <w:rPr>
          <w:rFonts w:ascii="Times New Roman" w:hAnsi="Times New Roman" w:eastAsia="宋体"/>
          <w:b/>
          <w:sz w:val="21"/>
        </w:rPr>
        <w:t>English Abstract:</w:t>
      </w:r>
    </w:p>
    <w:p>
      <w:r>
        <w:rPr>
          <w:rFonts w:ascii="Times New Roman" w:hAnsi="Times New Roman" w:eastAsia="宋体"/>
          <w:sz w:val="21"/>
        </w:rPr>
        <w:t>Dexterous hand movements are uniquely developed in primates and indispensable for their daily activities. Traditionally, they were thought to depend primarily on the evolutionarily “newer” direct corticomotoneuronal (CM) pathway. However, recent studies suggest that the “older” indirect corticospinal pathways, mediated by spinal premotor interneurons (PreM-INs), also contribute, highlighting the need to clarify their functional differences. Here, we recorded neuronal activity from PreM-INs and CM cells in macaques during a precision grip task to compare their roles in generating hand muscle activity. Our results show that PreM-INs exert stronger facilitation across a broader set of muscles, promoting synergistic coactivation, whereas CM cells provide more selective facilitation, enabling control of relatively individual muscles. Decomposition analysis further revealed that these systems correspond to different control modes—synergy-based and individual-based control—balancing stability and flexibility. These findings redefine our understanding of primate dexterous hand control as emerging from the cooperative integration of evolutionarily distinct premotoneuronal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宽带隙半导体 Ga 2 O 3 具有鲁棒的室温铁电性</w:t>
      </w:r>
    </w:p>
    <w:p>
      <w:r>
        <w:rPr>
          <w:rFonts w:ascii="Times New Roman" w:hAnsi="Times New Roman" w:eastAsia="宋体"/>
          <w:b/>
          <w:color w:val="003264"/>
          <w:sz w:val="24"/>
        </w:rPr>
        <w:t>Robust room-temperature ferroelectricity in the wide-bandgap semiconductor Ga 2 O 3</w:t>
      </w:r>
    </w:p>
    <w:p>
      <w:r>
        <w:rPr>
          <w:rFonts w:ascii="Times New Roman" w:hAnsi="Times New Roman" w:eastAsia="宋体"/>
          <w:sz w:val="21"/>
        </w:rPr>
        <w:t>作者: Jiaying Shen, Weng Fu Io, Chang Liu, Yiyang Wen, Han Wu, Yilin Cao, Yongtao Yang, Dianmeng Dong, Fan Zhang, Songhua Cai, Wei Ren, Xianran Xing, Yang Zhang, Zhenping Wu, Jianhua Hao</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https://doi.org/10.1126/sciadv.aec5225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几十年来，宽带隙半导体和铁电材料之间的不兼容性从根本上阻碍了功率处理和非易失性存储器的集成。我们通过在外延亚稳态 κ-Ga 2 O 3 中展示强大的室温铁电性来解决这一挑战，该外延亚稳态 κ-Ga 2 O 3 通过工业兼容的金属有机化学气相沉积生长，从而创建了本质上铁电宽带隙半导体。通过系统表征，包括压电响应力显微镜、极化磁滞测量和正上负下测试，我们提供了通过独特的八面体-四面体变换稳定铁电切换至 5 纳米厚度（超出传统铁电极限）的结论性证据。铁电隧道结实现了超过10 5 的巨大隧道电阻。主流半导体中的这一基本发现挑战了传统材料范式，并实现了在统一平台上实现电源和存储功能的单片集成。</w:t>
      </w:r>
    </w:p>
    <w:p>
      <w:pPr>
        <w:spacing w:before="120"/>
      </w:pPr>
      <w:r>
        <w:rPr>
          <w:rFonts w:ascii="Times New Roman" w:hAnsi="Times New Roman" w:eastAsia="宋体"/>
          <w:b/>
          <w:sz w:val="21"/>
        </w:rPr>
        <w:t>English Abstract:</w:t>
      </w:r>
    </w:p>
    <w:p>
      <w:r>
        <w:rPr>
          <w:rFonts w:ascii="Times New Roman" w:hAnsi="Times New Roman" w:eastAsia="宋体"/>
          <w:sz w:val="21"/>
        </w:rPr>
        <w:t>For decades, the integration of power handling and nonvolatile memory has been fundamentally impeded by the incompatibility between wide-bandgap semiconductors and ferroelectric materials. We resolve this challenge by demonstrating robust room-temperature ferroelectricity in epitaxial metastable κ-Ga 2 O 3 , grown via industry-compatible metal-organic chemical vapor deposition, creating an intrinsically ferroelectric wide-bandgap semiconductor. Through systematic characterization including piezoresponse force microscopy, polarization hysteresis measurements, and positive up–negative down tests, we provide conclusive evidence of stable ferroelectric switching down to 5-nanometer thickness—exceeding conventional ferroelectric limits—via a unique octahedral-tetrahedral transformation. Ferroelectric tunnel junctions achieve giant tunneling electroresistance exceeding 10 5 . This fundamental discovery in a mainstream semiconductor challenges conventional materials paradigms and enables monolithic integration of power and memory functionalities on a unified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来自光学相位梯度驱动胶体组件的可调谐 3D 光流体动力扭矩</w:t>
      </w:r>
    </w:p>
    <w:p>
      <w:r>
        <w:rPr>
          <w:rFonts w:ascii="Times New Roman" w:hAnsi="Times New Roman" w:eastAsia="宋体"/>
          <w:b/>
          <w:color w:val="003264"/>
          <w:sz w:val="24"/>
        </w:rPr>
        <w:t>Tunable 3D optohydrodynamic torques from optical phase gradient–driven colloidal assemblies</w:t>
      </w:r>
    </w:p>
    <w:p>
      <w:r>
        <w:rPr>
          <w:rFonts w:ascii="Times New Roman" w:hAnsi="Times New Roman" w:eastAsia="宋体"/>
          <w:sz w:val="21"/>
        </w:rPr>
        <w:t>作者: Xiao Li, Chenchen Liu, Zongpeng Huang, Jack Ng, Fan Nan</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https://doi.org/10.1126/sciadv.aec6957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体动力学操纵为控制微观物体提供了一种多功能、非侵入性和可重构的方法。在这里，我们提出了一种通过相梯度驱动的纳米颗粒组件产生可调谐三维光流体动力扭矩的策略。使用可编程光学环形涡流（拉盖尔高斯光束），我们组装并旋转具有一定颗粒数量的胶体簇，其诱导的流体动力流对目标颗粒施加可切换的面内和面外扭矩。扭矩控制是通过两种机制实现的：(i) 反转圆偏振的旋向性以打破旋转对称性；(ii) 移动光学环涡旋并调制簇旋转速度。这些互补的控制提供了在任意方向上调节的稳健、高分辨率的扭矩。作为概念证明，我们演示了单个细胞的完整三维方向控制。该框架通过明确结合光驱动的颗粒间相互作用，极大地扩展了光流体动力学系统的能力，并为生物物理学、微型机器人和生物医学工程的高级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Optohydrodynamic manipulation offers a versatile, noninvasive, and reconfigurable approach for controlling microscopic objects. Here, we present a strategy for generating tunable three-dimensional optohydrodynamic torques through phase gradient–driven nanoparticle assemblies. Using programmable optical ring vortices (Laguerre-Gaussian beams), we assemble and rotate colloidal clusters with certain particle numbers, whose induced hydrodynamic flows apply switchable in-plane and out-of-plane torques on target particles. Torque control is achieved via two mechanisms: (i) reversing the handedness of circular polarization to break rotational symmetry and (ii) displacing optical ring vortices and modulating cluster rotation speed. These complementary controls provide robust, high-resolution torques tuned in arbitrary directions. As a proof of concept, we demonstrate full three-dimensional orientation control of a single cell. This framework greatly expands the capabilities of optohydrodynamic systems by explicitly incorporating light-driven interparticle interactions and establishes a foundation for advanced applications in biophysics, microrobotics, and biomedical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遗传遗产和最近两个古老谱系的杂交是世界上最稀有灵长类动物反弹的基础</w:t>
      </w:r>
    </w:p>
    <w:p>
      <w:r>
        <w:rPr>
          <w:rFonts w:ascii="Times New Roman" w:hAnsi="Times New Roman" w:eastAsia="宋体"/>
          <w:b/>
          <w:color w:val="003264"/>
          <w:sz w:val="24"/>
        </w:rPr>
        <w:t>Genetic legacy and recent cross of two ancient lineages underlie the rebound of the world’s rarest primate</w:t>
      </w:r>
    </w:p>
    <w:p>
      <w:r>
        <w:rPr>
          <w:rFonts w:ascii="Times New Roman" w:hAnsi="Times New Roman" w:eastAsia="宋体"/>
          <w:sz w:val="21"/>
        </w:rPr>
        <w:t>作者: Xian Hou, Shengkai Pan, Jiliang Xu, Li Hu, Weiming He, Xin Liu, Siying Huang, Zhongru Gu, Zhenzhen Lin, Yangkang Chen, Wei Li, Tao Luo, Xinrui Zhao, Qingyan Dai, Peng Cao, Feng Liu, Xiaotian Feng, Qiaomei Fu, Jiang Zhou, Jinliang Wang, Xiangjiang Zhan</w:t>
        <w:br/>
      </w:r>
      <w:r>
        <w:rPr>
          <w:rFonts w:ascii="Times New Roman" w:hAnsi="Times New Roman" w:eastAsia="宋体"/>
          <w:sz w:val="21"/>
        </w:rPr>
        <w:t xml:space="preserve">时间: 2026-02-13 | </w:t>
      </w:r>
      <w:r>
        <w:t xml:space="preserve">链接: </w:t>
      </w:r>
      <w:hyperlink r:id="rId100">
        <w:r>
          <w:rPr>
            <w:rFonts w:ascii="Times New Roman" w:hAnsi="Times New Roman" w:eastAsia="宋体"/>
            <w:color w:val="0000FF"/>
            <w:sz w:val="21"/>
            <w:u w:val="single"/>
          </w:rPr>
          <w:t>https://doi.org/10.1126/sciadv.adw3298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尽管最近发生了大规模灭绝，但仍有一些物种从濒临灭绝的边缘恢复过来，但人们对其内在机制知之甚少。海南长臂猿 (Nomascus hainanus) 出现了神秘的反弹，从 2003 年的约 13 只增加到目前的 42 只。利用通过系统建立的管道产生的 18 只长臂猿粪便样本和四个博物馆标本的可靠基因组数据，我们的分析表明，海南长臂猿的有效种群规模最小，遗传多样性较低，但出乎意料的是，迄今为止评估的受威胁灵长类动物中近亲繁殖和遗传负荷较低。这是由于千年扩张减轻了瓶颈效应和保持选择效率的高局部重组所致。值得注意的是，我们发现了两个神秘的谱系，它们最近的杂交导致了杂合性增加的新家族群体。我们的研究揭示了人口历史、基因组结构和行为调节在濒危物种恢复中的重要性，并强调了粪便基因组研究在保护生物学中的巨大潜力。</w:t>
      </w:r>
    </w:p>
    <w:p>
      <w:pPr>
        <w:spacing w:before="120"/>
      </w:pPr>
      <w:r>
        <w:rPr>
          <w:rFonts w:ascii="Times New Roman" w:hAnsi="Times New Roman" w:eastAsia="宋体"/>
          <w:b/>
          <w:sz w:val="21"/>
        </w:rPr>
        <w:t>English Abstract:</w:t>
      </w:r>
    </w:p>
    <w:p>
      <w:r>
        <w:rPr>
          <w:rFonts w:ascii="Times New Roman" w:hAnsi="Times New Roman" w:eastAsia="宋体"/>
          <w:sz w:val="21"/>
        </w:rPr>
        <w:t>Despite a recent mass extinction, a few species have bounced back from the brink, but little is known about their intrinsic mechanisms. Hainan gibbons ( Nomascus hainanus ) feature a mysterious rebound, from ~13 individuals in 2003 to 42 currently. Using reliable genomic data from the fecal samples of 18 gibbons, generated through a systematically established pipeline, and from four museum specimens, our analyses reveal that Hainan gibbons have the smallest effective population size and low genetic diversity but, unexpectedly, low inbreeding and genetic load among threatened primates assessed thus far. This results from a millennial expansion mitigating bottleneck effects and a high local recombination maintaining selection efficiency. Notably, we uncover two cryptic lineages, whose recent crosses led to new family groups with increased heterozygosity. Our study reveals the importance of demographic history, genome architecture, and behavioral regulation in the recovery of endangered species and highlights the great potential of fecal genomic research in conservation biology.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Methods</w:t>
      </w:r>
    </w:p>
    <w:p>
      <w:pPr>
        <w:jc w:val="center"/>
      </w:pPr>
      <w:r>
        <w:t>--- 更新: 06:30 ---</w:t>
      </w:r>
    </w:p>
    <w:p>
      <w:pPr>
        <w:pStyle w:val="Heading2"/>
      </w:pPr>
      <w:r/>
      <w:r>
        <w:rPr>
          <w:rFonts w:ascii="Times New Roman" w:hAnsi="Times New Roman" w:eastAsia="宋体"/>
          <w:b/>
          <w:color w:val="000000"/>
          <w:sz w:val="24"/>
        </w:rPr>
        <w:t>在科学出版中负责任地使用人工智能</w:t>
      </w:r>
    </w:p>
    <w:p>
      <w:r>
        <w:rPr>
          <w:rFonts w:ascii="Times New Roman" w:hAnsi="Times New Roman" w:eastAsia="宋体"/>
          <w:b/>
          <w:color w:val="003264"/>
          <w:sz w:val="24"/>
        </w:rPr>
        <w:t>Using AI responsibly in scientific publishing</w:t>
      </w:r>
    </w:p>
    <w:p>
      <w:r>
        <w:rPr>
          <w:rFonts w:ascii="Times New Roman" w:hAnsi="Times New Roman" w:eastAsia="宋体"/>
          <w:sz w:val="21"/>
        </w:rPr>
        <w:t>作者: Unknown</w:t>
        <w:br/>
      </w:r>
      <w:r>
        <w:rPr>
          <w:rFonts w:ascii="Times New Roman" w:hAnsi="Times New Roman" w:eastAsia="宋体"/>
          <w:sz w:val="21"/>
        </w:rPr>
        <w:t xml:space="preserve">时间: 2026-02-11 | </w:t>
      </w:r>
      <w:r>
        <w:t xml:space="preserve">链接: </w:t>
      </w:r>
      <w:hyperlink r:id="rId119">
        <w:r>
          <w:rPr>
            <w:rFonts w:ascii="Times New Roman" w:hAnsi="Times New Roman" w:eastAsia="宋体"/>
            <w:color w:val="0000FF"/>
            <w:sz w:val="21"/>
            <w:u w:val="single"/>
          </w:rPr>
          <w:t>https://doi.org/10.1038/s41592-026-03020-1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生成式人工智能技术正在对整个社会产生重大影响，科学出版也绝不能幸免。我们重点介绍有关使用生成人工智能的期刊政策，并讨论其在写作、同行评审和出版科学研究中负责任的使用。</w:t>
      </w:r>
    </w:p>
    <w:p>
      <w:pPr>
        <w:spacing w:before="120"/>
      </w:pPr>
      <w:r>
        <w:rPr>
          <w:rFonts w:ascii="Times New Roman" w:hAnsi="Times New Roman" w:eastAsia="宋体"/>
          <w:b/>
          <w:sz w:val="21"/>
        </w:rPr>
        <w:t>English Abstract:</w:t>
      </w:r>
    </w:p>
    <w:p>
      <w:r>
        <w:rPr>
          <w:rFonts w:ascii="Times New Roman" w:hAnsi="Times New Roman" w:eastAsia="宋体"/>
          <w:sz w:val="21"/>
        </w:rPr>
        <w:t>Generative AI technology is having substantial impacts across society, and scientific publishing is by no means immune. We highlight journal policies around the use of generative AI and discuss its responsible use in writing, peer reviewing and publishing scientific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小鼠胚胎大脑的长期成像</w:t>
      </w:r>
    </w:p>
    <w:p>
      <w:r>
        <w:rPr>
          <w:rFonts w:ascii="Times New Roman" w:hAnsi="Times New Roman" w:eastAsia="宋体"/>
          <w:b/>
          <w:color w:val="003264"/>
          <w:sz w:val="24"/>
        </w:rPr>
        <w:t>Long-term imaging in the embryonic mouse brain</w:t>
      </w:r>
    </w:p>
    <w:p>
      <w:r>
        <w:rPr>
          <w:rFonts w:ascii="Times New Roman" w:hAnsi="Times New Roman" w:eastAsia="宋体"/>
          <w:sz w:val="21"/>
        </w:rPr>
        <w:t>作者: Nina Vogt</w:t>
        <w:br/>
      </w:r>
      <w:r>
        <w:rPr>
          <w:rFonts w:ascii="Times New Roman" w:hAnsi="Times New Roman" w:eastAsia="宋体"/>
          <w:sz w:val="21"/>
        </w:rPr>
        <w:t xml:space="preserve">时间: 2026-02-11 | </w:t>
      </w:r>
      <w:r>
        <w:t xml:space="preserve">链接: </w:t>
      </w:r>
      <w:hyperlink r:id="rId120">
        <w:r>
          <w:rPr>
            <w:rFonts w:ascii="Times New Roman" w:hAnsi="Times New Roman" w:eastAsia="宋体"/>
            <w:color w:val="0000FF"/>
            <w:sz w:val="21"/>
            <w:u w:val="single"/>
          </w:rPr>
          <w:t>https://doi.org/10.1038/s41592-026-03012-1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06:30 ---</w:t>
      </w:r>
    </w:p>
    <w:p>
      <w:pPr>
        <w:pStyle w:val="Heading2"/>
      </w:pPr>
      <w:r/>
      <w:r>
        <w:rPr>
          <w:rFonts w:ascii="Times New Roman" w:hAnsi="Times New Roman" w:eastAsia="宋体"/>
          <w:b/>
          <w:color w:val="000000"/>
          <w:sz w:val="24"/>
        </w:rPr>
        <w:t>高效集成光量子存储器</w:t>
      </w:r>
    </w:p>
    <w:p>
      <w:r>
        <w:rPr>
          <w:rFonts w:ascii="Times New Roman" w:hAnsi="Times New Roman" w:eastAsia="宋体"/>
          <w:b/>
          <w:color w:val="003264"/>
          <w:sz w:val="24"/>
        </w:rPr>
        <w:t>Efficient integrated quantum memory for light</w:t>
      </w:r>
    </w:p>
    <w:p>
      <w:r>
        <w:rPr>
          <w:rFonts w:ascii="Times New Roman" w:hAnsi="Times New Roman" w:eastAsia="宋体"/>
          <w:sz w:val="21"/>
        </w:rPr>
        <w:t>作者: Ruo-Ran Meng, Pei-Xi Liu, Xiao Liu, Tian-Xiang Zhu, Peng-Jun Liang, Chao Zhang, Zhong-Yang Tang, Hong-Zhe Zhang, Jin-Ming Cui, Ming Jin, Zong-Quan Zhou, Chuan-Feng Li, Guang-Can Guo</w:t>
        <w:br/>
      </w:r>
      <w:r>
        <w:rPr>
          <w:rFonts w:ascii="Times New Roman" w:hAnsi="Times New Roman" w:eastAsia="宋体"/>
          <w:sz w:val="21"/>
        </w:rPr>
        <w:t xml:space="preserve">时间: 2026-02-11 | </w:t>
      </w:r>
      <w:r>
        <w:t xml:space="preserve">链接: </w:t>
      </w:r>
      <w:hyperlink r:id="rId121">
        <w:r>
          <w:rPr>
            <w:rFonts w:ascii="Times New Roman" w:hAnsi="Times New Roman" w:eastAsia="宋体"/>
            <w:color w:val="0000FF"/>
            <w:sz w:val="21"/>
            <w:u w:val="single"/>
          </w:rPr>
          <w:t>https://doi.org/10.1038/s41566-026-01845-y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 151Eu3+:Y2SiO5 晶体与阻抗匹配光学腔耦合的集成量子存储器。对于弱相干脉冲和电信单光子，复用量子存储效率分别达到 80.3% 和 69.8%。</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memories based on 151Eu3+:Y2SiO5 crystals coupled with impedance-matched optical cavities are demonstrated. Multiplexed quantum storage efficiencies of 80.3% and 69.8% are achieved for weak coherent pulses and telecom-heralded single photons,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06:31 ---</w:t>
      </w:r>
    </w:p>
    <w:p>
      <w:pPr>
        <w:pStyle w:val="Heading2"/>
      </w:pPr>
      <w:r/>
      <w:r>
        <w:rPr>
          <w:rFonts w:ascii="Times New Roman" w:hAnsi="Times New Roman" w:eastAsia="宋体"/>
          <w:b/>
          <w:color w:val="000000"/>
          <w:sz w:val="24"/>
        </w:rPr>
        <w:t>基于ε近零材料集成等离子体超表面的动态可调谐短波红外热发射器</w:t>
      </w:r>
    </w:p>
    <w:p>
      <w:r>
        <w:rPr>
          <w:rFonts w:ascii="Times New Roman" w:hAnsi="Times New Roman" w:eastAsia="宋体"/>
          <w:b/>
          <w:color w:val="003264"/>
          <w:sz w:val="24"/>
        </w:rPr>
        <w:t>Dynamically tunable SWIR thermal emitter based on epsilon-near-zero materials-integrated plasmonic metasurface</w:t>
      </w:r>
    </w:p>
    <w:p>
      <w:r>
        <w:rPr>
          <w:rFonts w:ascii="Times New Roman" w:hAnsi="Times New Roman" w:eastAsia="宋体"/>
          <w:sz w:val="21"/>
        </w:rPr>
        <w:t>作者: Xiujuan Zou, Peng Zhou, Lei Chen, Ruozhang Xing, Wei Zhou, Jing Chen</w:t>
        <w:br/>
      </w:r>
      <w:r>
        <w:rPr>
          <w:rFonts w:ascii="Times New Roman" w:hAnsi="Times New Roman" w:eastAsia="宋体"/>
          <w:sz w:val="21"/>
        </w:rPr>
        <w:t xml:space="preserve">时间: 2026-02-01 | </w:t>
      </w:r>
      <w:r>
        <w:t xml:space="preserve">链接: </w:t>
      </w:r>
      <w:hyperlink r:id="rId128">
        <w:r>
          <w:rPr>
            <w:rFonts w:ascii="Times New Roman" w:hAnsi="Times New Roman" w:eastAsia="宋体"/>
            <w:color w:val="0000FF"/>
            <w:sz w:val="21"/>
            <w:u w:val="single"/>
          </w:rPr>
          <w:t>https://doi.org/10.1016/j.optcom.2026.133013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基于非对称光纤马赫曾德干涉仪的高灵敏度液位传感器</w:t>
      </w:r>
    </w:p>
    <w:p>
      <w:r>
        <w:rPr>
          <w:rFonts w:ascii="Times New Roman" w:hAnsi="Times New Roman" w:eastAsia="宋体"/>
          <w:b/>
          <w:color w:val="003264"/>
          <w:sz w:val="24"/>
        </w:rPr>
        <w:t>High Sensitivity Liquid Level Sensor Based On Asymmetric Fiber Mach-Zehnder Interferometer</w:t>
      </w:r>
    </w:p>
    <w:p>
      <w:r>
        <w:rPr>
          <w:rFonts w:ascii="Times New Roman" w:hAnsi="Times New Roman" w:eastAsia="宋体"/>
          <w:sz w:val="21"/>
        </w:rPr>
        <w:t>作者: Jialong Luo, Jiyuan Cai, Zhuorui Wei, Zhichao Hu, Weichun Chen, Chunhua Tan, Faqiang Wang, Hongyun Meng</w:t>
        <w:br/>
      </w:r>
      <w:r>
        <w:rPr>
          <w:rFonts w:ascii="Times New Roman" w:hAnsi="Times New Roman" w:eastAsia="宋体"/>
          <w:sz w:val="21"/>
        </w:rPr>
        <w:t xml:space="preserve">时间: 2026-02-01 | </w:t>
      </w:r>
      <w:r>
        <w:t xml:space="preserve">链接: </w:t>
      </w:r>
      <w:hyperlink r:id="rId163">
        <w:r>
          <w:rPr>
            <w:rFonts w:ascii="Times New Roman" w:hAnsi="Times New Roman" w:eastAsia="宋体"/>
            <w:color w:val="0000FF"/>
            <w:sz w:val="21"/>
            <w:u w:val="single"/>
          </w:rPr>
          <w:t>https://doi.org/10.1016/j.optcom.2026.133009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2026-06-01 | </w:t>
      </w:r>
      <w:r>
        <w:t xml:space="preserve">链接: </w:t>
      </w:r>
      <w:hyperlink r:id="rId164">
        <w:r>
          <w:rPr>
            <w:rFonts w:ascii="Times New Roman" w:hAnsi="Times New Roman" w:eastAsia="宋体"/>
            <w:color w:val="0000FF"/>
            <w:sz w:val="21"/>
            <w:u w:val="single"/>
          </w:rPr>
          <w:t>https://doi.org/10.1016/s0030-4018(26)00094-5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06:31 ---</w:t>
      </w:r>
    </w:p>
    <w:p>
      <w:pPr>
        <w:pStyle w:val="Heading2"/>
      </w:pPr>
      <w:r/>
      <w:r>
        <w:rPr>
          <w:rFonts w:ascii="Times New Roman" w:hAnsi="Times New Roman" w:eastAsia="宋体"/>
          <w:b/>
          <w:color w:val="000000"/>
          <w:sz w:val="24"/>
        </w:rPr>
        <w:t>基于掺镱光纤激光器的宽带长波红外产生</w:t>
      </w:r>
    </w:p>
    <w:p>
      <w:r>
        <w:rPr>
          <w:rFonts w:ascii="Times New Roman" w:hAnsi="Times New Roman" w:eastAsia="宋体"/>
          <w:b/>
          <w:color w:val="003264"/>
          <w:sz w:val="24"/>
        </w:rPr>
        <w:t>Broadband LWIR generation based on a Yb-doped fiber laser</w:t>
      </w:r>
    </w:p>
    <w:p>
      <w:r>
        <w:rPr>
          <w:rFonts w:ascii="Times New Roman" w:hAnsi="Times New Roman" w:eastAsia="宋体"/>
          <w:sz w:val="21"/>
        </w:rPr>
        <w:t>作者: Xiong Qin, Chenhao Sun, Daping Luo, Xinyin Yang, Zejiang Deng, Gehui Xie, Jintao Fan, Zhiwei Zhu, Chenglin Gu, Wenxue Li</w:t>
        <w:br/>
      </w:r>
      <w:r>
        <w:rPr>
          <w:rFonts w:ascii="Times New Roman" w:hAnsi="Times New Roman" w:eastAsia="宋体"/>
          <w:sz w:val="21"/>
        </w:rPr>
        <w:t xml:space="preserve">时间: 2025-10-24 | </w:t>
      </w:r>
      <w:r>
        <w:t xml:space="preserve">链接: </w:t>
      </w:r>
      <w:hyperlink r:id="rId129">
        <w:r>
          <w:rPr>
            <w:rFonts w:ascii="Times New Roman" w:hAnsi="Times New Roman" w:eastAsia="宋体"/>
            <w:color w:val="0000FF"/>
            <w:sz w:val="21"/>
            <w:u w:val="single"/>
          </w:rPr>
          <w:t>https://doi.org/10.1364/prj.566625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长波中红外（LWIR）区域的激光光谱揭示了各种生化物质的结构和性质。在这里，我们展示了基于磷化锌锗 (ZGP) 晶体中的差频生成 (DFG) 的宽带长波红外激光器，覆盖范围为 5.7–11.0 μm，平均功率为 13 mW，重复频率为 108 MHz。该激光器还可以在 4.6–11.0 μm 范围内广泛调谐，最大平均功率为 40 mW。 DFG 的泵浦脉冲和信号脉冲由掺镱光纤激光器泵浦的宽带光参量振荡器 (OPO) 系统产生。有机化合物的吸收光谱由长波红外光源证明。此外，结合额外的复杂锁相，它有可能实现双梳光谱（DCS）以实现更高的测量速度和分辨率。具有瞬时宽带光谱的免调节长波红外激光器降低了系统复杂性和对准难度，是灵敏的平行分子光谱和生物大分子检测的理想选择。</w:t>
      </w:r>
    </w:p>
    <w:p>
      <w:pPr>
        <w:spacing w:before="120"/>
      </w:pPr>
      <w:r>
        <w:rPr>
          <w:rFonts w:ascii="Times New Roman" w:hAnsi="Times New Roman" w:eastAsia="宋体"/>
          <w:b/>
          <w:sz w:val="21"/>
        </w:rPr>
        <w:t>English Abstract:</w:t>
      </w:r>
    </w:p>
    <w:p>
      <w:r>
        <w:rPr>
          <w:rFonts w:ascii="Times New Roman" w:hAnsi="Times New Roman" w:eastAsia="宋体"/>
          <w:sz w:val="21"/>
        </w:rPr>
        <w:t>Laser spectroscopy in the longwave mid-infrared (LWIR) region reveals the structures and properties of various biochemical substances. Here, we demonstrate a broadband LWIR laser covering 5.7–11.0 μm with 13 mW average power and 108 MHz repetition rate based on difference frequency generation (DFG) in a zinc germanium phosphide (ZGP) crystal. The laser can also be widely tuned over 4.6–11.0 μm with a maximum average power of 40 mW. The pump and signal pulses of DFG are generated from a broadband optical parametric oscillator (OPO) system pumped by a Yb-doped fiber laser. Absorption spectroscopy of an organic compound was demonstrated by the LWIR source. Furthermore, combining additional complex phase locking, it has the potential to achieve dual comb spectroscopy (DCS) for higher measurement speed and resolution. The adjustment-free LWIR lasers with instantaneous broadband spectra reduce system complexity and alignment difficulty, and they are desirable for sensitive parallel molecular spectroscopy and biological macromolecule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基于高自由度曲线的任意角度多模波导弯曲设计</w:t>
      </w:r>
    </w:p>
    <w:p>
      <w:r>
        <w:rPr>
          <w:rFonts w:ascii="Times New Roman" w:hAnsi="Times New Roman" w:eastAsia="宋体"/>
          <w:b/>
          <w:color w:val="003264"/>
          <w:sz w:val="24"/>
        </w:rPr>
        <w:t>Design of a multimode waveguide bend with an arbitrary angle based on high degree of freedom curves</w:t>
      </w:r>
    </w:p>
    <w:p>
      <w:r>
        <w:rPr>
          <w:rFonts w:ascii="Times New Roman" w:hAnsi="Times New Roman" w:eastAsia="宋体"/>
          <w:sz w:val="21"/>
        </w:rPr>
        <w:t>作者: Xing Yu, Shenghang Zhou, Yangming Ren, Xinyu Li, Zhiyuan Yu, Yulin Deng, Ji Shen, Binhao Wang, Qian Chen, Xiubao Sui, Wenfu Zhang</w:t>
        <w:br/>
      </w:r>
      <w:r>
        <w:rPr>
          <w:rFonts w:ascii="Times New Roman" w:hAnsi="Times New Roman" w:eastAsia="宋体"/>
          <w:sz w:val="21"/>
        </w:rPr>
        <w:t xml:space="preserve">时间: 2026-01-30 | </w:t>
      </w:r>
      <w:r>
        <w:t xml:space="preserve">链接: </w:t>
      </w:r>
      <w:hyperlink r:id="rId130">
        <w:r>
          <w:rPr>
            <w:rFonts w:ascii="Times New Roman" w:hAnsi="Times New Roman" w:eastAsia="宋体"/>
            <w:color w:val="0000FF"/>
            <w:sz w:val="21"/>
            <w:u w:val="single"/>
          </w:rPr>
          <w:t>https://doi.org/10.1364/prj.574190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低损耗的多模波导弯在多模通道和高密度片上光互连架构中发挥着重要作用，已成为光子集成芯片的关键部件。在此，我们提出了一种基于高自由度高阶贝塞尔曲线分阶段优化的逆向设计方法，有效克服了传统几何曲线设计的优化局限性。利用这种方法，我们在 220 nm 绝缘体上硅 (SOI) 平台上演示了超紧凑的 90° 多模波导弯曲，其有效弯曲半径小至 9 μm，并支持四种 TE 模式。此外，弯曲还扩展到任意角度互连，以60°、120°和180°配置为例，显着增强了片上紧凑型多模互连的灵活性和适应性。仿真结果表明，90°弯曲在1550 nm处表现出优异的性能，额外损耗低于0.038 dB，串扰低于-30 dB。所提出的设计被进一步制造和实验表征。测得的最大额外损耗为 0.13 dB，模间串扰在 1550 nm 处均低于 -25 dB。该器件结合了超紧凑的占板面积、低损耗和出色的可扩展性，适用于高密度片上互连。</w:t>
      </w:r>
    </w:p>
    <w:p>
      <w:pPr>
        <w:spacing w:before="120"/>
      </w:pPr>
      <w:r>
        <w:rPr>
          <w:rFonts w:ascii="Times New Roman" w:hAnsi="Times New Roman" w:eastAsia="宋体"/>
          <w:b/>
          <w:sz w:val="21"/>
        </w:rPr>
        <w:t>English Abstract:</w:t>
      </w:r>
    </w:p>
    <w:p>
      <w:r>
        <w:rPr>
          <w:rFonts w:ascii="Times New Roman" w:hAnsi="Times New Roman" w:eastAsia="宋体"/>
          <w:sz w:val="21"/>
        </w:rPr>
        <w:t>A compact and low-loss multimode waveguide bend plays a significant role in multimode channels and high-density on-chip optical interconnection architectures, and it has become a key component of photonic integrated chips. Here, we propose an inverse design method based on staged optimization of high-order Bezier curves with high degrees of freedom, which effectively overcomes the optimization limitations of traditional geometric curve design. Using this approach, we demonstrate an ultra-compact 90° multimode waveguide bend on a 220 nm silicon-on-insulator (SOI) platform, featuring an effective bending radius as small as 9 μm and supporting four TE modes. Furthermore, the bend is extended to arbitrary angle interconnects, with 60°, 120°, and 180° configurations as examples, significantly enhancing the flexibility and adaptability of on-chip compact multimode interconnections. Simulation results show that 90° bend exhibits excellent performance at 1550 nm with excess losses below 0.038 dB and crosstalk below −30 dB . The proposed design was further fabricated and experimentally characterized. The maximum measured excess loss is 0.13 dB, and the inter-mode crosstalk is all below −25 dB at 1550 nm. This device combines ultra-compact footprint, low loss, and excellent scalability, suitable for high-density on-chip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06:31 ---</w:t>
      </w:r>
    </w:p>
    <w:p>
      <w:pPr>
        <w:pStyle w:val="Heading2"/>
      </w:pPr>
      <w:r/>
      <w:r>
        <w:rPr>
          <w:rFonts w:ascii="Times New Roman" w:hAnsi="Times New Roman" w:eastAsia="宋体"/>
          <w:b/>
          <w:color w:val="000000"/>
          <w:sz w:val="24"/>
        </w:rPr>
        <w:t>对“说明性纹理的感知均匀构造”的更正</w:t>
      </w:r>
    </w:p>
    <w:p>
      <w:r>
        <w:rPr>
          <w:rFonts w:ascii="Times New Roman" w:hAnsi="Times New Roman" w:eastAsia="宋体"/>
          <w:b/>
          <w:color w:val="003264"/>
          <w:sz w:val="24"/>
        </w:rPr>
        <w:t>Corrections to “Perceptually Uniform Construction of Illustrative Textures”</w:t>
      </w:r>
    </w:p>
    <w:p>
      <w:r>
        <w:rPr>
          <w:rFonts w:ascii="Times New Roman" w:hAnsi="Times New Roman" w:eastAsia="宋体"/>
          <w:sz w:val="21"/>
        </w:rPr>
        <w:t>作者: Anna Sterzik, Monique Meuschke, Douglas W. Cunningham, Kai Lawonn</w:t>
        <w:br/>
      </w:r>
      <w:r>
        <w:rPr>
          <w:rFonts w:ascii="Times New Roman" w:hAnsi="Times New Roman" w:eastAsia="宋体"/>
          <w:sz w:val="21"/>
        </w:rPr>
        <w:t xml:space="preserve">时间: 2026-03-01 | </w:t>
      </w:r>
      <w:r>
        <w:t xml:space="preserve">链接: </w:t>
      </w:r>
      <w:hyperlink r:id="rId131">
        <w:r>
          <w:rPr>
            <w:rFonts w:ascii="Times New Roman" w:hAnsi="Times New Roman" w:eastAsia="宋体"/>
            <w:color w:val="0000FF"/>
            <w:sz w:val="21"/>
            <w:u w:val="single"/>
          </w:rPr>
          <w:t>https://doi.org/10.1109/tvcg.2025.3646304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本注释纠正了图 2 和 3 中的错误。 12 和 13 以及 IEEE Transactions on Visualization and Computer Graphics, Vol. 1 发表的论文“Perceptually Uniform Construction of Illustrative Textures”中参数函数的描述。 30，第 1 期，2024 年。</w:t>
      </w:r>
    </w:p>
    <w:p>
      <w:pPr>
        <w:spacing w:before="120"/>
      </w:pPr>
      <w:r>
        <w:rPr>
          <w:rFonts w:ascii="Times New Roman" w:hAnsi="Times New Roman" w:eastAsia="宋体"/>
          <w:b/>
          <w:sz w:val="21"/>
        </w:rPr>
        <w:t>English Abstract:</w:t>
      </w:r>
    </w:p>
    <w:p>
      <w:r>
        <w:rPr>
          <w:rFonts w:ascii="Times New Roman" w:hAnsi="Times New Roman" w:eastAsia="宋体"/>
          <w:sz w:val="21"/>
        </w:rPr>
        <w:t>This note corrects errors in Figs. 12 and 13 and the description of the parametric function in the paper ”Perceptually Uniform Construction of Illustrative Textures” published in IEEE Transactions on Visualization and Computer Graphics, Vol. 30, Issue 1, 2024.</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06:31 ---</w:t>
      </w:r>
    </w:p>
    <w:p>
      <w:pPr>
        <w:pStyle w:val="Heading2"/>
      </w:pPr>
      <w:r/>
      <w:r>
        <w:rPr>
          <w:rFonts w:ascii="Times New Roman" w:hAnsi="Times New Roman" w:eastAsia="宋体"/>
          <w:b/>
          <w:color w:val="000000"/>
          <w:sz w:val="24"/>
        </w:rPr>
        <w:t>MAROON：近场高分辨率射频和光学深度成像技术联合表征的数据集</w:t>
      </w:r>
    </w:p>
    <w:p>
      <w:r>
        <w:rPr>
          <w:rFonts w:ascii="Times New Roman" w:hAnsi="Times New Roman" w:eastAsia="宋体"/>
          <w:b/>
          <w:color w:val="003264"/>
          <w:sz w:val="24"/>
        </w:rPr>
        <w:t>MAROON: A Dataset for the Joint Characterization of Near-Field High-Resolution Radio-Frequency and Optical Depth Imaging Techniques</w:t>
      </w:r>
    </w:p>
    <w:p>
      <w:r>
        <w:rPr>
          <w:rFonts w:ascii="Times New Roman" w:hAnsi="Times New Roman" w:eastAsia="宋体"/>
          <w:sz w:val="21"/>
        </w:rPr>
        <w:t>作者: Vanessa Wirth, Johanna Bräunig, Nikolai Hofmann, Martin Vossiek, Tim Weyrich, Marc Stamminger</w:t>
        <w:br/>
      </w:r>
      <w:r>
        <w:rPr>
          <w:rFonts w:ascii="Times New Roman" w:hAnsi="Times New Roman" w:eastAsia="宋体"/>
          <w:sz w:val="21"/>
        </w:rPr>
        <w:t xml:space="preserve">时间: 2026-02-11 | </w:t>
      </w:r>
      <w:r>
        <w:t xml:space="preserve">链接: </w:t>
      </w:r>
      <w:hyperlink r:id="rId132">
        <w:r>
          <w:rPr>
            <w:rFonts w:ascii="Times New Roman" w:hAnsi="Times New Roman" w:eastAsia="宋体"/>
            <w:color w:val="0000FF"/>
            <w:sz w:val="21"/>
            <w:u w:val="single"/>
          </w:rPr>
          <w:t>https://doi.org/10.1145/3796224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特定波长范围或深度传感器的互补优势对于自动驾驶等强大的计算机辅助任务至关重要。尽管如此，在光学深度传感器和近距离操作雷达的交叉点上仍然很少进行研究，其中目标距离传感器只有分米。随着人们对近场高分辨率成像雷达的兴趣日益浓厚，随之而来的问题是这些传感器与传统光学传感器相比的表现如何。在这项工作中，我们接受了独特的挑战，使用多模态空间校准从光学和射频域联合表征深度成像仪。我们从四个深度成像仪收集数据，其中三个光学传感器具有不同的工作原理和一个成像雷达。我们根据不同的物体材料、几何形状和物体到传感器的距离对其深度测量进行全面评估。具体来说，我们揭示了部分透射材料的散射效应并研究了射频信号的响应。所有物体测量结果均以名为 MAROON 的多模态数据集的形式公开，可通过以下网址访问：https://vwirth.github.io/maroon。</w:t>
      </w:r>
    </w:p>
    <w:p>
      <w:pPr>
        <w:spacing w:before="120"/>
      </w:pPr>
      <w:r>
        <w:rPr>
          <w:rFonts w:ascii="Times New Roman" w:hAnsi="Times New Roman" w:eastAsia="宋体"/>
          <w:b/>
          <w:sz w:val="21"/>
        </w:rPr>
        <w:t>English Abstract:</w:t>
      </w:r>
    </w:p>
    <w:p>
      <w:r>
        <w:rPr>
          <w:rFonts w:ascii="Times New Roman" w:hAnsi="Times New Roman" w:eastAsia="宋体"/>
          <w:sz w:val="21"/>
        </w:rPr>
        <w:t>Utilizing the complementary strengths of wavelength-specific range or depth sensors is crucial for robust computer-assisted tasks such as autonomous driving. Despite this, there is still little research done at the intersection of optical depth sensors and radars operating close range, where the target is decimeters away from the sensors. Together with a growing interest in high-resolution imaging radars operating in the near field, the question arises how these sensors behave in comparison to their traditional optical counterparts. In this work, we take on the unique challenge of jointly characterizing depth imagers from both, the optical and radio-frequency domain using a multimodal spatial calibration. We collect data from four depth imagers, with three optical sensors of varying operation principle and an imaging radar. We provide a comprehensive evaluation of their depth measurements with respect to distinct object materials, geometries, and object-to-sensor distances. Specifically, we reveal scattering effects of partially transmissive materials and investigate the response of radio-frequency signals. All object measurements are made public in form of a multimodal dataset, called MAROON, which can be accessed at: https://vwirth.github.io/maroon.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06:31 ---</w:t>
      </w:r>
    </w:p>
    <w:p>
      <w:pPr>
        <w:pStyle w:val="Heading2"/>
      </w:pPr>
      <w:r/>
      <w:r>
        <w:rPr>
          <w:rFonts w:ascii="Times New Roman" w:hAnsi="Times New Roman" w:eastAsia="宋体"/>
          <w:b/>
          <w:color w:val="000000"/>
          <w:sz w:val="24"/>
        </w:rPr>
        <w:t>使用适用于移动设备的多光谱图像传感器的广色域成像系统</w:t>
      </w:r>
    </w:p>
    <w:p>
      <w:r>
        <w:rPr>
          <w:rFonts w:ascii="Times New Roman" w:hAnsi="Times New Roman" w:eastAsia="宋体"/>
          <w:b/>
          <w:color w:val="003264"/>
          <w:sz w:val="24"/>
        </w:rPr>
        <w:t>Wide Color Gamut Imaging System Using a Multispectral Image Sensor for a Mobile Device</w:t>
      </w:r>
    </w:p>
    <w:p>
      <w:r>
        <w:rPr>
          <w:rFonts w:ascii="Times New Roman" w:hAnsi="Times New Roman" w:eastAsia="宋体"/>
          <w:sz w:val="21"/>
        </w:rPr>
        <w:t>作者: Woo-Shik Kim, Satoshi Nagayama, Jisu Ohk, Sangyoon Lee, Jaesung Lee, Youngshin Kwak, Hyochul Kim</w:t>
        <w:br/>
      </w:r>
      <w:r>
        <w:rPr>
          <w:rFonts w:ascii="Times New Roman" w:hAnsi="Times New Roman" w:eastAsia="宋体"/>
          <w:sz w:val="21"/>
        </w:rPr>
        <w:t xml:space="preserve">时间: 2026 | </w:t>
      </w:r>
      <w:r>
        <w:t xml:space="preserve">链接: </w:t>
      </w:r>
      <w:hyperlink r:id="rId134">
        <w:r>
          <w:rPr>
            <w:rFonts w:ascii="Times New Roman" w:hAnsi="Times New Roman" w:eastAsia="宋体"/>
            <w:color w:val="0000FF"/>
            <w:sz w:val="21"/>
            <w:u w:val="single"/>
          </w:rPr>
          <w:t>https://doi.org/10.1109/tci.2026.3663972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paper a system for a mobile device to generate a wide color gamut image is proposed.智能手机上的 RGB 摄像头与多光谱图像传感器相结合，该传感器是在移动设备的互补金属氧化物半导体图像传感器之上制造的，可捕获 16 个光谱带的场景。来自这些传感器的图像使用颜色传输技术进行融合，以利用多光谱图像传感器的准确颜色再现能力，同时保留 RGB 图像中的图像结构。据称，与移动 RGB 传感器相比，所提出的多光谱图像传感器将色彩再现精度提高了 25%，并且所提出的系统有效地产生了具有高色彩保真度的高分辨率宽色域图像。</w:t>
      </w:r>
    </w:p>
    <w:p>
      <w:pPr>
        <w:spacing w:before="120"/>
      </w:pPr>
      <w:r>
        <w:rPr>
          <w:rFonts w:ascii="Times New Roman" w:hAnsi="Times New Roman" w:eastAsia="宋体"/>
          <w:b/>
          <w:sz w:val="21"/>
        </w:rPr>
        <w:t>English Abstract:</w:t>
      </w:r>
    </w:p>
    <w:p>
      <w:r>
        <w:rPr>
          <w:rFonts w:ascii="Times New Roman" w:hAnsi="Times New Roman" w:eastAsia="宋体"/>
          <w:sz w:val="21"/>
        </w:rPr>
        <w:t>In this paper a system for a mobile device to generate a wide color gamut image is proposed. A RGB camera on a smartphone is combined with a multispectral image sensor, which is fabricated on top of a complementary metal-oxide semiconductor image sensor for a mobile device, capturing scenes with 16 spectral bands. Images from these sensors are fused using a color transfer technique to leverage the accurate color reproduction capability of the multispectral image sensor while preserving the image structures in the RGB image. It is claimed that the proposed multispectral image sensor improved color reproduction accuracy by 25% compared to a mobile RGB sensor, and the proposed system effectively produce a high-resolution wide color gamut image with high color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基于学习的概率子阵列切换，实现稳健的低成本干涉成像</w:t>
      </w:r>
    </w:p>
    <w:p>
      <w:r>
        <w:rPr>
          <w:rFonts w:ascii="Times New Roman" w:hAnsi="Times New Roman" w:eastAsia="宋体"/>
          <w:b/>
          <w:color w:val="003264"/>
          <w:sz w:val="24"/>
        </w:rPr>
        <w:t>Learning-based probabilistic subarray switching for robust low-cost interferometric imaging</w:t>
      </w:r>
    </w:p>
    <w:p>
      <w:r>
        <w:rPr>
          <w:rFonts w:ascii="Times New Roman" w:hAnsi="Times New Roman" w:eastAsia="宋体"/>
          <w:sz w:val="21"/>
        </w:rPr>
        <w:t>作者: Jianhua Wang, Mohammed Nabil El Korso, Lucien Bacharach, Pascal Larzabal</w:t>
        <w:br/>
      </w:r>
      <w:r>
        <w:rPr>
          <w:rFonts w:ascii="Times New Roman" w:hAnsi="Times New Roman" w:eastAsia="宋体"/>
          <w:sz w:val="21"/>
        </w:rPr>
        <w:t xml:space="preserve">时间: 2026 | </w:t>
      </w:r>
      <w:r>
        <w:t xml:space="preserve">链接: </w:t>
      </w:r>
      <w:hyperlink r:id="rId135">
        <w:r>
          <w:rPr>
            <w:rFonts w:ascii="Times New Roman" w:hAnsi="Times New Roman" w:eastAsia="宋体"/>
            <w:color w:val="0000FF"/>
            <w:sz w:val="21"/>
            <w:u w:val="single"/>
          </w:rPr>
          <w:t>https://doi.org/10.1109/tci.2026.3663899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本对下一代干涉成像系统提出了重大挑战。在这些系统中，由于计算能力的限制，大量天线使得同时处理所有测量结果变得不切实际。为了减少计算负担，同时保持图像重建质量，我们提出了一种利用更少天线和不同天线配置的子阵列切换策略。为了考虑图像重建算法对子阵切换模式设计的影响，并充分发挥切换策略的灵活性，我们提出了一种基于概率深度学习的天线切换模式设计方法，命名为概率天线切换器（PAS）。除了计算挑战之外，干涉测量系统对射频干扰 (RFI) 的存在也特别敏感，这严重影响成像质量。为了解决这个问题，我们证明可以将所提出的 PAS 与 RFI 检测模块结合起来。具体来说，该模块是一个神经网络，经过训练可以识别并最小化子阵列选择过程中受 RFI 影响的天线的影响。这产生了 RFI 感知 PAS (RaPAS)，它平衡了计算效率、成像质量和 RFI 鲁棒性。完整代码可在 https://github.com/jianhua-WANG-ENS/PAS_RaPAS 获取。</w:t>
      </w:r>
    </w:p>
    <w:p>
      <w:pPr>
        <w:spacing w:before="120"/>
      </w:pPr>
      <w:r>
        <w:rPr>
          <w:rFonts w:ascii="Times New Roman" w:hAnsi="Times New Roman" w:eastAsia="宋体"/>
          <w:b/>
          <w:sz w:val="21"/>
        </w:rPr>
        <w:t>English Abstract:</w:t>
      </w:r>
    </w:p>
    <w:p>
      <w:r>
        <w:rPr>
          <w:rFonts w:ascii="Times New Roman" w:hAnsi="Times New Roman" w:eastAsia="宋体"/>
          <w:sz w:val="21"/>
        </w:rPr>
        <w:t>Computational cost poses a significant challenge in next-generation interferometric imaging systems. In these systems, the large number of antennas makes it impractical to process all measurements simultaneously due to computational capacity constraints. To reduce the computational burden while preserving image reconstruction quality, we propose a subarray switching strategy that utilizes fewer antennas and different antenna configurations. To take into consideration the influence of the image reconstruction algorithm on the design of the subarray switching pattern and to fully exploit the flexibility of the switching strategy, we propose a probabilistic deep learning-based method for designing antenna switching patterns, named by Probabilistic Antenna Switcher (PAS). In addition to the computational challenge, interferometric systems are also particularly sensitive to the presence of radio frequency interferences (RFI), which heavily affects imaging quality. In order to address this issue, we show that it is possible to combine the proposed PAS with a RFI detection module. Specifically, this module is a neural network that is trained to identify and minimize the impact of RFI-affected antennas in the subarray selection process. This results in a RFI-aware PAS (RaPAS), which balances computational efficiency, imaging quality, and robustness against RFI. The full code will be available at https://github.com/jianhua-WANG-ENS/PAS_RaPAS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使用高效 2D-SLIM 的高分辨率涡旋电磁波雷达稀疏成像</w:t>
      </w:r>
    </w:p>
    <w:p>
      <w:r>
        <w:rPr>
          <w:rFonts w:ascii="Times New Roman" w:hAnsi="Times New Roman" w:eastAsia="宋体"/>
          <w:b/>
          <w:color w:val="003264"/>
          <w:sz w:val="24"/>
        </w:rPr>
        <w:t>High-Resolution Vortex Electromagnetic Wave Radar Sparse Imaging Using Efficient 2D-SLIM</w:t>
      </w:r>
    </w:p>
    <w:p>
      <w:r>
        <w:rPr>
          <w:rFonts w:ascii="Times New Roman" w:hAnsi="Times New Roman" w:eastAsia="宋体"/>
          <w:sz w:val="21"/>
        </w:rPr>
        <w:t>作者: Ting Yang, Hongyin Shi, Da Liu, Hu Hao, Liying Tian, Xing Wang, Jiuru Wang</w:t>
        <w:br/>
      </w:r>
      <w:r>
        <w:rPr>
          <w:rFonts w:ascii="Times New Roman" w:hAnsi="Times New Roman" w:eastAsia="宋体"/>
          <w:sz w:val="21"/>
        </w:rPr>
        <w:t xml:space="preserve">时间: 2026 | </w:t>
      </w:r>
      <w:r>
        <w:t xml:space="preserve">链接: </w:t>
      </w:r>
      <w:hyperlink r:id="rId136">
        <w:r>
          <w:rPr>
            <w:rFonts w:ascii="Times New Roman" w:hAnsi="Times New Roman" w:eastAsia="宋体"/>
            <w:color w:val="0000FF"/>
            <w:sz w:val="21"/>
            <w:u w:val="single"/>
          </w:rPr>
          <w:t>https://doi.org/10.1109/tci.2026.3663911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涡旋电磁波 (VEMW) 雷达利用轨道角动量 (OAM) 模式进行方位角信息编码，已成为一种有前途的高分辨率凝视成像技术。然而，其性能从根本上受到贝塞尔函数调制 (BFM) 效应和有限的 OAM 模式可用性的限制，导致方位角-距离耦合伪影和能量效率低下。现有的压缩感知（CS）方法，特别是传统的稀疏恢复技术，面临着旁瓣干扰、噪声敏感性和计算瓶颈的困扰。为了应对这些挑战，本文提出了一种通过迭代最小化的高效二维稀疏学习（2D-SLIM）框架，将物理驱动的预处理与加速优化相结合。首先，我们建立了一个全面的 VEMW 雷达信号模型，明确结合了 BFM 效应和 OAM 模式正交性。其次，在波束控制策略的基础上，我们引入了显式解析补偿因子来抑制由平方贝塞尔项引起的方位角相关能量衰减，从而恢复方位角和 OAM 模式指数之间的傅立叶对偶性。第三，我们开发了一种维度一致的二维共轭梯度最小二乘 (2D-CGLS) 算法，结合了自适应 Barzilai-Borwein 步长和非凸群稀疏正则化。通过利用克罗内克乘积分解和矩阵形式运算，该框架消除了冗余的向量到矩阵转换。广泛的数值和电磁仿真表明，该方法的图像相关值提高了 20% 以上，收敛速度提高了 30% 以上，同时在有限 OAM 模式（例如 | | 20 α ≤）和低 SNR（低至 -5 dB）的挑战性条件下保持了鲁棒的成像性能，优于几种现有的 CS 技术。</w:t>
      </w:r>
    </w:p>
    <w:p>
      <w:pPr>
        <w:spacing w:before="120"/>
      </w:pPr>
      <w:r>
        <w:rPr>
          <w:rFonts w:ascii="Times New Roman" w:hAnsi="Times New Roman" w:eastAsia="宋体"/>
          <w:b/>
          <w:sz w:val="21"/>
        </w:rPr>
        <w:t>English Abstract:</w:t>
      </w:r>
    </w:p>
    <w:p>
      <w:r>
        <w:rPr>
          <w:rFonts w:ascii="Times New Roman" w:hAnsi="Times New Roman" w:eastAsia="宋体"/>
          <w:sz w:val="21"/>
        </w:rPr>
        <w:t>Vortex electromagnetic wave (VEMW) radar, leveraging orbital angular momentum (OAM) modes for azimuthal information encoding, has emerged as a promising technology for high-resolution staring imaging. However, its performance is fundamentally constrained by the Bessel function modulation (BFM) effect and limited OAM mode availability, leading to azimuth-range coupling artifacts and energy inefficiency. Existing compressive sensing (CS) methods, particularly conventional sparse recovery techniques, struggle with sidelobe interference, noise sensitivity, and computational bottlenecks. To address these challenges, this paper proposes an efficient two-dimensional sparse learning via iterative minimization (2D-SLIM) framework, integrating physics-driven preprocessing with accelerated optimization. First, we establish a comprehensive VEMW radar signal model that explicitly incorporates BFM effects and OAM mode orthogonality. Second, building upon the beam steering strategy, we introduce an explicit analytical compensation factor to suppress the azimuth dependent energy attenuation caused by the squared Bessel term, thereby restoring the Fourier duality between azimuth angles and OAM mode indices. Third, we develop a dimensionally consistent 2D conjugate gradient least squares (2D-CGLS) algorithm, incorporating adaptive Barzilai-Borwein step sizes and non-convex group sparsity regularization. By leveraging Kronecker product factorization and matrix-form operations, the framework eliminates redundant vector-to-matrix conversions. Extensive numerical and EM simulations demonstrate that the proposed method achieves an improvement of more than 20% in image correlation value and a convergence rate more than 30% faster, while maintaining robust imaging performance under challenging conditions of limited OAM modes (e.g., | | 20 α ≤) and low SNR (down to -5 dB), outperforming several established CS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06:31 ---</w:t>
      </w:r>
    </w:p>
    <w:p>
      <w:pPr>
        <w:pStyle w:val="Heading2"/>
      </w:pPr>
      <w:r/>
      <w:r>
        <w:rPr>
          <w:rFonts w:ascii="Times New Roman" w:hAnsi="Times New Roman" w:eastAsia="宋体"/>
          <w:b/>
          <w:color w:val="000000"/>
          <w:sz w:val="24"/>
        </w:rPr>
        <w:t>用于自监督鱼眼单目深度估计的失真感知深度自更新</w:t>
      </w:r>
    </w:p>
    <w:p>
      <w:r>
        <w:rPr>
          <w:rFonts w:ascii="Times New Roman" w:hAnsi="Times New Roman" w:eastAsia="宋体"/>
          <w:b/>
          <w:color w:val="003264"/>
          <w:sz w:val="24"/>
        </w:rPr>
        <w:t>Distortion-Aware Depth Self-Updating for Self-Supervised Fisheye Monocular Depth Estimation</w:t>
      </w:r>
    </w:p>
    <w:p>
      <w:r>
        <w:rPr>
          <w:rFonts w:ascii="Times New Roman" w:hAnsi="Times New Roman" w:eastAsia="宋体"/>
          <w:sz w:val="21"/>
        </w:rPr>
        <w:t>作者: Yihang Xu, Qiulei Dong</w:t>
        <w:br/>
      </w:r>
      <w:r>
        <w:rPr>
          <w:rFonts w:ascii="Times New Roman" w:hAnsi="Times New Roman" w:eastAsia="宋体"/>
          <w:sz w:val="21"/>
        </w:rPr>
        <w:t xml:space="preserve">时间: 2026 | </w:t>
      </w:r>
      <w:r>
        <w:t xml:space="preserve">链接: </w:t>
      </w:r>
      <w:hyperlink r:id="rId137">
        <w:r>
          <w:rPr>
            <w:rFonts w:ascii="Times New Roman" w:hAnsi="Times New Roman" w:eastAsia="宋体"/>
            <w:color w:val="0000FF"/>
            <w:sz w:val="21"/>
            <w:u w:val="single"/>
          </w:rPr>
          <w:t>https://doi.org/10.1109/tip.2026.3661813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鱼眼相机的自监督单目深度估计由于其大视野范围近年来引起了广泛关注。然而，由于鱼眼图像不可避免地存在严重失真，该领域现有方法的性能普遍受到限制。为了解决这个问题，我们提出了一种用于自监督鱼眼单目深度估计的失真感知深度自更新网络，称为 DDS-Net。所提出的 DDS-Net 方法采用从粗到精的学习策略，其中用于预测最终深度的探索性精细深度预测器通过预训练的粗略深度预测器使用预测的场景深度进行优化。精细深度预测器包含失真感知鱼眼成本体积构建模块和深度自更新模块。失真感知鱼眼成本体积构建模块旨在通过学习连续鱼眼帧之间相应的特征匹配成本来构建鱼眼成本体积，从而能够在严重扭曲的情况下捕获更准确的像素级深度线索。基于构建的成本量和预训练粗略深度预测器估计的初始深度，深度自更新模块被设计为以迭代方式自更新深度图。对 3 个鱼眼数据集的广泛实验结果表明，所提出的方法明显优于 14 种最先进的鱼眼单目深度估计方法。</w:t>
      </w:r>
    </w:p>
    <w:p>
      <w:pPr>
        <w:spacing w:before="120"/>
      </w:pPr>
      <w:r>
        <w:rPr>
          <w:rFonts w:ascii="Times New Roman" w:hAnsi="Times New Roman" w:eastAsia="宋体"/>
          <w:b/>
          <w:sz w:val="21"/>
        </w:rPr>
        <w:t>English Abstract:</w:t>
      </w:r>
    </w:p>
    <w:p>
      <w:r>
        <w:rPr>
          <w:rFonts w:ascii="Times New Roman" w:hAnsi="Times New Roman" w:eastAsia="宋体"/>
          <w:sz w:val="21"/>
        </w:rPr>
        <w:t>Self-supervised monocular depth estimation for fisheye cameras has attracted much attention in recent years due to their large view range. However, the performances of existing methods in this field are generally limited due to the inevitable severe distortions in fisheye images. To address this problem, we propose a distortion-aware depth self-updating network for self-supervised fisheye monocular depth estimation called DDS-Net. The proposed DDS-Net method employs a coarse-to-fine learning strategy, in which an explored fine depth predictor for predicting final depth is optimized with the predicted scene depths by a pretrained coarse depth predictor. The fine depth predictor contains a distortion-aware fisheye cost volume construction module and a depth self-updating module. The distortion-aware fisheye cost volume construction module is designed to construct a fisheye cost volume by learning the corresponding feature matching cost between continuous fisheye frames, which enables more accurate pixel-level depth cues to be captured under severe distortions. Based on the constructed cost volume and the initial depth estimated by the pretrained coarse depth predictor, the depth self-updating module is designed to self-update the depth map in an iterative manner. Extensive experimental results on 3 fisheye datasets demonstrate that the proposed method significantly outperforms 14 state-of-the-art methods for fisheye monocular depth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图割的贪心策略</w:t>
      </w:r>
    </w:p>
    <w:p>
      <w:r>
        <w:rPr>
          <w:rFonts w:ascii="Times New Roman" w:hAnsi="Times New Roman" w:eastAsia="宋体"/>
          <w:b/>
          <w:color w:val="003264"/>
          <w:sz w:val="24"/>
        </w:rPr>
        <w:t>A Greedy Strategy for Graph Cut</w:t>
      </w:r>
    </w:p>
    <w:p>
      <w:r>
        <w:rPr>
          <w:rFonts w:ascii="Times New Roman" w:hAnsi="Times New Roman" w:eastAsia="宋体"/>
          <w:sz w:val="21"/>
        </w:rPr>
        <w:t>作者: Shenfei Pei, Huijuan Dong, Nianci Guan, Zhongqi Lin, Feiping Nie, Xudong Jiang, Zengwei Zheng</w:t>
        <w:br/>
      </w:r>
      <w:r>
        <w:rPr>
          <w:rFonts w:ascii="Times New Roman" w:hAnsi="Times New Roman" w:eastAsia="宋体"/>
          <w:sz w:val="21"/>
        </w:rPr>
        <w:t xml:space="preserve">时间: 2026 | </w:t>
      </w:r>
      <w:r>
        <w:t xml:space="preserve">链接: </w:t>
      </w:r>
      <w:hyperlink r:id="rId138">
        <w:r>
          <w:rPr>
            <w:rFonts w:ascii="Times New Roman" w:hAnsi="Times New Roman" w:eastAsia="宋体"/>
            <w:color w:val="0000FF"/>
            <w:sz w:val="21"/>
            <w:u w:val="single"/>
          </w:rPr>
          <w:t>https://doi.org/10.1109/tip.2026.3661874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贪婪图割（GGC）算法来解决图划分问题。该算法首先将每个数据点视为一个单独的聚类，然后迭代合并聚类对，从而最大限度地减少全局目标函数，直到达到所需的聚类数量。我们提供了整个过程中目标函数值单调收敛的理论证明。为了提高计算效率，该算法将合并操作限制在相邻的簇中，从而导致计算复杂度几乎与样本大小成线性比例。我们的贪婪方法的一个显着优势是其确定性，这确保了多次运行的结果一致。这与许多对随机初始化效应敏感的现有算法形成鲜明对比。我们通过将所提出的算法应用于标准化切割（N-Cut）问题（一种经过充分研究的图划分变体）来证明其有效性。大量实验结果表明，在解决 N 割问题时，GGC 始终优于传统的两阶段优化方法（涉及特征分解和 k 均值聚类）。此外，比较分析表明，与几种最先进的聚类算法相比，GGC 具有更优越的性能。</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Greedy Graph Cut (GGC) algorithm to address the graph partitioning problem. The algorithm begins by treating each data point as an individual cluster and iteratively merges cluster pairs that maximize the reduction in the global objective function until the desired number of clusters is achieved. We provide a theoretical proof of the monotonic convergence of the objective function values throughout this process. To improve computational efficiency, the algorithm restricts merging operations to adjacent clusters, resulting in a computational complexity that scales nearly linearly with the sample size. A significant advantage of our greedy approach is its deterministic nature, which ensures consistent results across multiple runs. This stands in contrast to many existing algorithms that are sensitive to random initialization effects. We demonstrate the effectiveness of the proposed algorithm by applying it to the Normalized Cut (N-Cut) problem, a well-studied variant of graph partitioning. Extensive experimental results show that GGC consistently outperforms the conventional two-stage optimization approach—which involves eigendecomposition followed by k-means clustering—in solving the N-Cut problem. Furthermore, comparative analyses reveal that GGC achieves superior performance compared to several state-of-the-art clustering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用于多模态无人机目标检测的自适应细粒度融合网络</w:t>
      </w:r>
    </w:p>
    <w:p>
      <w:r>
        <w:rPr>
          <w:rFonts w:ascii="Times New Roman" w:hAnsi="Times New Roman" w:eastAsia="宋体"/>
          <w:b/>
          <w:color w:val="003264"/>
          <w:sz w:val="24"/>
        </w:rPr>
        <w:t>Adaptive Fine-Grained Fusion Network for Multimodal UAV Object Detection</w:t>
      </w:r>
    </w:p>
    <w:p>
      <w:r>
        <w:rPr>
          <w:rFonts w:ascii="Times New Roman" w:hAnsi="Times New Roman" w:eastAsia="宋体"/>
          <w:sz w:val="21"/>
        </w:rPr>
        <w:t>作者: Zhanyan Tang, Zhihao Wu, Mu Li, Jie Wen, Bob Zhang, Yong Xu, Jianqiang Li</w:t>
        <w:br/>
      </w:r>
      <w:r>
        <w:rPr>
          <w:rFonts w:ascii="Times New Roman" w:hAnsi="Times New Roman" w:eastAsia="宋体"/>
          <w:sz w:val="21"/>
        </w:rPr>
        <w:t xml:space="preserve">时间: 2026 | </w:t>
      </w:r>
      <w:r>
        <w:t xml:space="preserve">链接: </w:t>
      </w:r>
      <w:hyperlink r:id="rId139">
        <w:r>
          <w:rPr>
            <w:rFonts w:ascii="Times New Roman" w:hAnsi="Times New Roman" w:eastAsia="宋体"/>
            <w:color w:val="0000FF"/>
            <w:sz w:val="21"/>
            <w:u w:val="single"/>
          </w:rPr>
          <w:t>https://doi.org/10.1109/tip.2026.3661868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多模态感知和融合在无人机（UAV）目标检测中发挥着至关重要的作用。现有方法通常采用跨模态的全局融合策略。然而，由于光照变化，RGB 和红外模态的有效性可能会在同一图像内的不同局部区域中有所不同，特别是在普遍存在遮挡和密集小物体的无人机视角中，导致全局融合方法的性能不佳。为了解决这个问题，我们提出了一种用于多模态无人机目标检测的自适应细粒度融合网络。首先，我们设计了一个基于局部特征一致性的模态融合模块，该模块根据跨模态高响应区域的结构一致性自适应地分配局部融合权重，从而能够更有效地聚合对象相关特征。其次，我们引入了一种相互信息引导的特征对比损失，以鼓励在早期训练阶段保存特定于模态的信息。实验结果表明，所提出的方法有效解决了无人机视角中的目标遮挡问题，在多模态无人机目标检测基准上实现了最先进的性能。代码可在 https://github.com/lingf5877/AFFNet 获取。</w:t>
      </w:r>
    </w:p>
    <w:p>
      <w:pPr>
        <w:spacing w:before="120"/>
      </w:pPr>
      <w:r>
        <w:rPr>
          <w:rFonts w:ascii="Times New Roman" w:hAnsi="Times New Roman" w:eastAsia="宋体"/>
          <w:b/>
          <w:sz w:val="21"/>
        </w:rPr>
        <w:t>English Abstract:</w:t>
      </w:r>
    </w:p>
    <w:p>
      <w:r>
        <w:rPr>
          <w:rFonts w:ascii="Times New Roman" w:hAnsi="Times New Roman" w:eastAsia="宋体"/>
          <w:sz w:val="21"/>
        </w:rPr>
        <w:t>Multimodal perception and fusion play a vital role in unmanned aerial vehicle (UAV) object detection. Existing methods typically adopt global fusion strategies across modalities. However, due to illumination variation, the effectiveness of RGB and infrared modalities may differ across local regions within the same image, particularly in UAV perspectives where occlusions and dense small objects are prevalent, leading to suboptimal performance of global fusion methods. To address this issue, we propose an adaptive fine-grained fusion network for multimodal UAV object detection. First, we design a local feature consistency-based modality fusion module, which adaptively assigns local fusion weights according to the structural consistency of high-response regions across modalities, thereby enabling more effective aggregation of object-relevant features. Second, we introduce a mutual information-guided feature contrastive loss to encourage the preservation of modality-specific information during the early training phase. Experimental results demonstrate that the proposed method effectively addresses the issue of object occlusion in UAV perspectives, achieving state-of-the-art performance on multimodal UAV object detection benchmarks. Code will be available at https://github.com/lingf5877/AFFNet.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少样本学习的混合粒度分布估计：来自类别和实例的统计迁移</w:t>
      </w:r>
    </w:p>
    <w:p>
      <w:r>
        <w:rPr>
          <w:rFonts w:ascii="Times New Roman" w:hAnsi="Times New Roman" w:eastAsia="宋体"/>
          <w:b/>
          <w:color w:val="003264"/>
          <w:sz w:val="24"/>
        </w:rPr>
        <w:t>Hybrid Granularity Distribution Estimation for Few-Shot Learning: Statistics Transfer from Categories and Instances</w:t>
      </w:r>
    </w:p>
    <w:p>
      <w:r>
        <w:rPr>
          <w:rFonts w:ascii="Times New Roman" w:hAnsi="Times New Roman" w:eastAsia="宋体"/>
          <w:sz w:val="21"/>
        </w:rPr>
        <w:t>作者: Shuo Wang, Tianyu Qi, Xingyu Zhu, Yanbin Hao, Beier Zhu, Hanwang Zhang, Meng Wang</w:t>
        <w:br/>
      </w:r>
      <w:r>
        <w:rPr>
          <w:rFonts w:ascii="Times New Roman" w:hAnsi="Times New Roman" w:eastAsia="宋体"/>
          <w:sz w:val="21"/>
        </w:rPr>
        <w:t xml:space="preserve">时间: 2026 | </w:t>
      </w:r>
      <w:r>
        <w:t xml:space="preserve">链接: </w:t>
      </w:r>
      <w:hyperlink r:id="rId140">
        <w:r>
          <w:rPr>
            <w:rFonts w:ascii="Times New Roman" w:hAnsi="Times New Roman" w:eastAsia="宋体"/>
            <w:color w:val="0000FF"/>
            <w:sz w:val="21"/>
            <w:u w:val="single"/>
          </w:rPr>
          <w:t>https://doi.org/10.1109/tip.2026.3661814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分布估计是少样本学习 (FSL) 中的关键策略，通过利用从相关基本类别转移的统计属性（均值和方差）从估计分布中进行采样来缓解数据稀缺性。然而，由于基本类别和新类别之间存在显着差异，仅类别级别估计通常无法生成代表性样本，从而导致性能不佳。为了解决这个限制，我们提出了混合粒度分布估计（HGDE），它集成了粗粒度的类别级统计和细粒度的实例级统计。通过利用最近基础样本的实例统计数据，HGDE 增强了新类别的表征，捕捉类别级别估计忽略的微妙特征。这些统计数据通过线性插值融合，形成新类别的稳健分布，确保生成样本的多样性和代表性。此外，HGDE 采用精细估计技术，例如用于均值计算的加权求和和用于协方差的主成分保留，以进一步提高准确性。对 Mini-ImageNet、Tiered-ImageNet、CUB 和 CIFAR-FS 等四个 FSL 基准的实证评估表明，HGDE 提供了有效的分布估计功能，并带来了显着的精度提升，在 CUB 上的 1-shot 任务中提高了 1.8% 以上。这些结果凸显了 HGDE 平衡平均精度和方差多样性的能力，使其成为 FSL 的通用且有效的解决方案。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Distribution estimation is a pivotal strategy in few-shot learning (FSL) to mitigate data scarcity by sampling from estimated distributions, utilizing statistical properties (mean and variance) transferred from related base categories. However, category-level estimation alone often fails to generate representative samples due to significant dissimilarities between base and novel categories, leading to suboptimal performance. To address this limitation, we propose Hybrid Granularity Distribution Estimation (HGDE), which integrates both coarse-grained category-level statistics and fine-grained instance-level statistics. By leveraging instance statistics from the nearest base samples, HGDE enhances the characterization of novel categories, capturing subtle features that category-level estimation overlooks. These statistics are fused through linear interpolation to form a robust distribution for novel categories, ensuring both diversity and representativeness in generated samples. Additionally, HGDE employs refined estimation techniques, such as weighted summation for mean calculation and principal component retention for covariance, to further improve accuracy. Empirical evaluations on four FSL benchmarks, including Mini-ImageNet, Tiered-ImageNet, CUB and CIFAR-FS, demonstrate that HGDE offers effective distribution estimation capabilities and leads to notable accuracy gains, with improvements of more than 1.8% in 1-shot tasks on CUB. These results highlight HGDE’s ability to balance mean precision and variance diversity, making it a versatile and effective solution for 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CGMNet：用于高光谱变化检测的基于中心像素和门控机制的注意网络</w:t>
      </w:r>
    </w:p>
    <w:p>
      <w:r>
        <w:rPr>
          <w:rFonts w:ascii="Times New Roman" w:hAnsi="Times New Roman" w:eastAsia="宋体"/>
          <w:b/>
          <w:color w:val="003264"/>
          <w:sz w:val="24"/>
        </w:rPr>
        <w:t>CGMNet: A Center-Pixel and Gated Mechanism-based Attention Network for Hyperspectral Change Detection</w:t>
      </w:r>
    </w:p>
    <w:p>
      <w:r>
        <w:rPr>
          <w:rFonts w:ascii="Times New Roman" w:hAnsi="Times New Roman" w:eastAsia="宋体"/>
          <w:sz w:val="21"/>
        </w:rPr>
        <w:t>作者: Lanxin Wu, Jiangtao Peng, Bing Yang, Weiwei Sun, Mingzhu Huang</w:t>
        <w:br/>
      </w:r>
      <w:r>
        <w:rPr>
          <w:rFonts w:ascii="Times New Roman" w:hAnsi="Times New Roman" w:eastAsia="宋体"/>
          <w:sz w:val="21"/>
        </w:rPr>
        <w:t xml:space="preserve">时间: 2026 | </w:t>
      </w:r>
      <w:r>
        <w:t xml:space="preserve">链接: </w:t>
      </w:r>
      <w:hyperlink r:id="rId141">
        <w:r>
          <w:rPr>
            <w:rFonts w:ascii="Times New Roman" w:hAnsi="Times New Roman" w:eastAsia="宋体"/>
            <w:color w:val="0000FF"/>
            <w:sz w:val="21"/>
            <w:u w:val="single"/>
          </w:rPr>
          <w:t>https://doi.org/10.1109/tip.2026.3661851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高光谱图像（HSI）中的变化检测（CD）已成为遥感中日益重要的研究领域。在过去的几年中，深度学习方法的采用，特别是卷积神经网络（CNN）和基于 Transformer 的架构，在该领域取得了显着的进步。虽然这些模型有效地捕获了光谱空间特征，但它们也可能引入冗余或不相关的空间信息，从而可能降低 HSI CD 的准确性。为了应对这一挑战，针对 HSI CD 提出了一种基于中心像素和门控机制的注意网络（CGMNet），利用中心像素的重要性来提高准确性和鲁棒性。首先，设计基于门控的中心空间注意力（GCSA）模块来强调中心像素周围的空间关系。通过结合门控机制，GCSA 选择性地增强相关的空间特征，同时抑制不相关的信息。其次，提出了基于门控的光谱注意（GSA）模块来动态突出最重要的光谱特征，确保有效的光谱表示。最后，提出了全局变换融合（GTF）模块来捕获全局上下文信息并将其与提取的空间和光谱特征融合。此外，我们引入了一个新颖的基准数据集，名为杭州湾（HZB），专门为推进沿海遥感研究而设计。对三个公开可用的数据集以及 HZB 数据集进行的实验评估表明，我们的 CGMNet 在 HSI CD 任务中始终优于一些最先进的方法。拟议的 CGMNet 源代码以及 HZB 数据集将在 https://github.com/creativeXin/CGMNet 上公开提供。</w:t>
      </w:r>
    </w:p>
    <w:p>
      <w:pPr>
        <w:spacing w:before="120"/>
      </w:pPr>
      <w:r>
        <w:rPr>
          <w:rFonts w:ascii="Times New Roman" w:hAnsi="Times New Roman" w:eastAsia="宋体"/>
          <w:b/>
          <w:sz w:val="21"/>
        </w:rPr>
        <w:t>English Abstract:</w:t>
      </w:r>
    </w:p>
    <w:p>
      <w:r>
        <w:rPr>
          <w:rFonts w:ascii="Times New Roman" w:hAnsi="Times New Roman" w:eastAsia="宋体"/>
          <w:sz w:val="21"/>
        </w:rPr>
        <w:t>Change detection (CD) in hyperspectral images (HSIs) has become an increasingly vital research field in remote sensing. Over the past few years, the adoption of deep learning approaches, particularly convolutional neural network (CNN) and transformer-based architectures have significantly advanced performance in this field. While these models effectively capture spectral-spatial features, they may also introduce redundant or irrelevant spatial information, potentially degrading the accuracy of HSI CD. To address this challenge, a center-pixel and gated mechanism-based attention network (CGMNet) is proposed for HSI CD, leveraging the central pixel’s significance to enhance accuracy and robustness. First, a gated-based center spatial attention (GCSA) module is designed to emphasize spatial relationships surrounding the central pixel. By incorporating gating mechanisms, GCSA selectively enhances relevant spatial features while suppressing irrelevant information. Second, a gated-based spectral attention (GSA) module is proposed to dynamically highlight the most significant spectral features, ensuring an effective spectral representation. Finally, a global transform fusion (GTF) module is proposed to capture global contextual information and to fuse it with the extracted spatial and spectral features. Moreover, we introduce a novel benchmark dataset, named the Hangzhou Bay (HZB), specifically designed to advance coastal remote sensing research. Experimental evaluations conducted on three publicly available datasets, as well as the HZB dataset, show that our CGMNet consistently outperforms some state-of-the-art methods in the HSI CD task. The source code of the proposed CGMNet, along with the HZB dataset, will be made publicly available at https://github.com/creativeXin/CGMNet.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06:32 ---</w:t>
      </w:r>
    </w:p>
    <w:p>
      <w:pPr>
        <w:pStyle w:val="Heading2"/>
      </w:pPr>
      <w:r/>
      <w:r>
        <w:rPr>
          <w:rFonts w:ascii="Times New Roman" w:hAnsi="Times New Roman" w:eastAsia="宋体"/>
          <w:b/>
          <w:color w:val="000000"/>
          <w:sz w:val="24"/>
        </w:rPr>
        <w:t>增强基于 MMDiT 的文本到图像模型以生成类似主题</w:t>
      </w:r>
    </w:p>
    <w:p>
      <w:r>
        <w:rPr>
          <w:rFonts w:ascii="Times New Roman" w:hAnsi="Times New Roman" w:eastAsia="宋体"/>
          <w:b/>
          <w:color w:val="003264"/>
          <w:sz w:val="24"/>
        </w:rPr>
        <w:t>Enhancing MMDiT-Based Text-to-Image Models for Similar Subject Generation</w:t>
      </w:r>
    </w:p>
    <w:p>
      <w:r>
        <w:rPr>
          <w:rFonts w:ascii="Times New Roman" w:hAnsi="Times New Roman" w:eastAsia="宋体"/>
          <w:sz w:val="21"/>
        </w:rPr>
        <w:t>作者: Tianyi Wei, Dongdong Chen, Yifan Zhou, Xingang Pan</w:t>
        <w:br/>
      </w:r>
      <w:r>
        <w:rPr>
          <w:rFonts w:ascii="Times New Roman" w:hAnsi="Times New Roman" w:eastAsia="宋体"/>
          <w:sz w:val="21"/>
        </w:rPr>
        <w:t xml:space="preserve">时间: 2026 | </w:t>
      </w:r>
      <w:r>
        <w:t xml:space="preserve">链接: </w:t>
      </w:r>
      <w:hyperlink r:id="rId142">
        <w:r>
          <w:rPr>
            <w:rFonts w:ascii="Times New Roman" w:hAnsi="Times New Roman" w:eastAsia="宋体"/>
            <w:color w:val="0000FF"/>
            <w:sz w:val="21"/>
            <w:u w:val="single"/>
          </w:rPr>
          <w:t>https://doi.org/10.1109/tpami.2026.3663759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最新的多模态扩散变换器 (MMDiT) 代表了文本到图像模型的尖端技术，在很大程度上缓解了先前模型中存在的许多生成问题。然而，我们发现当输入文本提示包含多个具有相似语义或外观的主题时，它仍然会遭受主题忽略或混合的问题。我们确定了 MMDiT 架构中导致此问题的三种可能的歧义：块间歧义、文本编码器歧义和语义歧义。为了解决这些问题，我们建议通过早期去噪步骤的测试时优化来修复不明确的潜在潜在问题。具体来说，我们设计了三个损失函数：块对齐损失、文本编码器对齐损失和重叠损失，每个损失函数都是为了减轻这些歧义而定制的。尽管有了显着的改进，但我们观察到，在生成多个相似主题时，语义歧义仍然存在，因为重叠损失提供的指导不够明确。因此，我们进一步提出重叠在线检测和回开始采样策略来缓解该问题。在类似主题的新构建的具有挑战性的数据集上的实验结果验证了我们的方法的有效性，显示出优于现有方法的卓越的生成质量和更高的成功率。在多个基于 MMDiT 的文本到图像模型（例如 SD3、SD3.5 和 FLUX）中观察到的一致且实质性的改进为我们的方法的普遍适用性提供了有力的证据。项目页面：https://wtybest.github.io/projects/EnMMDiT/</w:t>
      </w:r>
    </w:p>
    <w:p>
      <w:pPr>
        <w:spacing w:before="120"/>
      </w:pPr>
      <w:r>
        <w:rPr>
          <w:rFonts w:ascii="Times New Roman" w:hAnsi="Times New Roman" w:eastAsia="宋体"/>
          <w:b/>
          <w:sz w:val="21"/>
        </w:rPr>
        <w:t>English Abstract:</w:t>
      </w:r>
    </w:p>
    <w:p>
      <w:r>
        <w:rPr>
          <w:rFonts w:ascii="Times New Roman" w:hAnsi="Times New Roman" w:eastAsia="宋体"/>
          <w:sz w:val="21"/>
        </w:rPr>
        <w:t>Representing the cutting-edge technique of text-to-image models, the latest Multimodal Diffusion Transformer (MMDiT) largely mitigates many generation issues existing in previous models. However, we discover that it still suffers from subject neglect or mixing when the input text prompt contains multiple subjects of similar semantics or appearance. We identify three possible ambiguities within the MMDiT architecture that cause this problem: Inter-block Ambiguity, Text Encoder Ambiguity, and Semantic Ambiguity. To address these issues, we propose to repair the ambiguous latent on-the-fly by test-time optimization at early denoising steps. In detail, we design three loss functions: Block Alignment Loss, Text Encoder Alignment Loss, and Overlap Loss, each tailored to mitigate these ambiguities. Despite significant improvements, we observe that semantic ambiguity persists when generating multiple similar subjects, as the guidance provided by overlap loss is not explicit enough. Therefore, we further propose Overlap Online Detection and Back-to-Start Sampling Strategy to alleviate the problem. Experimental results on a newly constructed challenging dataset of similar subjects validate the effectiveness of our approach, showing superior generation quality and much higher success rates over existing methods. The consistent and substantial improvements observed across multiple MMDiT based text-to-image models such as SD3, SD3.5 and FLUX provide strong evidence of the general applicability of our method. Project page: https://wtybest.github.io/projects/EnMMDiT/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鲁棒可信冲突多视图协作对比学习</w:t>
      </w:r>
    </w:p>
    <w:p>
      <w:r>
        <w:rPr>
          <w:rFonts w:ascii="Times New Roman" w:hAnsi="Times New Roman" w:eastAsia="宋体"/>
          <w:b/>
          <w:color w:val="003264"/>
          <w:sz w:val="24"/>
        </w:rPr>
        <w:t>Robust Trusted Conflictive Multiview Collaborative Contrastive Learning</w:t>
      </w:r>
    </w:p>
    <w:p>
      <w:r>
        <w:rPr>
          <w:rFonts w:ascii="Times New Roman" w:hAnsi="Times New Roman" w:eastAsia="宋体"/>
          <w:sz w:val="21"/>
        </w:rPr>
        <w:t>作者: Shaobo Hu, Hui Huang, Nan Zhang, Shiliang Sun</w:t>
        <w:br/>
      </w:r>
      <w:r>
        <w:rPr>
          <w:rFonts w:ascii="Times New Roman" w:hAnsi="Times New Roman" w:eastAsia="宋体"/>
          <w:sz w:val="21"/>
        </w:rPr>
        <w:t xml:space="preserve">时间: 2026 | </w:t>
      </w:r>
      <w:r>
        <w:t xml:space="preserve">链接: </w:t>
      </w:r>
      <w:hyperlink r:id="rId143">
        <w:r>
          <w:rPr>
            <w:rFonts w:ascii="Times New Roman" w:hAnsi="Times New Roman" w:eastAsia="宋体"/>
            <w:color w:val="0000FF"/>
            <w:sz w:val="21"/>
            <w:u w:val="single"/>
          </w:rPr>
          <w:t>https://doi.org/10.1109/tpami.2026.3663788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多视图学习方法已被广泛研究，但它们大多侧重于提高准确性，而忽略了决策的不确定性。在现实世界中，多视图数据经常遇到错位问题，导致冲突实例，并进一步限制这些方法在安全关键领域的应用。最近，人们通过估计决策不确定性来提高多视图学习方法的可靠性，但大多数方法常常由于无法处理冲突实例而导致性能下降。为了解决这个问题，我们提出了一种鲁棒可信冲突多视图协作对比学习（RCMCL）方法，该方法增强了模型在冲突多视图场景中的鲁棒性和泛化能力。具体来说，RCMCL 首先使用证据深度神经网络构建特定观点的观点，然后采用基于不和谐的证据对比学习来增强这些观点在不同观点之间的一致性。随后，RCMCL 对一致证据和补充证据进行协作学习。它首先将空缺度引入补充证据中以提取更多有用的信息，然后采用类别级别的对比学习来分离一致证据和补充证据。此外，结合一致和补充的证据来做出联合决定。最后，八个基准数据集的实验结果验证了 RCMCL 相对于最先进方法的优越性。代码已发布在 https://github.com/hushaobo01/RCMCL-main 。</w:t>
      </w:r>
    </w:p>
    <w:p>
      <w:pPr>
        <w:spacing w:before="120"/>
      </w:pPr>
      <w:r>
        <w:rPr>
          <w:rFonts w:ascii="Times New Roman" w:hAnsi="Times New Roman" w:eastAsia="宋体"/>
          <w:b/>
          <w:sz w:val="21"/>
        </w:rPr>
        <w:t>English Abstract:</w:t>
      </w:r>
    </w:p>
    <w:p>
      <w:r>
        <w:rPr>
          <w:rFonts w:ascii="Times New Roman" w:hAnsi="Times New Roman" w:eastAsia="宋体"/>
          <w:sz w:val="21"/>
        </w:rPr>
        <w:t>Although multiview learning methods have been widely studied, they mostly focus on improving accuracy while ignoring decision uncertainty. In the real world, multiview data often encounters misalignment issues, resulting in conflictive instances and further limiting the application of these methods in safety-critical domains. Recently, some efforts have been made to improve the reliability of multiview learning methods by estimating decision uncertainty, but most methods often experience performance degradation due to their inability to handle conflictive instances. To address this issue, we propose a Robust Trusted Conflictive Multiview Collaborative Contrastive Learning (RCMCL) method, which enhances the model's robustness and generalization ability in conflictive multiview scenarios. Specifically, RCMCL first uses an evidential deep neural network to construct view-specific opinions, and then employs dissonance-based evidence contrastive learning to enhance the consistency of these opinions across different views. Subsequently, RCMCL performs collaborative learning of consistent evidence and complementary evidence. It first introduces the vacuity degree into the complementary evidence to extract more useful information, and then employs category-level contrastive learning to separate consistent and complementary evidence. In addition, consistent and complementary evidence is combined to make a joint decision. Finally, experimental results on eight benchmark datasets verify the superiority of RCMCL over state-of-the-art methods. The codes have been released at https://github.com/hushaobo01/RCMCL-main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通过层自适应 PID 控制提高少样本任务的学习效率</w:t>
      </w:r>
    </w:p>
    <w:p>
      <w:r>
        <w:rPr>
          <w:rFonts w:ascii="Times New Roman" w:hAnsi="Times New Roman" w:eastAsia="宋体"/>
          <w:b/>
          <w:color w:val="003264"/>
          <w:sz w:val="24"/>
        </w:rPr>
        <w:t>Boosting Learning Efficiency in Few-Shot Tasks With Layer-Adaptive PID Control</w:t>
      </w:r>
    </w:p>
    <w:p>
      <w:r>
        <w:rPr>
          <w:rFonts w:ascii="Times New Roman" w:hAnsi="Times New Roman" w:eastAsia="宋体"/>
          <w:sz w:val="21"/>
        </w:rPr>
        <w:t>作者: Pengfei Zhang, Xinde Li, Le Yu, Zhentong Zhang, Fir Dunkin, Huaping Liu, Zhijun Li</w:t>
        <w:br/>
      </w:r>
      <w:r>
        <w:rPr>
          <w:rFonts w:ascii="Times New Roman" w:hAnsi="Times New Roman" w:eastAsia="宋体"/>
          <w:sz w:val="21"/>
        </w:rPr>
        <w:t xml:space="preserve">时间: 2026 | </w:t>
      </w:r>
      <w:r>
        <w:t xml:space="preserve">链接: </w:t>
      </w:r>
      <w:hyperlink r:id="rId144">
        <w:r>
          <w:rPr>
            <w:rFonts w:ascii="Times New Roman" w:hAnsi="Times New Roman" w:eastAsia="宋体"/>
            <w:color w:val="0000FF"/>
            <w:sz w:val="21"/>
            <w:u w:val="single"/>
          </w:rPr>
          <w:t>https://doi.org/10.1109/tpami.2026.3663608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小样本学习旨在从有限的例子中识别新的类别。与模型无关的元学习 (MAML) 以其简单性和灵活性而闻名，它学习有效的初始化，以便在数据稀缺的环境中快速适应。然而，当训练和测试任务之间存在显着的分配变化时，基于 MAML 的方法面临挑战，导致学习效率低下和跨领域泛化能力差。在这项工作中，我们确定了核心问题：不灵活的权重更新规则和有限的自适应学习能力。我们的目标不是仅仅关注更好的初始化，而是增强适应过程。因此，我们提出了一种集成到元学习框架中的新型层自适应比例积分微分（LA-PID）优化器。该设计结合了经典控制理论，利用 PID 控制来动态调整每个网络层的特定任务增益。此外，还从控制和优化的角度解决了最佳超参数初始化和全局模型收敛的理论条件。基准数据集上的实验表明，LA-PID 在少样本分类、跨域和回归任务中实现了最先进的性能，同时需要更少的训练步骤。</w:t>
      </w:r>
    </w:p>
    <w:p>
      <w:pPr>
        <w:spacing w:before="120"/>
      </w:pPr>
      <w:r>
        <w:rPr>
          <w:rFonts w:ascii="Times New Roman" w:hAnsi="Times New Roman" w:eastAsia="宋体"/>
          <w:b/>
          <w:sz w:val="21"/>
        </w:rPr>
        <w:t>English Abstract:</w:t>
      </w:r>
    </w:p>
    <w:p>
      <w:r>
        <w:rPr>
          <w:rFonts w:ascii="Times New Roman" w:hAnsi="Times New Roman" w:eastAsia="宋体"/>
          <w:sz w:val="21"/>
        </w:rPr>
        <w:t>Few-shot learning seeks to recognize novel classes from limited examples. Model-agnostic meta-learning (MAML), known for its simplicity and flexibility, learns an effective initialization for fast adaptation in data-scarce settings. However, MAML-based methods face challenges when there is a significant distributional shift between training and testing tasks, leading to inefficient learning and poor generalization across domains. In this work, we identify the core issues: inflexible weight update rules and limited adaptive learning capabilities. Instead of focusing solely on better initialization, we aim to enhance the adaptation process. Consequently, we propose a novel Layer-Adaptive Proportional-Integral-Derivative (LA-PID) optimizer integrated into a meta-learning framework. This design incorporates classical control theory, utilizing PID control to dynamically adjust task-specific gains at each network layer. Additionally, the theoretical conditions for optimal hyperparameter initialization and global model convergence are addressed from both control and optimization perspectives. Experiments on benchmark datasets show that LA-PID achieves state-of-the-art performance in few-shot classification, cross-domain, and regression tasks, while requiring fewer training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ADVersa：绑架驾驶事故视频理解</w:t>
      </w:r>
    </w:p>
    <w:p>
      <w:r>
        <w:rPr>
          <w:rFonts w:ascii="Times New Roman" w:hAnsi="Times New Roman" w:eastAsia="宋体"/>
          <w:b/>
          <w:color w:val="003264"/>
          <w:sz w:val="24"/>
        </w:rPr>
        <w:t>ADVersa: Abductive Driving Accident Video Understanding</w:t>
      </w:r>
    </w:p>
    <w:p>
      <w:r>
        <w:rPr>
          <w:rFonts w:ascii="Times New Roman" w:hAnsi="Times New Roman" w:eastAsia="宋体"/>
          <w:sz w:val="21"/>
        </w:rPr>
        <w:t>作者: Lei-Lei Li, Jianwu Fang, Junbin Xiao, Hongkai Yu, Chen Lv, Jianru Xue, Zhengguo Li, Tat-Seng Chua</w:t>
        <w:br/>
      </w:r>
      <w:r>
        <w:rPr>
          <w:rFonts w:ascii="Times New Roman" w:hAnsi="Times New Roman" w:eastAsia="宋体"/>
          <w:sz w:val="21"/>
        </w:rPr>
        <w:t xml:space="preserve">时间: 2026 | </w:t>
      </w:r>
      <w:r>
        <w:t xml:space="preserve">链接: </w:t>
      </w:r>
      <w:hyperlink r:id="rId145">
        <w:r>
          <w:rPr>
            <w:rFonts w:ascii="Times New Roman" w:hAnsi="Times New Roman" w:eastAsia="宋体"/>
            <w:color w:val="0000FF"/>
            <w:sz w:val="21"/>
            <w:u w:val="single"/>
          </w:rPr>
          <w:t>https://doi.org/10.1109/tpami.2026.3663545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交通事故场景是基于视觉的安全驾驶的长期研究。它试图回答事故发生的原因、接近事故的场景是如何发展的以及事故的关键要素是什么。由于事故数据的稀缺性和碎片化以及事故环境的复杂性，这项研究具有挑战性。为了研究这一点，我们提出了一个归纳驾驶事故视频理解（ADVersa）的框架，它为不存在的近乎碰撞的场景推断出合理的视觉和文本解释。 ADVersa 强调三组任务：1）接近碰撞场景的视觉过去恢复，2）接近碰撞场景的视觉预测，以及 3）涉及视频合成的事故原因。为了支持这项研究，我们首先贡献 MM-AU，这是一个用于多模态事故视频理解的新颖数据集。 MM-AU 包含 11,727 个野外驾驶事故视频以及时间对齐的文本描述、223 万个注释良好的对象框以及 58,650 对基于视频的事故原因文本。然后，我们提出了溯因 CLIP 模型和对比图视频预训练（CGVP）模型，它们利用关系感知跨模态语义学习来驱动空间溯因和时间溯因事故视频扩散。大量实验验证了 ADVersa 在不同任务上相对于最先进方法的优越性，即历史近崩溃视频帧恢复、崩溃视频帧预测、文本事故原因和类别推理、正常到事故视频合成和事故视频编辑。通过这些努力，我们希望这项研究能够推动多模态事故视频理解的进展。</w:t>
      </w:r>
    </w:p>
    <w:p>
      <w:pPr>
        <w:spacing w:before="120"/>
      </w:pPr>
      <w:r>
        <w:rPr>
          <w:rFonts w:ascii="Times New Roman" w:hAnsi="Times New Roman" w:eastAsia="宋体"/>
          <w:b/>
          <w:sz w:val="21"/>
        </w:rPr>
        <w:t>English Abstract:</w:t>
      </w:r>
    </w:p>
    <w:p>
      <w:r>
        <w:rPr>
          <w:rFonts w:ascii="Times New Roman" w:hAnsi="Times New Roman" w:eastAsia="宋体"/>
          <w:sz w:val="21"/>
        </w:rPr>
        <w:t>Understanding traffic accident scenes is a long-standing research for vision-based safe driving. It seeks to answer why accidents occur, how near-crash scenes develop, and what the key elements of an accident are. This research is challenging due to the scarcity and fragmentation of accident data, as well as the complex accident environments. To study this, we present a framework of A bductive D riving accident V ideo und ers t a nding ( ADVersa ), which infers a plausible visual and textual explanation for the absent near-crash scenes. ADVersa underscores three groups of tasks: 1) visual past recovery of near-crash scenes , 2) visual prediction of near-crash scenes , and 3) accident cause involved video synthesis . To support the study, we first contribute MM-AU , a novel dataset for M ulti- M odal A ccident video U nderstanding. MM-AU contains 11,727 in-the-wild driving accident videos with temporally aligned text descriptions, 2.23 million well-annotated object boxes, and 58,650 pairs of video-based accident cause texts. We then propose an Abductive CLIP model and a Contrastive Graph Video Pre-training (CGVP) model, which exploit relation-aware cross-modal semantic learning to drive spatially abductive and temporally abductive accident video diffusion. Extensive experiments verify the superiority of ADVersa to the state-of-the-art approaches on different tasks, i.e. , historical near-crash video frame recovering, crashing video frame prediction, textual accident cause and category reasoning, normal-to-accident video synthesis, and accident video editing. With these efforts, we hope this research can advance the progress on multimodal accident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DREAM：Deepfake 照片真实感评估基准研究</w:t>
      </w:r>
    </w:p>
    <w:p>
      <w:r>
        <w:rPr>
          <w:rFonts w:ascii="Times New Roman" w:hAnsi="Times New Roman" w:eastAsia="宋体"/>
          <w:b/>
          <w:color w:val="003264"/>
          <w:sz w:val="24"/>
        </w:rPr>
        <w:t>DREAM: A Benchmark Study for Deepfake photoREalism AssessMent</w:t>
      </w:r>
    </w:p>
    <w:p>
      <w:r>
        <w:rPr>
          <w:rFonts w:ascii="Times New Roman" w:hAnsi="Times New Roman" w:eastAsia="宋体"/>
          <w:sz w:val="21"/>
        </w:rPr>
        <w:t>作者: Bo Peng, Zichuan Wang, Sheng Yu, Xiaochuan Jin, Wei Wang, Jing Dong</w:t>
        <w:br/>
      </w:r>
      <w:r>
        <w:rPr>
          <w:rFonts w:ascii="Times New Roman" w:hAnsi="Times New Roman" w:eastAsia="宋体"/>
          <w:sz w:val="21"/>
        </w:rPr>
        <w:t xml:space="preserve">时间: 2026 | </w:t>
      </w:r>
      <w:r>
        <w:t xml:space="preserve">链接: </w:t>
      </w:r>
      <w:hyperlink r:id="rId146">
        <w:r>
          <w:rPr>
            <w:rFonts w:ascii="Times New Roman" w:hAnsi="Times New Roman" w:eastAsia="宋体"/>
            <w:color w:val="0000FF"/>
            <w:sz w:val="21"/>
            <w:u w:val="single"/>
          </w:rPr>
          <w:t>https://doi.org/10.1109/tpami.2026.3663547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基于深度学习的换脸视频，即众所周知的 Deepfakes，由于对信息可信度的威胁而引起了广泛关注。最近的工作主要集中在深度伪造品检测问题上，旨在以客观的方式可靠地区分深度伪造品和真实的伪造品。另一方面，深度伪造品的主观感知，尤其是其计算建模和模仿，也是一个重要问题，但缺乏足够的研究。在本文中，我们重点关注 Deepfakes 的真实感评估，其定义为对 Deepfakes 真实感的自动评估，接近人类对 Deepfakes 的感知。它对于评估 Deepfakes 的质量和欺骗性具有重要意义，可用于预测 Deepfakes 对互联网的影响，并且还具有作为批评者改进 Deepfakes 生成过程的潜力。本文通过提出一个名为 DREAM 的综合基准来推动这一新方向，DREAM 代表 Deepfake photoREalism AssessMent。它由不同质量的 Deepfake 视频数据集、包括从 3,500 名人类注释者获得的 140,000 个真实感评分和文本描述的大规模注释，以及对 18 种代表性真实感评估方法（包括最近基于大型视觉语言模型的方法和新提出的描述对齐 CLIP 方法）的综合评估和分析组成。本研究中包含的基准和见解可以为该方向和其他相关领域的未来研究奠定基础。我们将数据集提供给研究社区：https://github.com/bomb2peng/DREAM-A-Benchmark-Study-for-Deepfake-photoREalism-AssessMent。</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face-swap videos, widely known as deepfakes, have drawn wide attention due to their threat to information credibility. Recent works mainly focus on the problem of deepfake detection that aims to reliably tell deepfakes apart from real ones, in an objective way. On the other hand, the subjective perception of deepfakes, especially its computational modeling and imitation, is also a significant problem but lacks adequate study. In this paper, we focus on the photorealism assessment of deepfakes, which is defined as the automatic assessment of deepfake photorealism that approximates human perception of deepfakes. It is important for evaluating the quality and deceptiveness of deepfakes which can be used for predicting the influence of deepfakes on Internet, and it also has potentials in improving the deepfake generation process by serving as a critic. This paper promotes this new direction by presenting a comprehensive benchmark called DREAM, which stands for Deepfake photoREalism AssessMent. It is comprised of a deepfake video dataset of diverse quality, a large scale annotation that includes 140,000 photorealism scores and textual descriptions obtained from 3,500 human annotators, and a comprehensive evaluation and analysis of 18 representative photorealism assessment methods, including recent large vision language model based methods and a newly proposed description-aligned CLIP method. The benchmark and insights included in this study can lay the foundation for future research in this direction and other related areas. We make the dataset available to the research community at https://github.com/bomb2peng/DREAM-A-Benchmark-Study-for-Deepfake-photoREalism-AssessMent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探索和定制顺序推荐的测试时间增强</w:t>
      </w:r>
    </w:p>
    <w:p>
      <w:r>
        <w:rPr>
          <w:rFonts w:ascii="Times New Roman" w:hAnsi="Times New Roman" w:eastAsia="宋体"/>
          <w:b/>
          <w:color w:val="003264"/>
          <w:sz w:val="24"/>
        </w:rPr>
        <w:t>Exploring and Tailoring the Test-Time Augmentation for Sequential Recommendation</w:t>
      </w:r>
    </w:p>
    <w:p>
      <w:r>
        <w:rPr>
          <w:rFonts w:ascii="Times New Roman" w:hAnsi="Times New Roman" w:eastAsia="宋体"/>
          <w:sz w:val="21"/>
        </w:rPr>
        <w:t>作者: Yizhou Dang, Enneng Yang, Yuting Liu, Jianzhe Zhao, Xingwei Wang, Guibing Guo</w:t>
        <w:br/>
      </w:r>
      <w:r>
        <w:rPr>
          <w:rFonts w:ascii="Times New Roman" w:hAnsi="Times New Roman" w:eastAsia="宋体"/>
          <w:sz w:val="21"/>
        </w:rPr>
        <w:t xml:space="preserve">时间: 2026 | </w:t>
      </w:r>
      <w:r>
        <w:t xml:space="preserve">链接: </w:t>
      </w:r>
      <w:hyperlink r:id="rId147">
        <w:r>
          <w:rPr>
            <w:rFonts w:ascii="Times New Roman" w:hAnsi="Times New Roman" w:eastAsia="宋体"/>
            <w:color w:val="0000FF"/>
            <w:sz w:val="21"/>
            <w:u w:val="single"/>
          </w:rPr>
          <w:t>https://doi.org/10.1109/tpami.2026.3663633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是解决顺序推荐（SR）中数据稀疏性的有效技术。现有方法在模型训练期间生成新数据以提高性能。然而，将它们部署在骨干模型上需要重新训练、架构修改或引入额外的模块和可学习的参数。对于训练有素的模型来说，这些过程非常耗时且成本高昂，尤其是当模型和数据规模变大时。在这项工作中，我们探索了 SR 的测试时间增强 (TTA)，它在推理阶段增强输入序列，然后融合模型的预测以提高最终准确性。它避免了与训练时间增加相关的大量开销。我们首先通过实验检查现有增强算子在 TTA 中的潜力，发现 Substitute 和 Mask 始终能够实现更好的性能。进一步的分析表明，这两个算子保留了原始的顺序模式，同时添加了适当的扰动。此外，随机选择增强位置可以从语义和时间角度创建合适的增强样本。同时，我们发现固定的操作比率限制了增强数据的多样性，并且TTA可能会损害模型在长序列上的性能。此外，这两个操作员仍然面临着耗时的基于相似性的项目选择或来自掩模标记的干扰。基于分析和局限性，我们提出了 TNoise 和 TMask。前者将均匀的噪声注入到表示中，避免了项目选择的计算开销。后者阻止掩码令牌参与模型计算（TMask-B）或直接删除本应用掩码令牌替换的交互（TMask-R）。此外，我们从均匀分布中对增强率进行采样，以提高数据多样性。对于短序列，我们引入了基于项间插值的序列平滑和延长方法。对于长序列，我们设置一个阈值来避免 TTA 的负面影响。综合实验证明了我们方法的有效性、效率和普遍性。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an effective technique for tackling data sparsity in sequential recommendation (SR). Existing methods generate new data during the model training to improve the performance. However, deploying them on a backbone model requires retraining, architecture modification, or introducing additional modules and learnable parameters. These processes are time-consuming and costly for well-trained models, especially when the model and data scales become large. In this work, we explore the test-time augmentation (TTA) for SR, which augments the input sequences during the inference phase and then fuses the model's predictions to improve final accuracy. It avoids the significant overhead associated with training-time augmentation. We first experimentally examine the potential of existing augmentation operators for TTA and find that the Substitute and Mask consistently achieve better performance. Further analysis reveals that these two operators retain the original sequential pattern while adding appropriate perturbations. Moreover, the random selection of augmentation positions creates suitable augmented samples from both semantic and temporal perspectives. Meanwhile, we find that the fixed operation ratio limits the diversity of augmented data, and the TTA may impair the model's performance on long sequences. In addition, the two operators still face time-consuming similarity-based item selection or interference from mask tokens. Based on the analysis and limitations, we present TNoise and TMask. The former injects uniform noise into the representation, avoiding the computational overhead of item selection. The latter blocks mask tokens from participating in model calculations (TMask-B) or directly removes interactions that should have been replaced with mask tokens (TMask-R). Further, we sample the augmentation ratio from a uniform distribution to improve the data diversity. For short sequences, we introduce a sequence smoothing and lengthening method based on inter-item interpolation. For long sequences, we set a threshold to avoid the negative effects of TTA. Comprehensive experiments demonstrate the effectiveness, efficiency, and generalizability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联邦统计异质性的广义分布聚合协议</w:t>
      </w:r>
    </w:p>
    <w:p>
      <w:r>
        <w:rPr>
          <w:rFonts w:ascii="Times New Roman" w:hAnsi="Times New Roman" w:eastAsia="宋体"/>
          <w:b/>
          <w:color w:val="003264"/>
          <w:sz w:val="24"/>
        </w:rPr>
        <w:t>Generalized Distribution Aggregation Protocol for Federated Statistical Heterogeneity</w:t>
      </w:r>
    </w:p>
    <w:p>
      <w:r>
        <w:rPr>
          <w:rFonts w:ascii="Times New Roman" w:hAnsi="Times New Roman" w:eastAsia="宋体"/>
          <w:sz w:val="21"/>
        </w:rPr>
        <w:t>作者: Mingwei Xu, Xiaofeng Cao, Ivor W. Tsang, James T. Kwok, Heng Tao Shen</w:t>
        <w:br/>
      </w:r>
      <w:r>
        <w:rPr>
          <w:rFonts w:ascii="Times New Roman" w:hAnsi="Times New Roman" w:eastAsia="宋体"/>
          <w:sz w:val="21"/>
        </w:rPr>
        <w:t xml:space="preserve">时间: 2026 | </w:t>
      </w:r>
      <w:r>
        <w:t xml:space="preserve">链接: </w:t>
      </w:r>
      <w:hyperlink r:id="rId148">
        <w:r>
          <w:rPr>
            <w:rFonts w:ascii="Times New Roman" w:hAnsi="Times New Roman" w:eastAsia="宋体"/>
            <w:color w:val="0000FF"/>
            <w:sz w:val="21"/>
            <w:u w:val="single"/>
          </w:rPr>
          <w:t>https://doi.org/10.1109/tpami.2026.3663744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异构性是指不同设备或机构实体之间的数据分布、模型架构和通信能力的差异。在现实场景中，统计异质性通常会导致无效聚合，严重影响泛化性能并导致模型权重有偏差或不稳定。理论上，分布稳健性分析表明学习模型的泛化性能对于任何异质性分布都是有界的。这种见解促使我们重新考虑联合统计异质性场景中的聚合策略，因此我们提出了一种新的加权聚合协议，该协议考虑每个局部模型的泛化界限分歧。具体来说，我们估计当前局部模型的平移分布的二阶原点矩的上下界，并使用这些界限分歧作为每轮通信中权重的聚合比例。我们的实验表明，这种提出的聚合协议显着提高了基准数据集上几种代表性联邦学习算法的性能。</w:t>
      </w:r>
    </w:p>
    <w:p>
      <w:pPr>
        <w:spacing w:before="120"/>
      </w:pPr>
      <w:r>
        <w:rPr>
          <w:rFonts w:ascii="Times New Roman" w:hAnsi="Times New Roman" w:eastAsia="宋体"/>
          <w:b/>
          <w:sz w:val="21"/>
        </w:rPr>
        <w:t>English Abstract:</w:t>
      </w:r>
    </w:p>
    <w:p>
      <w:r>
        <w:rPr>
          <w:rFonts w:ascii="Times New Roman" w:hAnsi="Times New Roman" w:eastAsia="宋体"/>
          <w:sz w:val="21"/>
        </w:rPr>
        <w:t>Federated heterogeneity refers to the disparities in data distributions, model architectures, and communication capabilities across various devices or institutional entities. In real-world scenarios, statistical heterogeneity can often lead to ineffective aggregation, severely impacting generalization performance and resulting in biased or unstable model weights. Theoretically, distributional robustness analysis indicates that the generalization performance of a learning model can be bounded with respect to any heterogeneity distribution. This insight motivates us to reconsider the aggregation strategy in federated statistical heterogeneity scenarios, and we thus propose a new weighting aggregation protocol that considers the generalization bound disagreement of each local model. Specifically, we estimate the upper and lower bounds of the second-order origin moment of the shifted distribution for the current local model, and using these bound disagreements as the aggregation proportions for weights in each communication round. Our experiments demonstrate that this proposed aggregation protocol significantly improves the performance of several representative Federated Learning algorithms on benchmark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OmniHD 场景：用于自动驾驶的下一代多模态数据集</w:t>
      </w:r>
    </w:p>
    <w:p>
      <w:r>
        <w:rPr>
          <w:rFonts w:ascii="Times New Roman" w:hAnsi="Times New Roman" w:eastAsia="宋体"/>
          <w:b/>
          <w:color w:val="003264"/>
          <w:sz w:val="24"/>
        </w:rPr>
        <w:t>OmniHD-Scenes: A Next-Generation Multimodal Dataset for Autonomous Driving</w:t>
      </w:r>
    </w:p>
    <w:p>
      <w:r>
        <w:rPr>
          <w:rFonts w:ascii="Times New Roman" w:hAnsi="Times New Roman" w:eastAsia="宋体"/>
          <w:sz w:val="21"/>
        </w:rPr>
        <w:t>作者: Lianqing Zheng, Long Yang, Qunshu Lin, Wenjin Ai, Minghao Liu, Shouyi Lu, Jianan Liu, Hongze Ren, Jingyue Mo, Xiaokai Bai, Jie Bai, Zhixiong Ma, Xichan Zhu</w:t>
        <w:br/>
      </w:r>
      <w:r>
        <w:rPr>
          <w:rFonts w:ascii="Times New Roman" w:hAnsi="Times New Roman" w:eastAsia="宋体"/>
          <w:sz w:val="21"/>
        </w:rPr>
        <w:t xml:space="preserve">时间: 2026 | </w:t>
      </w:r>
      <w:r>
        <w:t xml:space="preserve">链接: </w:t>
      </w:r>
      <w:hyperlink r:id="rId149">
        <w:r>
          <w:rPr>
            <w:rFonts w:ascii="Times New Roman" w:hAnsi="Times New Roman" w:eastAsia="宋体"/>
            <w:color w:val="0000FF"/>
            <w:sz w:val="21"/>
            <w:u w:val="single"/>
          </w:rPr>
          <w:t>https://doi.org/10.1109/tpami.2026.3663672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快速发展加剧了自动驾驶算法对综合数据的需求。高质量的数据集对于开发有效的数据驱动的自动驾驶解决方案至关重要。下一代自动驾驶数据集必须是多模式的，包含来自先进传感器的数据，这些传感器具有广泛的数据覆盖范围、详细的注释和多样化的场景表示。为了满足这一需求，我们推出了 OmniHD-Scenes，这是一个大规模多模态数据集，可提供全面的全向高清数据。 OmniHD-Scenes 数据集结合了来自 128 束激光雷达、六个摄像头和六个 4D 成像雷达系统的数据，以实现完整的环境感知。该数据集包含 1501 个片段，每个片段长约 30 秒，总计超过 45 万个同步帧和超过 585 万个同步传感器数据点。我们还提出了一种新颖的 4D 注释管道。迄今为止，我们已使用超过 514 K 的精确 3D 边界框对 200 个剪辑进行了注释。这些剪辑还包括静态场景元素的语义分割注释。此外，我们引入了一种新颖的自动化管道，用于生成密集占用地面实况，它有效地利用非关键帧的信息。除了提出的数据集之外，我们还为 3D 检测和语义占用预测建立了全面的评估指标、基线模型和基准。这些基准测试利用环视摄像头和 4D 成像雷达来探索适用于自动驾驶应用的经济高效的传感器解决方案。大量的实验证明了我们的低成本传感器配置的有效性及其在不利条件下的鲁棒性。该数据集可从 https://www.2077ai.com/OmniHD-Scenes 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 learning has intensified the need for comprehensive data for use by autonomous driving algorithms. High-quality datasets are crucial for the development of effective data-driven autonomous driving solutions. Next-generation autonomous driving datasets must be multimodal, incorporating data from advanced sensors that feature extensive data coverage, detailed annotations, and diverse scene representation. To address this need, we present OmniHD-Scenes, a large-scale multimodal dataset that provides comprehensive omnidirectional high-definition data. The OmniHD-Scenes dataset combines data from 128-beam LiDAR, six cameras, and six 4D imaging radar systems to achieve full environmental perception. The dataset comprises 1501 clips, each approximately 30-s long, totaling more than 450 K synchronized frames and more than 5.85 million synchronized sensor data points. We also propose a novel 4D annotation pipeline. To date, we have annotated 200 clips with more than 514 K precise 3D bounding boxes. These clips also include semantic segmentation annotations for static scene elements. Additionally, we introduce a novel automated pipeline for generation of the dense occupancy ground truth, which effectively leverages information from non-key frames. Alongside the proposed dataset, we establish comprehensive evaluation metrics, baseline models, and benchmarks for 3D detection and semantic occupancy prediction. These benchmarks utilize surround-view cameras and 4D imaging radar to explore cost-effective sensor solutions for autonomous driving applications. Extensive experiments demonstrate the effectiveness of our low-cost sensor configuration and its robustness under adverse conditions. The dataset is available at https://www.2077ai.com/OmniHD-Scenes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Thermal3D-GS：物理诱导的 3D 高斯，用于大规模数据集的热红外新颖视图合成</w:t>
      </w:r>
    </w:p>
    <w:p>
      <w:r>
        <w:rPr>
          <w:rFonts w:ascii="Times New Roman" w:hAnsi="Times New Roman" w:eastAsia="宋体"/>
          <w:b/>
          <w:color w:val="003264"/>
          <w:sz w:val="24"/>
        </w:rPr>
        <w:t>Thermal3D-GS: Physics-induced 3D Gaussians for Thermal Infrared Novel-view Synthesis with a Large-Scale Dataset</w:t>
      </w:r>
    </w:p>
    <w:p>
      <w:r>
        <w:rPr>
          <w:rFonts w:ascii="Times New Roman" w:hAnsi="Times New Roman" w:eastAsia="宋体"/>
          <w:sz w:val="21"/>
        </w:rPr>
        <w:t>作者: Qian Chen, Shihao Shu, Heng Sun, Junzhang Chen, Xiangzhi Bai</w:t>
        <w:br/>
      </w:r>
      <w:r>
        <w:rPr>
          <w:rFonts w:ascii="Times New Roman" w:hAnsi="Times New Roman" w:eastAsia="宋体"/>
          <w:sz w:val="21"/>
        </w:rPr>
        <w:t xml:space="preserve">时间: 2026 | </w:t>
      </w:r>
      <w:r>
        <w:t xml:space="preserve">链接: </w:t>
      </w:r>
      <w:hyperlink r:id="rId150">
        <w:r>
          <w:rPr>
            <w:rFonts w:ascii="Times New Roman" w:hAnsi="Times New Roman" w:eastAsia="宋体"/>
            <w:color w:val="0000FF"/>
            <w:sz w:val="21"/>
            <w:u w:val="single"/>
          </w:rPr>
          <w:t>https://doi.org/10.1109/tpami.2026.3663966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成像由于全天候成像、穿透力强等优点，受到了众多领域的广泛关注。然而，现有的热红外新颖视图合成方法经常产生细节粗糙和浮动伪影的结果，这主要是由大气传输效应和热传导等物理因素引起的。这些挑战阻碍了热场景中复杂结构和温度分布的准确重建，限制了先前方法的实际用途。为了解决这些限制，本文引入了一种物理诱导的 3D 高斯喷射方法，名为 Thermal3D-GS，这是第一个完全依赖于热红外图像的新颖视图合成方法。 Thermal3D-GS 首先使用神经网络对三维介质中的大气传输效应和热传导进行建模。此外，考虑到红外图像的稀疏特征，设计稀疏特征先验以提高热红外图像的重建精度。此外，为了验证我们方法的有效性，创建了第一个名为热红外小说视图综合数据集（TI-NSD）的大规模基准数据集。该数据集包含50个真实的热红外视频场景，涵盖室内、室外、交通和无人机场景，共有15,213帧热红外图像数据。此外，还构建了一个扩展的验证热红外数据集，其中包括不同大气条件和复杂传播介质下的三个高分辨率场景和五个特殊场景，以评估所提方法的泛化性能。基于该数据集，本文通过实验验证了Thermal3D-GS的有效性。结果表明，我们的方法优于基线方法，PSNR 提高了 3.19 dB，并且显着解决了基线方法中存在的飞蚊症和模糊边缘特征的问题。数据集和我们的代码均可在 https://github.com/mzzcdf/Thermal3DGS 中公开获取。</w:t>
      </w:r>
    </w:p>
    <w:p>
      <w:pPr>
        <w:spacing w:before="120"/>
      </w:pPr>
      <w:r>
        <w:rPr>
          <w:rFonts w:ascii="Times New Roman" w:hAnsi="Times New Roman" w:eastAsia="宋体"/>
          <w:b/>
          <w:sz w:val="21"/>
        </w:rPr>
        <w:t>English Abstract:</w:t>
      </w:r>
    </w:p>
    <w:p>
      <w:r>
        <w:rPr>
          <w:rFonts w:ascii="Times New Roman" w:hAnsi="Times New Roman" w:eastAsia="宋体"/>
          <w:sz w:val="21"/>
        </w:rPr>
        <w:t>Thermal infrared imaging has attracted widespread attention in many fields due to the advantages of all-weather imaging and strong penetration. However, existing methods for thermal infrared novel-view synthesis often produce results with coarse details and floating artifacts, primarily caused by physical factors such as atmospheric transmission effects and thermal conduction. These challenges hinder accurate reconstruction of intricate structures and temperature distributions in thermal scenes, limiting the practical utility of previous approaches. To address these limitations, this paper introduces a physics-induced 3D Gaussian splatting method named Thermal3D-GS, the first novel-view synthesis method that relies exclusively on thermal infrared image. Thermal3D-GS begins by modeling atmospheric transmission effects and thermal conduction in three-dimensional media using neural networks. Additionally, considering the sparse features of infrared images, sparse feature priors are designed to improve the reconstruction accuracy of thermal infrared images. Furthermore, to validate the effectiveness of our method, the first large-scale benchmark dataset named Thermal Infrared Novel-view Synthesis Dataset (TI-NSD) is created. This dataset comprises 50 authentic thermal infrared video scenes, covering indoor, outdoor, traffic and UAV(Unmanned Aerial Vehicle) scenarios, with a total of 15,213 frames of thermal infrared image data. In addition, an expanded validation thermal infrared dataset, which includes three high-resolution scenes and five special scenes under varying atmospheric conditions and complex propagation media is constructed to assess generalization performance of the proposed method. Based on this dataset, this paper experimentally verifies the effectiveness of Thermal3D-GS. The results indicate that our method outperforms the baseline method with a 3.19 dB improvement in PSNR and significantly addresses the issues of floaters and indistinct edge features present in the baseline method. The dataset and our code are both publicly available in https://github.com/mzzcdf/Thermal3DGS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用于多语言情感分析的个性化且保护隐私的联合 Transformer 框架</w:t>
      </w:r>
    </w:p>
    <w:p>
      <w:r>
        <w:rPr>
          <w:rFonts w:ascii="Times New Roman" w:hAnsi="Times New Roman" w:eastAsia="宋体"/>
          <w:b/>
          <w:color w:val="003264"/>
          <w:sz w:val="24"/>
        </w:rPr>
        <w:t>A Personalized and Privacy-Preserving Federated Transformer Framework for Multilingual Sentiment Analysis</w:t>
      </w:r>
    </w:p>
    <w:p>
      <w:r>
        <w:rPr>
          <w:rFonts w:ascii="Times New Roman" w:hAnsi="Times New Roman" w:eastAsia="宋体"/>
          <w:sz w:val="21"/>
        </w:rPr>
        <w:t>作者: Jothi Prakash V, Arul Antran Vijay S, Gopikrishnan Sundaram</w:t>
        <w:br/>
      </w:r>
      <w:r>
        <w:rPr>
          <w:rFonts w:ascii="Times New Roman" w:hAnsi="Times New Roman" w:eastAsia="宋体"/>
          <w:sz w:val="21"/>
        </w:rPr>
        <w:t xml:space="preserve">时间: 2026 | </w:t>
      </w:r>
      <w:r>
        <w:t xml:space="preserve">链接: </w:t>
      </w:r>
      <w:hyperlink r:id="rId151">
        <w:r>
          <w:rPr>
            <w:rFonts w:ascii="Times New Roman" w:hAnsi="Times New Roman" w:eastAsia="宋体"/>
            <w:color w:val="0000FF"/>
            <w:sz w:val="21"/>
            <w:u w:val="single"/>
          </w:rPr>
          <w:t>https://doi.org/10.1109/tpami.2026.3663617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用于多语言情感分析的个性化联合学习因语言异质性、非独立同分布数据分布和严格的隐私要求而带来了重大挑战。本文提出了 FedPerX，一种联合变压器框架，它将基于残差适配器的个性化与自适应多粒度差分隐私集成在一起。该架构利用冻结的多语言主干（XLM-R），同时使每个客户端能够训练轻量级、特定于客户端的适配器。通过在功能和适配器级别上进行动态噪声注入来加强隐私，并使用梯度灵敏度进行校准。 FedPerX 根据两个多语言基准（MARC 和 TSMD）进行评估，涵盖十多种语言的结构化评论和非正式社交媒体内容。实验结果表明，与七个最先进的基线相比，得到了一致的改进，宏观 F1 的增益高达 +4.3%，通信开销减少了 70%，客户端级别性能的差异最小。综合分析，包括公平性、个性化差距、隐私与效用权衡以及消融研究，验证了该框架的稳健性和适应性。 FedPerX 推进了可扩展、个性化和隐私保护模型的设计，用于联合多语言情感分析。</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for multilingual sentiment analysis poses significant challenges arising from linguistic heterogeneity, non-IID data distributions, and strict privacy requirements. This paper proposes FedPerX, a federated transformer framework that integrates residual adapter-based personalization with adaptive multi-granular differential privacy. The architecture leverages a frozen multilingual backbone (XLM-R) while enabling each client to train lightweight, client-specific adapters. Privacy is enforced through dynamic noise injection at both the feature and adapter levels, calibrated using gradient sensitivity. FedPerX is evaluated on two multilingual benchmarks—MARC and TSMD—spanning structured reviews and informal social media content across more than ten languages. Experimental results demonstrate consistent improvements over seven state-of-the-art baselines, with up to +4.3% gains in macro-F1, a 70% reduction in communication overhead, and the lowest variance in client-level performance. Comprehensive analyses, including fairness, personalization gap, privacy-utility trade-off, and ablation studies, validate the framework's robustness and adaptability. FedPerX advances the design of scalable, personalized, and privacy-preserving models for federated multilingual sentiment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 k 空间超振荡进行远场超分辨率成像</w:t>
      </w:r>
    </w:p>
    <w:p>
      <w:r>
        <w:rPr>
          <w:rFonts w:ascii="Times New Roman" w:hAnsi="Times New Roman" w:eastAsia="宋体"/>
          <w:b/>
          <w:color w:val="003264"/>
          <w:sz w:val="24"/>
        </w:rPr>
        <w:t>Far-field superresolution imaging via k-space superoscillation</w:t>
      </w:r>
    </w:p>
    <w:p>
      <w:r>
        <w:rPr>
          <w:rFonts w:ascii="Times New Roman" w:hAnsi="Times New Roman" w:eastAsia="宋体"/>
          <w:sz w:val="21"/>
        </w:rPr>
        <w:t>作者: Bohan Zhang, Hao Zhang, Fei Zhang, Wei Liu, Yuanmu Yang</w:t>
        <w:br/>
      </w:r>
      <w:r>
        <w:rPr>
          <w:rFonts w:ascii="Times New Roman" w:hAnsi="Times New Roman" w:eastAsia="宋体"/>
          <w:sz w:val="21"/>
        </w:rPr>
        <w:t xml:space="preserve">时间: 2026-02-12 | </w:t>
      </w:r>
      <w:r>
        <w:t xml:space="preserve">链接: </w:t>
      </w:r>
      <w:hyperlink r:id="rId159">
        <w:r>
          <w:rPr>
            <w:rFonts w:ascii="Times New Roman" w:hAnsi="Times New Roman" w:eastAsia="宋体"/>
            <w:color w:val="0000FF"/>
            <w:sz w:val="21"/>
            <w:u w:val="single"/>
          </w:rPr>
          <w:t>https://doi.org/10.1186/s43593-026-00121-4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成像系统的分辨率长期以来受到阿贝-瑞利衍射极限的限制。尽管在开发超分辨率技术方面取得了重大进展，但许多方法依赖于近场扫描、荧光标记，并且受到分辨率、视场和能源效率之间权衡的阻碍。在这里，我们引入了一种概念上的新方法，该方法能够实现远场、无标记超分辨率成像，同时避免真实空间超振荡成像系统固有的图像平面边带。通过利用在实空间和 k（波矢量）空间中具有拓扑优化响应的 3D 图案超透镜，我们破坏了经典成像系统中的空间平移不变性假设，通过我们称为 k 空间超振荡的机制显着扩大了有效镜头孔径。这实现了超出瑞利准则的分辨率。微波频率下的原型实验表明，无需计算后处理，分辨率就比衍射极限提高了一倍。这项工作为生物学、天文学和材料科学等领域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resolution of an imaging system has long been constrained by the Abbe-Rayleigh diffraction limit. While significant progress has been made in developing superresolution techniques, many approaches rely on near-field scanning, fluorescence labeling, and are hindered by trade-offs among resolution, field-of-view, and energy efficiency. Here, we introduce a conceptually new approach that enables far-field, label-free superresolution imaging while avoiding the image-plane sidebands inherent to real-space superoscillatory imaging systems. By exploiting a 3D-patterned metalens with a topology-optimized response in both real- and k (wavevector)-space, we disrupt the spatially shift-invariance assumption in classical imaging systems, significantly expanding the effective lens aperture through a mechanism we term k -space superoscillation. This achieves resolution beyond the Rayleigh criterion. Prototype experiments at microwave frequencies demonstrate a twofold resolution enhancement over the diffraction limit without computational post-processing. This work opens avenues for applications ranging from biology, astronomy, and materials science.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11:28 ---</w:t>
      </w:r>
    </w:p>
    <w:p>
      <w:pPr>
        <w:pStyle w:val="Heading2"/>
      </w:pPr>
      <w:r/>
      <w:r>
        <w:rPr>
          <w:rFonts w:ascii="Times New Roman" w:hAnsi="Times New Roman" w:eastAsia="宋体"/>
          <w:b/>
          <w:color w:val="000000"/>
          <w:sz w:val="24"/>
        </w:rPr>
        <w:t>作者更正：无监督学习实现了无标签单像素成像，通过未知的动态散射介质实现弹性信息传输</w:t>
      </w:r>
    </w:p>
    <w:p>
      <w:r>
        <w:rPr>
          <w:rFonts w:ascii="Times New Roman" w:hAnsi="Times New Roman" w:eastAsia="宋体"/>
          <w:b/>
          <w:color w:val="003264"/>
          <w:sz w:val="24"/>
        </w:rPr>
        <w:t>Author correction: Unsupervised learning enabled label-free single-pixel imaging for resilient information transmission through unknown dynamic scattering media</w:t>
      </w:r>
    </w:p>
    <w:p>
      <w:r>
        <w:rPr>
          <w:rFonts w:ascii="Times New Roman" w:hAnsi="Times New Roman" w:eastAsia="宋体"/>
          <w:sz w:val="21"/>
        </w:rPr>
        <w:t>作者: Fujie Li, Haoyu Zhang, Zhilan Lu, Li Yao, Yuan Wei, Ziwei Li, Feng Bao, Junwen Zhang, Yingjun Zhou, Nan Chi</w:t>
        <w:br/>
      </w:r>
      <w:r>
        <w:rPr>
          <w:rFonts w:ascii="Times New Roman" w:hAnsi="Times New Roman" w:eastAsia="宋体"/>
          <w:sz w:val="21"/>
        </w:rPr>
        <w:t xml:space="preserve">时间: 2026 | </w:t>
      </w:r>
      <w:r>
        <w:t xml:space="preserve">链接: </w:t>
      </w:r>
      <w:hyperlink r:id="rId160">
        <w:r>
          <w:rPr>
            <w:rFonts w:ascii="Times New Roman" w:hAnsi="Times New Roman" w:eastAsia="宋体"/>
            <w:color w:val="0000FF"/>
            <w:sz w:val="21"/>
            <w:u w:val="single"/>
          </w:rPr>
          <w:t>https://doi.org/10.29026/oea.2025.250013c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使用现有和未来的仪器观测太阳涡旋。太阳物理学国际漩涡网络 (SPINS) 白皮书 (Helio)</w:t>
      </w:r>
    </w:p>
    <w:p>
      <w:r>
        <w:rPr>
          <w:rFonts w:ascii="Times New Roman" w:hAnsi="Times New Roman" w:eastAsia="宋体"/>
          <w:b/>
          <w:color w:val="003264"/>
          <w:sz w:val="24"/>
        </w:rPr>
        <w:t>Observing solar vortices with existing and future instrumentation. Solar Physics International Network for Swirls (SPINS) white paper (Helio)</w:t>
      </w:r>
    </w:p>
    <w:p>
      <w:r>
        <w:rPr>
          <w:rFonts w:ascii="Times New Roman" w:hAnsi="Times New Roman" w:eastAsia="宋体"/>
          <w:sz w:val="21"/>
        </w:rPr>
        <w:t>作者: Luiz Augusto Camargo Aranha Schiavo</w:t>
        <w:br/>
      </w:r>
      <w:r>
        <w:rPr>
          <w:rFonts w:ascii="Times New Roman" w:hAnsi="Times New Roman" w:eastAsia="宋体"/>
          <w:sz w:val="21"/>
        </w:rPr>
        <w:t xml:space="preserve">时间: 2026-02-10T13:55:23Z | </w:t>
      </w:r>
      <w:r>
        <w:t xml:space="preserve">链接: </w:t>
      </w:r>
      <w:hyperlink r:id="rId168">
        <w:r>
          <w:rPr>
            <w:rFonts w:ascii="Times New Roman" w:hAnsi="Times New Roman" w:eastAsia="宋体"/>
            <w:color w:val="0000FF"/>
            <w:sz w:val="21"/>
            <w:u w:val="single"/>
          </w:rPr>
          <w:t>https://arxiv.org/abs/2602.10170v1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涡旋是太阳大气动力学的基本组成部分，是磁场扭曲、能量集中和传输、波导以及跨大气层等离子体耦合的天然实验室。数值和观测研究表明，太阳涡旋与磁重联、大气加热、湍流和波产生等关键物理过程密切相关。这份为英国太空前沿 2035 号召准备的白皮书概述了五个高度优先的科学问题，涉及涡旋产生机制、跨层耦合、磁重组、集体波导结构及其在触发爆炸事件和调节太阳风中的作用。确定了未来十年取得重大进展所需的关键观察和能力。英国太阳物理学界在涡动力学方面建立了世界领先的专业知识，结合了高分辨率观测、MHD 湍流理论、数值模拟和空间仪器方面的优势。英国研究人员为太阳轨道飞行器做出了基础性贡献，为 DKIST 提供了关键系统，并积极参与 MUSE 和 SOLAR-C EUVST 任务。我们的技术方法集中于开发下一代仪器：一个多波段、符合太空要求的系统，采用四个可调谐法布里-珀罗干涉仪，提供从深光球层到低日冕的衍射极限、高节奏光谱偏振覆盖。这种能力将通过从气球承载演示器开始的分阶段任务架构进行验证。在未来十年继续这项努力对于保持英国在该领域的领导地位并实现太阳系研究路线图的目标至关重要。</w:t>
      </w:r>
    </w:p>
    <w:p>
      <w:pPr>
        <w:spacing w:before="120"/>
      </w:pPr>
      <w:r>
        <w:rPr>
          <w:rFonts w:ascii="Times New Roman" w:hAnsi="Times New Roman" w:eastAsia="宋体"/>
          <w:b/>
          <w:sz w:val="21"/>
        </w:rPr>
        <w:t>English Abstract:</w:t>
      </w:r>
    </w:p>
    <w:p>
      <w:r>
        <w:rPr>
          <w:rFonts w:ascii="Times New Roman" w:hAnsi="Times New Roman" w:eastAsia="宋体"/>
          <w:sz w:val="21"/>
        </w:rPr>
        <w:t>Solar vortices are fundamental components of solar atmospheric dynamics, serving as natural laboratories for magnetic field twisting, energy concentration and transport, wave guidance, and plasma coupling across atmospheric layers. Numerical and observational studies show that solar vortices are intimately connected to key physical processes including magnetic reconnection, atmospheric heating, turbulence, and wave generation. This white paper, prepared for the UK Space Frontiers 2035 call, outline five high-priority scientific questions addressing vortex generation mechanisms, cross-layer coupling, magnetic restructuring, collective wave-guidance structures, and their role in triggering explosive events and modulating the solar wind. Key observations and capabilities required to make significant advancements over the coming decade are identified. The UK solar physics community has established world-leading expertise in vortex dynamics, combining strengths in high-resolution observations, MHD turbulence theory, numerical modelling, and space instrumentation. UK researchers have made foundational contributions to Solar Orbiter, delivered critical systems for DKIST, and maintain active involvement in MUSE and SOLAR-C EUVST missions. Our technical approach centres on developing next-generation instrumentation: a multi-band, space-qualified system employing four tunable Fabry-Pérot Interferometers providing diffraction-limited, high-cadence spectropolarimetric coverage from the deep photosphere to the low corona. This capability will be validated through a staged mission architecture beginning with balloon-borne demonstrators. Continuing this effort over the coming decade is vital to maintain UK leadership in this field and achieve the goals of roadmap for solar system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成像盲源分离</w:t>
      </w:r>
    </w:p>
    <w:p>
      <w:r>
        <w:rPr>
          <w:rFonts w:ascii="Times New Roman" w:hAnsi="Times New Roman" w:eastAsia="宋体"/>
          <w:b/>
          <w:color w:val="003264"/>
          <w:sz w:val="24"/>
        </w:rPr>
        <w:t>Blind source separation for imaging</w:t>
      </w:r>
    </w:p>
    <w:p>
      <w:r>
        <w:rPr>
          <w:rFonts w:ascii="Times New Roman" w:hAnsi="Times New Roman" w:eastAsia="宋体"/>
          <w:sz w:val="21"/>
        </w:rPr>
        <w:t>作者: Olivier Pinaud</w:t>
        <w:br/>
      </w:r>
      <w:r>
        <w:rPr>
          <w:rFonts w:ascii="Times New Roman" w:hAnsi="Times New Roman" w:eastAsia="宋体"/>
          <w:sz w:val="21"/>
        </w:rPr>
        <w:t xml:space="preserve">时间: 2026-02-10T20:44:42Z | </w:t>
      </w:r>
      <w:r>
        <w:t xml:space="preserve">链接: </w:t>
      </w:r>
      <w:hyperlink r:id="rId169">
        <w:r>
          <w:rPr>
            <w:rFonts w:ascii="Times New Roman" w:hAnsi="Times New Roman" w:eastAsia="宋体"/>
            <w:color w:val="0000FF"/>
            <w:sz w:val="21"/>
            <w:u w:val="single"/>
          </w:rPr>
          <w:t>https://arxiv.org/abs/2602.10277v1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涉及盲源分离问题及其在成像中的应用。我们首先建立我们在上一篇关于扩散环境中成像的文章中所述的理论结果。该结果是文献中发现的可分离性标准对具有加性噪声的任意相关复值源的概括。第二步，我们在成像中经常遇到的两种传播机制中验证这些可分离性条件：散斑机制和随机几何光学机制。最后，我们提出了一种基于盲源分离问题的新成像方法，该方法改进了通过时间反转算子方法的经典分解获得的图像。</w:t>
      </w:r>
    </w:p>
    <w:p>
      <w:pPr>
        <w:spacing w:before="120"/>
      </w:pPr>
      <w:r>
        <w:rPr>
          <w:rFonts w:ascii="Times New Roman" w:hAnsi="Times New Roman" w:eastAsia="宋体"/>
          <w:b/>
          <w:sz w:val="21"/>
        </w:rPr>
        <w:t>English Abstract:</w:t>
      </w:r>
    </w:p>
    <w:p>
      <w:r>
        <w:rPr>
          <w:rFonts w:ascii="Times New Roman" w:hAnsi="Times New Roman" w:eastAsia="宋体"/>
          <w:sz w:val="21"/>
        </w:rPr>
        <w:t>This work is concerned with the problem of blind source separation and its applications to imaging. We first establish a theoretical result that we stated in our previous article on imaging in diffusive environments. This result is a generalization of separability criteria found in the literature to arbitrary correlated complex-valued sources with additive noise. In a second step, we verify these separability conditions in two propagation regimes frequently encountered in imaging: the speckle regime and the random geometrical optics regime. Finally, we propose a new imaging method based on the blind source separation problem that improves on images obtained with the classical decomposition of the time reversal operator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非平稳偏振光学力，考虑色散和衍射的影响</w:t>
      </w:r>
    </w:p>
    <w:p>
      <w:r>
        <w:rPr>
          <w:rFonts w:ascii="Times New Roman" w:hAnsi="Times New Roman" w:eastAsia="宋体"/>
          <w:b/>
          <w:color w:val="003264"/>
          <w:sz w:val="24"/>
        </w:rPr>
        <w:t>Nonstationary polarization optical forces, considering the influence of dispersion and diffraction</w:t>
      </w:r>
    </w:p>
    <w:p>
      <w:r>
        <w:rPr>
          <w:rFonts w:ascii="Times New Roman" w:hAnsi="Times New Roman" w:eastAsia="宋体"/>
          <w:sz w:val="21"/>
        </w:rPr>
        <w:t>作者: D. Dakova</w:t>
        <w:br/>
      </w:r>
      <w:r>
        <w:rPr>
          <w:rFonts w:ascii="Times New Roman" w:hAnsi="Times New Roman" w:eastAsia="宋体"/>
          <w:sz w:val="21"/>
        </w:rPr>
        <w:t xml:space="preserve">时间: 2026-02-10T20:52:36Z | </w:t>
      </w:r>
      <w:r>
        <w:t xml:space="preserve">链接: </w:t>
      </w:r>
      <w:hyperlink r:id="rId170">
        <w:r>
          <w:rPr>
            <w:rFonts w:ascii="Times New Roman" w:hAnsi="Times New Roman" w:eastAsia="宋体"/>
            <w:color w:val="0000FF"/>
            <w:sz w:val="21"/>
            <w:u w:val="single"/>
          </w:rPr>
          <w:t>https://arxiv.org/abs/2602.10283v1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在目前的工作中，介绍了由于超短激光脉冲在空气中以几个衍射和色散长度传播的距离的衍射和色散而引起的纵向光学力的动态特性和所施加的电势。结果基于线性 3D+1 近轴振幅方程的解析解及其在纵向光学力随时间演化中的应用。目前的研究为中性粒子激光加速器的开发和制造提供了宝贵的指导，在激光驱动核聚变领域具有潜在的应用。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the present work, the dynamic properties of an attractive longitudinal optical force and the applied potential, due to diffraction and dispersion of ultrashort laser pulses, propagating in air at distances of several diffraction and dispersion lengths, are presented. The results are based on an analytical solution of the linear 3D+1 paraxial amplitude equation and its application to the evolution in time of the longitudinal optical force. The current research provides valuable guidance for the development and creation of neutral particle laser accelerators with potential applications in the field of laser driven nuclear fusion.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具有用于量子网络的本地振荡器参考的高性能不可区分偏振纠缠光子源</w:t>
      </w:r>
    </w:p>
    <w:p>
      <w:r>
        <w:rPr>
          <w:rFonts w:ascii="Times New Roman" w:hAnsi="Times New Roman" w:eastAsia="宋体"/>
          <w:b/>
          <w:color w:val="003264"/>
          <w:sz w:val="24"/>
        </w:rPr>
        <w:t>High-performance source of indistinguishable polarization-entangled photons with a local oscillator reference for quantum networking</w:t>
      </w:r>
    </w:p>
    <w:p>
      <w:r>
        <w:rPr>
          <w:rFonts w:ascii="Times New Roman" w:hAnsi="Times New Roman" w:eastAsia="宋体"/>
          <w:sz w:val="21"/>
        </w:rPr>
        <w:t>作者: L. Krister Shalm</w:t>
        <w:br/>
      </w:r>
      <w:r>
        <w:rPr>
          <w:rFonts w:ascii="Times New Roman" w:hAnsi="Times New Roman" w:eastAsia="宋体"/>
          <w:sz w:val="21"/>
        </w:rPr>
        <w:t xml:space="preserve">时间: 2026-02-10T21:46:54Z | </w:t>
      </w:r>
      <w:r>
        <w:t xml:space="preserve">链接: </w:t>
      </w:r>
      <w:hyperlink r:id="rId171">
        <w:r>
          <w:rPr>
            <w:rFonts w:ascii="Times New Roman" w:hAnsi="Times New Roman" w:eastAsia="宋体"/>
            <w:color w:val="0000FF"/>
            <w:sz w:val="21"/>
            <w:u w:val="single"/>
          </w:rPr>
          <w:t>https://arxiv.org/abs/2602.10317v1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光量子网络协议对纠缠源产生的状态提出了严格的要求。我们展示了一个自由空间、紧凑的、无法区分的偏振纠缠光子对的源，并集成了本地振荡器参考，这是实现这一目标的重要一步。该源实现了 $(99.11 \pm 0.01)\%$ 偏振纠缠可见度、$(96.3 \pm 0.6)\%$ 连续光子 Hong-Ou-Mandel 干涉可见度、$(68.0 \pm 0.1)\%$ 检测到的预示效率以及 $(88.6 \pm 0.2)\%$ 本地振荡器的干扰可见度。这种同时实现的最先进指标展示了一个适应性强的量子网络平台。</w:t>
      </w:r>
    </w:p>
    <w:p>
      <w:pPr>
        <w:spacing w:before="120"/>
      </w:pPr>
      <w:r>
        <w:rPr>
          <w:rFonts w:ascii="Times New Roman" w:hAnsi="Times New Roman" w:eastAsia="宋体"/>
          <w:b/>
          <w:sz w:val="21"/>
        </w:rPr>
        <w:t>English Abstract:</w:t>
      </w:r>
    </w:p>
    <w:p>
      <w:r>
        <w:rPr>
          <w:rFonts w:ascii="Times New Roman" w:hAnsi="Times New Roman" w:eastAsia="宋体"/>
          <w:sz w:val="21"/>
        </w:rPr>
        <w:t>Optical quantum networking protocols impose stringent requirements on the states produced by sources of entanglement. We demonstrate a free-space, compact, source of indistinguishable pairs of polarization entangled photons, with an integrated local oscillator reference as a significant step towards this goal. This source achieves $(99.11 \pm 0.01)\%$ polarization entanglement visibility, $(96.3 \pm 0.6)\%$ successive-photon Hong-Ou-Mandel interference visibility, $(68.0 \pm 0.1)\%$ heralded efficiency as detected, and $(88.6 \pm 0.2)\%$ interference visibility with a local oscillator. This simultaneous achievement of state-of-the-art metrics demonstrates an adaptable platform for quantum networking.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体光子谐振器的二次谐波稳定性</w:t>
      </w:r>
    </w:p>
    <w:p>
      <w:r>
        <w:rPr>
          <w:rFonts w:ascii="Times New Roman" w:hAnsi="Times New Roman" w:eastAsia="宋体"/>
          <w:b/>
          <w:color w:val="003264"/>
          <w:sz w:val="24"/>
        </w:rPr>
        <w:t>Second-harmonic stabilization of a bulk photonic resonator</w:t>
      </w:r>
    </w:p>
    <w:p>
      <w:r>
        <w:rPr>
          <w:rFonts w:ascii="Times New Roman" w:hAnsi="Times New Roman" w:eastAsia="宋体"/>
          <w:sz w:val="21"/>
        </w:rPr>
        <w:t>作者: Scott B. Papp</w:t>
        <w:br/>
      </w:r>
      <w:r>
        <w:rPr>
          <w:rFonts w:ascii="Times New Roman" w:hAnsi="Times New Roman" w:eastAsia="宋体"/>
          <w:sz w:val="21"/>
        </w:rPr>
        <w:t xml:space="preserve">时间: 2026-02-10T22:18:47Z | </w:t>
      </w:r>
      <w:r>
        <w:t xml:space="preserve">链接: </w:t>
      </w:r>
      <w:hyperlink r:id="rId172">
        <w:r>
          <w:rPr>
            <w:rFonts w:ascii="Times New Roman" w:hAnsi="Times New Roman" w:eastAsia="宋体"/>
            <w:color w:val="0000FF"/>
            <w:sz w:val="21"/>
            <w:u w:val="single"/>
          </w:rPr>
          <w:t>https://arxiv.org/abs/2602.10338v1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的谐振模式为激光频率稳定提供了强大的资源，为高精度计量和相干信号生成提供了基础。光学模式通过材料传播的光子谐振器提供了真空法布里-珀罗腔系统的紧凑替代方案，但其性能受到材料对周围环境的敏感性的限制。在这项工作中，我们探索了二次谐波（SH）稳定性，它利用色散模式结构与二次谐波产生的严格能量守恒之间的相互作用。在操作上，我们使用两个 1550 nm 激光器来 PDH 检测超高 Q 光子谐振器的倍频程谐振模式，其中一个激光器频率倍频至 775 nm。在 SH 稳定下，1550 nm 激光器之间的微波频率偏移，我们将其称为 SH 信号 ($f_{SH}$)，将 1550 nm 激光器的绝对频率映射为电子信号。我们通过将 $f_{SH}$ 提供的绝对光学频率推断与环外光学测量进行比较来表征这种映射，我们的结果表明 $f_{SH}$ 准确地代表了频率漂移。我们评估了该技术的灵敏度和本底噪声，考虑了激光锁定和块体材料特性的贡献，并得出结论，$f_{SH}$ 足够敏感，可以增强谐振器的长期激光频率稳定性。这些结果表明，SH 稳定性是一种有用的技术，可以推断绝对漂移，从而提高未来紧凑型精密频率基准的稳定性。</w:t>
      </w:r>
    </w:p>
    <w:p>
      <w:pPr>
        <w:spacing w:before="120"/>
      </w:pPr>
      <w:r>
        <w:rPr>
          <w:rFonts w:ascii="Times New Roman" w:hAnsi="Times New Roman" w:eastAsia="宋体"/>
          <w:b/>
          <w:sz w:val="21"/>
        </w:rPr>
        <w:t>English Abstract:</w:t>
      </w:r>
    </w:p>
    <w:p>
      <w:r>
        <w:rPr>
          <w:rFonts w:ascii="Times New Roman" w:hAnsi="Times New Roman" w:eastAsia="宋体"/>
          <w:sz w:val="21"/>
        </w:rPr>
        <w:t>The resonant modes of optical cavities provide a powerful resource for laser-frequency stabilization, underpinning high-precision metrology and coherent signal generation. Photonic resonators in which the optical mode propagates through material offer a compact alternative to vacuum Fabry-Perot cavity systems, but their performance is limited by sensitivity of the material to the ambient environment. In this work, we explore second-harmonic (SH) stabilization, which exploits the interplay of a dispersive mode structure against the strict energy conservation of second-harmonic generation. Operationally, we use two, 1550 nm lasers to PDH-detect octave-spaced resonant modes of an ultra-high-Q photonic resonator with one laser frequency-doubled to 775 nm. Under SH stabilization, the microwave frequency offset between the 1550 nm lasers, which we refer to as the SH signal ($f_{SH}$) maps the absolute frequency of the 1550 nm laser to an electronic signal. We characterize this mapping through comparison of the absolute optical frequency inference provided by $f_{SH}$ to an out-of-loop optical measurement, and our results suggest $f_{SH}$ accurately proxies frequency drift. We evaluate the sensitivity and noise floor of this technique, considering contributions from laser locking and bulk material properties, and conclude that $f_{SH}$ is sufficiently sensitive to enhance long-term laser-frequency stability with respect to the resonator. These results demonstrate SH stabilization as a useful technique that infers absolute drift, thereby enabling the increased stability of future compact, precision frequency references.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基于在线学习的概念漂移适应光网络​​故障检测的实验演示</w:t>
      </w:r>
    </w:p>
    <w:p>
      <w:r>
        <w:rPr>
          <w:rFonts w:ascii="Times New Roman" w:hAnsi="Times New Roman" w:eastAsia="宋体"/>
          <w:b/>
          <w:color w:val="003264"/>
          <w:sz w:val="24"/>
        </w:rPr>
        <w:t>Experimental Demonstration of Online Learning-Based Concept Drift Adaptation for Failure Detection in Optical Networks</w:t>
      </w:r>
    </w:p>
    <w:p>
      <w:r>
        <w:rPr>
          <w:rFonts w:ascii="Times New Roman" w:hAnsi="Times New Roman" w:eastAsia="宋体"/>
          <w:sz w:val="21"/>
        </w:rPr>
        <w:t>作者: Pedro Freire</w:t>
        <w:br/>
      </w:r>
      <w:r>
        <w:rPr>
          <w:rFonts w:ascii="Times New Roman" w:hAnsi="Times New Roman" w:eastAsia="宋体"/>
          <w:sz w:val="21"/>
        </w:rPr>
        <w:t xml:space="preserve">时间: 2026-02-11T01:07:52Z | </w:t>
      </w:r>
      <w:r>
        <w:t xml:space="preserve">链接: </w:t>
      </w:r>
      <w:hyperlink r:id="rId173">
        <w:r>
          <w:rPr>
            <w:rFonts w:ascii="Times New Roman" w:hAnsi="Times New Roman" w:eastAsia="宋体"/>
            <w:color w:val="0000FF"/>
            <w:sz w:val="21"/>
            <w:u w:val="single"/>
          </w:rPr>
          <w:t>https://arxiv.org/abs/2602.10401v1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我们提出了一种新颖的基于在线学习的方法，用于光网络故障检测中的概念漂移适应，与传统静态模型相比，性能提高了 70%，同时保持了低延迟。</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online learning-based approach for concept drift adaptation in optical network failure detection, achieving up to a 70% improvement in performance over conventional static models while maintaining low latency.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范德华磁性材料中的激子</w:t>
      </w:r>
    </w:p>
    <w:p>
      <w:r>
        <w:rPr>
          <w:rFonts w:ascii="Times New Roman" w:hAnsi="Times New Roman" w:eastAsia="宋体"/>
          <w:b/>
          <w:color w:val="003264"/>
          <w:sz w:val="24"/>
        </w:rPr>
        <w:t>Excitons in van der Waals magnetic materials</w:t>
      </w:r>
    </w:p>
    <w:p>
      <w:r>
        <w:rPr>
          <w:rFonts w:ascii="Times New Roman" w:hAnsi="Times New Roman" w:eastAsia="宋体"/>
          <w:sz w:val="21"/>
        </w:rPr>
        <w:t>作者: Vinod M. Menon</w:t>
        <w:br/>
      </w:r>
      <w:r>
        <w:rPr>
          <w:rFonts w:ascii="Times New Roman" w:hAnsi="Times New Roman" w:eastAsia="宋体"/>
          <w:sz w:val="21"/>
        </w:rPr>
        <w:t xml:space="preserve">时间: 2026-02-11T01:44:36Z | </w:t>
      </w:r>
      <w:r>
        <w:t xml:space="preserve">链接: </w:t>
      </w:r>
      <w:hyperlink r:id="rId174">
        <w:r>
          <w:rPr>
            <w:rFonts w:ascii="Times New Roman" w:hAnsi="Times New Roman" w:eastAsia="宋体"/>
            <w:color w:val="0000FF"/>
            <w:sz w:val="21"/>
            <w:u w:val="single"/>
          </w:rPr>
          <w:t>https://arxiv.org/abs/2602.10409v1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磁性半导体提供了一个独特的材料平台，其中长程磁序与强束缚激子共存。由于激子态和磁矩源自相同的电子轨道，并通过内在交换相互作用耦合，因此这些系统中的光激发表现出对磁序的显着敏感性。最近的实验揭示了异常强烈的磁光响应，以及激子和磁振子之间的直接耦合，建立了通过自旋自由度控制光与物质相互作用的新途径。本综述调查了该领域的关键进展，重点关注代表性材料系统、激子-磁耦合的实验特征以及用于描述这些现象的理论框架。最后，我们对这个快速发展的领域如何利用光、电荷和自旋的耦合动力学实现下一代光电和量子技术进行了展望。</w:t>
      </w:r>
    </w:p>
    <w:p>
      <w:pPr>
        <w:spacing w:before="120"/>
      </w:pPr>
      <w:r>
        <w:rPr>
          <w:rFonts w:ascii="Times New Roman" w:hAnsi="Times New Roman" w:eastAsia="宋体"/>
          <w:b/>
          <w:sz w:val="21"/>
        </w:rPr>
        <w:t>English Abstract:</w:t>
      </w:r>
    </w:p>
    <w:p>
      <w:r>
        <w:rPr>
          <w:rFonts w:ascii="Times New Roman" w:hAnsi="Times New Roman" w:eastAsia="宋体"/>
          <w:sz w:val="21"/>
        </w:rPr>
        <w:t>Two-dimensional magnetic semiconductors provide a unique materials platform in which long-range magnetic order coexists with strongly bound excitons. Because excitonic states and magnetic moments originate from the same electronic orbitals and are coupled through intrinsic exchange interactions, optical excitations in these systems exhibit pronounced sensitivity to magnetic order. Recent experiments have revealed unusually strong magneto-optical responses, as well as direct coupling between excitons and magnons, establishing new routes for controlling light-matter interactions with spin degrees of freedom. This Review surveys key developments in the field, focusing on representative material systems, experimental signatures of exciton-magnetism coupling, and the theoretical frameworks used to describe these phenomena. We conclude with perspectives on how this rapidly evolving field could enable next-generation optoelectronic and quantum technologies leveraging the coupled dynamics of light, charge, and spin.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达到真空光学非线性干涉测量的量子噪声极限</w:t>
      </w:r>
    </w:p>
    <w:p>
      <w:r>
        <w:rPr>
          <w:rFonts w:ascii="Times New Roman" w:hAnsi="Times New Roman" w:eastAsia="宋体"/>
          <w:b/>
          <w:color w:val="003264"/>
          <w:sz w:val="24"/>
        </w:rPr>
        <w:t>Reaching the quantum noise limit for interferometric measurement of optical nonlinearity in vacuum</w:t>
      </w:r>
    </w:p>
    <w:p>
      <w:r>
        <w:rPr>
          <w:rFonts w:ascii="Times New Roman" w:hAnsi="Times New Roman" w:eastAsia="宋体"/>
          <w:sz w:val="21"/>
        </w:rPr>
        <w:t>作者: Moana Pittman</w:t>
        <w:br/>
      </w:r>
      <w:r>
        <w:rPr>
          <w:rFonts w:ascii="Times New Roman" w:hAnsi="Times New Roman" w:eastAsia="宋体"/>
          <w:sz w:val="21"/>
        </w:rPr>
        <w:t xml:space="preserve">时间: 2026-02-11T14:25:48Z | </w:t>
      </w:r>
      <w:r>
        <w:t xml:space="preserve">链接: </w:t>
      </w:r>
      <w:hyperlink r:id="rId175">
        <w:r>
          <w:rPr>
            <w:rFonts w:ascii="Times New Roman" w:hAnsi="Times New Roman" w:eastAsia="宋体"/>
            <w:color w:val="0000FF"/>
            <w:sz w:val="21"/>
            <w:u w:val="single"/>
          </w:rPr>
          <w:t>https://arxiv.org/abs/2602.10896v1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量子电动力学预测真空必须表现为非线性光学介质：当真空受到强电磁场的压力时，真空光学指数应该增加。DeLLight（光的偏转）项目旨在通过使用 IJCLab（巴黎萨克雷大学）LASERIX 设施提供的强超短激光脉冲来测量真空。其原理是通过干涉测量法测量低强度探测脉冲穿过外部高强度泵浦脉冲产生的真空光学折射率梯度时的偏转。预期信号的检测需要以高空间分辨率测量干涉强度分布的位置，但受到最终量子噪声的限制。然而，干涉仪机械振动引起的相位噪声严重降低了空间分辨率。为了抑制这种干涉相位噪声，我们开发了一种新方法，称为高频相位噪声抑制（HFPNS）方法，该方法基于使用延迟参考信号来校正探测光束中出现的任何与噪声相关的信号。在这项工作中，我们提出了这种新方法的实验验证。结果证明了实现皮米级灵敏度的可靠途径，并为观察 QED 引起的真空折射迈出了关键一步。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Quantum Electrodynamics predicts that the vacuum must behave as a nonlinear optical medium:the vacuum optical index should increase when vacuum is stressed by intense electromagnetic fields.The DeLLight (Deflection of Light by Light) project aims to measure it by using intense and ultra-short laser pulses delivered by the LASERIX facility at IJCLab (Paris-Saclay University). Theprinciple is to measure by interferometry the deflection of a low-intensity probe pulse when crossingthe vacuum optical index gradient produced by an external high-intensity pump pulse. The detectionof the expected signal requires measuring the position of the interference intensity profile with a highspatial resolution, limited by the ultimate quantum noise. However, the spatial resolution is highlydegraded by the phase noise induced by the mechanical vibrations of the interferometer. In order tosuppress this interferometric phase noise, we have developed a new method, named High-FrequencyPhase Noise Suppression (HFPNS) method, based on the use of a delayed reference signal to correctany noise-related signal appearing in the probe beam. In this work, we present the experimentalvalidation of this novel method. The results demonstrate a robust path toward picometer-scalesensitivity and provide a key step toward the observation of QED-induced vacuum refraction.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通过反演波动方程的非厄米弯曲空间</w:t>
      </w:r>
    </w:p>
    <w:p>
      <w:r>
        <w:rPr>
          <w:rFonts w:ascii="Times New Roman" w:hAnsi="Times New Roman" w:eastAsia="宋体"/>
          <w:b/>
          <w:color w:val="003264"/>
          <w:sz w:val="24"/>
        </w:rPr>
        <w:t>Non-Hermitian curved space via inverted wave equation</w:t>
      </w:r>
    </w:p>
    <w:p>
      <w:r>
        <w:rPr>
          <w:rFonts w:ascii="Times New Roman" w:hAnsi="Times New Roman" w:eastAsia="宋体"/>
          <w:sz w:val="21"/>
        </w:rPr>
        <w:t>作者: B. Zhou</w:t>
        <w:br/>
      </w:r>
      <w:r>
        <w:rPr>
          <w:rFonts w:ascii="Times New Roman" w:hAnsi="Times New Roman" w:eastAsia="宋体"/>
          <w:sz w:val="21"/>
        </w:rPr>
        <w:t xml:space="preserve">时间: 2026-02-11T15:18:54Z | </w:t>
      </w:r>
      <w:r>
        <w:t xml:space="preserve">链接: </w:t>
      </w:r>
      <w:hyperlink r:id="rId176">
        <w:r>
          <w:rPr>
            <w:rFonts w:ascii="Times New Roman" w:hAnsi="Times New Roman" w:eastAsia="宋体"/>
            <w:color w:val="0000FF"/>
            <w:sz w:val="21"/>
            <w:u w:val="single"/>
          </w:rPr>
          <w:t>https://arxiv.org/abs/2602.10937v1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预定义的振幅和相位求解无源渐变材料的反演设计方法是沿着变换光学（TO）的路线开发的，然而，这排除了实用世界中源和汇的存在。因此，在这封信中，我们将这种逆方法扩展到非厄米介质，为操纵波流提供了更多自由。我们的由增益和损耗驱动的弯曲空间模拟图像的原理可以通过三种类型来举例说明：幅度控制、相位转换和方向分流。我们的数值示例以令人惊讶的简单方式展示了精确的波操纵，这超越了 TO 的对流范例，并且很容易在现实的光子平台中实现。</w:t>
      </w:r>
    </w:p>
    <w:p>
      <w:pPr>
        <w:spacing w:before="120"/>
      </w:pPr>
      <w:r>
        <w:rPr>
          <w:rFonts w:ascii="Times New Roman" w:hAnsi="Times New Roman" w:eastAsia="宋体"/>
          <w:b/>
          <w:sz w:val="21"/>
        </w:rPr>
        <w:t>English Abstract:</w:t>
      </w:r>
    </w:p>
    <w:p>
      <w:r>
        <w:rPr>
          <w:rFonts w:ascii="Times New Roman" w:hAnsi="Times New Roman" w:eastAsia="宋体"/>
          <w:sz w:val="21"/>
        </w:rPr>
        <w:t>Inverting design method of solving passive graded materials from predefined amplitude and phase was developed along the line of transformation optics (TO), which however precludes the presence of source and sink in the pragmatic world. So in this Letter we extend such an inverse method to non-Hermitian media, offering more freedom to manipulate the wave flows. Our principle of a curved-space analogue picture powered with gain and loss, is exemplified by three types: amplitude controlling, phase conversion, and direction shunting. Our numeric examples showcase precise wave manipulation in a surprisingly simple manner, which goes beyond convectional paradigms of TO and is readily implementable in realistic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基于重加权振幅流算法的激光波前传感器</w:t>
      </w:r>
    </w:p>
    <w:p>
      <w:r>
        <w:rPr>
          <w:rFonts w:ascii="Times New Roman" w:hAnsi="Times New Roman" w:eastAsia="宋体"/>
          <w:b/>
          <w:color w:val="003264"/>
          <w:sz w:val="24"/>
        </w:rPr>
        <w:t>Wavefront Sensor for Laser Beams Based on Reweighted Amplitude Flow Algorithm</w:t>
      </w:r>
    </w:p>
    <w:p>
      <w:r>
        <w:rPr>
          <w:rFonts w:ascii="Times New Roman" w:hAnsi="Times New Roman" w:eastAsia="宋体"/>
          <w:sz w:val="21"/>
        </w:rPr>
        <w:t>作者: Tomas Mocek</w:t>
        <w:br/>
      </w:r>
      <w:r>
        <w:rPr>
          <w:rFonts w:ascii="Times New Roman" w:hAnsi="Times New Roman" w:eastAsia="宋体"/>
          <w:sz w:val="21"/>
        </w:rPr>
        <w:t xml:space="preserve">时间: 2026-02-11T16:21:49Z | </w:t>
      </w:r>
      <w:r>
        <w:t xml:space="preserve">链接: </w:t>
      </w:r>
      <w:hyperlink r:id="rId177">
        <w:r>
          <w:rPr>
            <w:rFonts w:ascii="Times New Roman" w:hAnsi="Times New Roman" w:eastAsia="宋体"/>
            <w:color w:val="0000FF"/>
            <w:sz w:val="21"/>
            <w:u w:val="single"/>
          </w:rPr>
          <w:t>https://arxiv.org/abs/2602.10998v1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二进制幅度调制和相位检索的无参考计算波前传感器。该方法采用数字微镜器件作为可编程幅度调制器，并使用具有最佳光谱初始化的重加权幅度流算法从多个远场强度测量中重建复杂光场。与经典的光瞳平面波前传感器不同，所提出的架构不包括任何特定于波长的光学元件，从而能够在广泛的光谱范围内直接适应。重建波前可实现的空间分辨率可随调制器分辨率缩放。我们通过实验演示了 650 nm 和 2116 nm 处的波前重建，其中商业波前传感器尚未广泛使用。重建的波前在 650 nm 处针对商用横向剪切干涉仪进行了验证，并且该方法进一步集成到使用可变形镜的闭环自适应光学系统中。该方法特别适合在缓慢变化或准静态激光场中需要高空间分辨率和大动态范围的应用，其中计算重建速度不是主要考虑的问题。</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computational wavefront sensor based on binary amplitude modulation and phase retrieval. The method employs Digital Micro-mirror Device as a programmable amplitude modulator and reconstructs the complex optical field from multiple far-field intensity measurements using the Reweighted Amplitude Flow algo-rithm with Optimal Spectral Initialization. Unlike classical pupil-plane wavefront sen-sors, the proposed architecture does not include any wavelength-specific optical elements, enabling straightforward adaptation across a broad spectral range. The achievable spatial resolution of the reconstructed wavefront is scalable with the modulator resolution. We experimentally demonstrate wavefront reconstruction at 650 nm and at 2116 nm, where commercial wavefront sensors are not widely available. The reconstructed wavefront is validated against a commercial lateral shearing interferometer at 650 nm, and the method is further integrated into a closed-loop adaptive optics system using a deformable mirror. The approach is particularly suited for applications requiring high spatial resolution and large dynamic range in slowly varying or quasi-static laser fields, where computational reconstruction speed is not of the primary concern.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光学物质系统中的赝旋转和 N 体力</w:t>
      </w:r>
    </w:p>
    <w:p>
      <w:r>
        <w:rPr>
          <w:rFonts w:ascii="Times New Roman" w:hAnsi="Times New Roman" w:eastAsia="宋体"/>
          <w:b/>
          <w:color w:val="003264"/>
          <w:sz w:val="24"/>
        </w:rPr>
        <w:t>Pseudorotation and N-body Forces in an Optical Matter System</w:t>
      </w:r>
    </w:p>
    <w:p>
      <w:r>
        <w:rPr>
          <w:rFonts w:ascii="Times New Roman" w:hAnsi="Times New Roman" w:eastAsia="宋体"/>
          <w:sz w:val="21"/>
        </w:rPr>
        <w:t>作者: Norbert F. Scherer</w:t>
        <w:br/>
      </w:r>
      <w:r>
        <w:rPr>
          <w:rFonts w:ascii="Times New Roman" w:hAnsi="Times New Roman" w:eastAsia="宋体"/>
          <w:sz w:val="21"/>
        </w:rPr>
        <w:t xml:space="preserve">时间: 2026-02-11T17:14:10Z | </w:t>
      </w:r>
      <w:r>
        <w:t xml:space="preserve">链接: </w:t>
      </w:r>
      <w:hyperlink r:id="rId178">
        <w:r>
          <w:rPr>
            <w:rFonts w:ascii="Times New Roman" w:hAnsi="Times New Roman" w:eastAsia="宋体"/>
            <w:color w:val="0000FF"/>
            <w:sz w:val="21"/>
            <w:u w:val="single"/>
          </w:rPr>
          <w:t>https://arxiv.org/abs/2602.11043v1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化学键的性质，分子系统中的异构化几乎总是通过三维运动发生。赝旋转是一种不寻常的异构化类型，发生在一些高对称性系统中，呈现出刚体旋转的外观，但仅涉及原子重排。本文证明了金属纳米颗粒成分的光学物质 (OM) 系统中的二维伪旋转发生。动力学维度的差异源于多原子分子中光学结合与量子力学结合的电动场干涉性质。我们在实验和模拟中研究的 8 纳米粒子 OM“风筝”结构具有 D2 (D2h) 对称性和 D4 对称过渡态。伪旋转机制涉及所有 8 个纳米粒子的相关运动，其相互作用平滑（连续）演化，并且粒子不会跳入或跳出 OM 阵列。虽然与其他 OM 异构体相比，OM 风筝结构仅以 10% 的概率出现，但其假旋转速率相对于向其他结构异构体（例如“泪滴”）的转变来说很快。其他异构体的结构位于三角晶格上，颗粒间间隔一定距离，可增强场干扰和诱发极化。尽管风筝异构体具有粒子间分离，会在粒子对（即二体）基础上表现出破坏性干扰，但风筝结构重排成任何其他异构体的速度最慢。我们表明，风筝光学物质系统的不寻常结构和动力学是由 N 体相互作用和力造成的，这表明 N 体效应在此类活性物质中很重要，并且可能更普遍。</w:t>
      </w:r>
    </w:p>
    <w:p>
      <w:pPr>
        <w:spacing w:before="120"/>
      </w:pPr>
      <w:r>
        <w:rPr>
          <w:rFonts w:ascii="Times New Roman" w:hAnsi="Times New Roman" w:eastAsia="宋体"/>
          <w:b/>
          <w:sz w:val="21"/>
        </w:rPr>
        <w:t>English Abstract:</w:t>
      </w:r>
    </w:p>
    <w:p>
      <w:r>
        <w:rPr>
          <w:rFonts w:ascii="Times New Roman" w:hAnsi="Times New Roman" w:eastAsia="宋体"/>
          <w:sz w:val="21"/>
        </w:rPr>
        <w:t>Isomerization in molecular systems almost invariably occurs through 3-dimensional motion due to the nature of chemical bonding. Pseudorotation is an unusual type of isomerization that occurs in some high symmetry systems that gives the appearance of rigid-body rotation yet only involves atom rearrangements. This paper demonstrates that pseudorotation occurs in 2-dimensions in an optical matter (OM) system of metal nanoparticle constituents. The difference in dimensionality of the dynamics arises from the electrodynamic field-interference nature of optical binding vs. quantum mechanical bonding in polyatomic molecules. The 8-nanoparticle OM "kite" structure we study in experiments and simulations has D2 (D2h) symmetry and a D4 symmetric transition state. The mechanism for pseudorotation involves correlated motion of all 8 nanoparticles with smooth (continuous) evolution of their interactions and without particles jumping in or out of the OM array. While the OM kite structure only occurs with 10% probability vs. other OM isomers, its rate of pseudorotation is rapid relative to transitions to other structural isomers (e.g., "teardrop"). The other isomers have structures that lie on a trigonal lattice with inter-particle separations at distances that enhance field interference and induced polarizations. Even though the kite isomer has inter-particle separations that would manifest destructive interference on a particle pair (i.e., 2-body) basis, the kite structure is the slowest to rearrange into any other isomer. We show that the unusual structure and dynamics of the kite optical matter system result from N-body interactions and forces demonstrating that N-body effects are important in this class of active matter and presumably more generally.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介电板中的相干虚拟吸收：对称和不对称几何形状的时间分析</w:t>
      </w:r>
    </w:p>
    <w:p>
      <w:r>
        <w:rPr>
          <w:rFonts w:ascii="Times New Roman" w:hAnsi="Times New Roman" w:eastAsia="宋体"/>
          <w:b/>
          <w:color w:val="003264"/>
          <w:sz w:val="24"/>
        </w:rPr>
        <w:t>Coherent Virtual Absorption in Dielectric Slabs: A Temporal Analysis of Symmetric and Asymmetric Geometries</w:t>
      </w:r>
    </w:p>
    <w:p>
      <w:r>
        <w:rPr>
          <w:rFonts w:ascii="Times New Roman" w:hAnsi="Times New Roman" w:eastAsia="宋体"/>
          <w:sz w:val="21"/>
        </w:rPr>
        <w:t>作者: Nooshin M. Estakhri</w:t>
        <w:br/>
      </w:r>
      <w:r>
        <w:rPr>
          <w:rFonts w:ascii="Times New Roman" w:hAnsi="Times New Roman" w:eastAsia="宋体"/>
          <w:sz w:val="21"/>
        </w:rPr>
        <w:t xml:space="preserve">时间: 2026-02-11T17:35:55Z | </w:t>
      </w:r>
      <w:r>
        <w:t xml:space="preserve">链接: </w:t>
      </w:r>
      <w:hyperlink r:id="rId179">
        <w:r>
          <w:rPr>
            <w:rFonts w:ascii="Times New Roman" w:hAnsi="Times New Roman" w:eastAsia="宋体"/>
            <w:color w:val="0000FF"/>
            <w:sz w:val="21"/>
            <w:u w:val="single"/>
          </w:rPr>
          <w:t>https://arxiv.org/abs/2602.11067v1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虚拟吸收是指由于通过入射波的适当时间工程激发复杂的零频率而以无损配置进行光能的时间有限存储。考虑到该效应背后的动力学以及有限激励脉冲发生的存储-释放机制，研究和理解相关的时间动力学对于实现未来的应用至关重要。在这项工作中，我们仔细研究了对称和非对称几何中的这种现象，阐明了在无法轻易获得封闭式解析解的情况下的实际考虑因素。时域分析和频谱滤波的组合用于对这些结构进行系统分析。我们的方法可以推广到更复杂的结构，包括多层和非均匀情况，为优化能量存储和利用无损设计中的复杂频率动态的高级传感应用提供新的机会。</w:t>
      </w:r>
    </w:p>
    <w:p>
      <w:pPr>
        <w:spacing w:before="120"/>
      </w:pPr>
      <w:r>
        <w:rPr>
          <w:rFonts w:ascii="Times New Roman" w:hAnsi="Times New Roman" w:eastAsia="宋体"/>
          <w:b/>
          <w:sz w:val="21"/>
        </w:rPr>
        <w:t>English Abstract:</w:t>
      </w:r>
    </w:p>
    <w:p>
      <w:r>
        <w:rPr>
          <w:rFonts w:ascii="Times New Roman" w:hAnsi="Times New Roman" w:eastAsia="宋体"/>
          <w:sz w:val="21"/>
        </w:rPr>
        <w:t>Coherent virtual absorption refers to time-limited storage of optical energy in lossless configurations due to excitation of a complex zero frequency through proper temporal engineering of the incident wave. Given the dynamics underlying the effect and the storage-release mechanism occurring for finite excitation pulses, studying and understanding the associated time dynamics are crucial for enabling future applications. In this work, we carefully investigate this phenomenon in symmetric and asymmetric geometries, shedding light on practical considerations in situations when a closed-form analytical solution is not readily available. Combinations of time domain analysis and spectral filtering are used to enable systematic analysis of these structures. Our approach can be generalized to more complex structures, including multilayered and inhomogeneous cases, providing new opportunities for optimized energy storage and advanced sensing applications utilizing complex-frequency dynamics in lossless designs.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重新思考基于扩散的生成隐写术的安全性</w:t>
      </w:r>
    </w:p>
    <w:p>
      <w:r>
        <w:rPr>
          <w:rFonts w:ascii="Times New Roman" w:hAnsi="Times New Roman" w:eastAsia="宋体"/>
          <w:b/>
          <w:color w:val="003264"/>
          <w:sz w:val="24"/>
        </w:rPr>
        <w:t>Rethinking Security of Diffusion-based Generative Steganography</w:t>
      </w:r>
    </w:p>
    <w:p>
      <w:r>
        <w:rPr>
          <w:rFonts w:ascii="Times New Roman" w:hAnsi="Times New Roman" w:eastAsia="宋体"/>
          <w:sz w:val="21"/>
        </w:rPr>
        <w:t>作者: Xiaohua Xie</w:t>
        <w:br/>
      </w:r>
      <w:r>
        <w:rPr>
          <w:rFonts w:ascii="Times New Roman" w:hAnsi="Times New Roman" w:eastAsia="宋体"/>
          <w:sz w:val="21"/>
        </w:rPr>
        <w:t xml:space="preserve">时间: 2026-02-10T19:12:01Z | </w:t>
      </w:r>
      <w:r>
        <w:t xml:space="preserve">链接: </w:t>
      </w:r>
      <w:hyperlink r:id="rId180">
        <w:r>
          <w:rPr>
            <w:rFonts w:ascii="Times New Roman" w:hAnsi="Times New Roman" w:eastAsia="宋体"/>
            <w:color w:val="0000FF"/>
            <w:sz w:val="21"/>
            <w:u w:val="single"/>
          </w:rPr>
          <w:t>https://arxiv.org/abs/2602.10219v1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隐写术是一种在生成的图像中隐藏秘密消息的技术，而不依赖于预先存在的封面图像。最近，一些基于扩散模型的生成图像隐写术（DM-GIS）方法被引入，有效对抗传统的隐写分析技术。在本文中，我们确定了影响 DM-GIS 安全性的关键因素，并重新审视了现有方法的安全性。具体来说，我们首先概述了当前 DM-GIS 方法的一般流程，发现扩散模型的噪声空间作为主要嵌入域。此外，我们分析了 DM-GIS 安全性与扩散模型噪声分布之间的关系，从理论上证明了任何破坏噪声分布的隐写操作都会损害 DM-GIS 安全性。基于这一见解，我们提出了一种基于噪声空间的扩散隐写分析器（NS-DSer）——一种简单而有效的隐写分析框架，允许在扩散模型噪声空间中检测 DM-GIS 生成的图像。我们在日益具有挑战性的检测场景中使用 NS-DSer 重新评估现有 DM-GIS 方法的安全性。实验结果验证了我们对 DM-GIS 安全性的理论分析，并显示了 NS-DSer 在不同检测场景中的有效性。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Generative image steganography is a technique that conceals secret messages within generated images, without relying on pre-existing cover images. Recently, a number of diffusion model-based generative image steganography (DM-GIS) methods have been introduced, which effectively combat traditional steganalysis techniques. In this paper, we identify the key factors that influence DM-GIS security and revisit the security of existing methods. Specifically, we first provide an overview of the general pipelines of current DM-GIS methods, finding that the noise space of diffusion models serves as the primary embedding domain. Further, we analyze the relationship between DM-GIS security and noise distribution of diffusion models, theoretically demonstrating that any steganographic operation that disrupts the noise distribution compromise DM-GIS security. Building on this insight, we propose a Noise Space-based Diffusion Steganalyzer (NS-DSer)-a simple yet effective steganalysis framework allowing for detecting DM-GIS generated images in the diffusion model noise space. We reevaluate the security of existing DM-GIS methods using NS-DSer across increasingly challenging detection scenarios. Experimental results validate our theoretical analysis of DM-GIS security and show the effectiveness of NS-DSer across diverse detection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用于跨数据集糖尿病视网膜病变分级的不确定性有序深度学习</w:t>
      </w:r>
    </w:p>
    <w:p>
      <w:r>
        <w:rPr>
          <w:rFonts w:ascii="Times New Roman" w:hAnsi="Times New Roman" w:eastAsia="宋体"/>
          <w:b/>
          <w:color w:val="003264"/>
          <w:sz w:val="24"/>
        </w:rPr>
        <w:t>Uncertainty-Aware Ordinal Deep Learning for cross-Dataset Diabetic Retinopathy Grading</w:t>
      </w:r>
    </w:p>
    <w:p>
      <w:r>
        <w:rPr>
          <w:rFonts w:ascii="Times New Roman" w:hAnsi="Times New Roman" w:eastAsia="宋体"/>
          <w:sz w:val="21"/>
        </w:rPr>
        <w:t>作者: Mohammed-Amine Cheddadi</w:t>
        <w:br/>
      </w:r>
      <w:r>
        <w:rPr>
          <w:rFonts w:ascii="Times New Roman" w:hAnsi="Times New Roman" w:eastAsia="宋体"/>
          <w:sz w:val="21"/>
        </w:rPr>
        <w:t xml:space="preserve">时间: 2026-02-10T21:44:04Z | </w:t>
      </w:r>
      <w:r>
        <w:t xml:space="preserve">链接: </w:t>
      </w:r>
      <w:hyperlink r:id="rId181">
        <w:r>
          <w:rPr>
            <w:rFonts w:ascii="Times New Roman" w:hAnsi="Times New Roman" w:eastAsia="宋体"/>
            <w:color w:val="0000FF"/>
            <w:sz w:val="21"/>
            <w:u w:val="single"/>
          </w:rPr>
          <w:t>https://arxiv.org/abs/2602.10315v1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是一种慢性代谢性疾病，其特征是由于胰岛素产生不足或胰岛素利用受损而导致持续高血糖。其最严重的并发症之一是糖尿病视网膜病变（DR），这是一种由微血管损伤引起的进行性视网膜疾病，导致出血、渗出和潜在的视力丧失。因此，早期、可靠地检测 DR 对于预防不可逆性失明至关重要。在这项工作中，我们提出了一种用于自动 DR 严重程度分级的不确定性感知深度学习框架，该框架明确地模拟了疾病进展的顺序性质。我们的方法将卷积骨干与病变查询注意力池和基于证据狄利克雷的序数回归头相结合，从而实现准确的严重性预测和预测不确定性的原则估计。该模型使用序数证据损失和退火正则化进行训练，以鼓励域转移下的校准置信度。我们在结合 APTOS、Messidor-2 和 EyePACS 眼底数据集子集的多域训练设置上评估所提出的方法。实验结果证明了强大的跨数据集泛化能力，在保留的测试集上实现了有竞争力的分类精度和高二次加权 kappa，同时为低置信度案例提供了有意义的不确定性估计。这些结果表明，有序证据学习是稳健且临床可靠的糖尿病视网膜病变分级的一个有前途的方向。</w:t>
      </w:r>
    </w:p>
    <w:p>
      <w:pPr>
        <w:spacing w:before="120"/>
      </w:pPr>
      <w:r>
        <w:rPr>
          <w:rFonts w:ascii="Times New Roman" w:hAnsi="Times New Roman" w:eastAsia="宋体"/>
          <w:b/>
          <w:sz w:val="21"/>
        </w:rPr>
        <w:t>English Abstract:</w:t>
      </w:r>
    </w:p>
    <w:p>
      <w:r>
        <w:rPr>
          <w:rFonts w:ascii="Times New Roman" w:hAnsi="Times New Roman" w:eastAsia="宋体"/>
          <w:sz w:val="21"/>
        </w:rPr>
        <w:t>Diabetes mellitus is a chronic metabolic disorder characterized by persistent hyperglycemia due to insufficient insulin production or impaired insulin utilization. One of its most severe complications is diabetic retinopathy (DR), a progressive retinal disease caused by microvascular damage, leading to hemorrhages, exudates, and potential vision loss. Early and reliable detection of DR is therefore critical for preventing irreversible blindness. In this work, we propose an uncertainty-aware deep learning framework for automated DR severity grading that explicitly models the ordinal nature of disease progression. Our approach combines a convolutional backbone with lesion-query attention pooling and an evidential Dirichlet-based ordinal regression head, enabling both accurate severity prediction and principled estimation of predictive uncertainty. The model is trained using an ordinal evidential loss with annealed regularization to encourage calibrated confidence under domain shift. We evaluate the proposed method on a multi-domain training setup combining APTOS, Messidor-2, and a subset of EyePACS fundus datasets. Experimental results demonstrate strong cross-dataset generalization, achieving competitive classification accuracy and high quadratic weighted kappa on held-out test sets, while providing meaningful uncertainty estimates for low-confidence cases. These results suggest that ordinal evidential learning is a promising direction for robust and clinically reliable diabetic retinopathy grading.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分析定量 MRI 中的模型错误：在灌注 ASL 中的应用</w:t>
      </w:r>
    </w:p>
    <w:p>
      <w:r>
        <w:rPr>
          <w:rFonts w:ascii="Times New Roman" w:hAnsi="Times New Roman" w:eastAsia="宋体"/>
          <w:b/>
          <w:color w:val="003264"/>
          <w:sz w:val="24"/>
        </w:rPr>
        <w:t>Analyzing Model Misspecification in Quantitative MRI: Application to Perfusion ASL</w:t>
      </w:r>
    </w:p>
    <w:p>
      <w:r>
        <w:rPr>
          <w:rFonts w:ascii="Times New Roman" w:hAnsi="Times New Roman" w:eastAsia="宋体"/>
          <w:sz w:val="21"/>
        </w:rPr>
        <w:t>作者: Adam Bush</w:t>
        <w:br/>
      </w:r>
      <w:r>
        <w:rPr>
          <w:rFonts w:ascii="Times New Roman" w:hAnsi="Times New Roman" w:eastAsia="宋体"/>
          <w:sz w:val="21"/>
        </w:rPr>
        <w:t xml:space="preserve">时间: 2026-02-10T22:17:10Z | </w:t>
      </w:r>
      <w:r>
        <w:t xml:space="preserve">链接: </w:t>
      </w:r>
      <w:hyperlink r:id="rId182">
        <w:r>
          <w:rPr>
            <w:rFonts w:ascii="Times New Roman" w:hAnsi="Times New Roman" w:eastAsia="宋体"/>
            <w:color w:val="0000FF"/>
            <w:sz w:val="21"/>
            <w:u w:val="single"/>
          </w:rPr>
          <w:t>https://arxiv.org/abs/2602.10336v1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 MRI (qMRI) 涉及由显式信号模型控制的参数估计。然而，这些模型往往很混乱并且难以在体内验证。当假设的信号模型与真实的数据生成过程不同时，模型被错误指定。在错误指定的情况下，任何无偏估计量的方差均受到错误指定的 Cramer-Rao 界 (MCRB) 的下限，并且最大似然估计 (MLE) 可能会出现偏差和不一致。基于这些原则，我们使用两个测试来评估 qMRI 中的错误指定：（i）随着重复测量的增加，检查经验 MCRB 是否渐近接近 CRB； (ii) 比较两个大小相等的子集的 MLE 估计值，并评估它们的经验方差是否与理论 CRB 预测一致。我们使用动脉自旋标记（ASL）作为说明性示例来演示该框架。我们的结果表明，常用的 ASL 信号模型似乎是在大脑中指定的，而在肾脏中则有一定程度的错误指定。所提出的框架提供了一种通用的、有理论基础的方法来评估定量 MRI 模型的有效性。</w:t>
      </w:r>
    </w:p>
    <w:p>
      <w:pPr>
        <w:spacing w:before="120"/>
      </w:pPr>
      <w:r>
        <w:rPr>
          <w:rFonts w:ascii="Times New Roman" w:hAnsi="Times New Roman" w:eastAsia="宋体"/>
          <w:b/>
          <w:sz w:val="21"/>
        </w:rPr>
        <w:t>English Abstract:</w:t>
      </w:r>
    </w:p>
    <w:p>
      <w:r>
        <w:rPr>
          <w:rFonts w:ascii="Times New Roman" w:hAnsi="Times New Roman" w:eastAsia="宋体"/>
          <w:sz w:val="21"/>
        </w:rPr>
        <w:t>Quantitative MRI (qMRI) involves parameter estimation governed by an explicit signal model. However, these models are often confounded and difficult to validate in vivo. A model is misspecified when the assumed signal model differs from the true data-generating process. Under misspecification, the variance of any unbiased estimator is lower-bounded by the misspecified Cramer-Rao bound (MCRB), and maximum-likelihood estimates (MLE) may exhibit bias and inconsistency. Based on these principles, we assess misspecification in qMRI using two tests: (i) examining whether empirical MCRB asymptotically approaches the CRB as repeated measurements increase; (ii) comparing MLE estimates from two equal-sized subsets and evaluating whether their empirical variance aligns with theoretical CRB predictions. We demonstrate the framework using arterial spin labeling (ASL) as an illustrative example. Our result shows the commonly used ASL signal model appears to be specified in the brain and moderately misspecified in the kidney. The proposed framework offers a general, theoretically grounded approach for assessing model validity in quantitative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超越校准：混杂的病理学限制了腹部创伤 CT 中基础模型的特异性</w:t>
      </w:r>
    </w:p>
    <w:p>
      <w:r>
        <w:rPr>
          <w:rFonts w:ascii="Times New Roman" w:hAnsi="Times New Roman" w:eastAsia="宋体"/>
          <w:b/>
          <w:color w:val="003264"/>
          <w:sz w:val="24"/>
        </w:rPr>
        <w:t>Beyond Calibration: Confounding Pathology Limits Foundation Model Specificity in Abdominal Trauma CT</w:t>
      </w:r>
    </w:p>
    <w:p>
      <w:r>
        <w:rPr>
          <w:rFonts w:ascii="Times New Roman" w:hAnsi="Times New Roman" w:eastAsia="宋体"/>
          <w:sz w:val="21"/>
        </w:rPr>
        <w:t>作者: Jinman Kim</w:t>
        <w:br/>
      </w:r>
      <w:r>
        <w:rPr>
          <w:rFonts w:ascii="Times New Roman" w:hAnsi="Times New Roman" w:eastAsia="宋体"/>
          <w:sz w:val="21"/>
        </w:rPr>
        <w:t xml:space="preserve">时间: 2026-02-10T23:08:06Z | </w:t>
      </w:r>
      <w:r>
        <w:t xml:space="preserve">链接: </w:t>
      </w:r>
      <w:hyperlink r:id="rId183">
        <w:r>
          <w:rPr>
            <w:rFonts w:ascii="Times New Roman" w:hAnsi="Times New Roman" w:eastAsia="宋体"/>
            <w:color w:val="0000FF"/>
            <w:sz w:val="21"/>
            <w:u w:val="single"/>
          </w:rPr>
          <w:t>https://arxiv.org/abs/2602.10359v1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将基础模型转化为临床实践需要评估其在复合分布变化下的性能，其中严重的类别不平衡与异质成像外观共存。这一挑战与创伤性肠损伤有关，这是一种罕见但死亡率很高的诊断。我们研究了基础模型中的特异性缺陷是否与负类的异质性相关。方法：这项回顾性研究使用了多机构 RSNA 腹部创伤 CT 数据集（2019-2023 年），包括来自 23 个中心的扫描。将两种基础模型（MedCLIP、零样本；RadDINO、线性探针）与三种特定于任务的方法（CNN、Transformer、Ensemble）进行比较。模型在 3,147 名患者（2.3% 肠损伤患病率）上进行了训练，并在包含 100 名患者的丰富测试集上进行了评估。为了分离负类效应，对无肠损伤但同时发生实体器官损伤的患者 (n=58) 与无腹部病变 (n=50) 的患者进行了特异性评估。结果：基础模型实现了与特定任务模型相同的区分度（AUC，0.64-0.68 与 0.58-0.64），灵敏度更高（79-91% vs 41-74%），但特异性较低（33-50% vs 50-88%）。所有模型均在无腹部病变的患者中表现出高度特异性 (84-100%)。当存在实体器官损伤时，基础模型的特异性大幅下降（50-51 个百分点），而任务特定模型的特异性下降幅度较小，为 12-41 个百分点。结论：基础模型在没有特定任务训练的情况下匹配了特定任务歧视，但它们的特异性缺陷主要是由混杂负类异质性而不是仅由普遍性引起的。随着标记训练的进行，对负类异质性的敏感性逐渐降低，这表明在临床实施之前需要进行适应。</w:t>
      </w:r>
    </w:p>
    <w:p>
      <w:pPr>
        <w:spacing w:before="120"/>
      </w:pPr>
      <w:r>
        <w:rPr>
          <w:rFonts w:ascii="Times New Roman" w:hAnsi="Times New Roman" w:eastAsia="宋体"/>
          <w:b/>
          <w:sz w:val="21"/>
        </w:rPr>
        <w:t>English Abstract:</w:t>
      </w:r>
    </w:p>
    <w:p>
      <w:r>
        <w:rPr>
          <w:rFonts w:ascii="Times New Roman" w:hAnsi="Times New Roman" w:eastAsia="宋体"/>
          <w:sz w:val="21"/>
        </w:rPr>
        <w:t>Purpose: Translating foundation models into clinical practice requires evaluating their performance under compound distribution shift, where severe class imbalance coexists with heterogeneous imaging appearances. This challenge is relevant for traumatic bowel injury, a rare but high-mortality diagnosis. We investigated whether specificity deficits in foundation models are associated with heterogeneity in the negative class. Methods: This retrospective study used the multi-institutional, RSNA Abdominal Traumatic Injury CT dataset (2019-2023), comprising scans from 23 centres. Two foundation models (MedCLIP, zero-shot; RadDINO, linear probe) were compared against three task-specific approaches (CNN, Transformer, Ensemble). Models were trained on 3,147 patients (2.3% bowel injury prevalence) and evaluated on an enriched 100-patient test set. To isolate negative-class effects, specificity was assessed in patients without bowel injury who had concurrent solid organ injury (n=58) versus no abdominal pathology (n=50). Results: Foundation models achieved equivalent discrimination to task-specific models (AUC, 0.64-0.68 versus 0.58-0.64) with higher sensitivity (79-91% vs 41-74%) but lower specificity (33-50% vs 50-88%). All models demonstrated high specificity in patients without abdominal pathology (84-100%). When solid organ injuries were present, specificity declined substantially for foundation models (50-51 percentage points) compared with smaller reductions of 12-41 percentage points for task-specific models. Conclusion: Foundation models matched task-specific discrimination without task-specific training, but their specificity deficits were driven primarily by confounding negative-class heterogeneity rather than prevalence alone. Susceptibility to negative-class heterogeneity decreased progressively with labelled training, suggesting adaptation is required before clinical implementation.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二元流匹配：用于鲁棒学习的预测损失空间对齐</w:t>
      </w:r>
    </w:p>
    <w:p>
      <w:r>
        <w:rPr>
          <w:rFonts w:ascii="Times New Roman" w:hAnsi="Times New Roman" w:eastAsia="宋体"/>
          <w:b/>
          <w:color w:val="003264"/>
          <w:sz w:val="24"/>
        </w:rPr>
        <w:t>Binary Flow Matching: Prediction-Loss Space Alignment for Robust Learning</w:t>
      </w:r>
    </w:p>
    <w:p>
      <w:r>
        <w:rPr>
          <w:rFonts w:ascii="Times New Roman" w:hAnsi="Times New Roman" w:eastAsia="宋体"/>
          <w:sz w:val="21"/>
        </w:rPr>
        <w:t>作者: Zhaoyang Zhang</w:t>
        <w:br/>
      </w:r>
      <w:r>
        <w:rPr>
          <w:rFonts w:ascii="Times New Roman" w:hAnsi="Times New Roman" w:eastAsia="宋体"/>
          <w:sz w:val="21"/>
        </w:rPr>
        <w:t xml:space="preserve">时间: 2026-02-11T02:02:30Z | </w:t>
      </w:r>
      <w:r>
        <w:t xml:space="preserve">链接: </w:t>
      </w:r>
      <w:hyperlink r:id="rId184">
        <w:r>
          <w:rPr>
            <w:rFonts w:ascii="Times New Roman" w:hAnsi="Times New Roman" w:eastAsia="宋体"/>
            <w:color w:val="0000FF"/>
            <w:sz w:val="21"/>
            <w:u w:val="single"/>
          </w:rPr>
          <w:t>https://arxiv.org/abs/2602.10420v1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已成为生成建模的强大框架，最近的经验成功凸显了信号空间预测（$x$-预测）的有效性。在这项工作中，我们研究了这种范式到二元流形的转移，这是离散数据生成建模的基本设置。虽然$x$-预测仍然有效，但我们发现当它与基于速度的目标（$v$-loss）结合时会出现潜在的结构失配，从而导致依赖于时间的奇异权重，从而放大了对近似误差的梯度敏感性。受这一观察的启发，我们将预测损失对齐形式化为流匹配训练的必要条件。我们证明，将目标重新与信号空间（$x$-loss）对齐可以消除奇异权重，产生均匀有界的梯度，并在均匀时间步采样下实现稳健的训练，而无需依赖启发式计划。最后，在确保对齐的情况下，我们检查特定于二进制数据的设计选择，揭示概率目标（例如交叉熵）和几何损失（例如均方误差）之间依赖于拓扑的区别。总之，这些结果为二进制域和相关离散域上的鲁棒流匹配提供了理论基础和实践指南，将信号空间对齐定位为鲁棒扩散学习的关键原则。</w:t>
      </w:r>
    </w:p>
    <w:p>
      <w:pPr>
        <w:spacing w:before="120"/>
      </w:pPr>
      <w:r>
        <w:rPr>
          <w:rFonts w:ascii="Times New Roman" w:hAnsi="Times New Roman" w:eastAsia="宋体"/>
          <w:b/>
          <w:sz w:val="21"/>
        </w:rPr>
        <w:t>English Abstract:</w:t>
      </w:r>
    </w:p>
    <w:p>
      <w:r>
        <w:rPr>
          <w:rFonts w:ascii="Times New Roman" w:hAnsi="Times New Roman" w:eastAsia="宋体"/>
          <w:sz w:val="21"/>
        </w:rPr>
        <w:t>Flow matching has emerged as a powerful framework for generative modeling, with recent empirical successes highlighting the effectiveness of signal-space prediction ($x$-prediction). In this work, we investigate the transfer of this paradigm to binary manifolds, a fundamental setting for generative modeling of discrete data. While $x$-prediction remains effective, we identify a latent structural mismatch that arises when it is coupled with velocity-based objectives ($v$-loss), leading to a time-dependent singular weighting that amplifies gradient sensitivity to approximation errors. Motivated by this observation, we formalize prediction-loss alignment as a necessary condition for flow matching training. We prove that re-aligning the objective to the signal space ($x$-loss) eliminates the singular weighting, yielding uniformly bounded gradients and enabling robust training under uniform timestep sampling without reliance on heuristic schedules. Finally, with alignment secured, we examine design choices specific to binary data, revealing a topology-dependent distinction between probabilistic objectives (e.g., cross-entropy) and geometric losses (e.g., mean squared error). Together, these results provide theoretical foundations and practical guidelines for robust flow matching on binary -- and related discrete -- domains, positioning signal-space alignment as a key principle for robust diffusion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无人机高光谱图像中 PFM-1 地雷检测深度学习和统计目标检测方法的基准测试</w:t>
      </w:r>
    </w:p>
    <w:p>
      <w:r>
        <w:rPr>
          <w:rFonts w:ascii="Times New Roman" w:hAnsi="Times New Roman" w:eastAsia="宋体"/>
          <w:b/>
          <w:color w:val="003264"/>
          <w:sz w:val="24"/>
        </w:rPr>
        <w:t>Benchmarking Deep Learning and Statistical Target Detection Methods for PFM-1 Landmine Detection in UAV Hyperspectral Imagery</w:t>
      </w:r>
    </w:p>
    <w:p>
      <w:r>
        <w:rPr>
          <w:rFonts w:ascii="Times New Roman" w:hAnsi="Times New Roman" w:eastAsia="宋体"/>
          <w:sz w:val="21"/>
        </w:rPr>
        <w:t>作者: Emmett J. Ientilucci</w:t>
        <w:br/>
      </w:r>
      <w:r>
        <w:rPr>
          <w:rFonts w:ascii="Times New Roman" w:hAnsi="Times New Roman" w:eastAsia="宋体"/>
          <w:sz w:val="21"/>
        </w:rPr>
        <w:t xml:space="preserve">时间: 2026-02-11T02:25:32Z | </w:t>
      </w:r>
      <w:r>
        <w:t xml:space="preserve">链接: </w:t>
      </w:r>
      <w:hyperlink r:id="rId185">
        <w:r>
          <w:rPr>
            <w:rFonts w:ascii="Times New Roman" w:hAnsi="Times New Roman" w:eastAsia="宋体"/>
            <w:color w:val="0000FF"/>
            <w:sz w:val="21"/>
            <w:u w:val="single"/>
          </w:rPr>
          <w:t>https://arxiv.org/abs/2602.10434v1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近年来，配备成像传感器和自动处理算法的无人机（UAV）已成为一种很有前途的工具，可以加速大面积勘测，同时降低操作人员的风险。尽管高光谱成像 (HSI) 可以使用光谱特征来区分材料，但基于无人机的地雷探测的标准化基准仍然很少。在这项工作中，我们提出了四种经典统计检测算法的系统基准，包括光谱角度映射器 (SAM)、匹配滤波器 (MF)、自适应余弦估计器 (ACE) 和约束能量最小化 (CEM)，以及提出的利用参数 Mish 激活进行 PFM-1 地雷检测的轻量级光谱神经网络。我们还发布了像素级二进制地面真实掩模（目标/背景），以实现标准化、可重复的评估。使用最近发布的 VNIR 高光谱数据集对多个场景作物的惰性 PFM-1 目标进行了评估。使用了受试者工作特征（ROC）曲线、曲线下面积（AUC）、精确回忆（PR）曲线和平均精确度（AP）等指标。虽然所有方法在独立测试集上都实现了较高的 ROC-AUC，但 ACE 方法观察到的 AUC 最高为 0.989。然而，由于目标像素相对于背景极其稀疏，单独的 ROC-AUC 可能会产生误导；在以精度为中心的评估（PR 和 AP）下，Spectral-NN 的性能优于经典检测器，实现了最高的 AP。这些结果强调需要精确评估、场景感知基准测试和基于学习的光谱模型，以实现可靠的基于无人机的高光谱地雷探测。代码和像素级注释将被发布。</w:t>
      </w:r>
    </w:p>
    <w:p>
      <w:pPr>
        <w:spacing w:before="120"/>
      </w:pPr>
      <w:r>
        <w:rPr>
          <w:rFonts w:ascii="Times New Roman" w:hAnsi="Times New Roman" w:eastAsia="宋体"/>
          <w:b/>
          <w:sz w:val="21"/>
        </w:rPr>
        <w:t>English Abstract:</w:t>
      </w:r>
    </w:p>
    <w:p>
      <w:r>
        <w:rPr>
          <w:rFonts w:ascii="Times New Roman" w:hAnsi="Times New Roman" w:eastAsia="宋体"/>
          <w:sz w:val="21"/>
        </w:rPr>
        <w:t>In recent years, unmanned aerial vehicles (UAVs) equipped with imaging sensors and automated processing algorithms have emerged as a promising tool to accelerate large-area surveys while reducing risk to human operators. Although hyperspectral imaging (HSI) enables material discrimination using spectral signatures, standardized benchmarks for UAV-based landmine detection remain scarce. In this work, we present a systematic benchmark of four classical statistical detection algorithms, including Spectral Angle Mapper (SAM), Matched Filter (MF), Adaptive Cosine Estimator (ACE), and Constrained Energy Minimization (CEM), alongside a proposed lightweight Spectral Neural Network utilizing Parametric Mish activations for PFM-1 landmine detection. We also release pixel-level binary ground truth masks (target/background) to enable standardized, reproducible evaluation. Evaluations were conducted on inert PFM-1 targets across multiple scene crops using a recently released VNIR hyperspectral dataset. Metrics such as receiver operating characteristic (ROC) curve, area under the curve (AUC), precision-recall (PR) curve, and average precision (AP) were used. While all methods achieve high ROC-AUC on an independent test set, the ACE method observes the highest AUC of 0.989. However, because target pixels are extremely sparse relative to background, ROC-AUC alone can be misleading; under precision-focused evaluation (PR and AP), the Spectral-NN outperforms classical detectors, achieving the highest AP. These results emphasize the need for precision-focused evaluation, scene-aware benchmarking, and learning-based spectral models for reliable UAV-based hyperspectral landmine detection. The code and pixel-level annotations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低空无人机的鲁棒语义传输：预测信道感知调度和生成重建</w:t>
      </w:r>
    </w:p>
    <w:p>
      <w:r>
        <w:rPr>
          <w:rFonts w:ascii="Times New Roman" w:hAnsi="Times New Roman" w:eastAsia="宋体"/>
          <w:b/>
          <w:color w:val="003264"/>
          <w:sz w:val="24"/>
        </w:rPr>
        <w:t>Robust Semantic Transmission for Low-Altitude UAVs: Predictive Channel-Aware Scheduling and Generative Reconstruction</w:t>
      </w:r>
    </w:p>
    <w:p>
      <w:r>
        <w:rPr>
          <w:rFonts w:ascii="Times New Roman" w:hAnsi="Times New Roman" w:eastAsia="宋体"/>
          <w:sz w:val="21"/>
        </w:rPr>
        <w:t>作者: Pooi-Yuen Kam</w:t>
        <w:br/>
      </w:r>
      <w:r>
        <w:rPr>
          <w:rFonts w:ascii="Times New Roman" w:hAnsi="Times New Roman" w:eastAsia="宋体"/>
          <w:sz w:val="21"/>
        </w:rPr>
        <w:t xml:space="preserve">时间: 2026-02-11T03:39:41Z | </w:t>
      </w:r>
      <w:r>
        <w:t xml:space="preserve">链接: </w:t>
      </w:r>
      <w:hyperlink r:id="rId186">
        <w:r>
          <w:rPr>
            <w:rFonts w:ascii="Times New Roman" w:hAnsi="Times New Roman" w:eastAsia="宋体"/>
            <w:color w:val="0000FF"/>
            <w:sz w:val="21"/>
            <w:u w:val="single"/>
          </w:rPr>
          <w:t>https://arxiv.org/abs/2602.10482v1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无人机（UAV）下行链路传输有助于关键的时间敏感视觉应用，但从根本上受到带宽稀缺和动态信道损伤的限制。空对地 (A2G) 链路的快速波动造成可靠的传输时隙是间歇性的，并且只能不确定地预测未来的信道质量。传统的深度联合源信道编码（DeepJSCC）方法传输耦合特征流，当特定时隙经历深度衰落时，会导致全局重建失败。将语义内容解耦为确定性结构组件和随机纹理组件，可以实现与通道可靠性一致的差异化错误保护策略。开发了一种预测传输框架，该框架利用分流变分编解码器和通道感知调度器来优先考虑结构布局的传送而不是可靠的时隙。实验评估表明，该方法在单流基线上实现了 5.6 dB 的峰值信噪比 (SNR) 增益，并在严重预测失配的情况下保持了结构保真度。</w:t>
      </w:r>
    </w:p>
    <w:p>
      <w:pPr>
        <w:spacing w:before="120"/>
      </w:pPr>
      <w:r>
        <w:rPr>
          <w:rFonts w:ascii="Times New Roman" w:hAnsi="Times New Roman" w:eastAsia="宋体"/>
          <w:b/>
          <w:sz w:val="21"/>
        </w:rPr>
        <w:t>English Abstract:</w:t>
      </w:r>
    </w:p>
    <w:p>
      <w:r>
        <w:rPr>
          <w:rFonts w:ascii="Times New Roman" w:hAnsi="Times New Roman" w:eastAsia="宋体"/>
          <w:sz w:val="21"/>
        </w:rPr>
        <w:t>Unmanned aerial vehicle (UAV) downlink transmission facilitates critical time-sensitive visual applications but is fundamentally constrained by bandwidth scarcity and dynamic channel impairments. The rapid fluctuation of the air-to-ground (A2G) link creates a regime where reliable transmission slots are intermittent and future channel quality can only be predicted with uncertainty. Conventional deep joint source-channel coding (DeepJSCC) methods transmit coupled feature streams, causing global reconstruction failure when specific time slots experience deep fading. Decoupling semantic content into a deterministic structure component and a stochastic texture component enables differentiated error protection strategies aligned with channel reliability. A predictive transmission framework is developed that utilizes a split-stream variational codec and a channel-aware scheduler to prioritize the delivery of structural layout over reliable slots. Experimental evaluations indicate that this approach achieves a 5.6 dB gain in peak signal-to-noise (SNR) ratio over single-stream baselines and maintains structural fidelity under significant prediction mismatch.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通过自适应语义感知密码本学习增强水下图像</w:t>
      </w:r>
    </w:p>
    <w:p>
      <w:r>
        <w:rPr>
          <w:rFonts w:ascii="Times New Roman" w:hAnsi="Times New Roman" w:eastAsia="宋体"/>
          <w:b/>
          <w:color w:val="003264"/>
          <w:sz w:val="24"/>
        </w:rPr>
        <w:t>Enhancing Underwater Images via Adaptive Semantic-aware Codebook Learning</w:t>
      </w:r>
    </w:p>
    <w:p>
      <w:r>
        <w:rPr>
          <w:rFonts w:ascii="Times New Roman" w:hAnsi="Times New Roman" w:eastAsia="宋体"/>
          <w:sz w:val="21"/>
        </w:rPr>
        <w:t>作者: Qian Du</w:t>
        <w:br/>
      </w:r>
      <w:r>
        <w:rPr>
          <w:rFonts w:ascii="Times New Roman" w:hAnsi="Times New Roman" w:eastAsia="宋体"/>
          <w:sz w:val="21"/>
        </w:rPr>
        <w:t xml:space="preserve">时间: 2026-02-11T07:20:15Z | </w:t>
      </w:r>
      <w:r>
        <w:t xml:space="preserve">链接: </w:t>
      </w:r>
      <w:hyperlink r:id="rId187">
        <w:r>
          <w:rPr>
            <w:rFonts w:ascii="Times New Roman" w:hAnsi="Times New Roman" w:eastAsia="宋体"/>
            <w:color w:val="0000FF"/>
            <w:sz w:val="21"/>
            <w:u w:val="single"/>
          </w:rPr>
          <w:t>https://arxiv.org/abs/2602.10586v1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水下图像增强（UIE）是一个不适定问题，其中自然干净的参考不可用，并且不同语义区域的退化水平差异很大。现有的 UIE 方法使用单个全局模型处理图像，并忽略不同场景组件的不一致退化。这种疏忽会导致异构水下场景中显着的颜色失真和精细细节的丢失，特别是在不同图像区域的退化差异显着的情况下。因此，我们提出了 SUCode（语义感知水下码本网络），它从语义感知离散码本表示实现自适应 UIE。与基于一次性码本的方法相比，SUCode 利用针对异构水下退化量身定制的语义感知、像素级码本表示。采用三阶段训练范例来表示原始水下图像特征，以避免伪地面真实污染。门控通道注意模块 (GCAM) 和频率感知特征融合 (FAFF) 联合集成通道和频率线索，以实现忠实的色彩恢复和纹理恢复。对多个基准的大量实验表明，SUCode 实现了最先进的性能，在参考和无参考指标上均优于最新的 UIE 方法。该代码将在 https://github.com/oucailab/SUCode 上公开。</w:t>
      </w:r>
    </w:p>
    <w:p>
      <w:pPr>
        <w:spacing w:before="120"/>
      </w:pPr>
      <w:r>
        <w:rPr>
          <w:rFonts w:ascii="Times New Roman" w:hAnsi="Times New Roman" w:eastAsia="宋体"/>
          <w:b/>
          <w:sz w:val="21"/>
        </w:rPr>
        <w:t>English Abstract:</w:t>
      </w:r>
    </w:p>
    <w:p>
      <w:r>
        <w:rPr>
          <w:rFonts w:ascii="Times New Roman" w:hAnsi="Times New Roman" w:eastAsia="宋体"/>
          <w:sz w:val="21"/>
        </w:rPr>
        <w:t>Underwater Image Enhancement (UIE) is an ill-posed problem where natural clean references are not available, and the degradation levels vary significantly across semantic regions. Existing UIE methods treat images with a single global model and ignore the inconsistent degradation of different scene components. This oversight leads to significant color distortions and loss of fine details in heterogeneous underwater scenes, especially where degradation varies significantly across different image regions. Therefore, we propose SUCode (Semantic-aware Underwater Codebook Network), which achieves adaptive UIE from semantic-aware discrete codebook representation. Compared with one-shot codebook-based methods, SUCode exploits semantic-aware, pixel-level codebook representation tailored to heterogeneous underwater degradation. A three-stage training paradigm is employed to represent raw underwater image features to avoid pseudo ground-truth contamination. Gated Channel Attention Module (GCAM) and Frequency-Aware Feature Fusion (FAFF) jointly integrate channel and frequency cues for faithful color restoration and texture recovery. Extensive experiments on multiple benchmarks demonstrate that SUCode achieves state-of-the-art performance, outperforming recent UIE methods on both reference and no-reference metrics. The code will be made public available at https://github.com/oucailab/SUCode.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192 x 128 SPAD 图像传感器的草图 LiDAR 的 FPGA 实现</w:t>
      </w:r>
    </w:p>
    <w:p>
      <w:r>
        <w:rPr>
          <w:rFonts w:ascii="Times New Roman" w:hAnsi="Times New Roman" w:eastAsia="宋体"/>
          <w:b/>
          <w:color w:val="003264"/>
          <w:sz w:val="24"/>
        </w:rPr>
        <w:t>FPGA Implementation of Sketched LiDAR for a 192 x 128 SPAD Image Sensor</w:t>
      </w:r>
    </w:p>
    <w:p>
      <w:r>
        <w:rPr>
          <w:rFonts w:ascii="Times New Roman" w:hAnsi="Times New Roman" w:eastAsia="宋体"/>
          <w:sz w:val="21"/>
        </w:rPr>
        <w:t>作者: Istvan Gyongy</w:t>
        <w:br/>
      </w:r>
      <w:r>
        <w:rPr>
          <w:rFonts w:ascii="Times New Roman" w:hAnsi="Times New Roman" w:eastAsia="宋体"/>
          <w:sz w:val="21"/>
        </w:rPr>
        <w:t xml:space="preserve">时间: 2026-02-11T13:23:55Z | </w:t>
      </w:r>
      <w:r>
        <w:t xml:space="preserve">链接: </w:t>
      </w:r>
      <w:hyperlink r:id="rId188">
        <w:r>
          <w:rPr>
            <w:rFonts w:ascii="Times New Roman" w:hAnsi="Times New Roman" w:eastAsia="宋体"/>
            <w:color w:val="0000FF"/>
            <w:sz w:val="21"/>
            <w:u w:val="single"/>
          </w:rPr>
          <w:t>https://arxiv.org/abs/2602.10837v1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基于多项式样条函数的统计压缩算法的高效现场可编程门阵列（FPGA）实现，旨在解决新兴高空间分辨率单光子雪崩二极管（SPAD）阵列中海量数据传输带宽的关键挑战，其中数据速率可达每秒数十GB。在我们的实验中，与传统的基于直方图的输出相比，所提出的硬件实现实现了 512 倍的压缩比，并且有进一步改进的潜力。该算法首先使用定点 (FXP) 算术和查找表 (LUT) 在软件中进行优化，以消除显式加法、乘法和非线性运算。这可以在准确性和硬件资源利用率之间实现仔细的平衡。在此权衡分析的指导下，在线草图处理元件 (SPE) 在 FPGA 上实现，以直接处理来自 SPAD 传感器的时间戳流。使用具有 192 x 128 像素 SPAD 阵列的定制 LiDAR 设置对实施进行了验证。这项工作展示了高保真度的无直方图在线深度重建，有效缓解了SPAD阵列的时间戳传输瓶颈，并随着未来SPAD的像素数不断增加而提供了可扩展性。</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efficient field-programmable gate array (FPGA) implementation of a polynomial spline function-based statistical compression algorithm designed to address the critical challenge of massive data transfer bandwidth in emerging high-spatial-resolution single-photon avalanche diode (SPAD) arrays, where data rates can reach tens of gigabytes per second. In our experiments, the proposed hardware implementation achieves a compression ratio of 512x compared with conventional histogram-based outputs, with the potential for further improvement. The algorithm is first optimized in software using fixed-point (FXP) arithmetic and look-up tables (LUTs) to eliminate explicit additions, multiplications, and non-linear operations. This enables a careful balance between accuracy and hardware resource utilization. Guided by this trade-off analysis, online sketch processing elements (SPEs) are implemented on an FPGA to directly process time-stamp streams from the SPAD sensor. The implementation is validated using a customized LiDAR setup with a 192 x 128-pixel SPAD array. This work demonstrates histogram-free online depth reconstruction with high fidelity, effectively alleviating the time-stamp transfer bottleneck of SPAD arrays and offering scalability as pixel counts continue to increase for future SPADs.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通过稀疏投影梯度下降对视网膜植入物进行免训练刺激编码</w:t>
      </w:r>
    </w:p>
    <w:p>
      <w:r>
        <w:rPr>
          <w:rFonts w:ascii="Times New Roman" w:hAnsi="Times New Roman" w:eastAsia="宋体"/>
          <w:b/>
          <w:color w:val="003264"/>
          <w:sz w:val="24"/>
        </w:rPr>
        <w:t>Training-Free Stimulus Encoding for Retinal Implants via Sparse Projected Gradient Descent</w:t>
      </w:r>
    </w:p>
    <w:p>
      <w:r>
        <w:rPr>
          <w:rFonts w:ascii="Times New Roman" w:hAnsi="Times New Roman" w:eastAsia="宋体"/>
          <w:sz w:val="21"/>
        </w:rPr>
        <w:t>作者: Johannes Stegmaier</w:t>
        <w:br/>
      </w:r>
      <w:r>
        <w:rPr>
          <w:rFonts w:ascii="Times New Roman" w:hAnsi="Times New Roman" w:eastAsia="宋体"/>
          <w:sz w:val="21"/>
        </w:rPr>
        <w:t xml:space="preserve">时间: 2026-02-11T14:35:49Z | </w:t>
      </w:r>
      <w:r>
        <w:t xml:space="preserve">链接: </w:t>
      </w:r>
      <w:hyperlink r:id="rId189">
        <w:r>
          <w:rPr>
            <w:rFonts w:ascii="Times New Roman" w:hAnsi="Times New Roman" w:eastAsia="宋体"/>
            <w:color w:val="0000FF"/>
            <w:sz w:val="21"/>
            <w:u w:val="single"/>
          </w:rPr>
          <w:t>https://arxiv.org/abs/2602.10906v1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植入物的目的是在光感受器退化的情况下恢复功能性视力，但从根本上受到低分辨率电极阵列和患者特异性知觉扭曲的限制。大多数部署的编码器依赖于与任务无关的下采样和线性亮度到幅度映射，这在现实感知模型下是次优的。虽然全局逆问题已被表述为神经网络，但此类方法可以快速推理，并且可以实现高重建保真度，但需要训练并且对任意输入的泛化性有限。我们将刺激编码视为线性化感知前向模型下的约束稀疏最小二乘问题。我们的主要观察结果是，最终的感知矩阵可能非常稀疏，具体取决于患者和植入物的配置。在此基础上，我们应用了一个高效的投影残差范数最速下降求解器，该求解器利用稀疏性并通过投影支持刺激边界。在四名模拟患者和植入分辨率从 $15\times15$ 到 $100\times100$ 电极的计算机模拟实验中，与 Lanczos 下采样相比，Fashion-MNIST 的重建保真度得到了改善，SSIM 增加了 $+0.265$，PSNR 增加了 $+1​​2.4\,\mathrm{dB}$，MAE 减少了 $81.4\%$。</w:t>
      </w:r>
    </w:p>
    <w:p>
      <w:pPr>
        <w:spacing w:before="120"/>
      </w:pPr>
      <w:r>
        <w:rPr>
          <w:rFonts w:ascii="Times New Roman" w:hAnsi="Times New Roman" w:eastAsia="宋体"/>
          <w:b/>
          <w:sz w:val="21"/>
        </w:rPr>
        <w:t>English Abstract:</w:t>
      </w:r>
    </w:p>
    <w:p>
      <w:r>
        <w:rPr>
          <w:rFonts w:ascii="Times New Roman" w:hAnsi="Times New Roman" w:eastAsia="宋体"/>
          <w:sz w:val="21"/>
        </w:rPr>
        <w:t>Retinal implants aim to restore functional vision despite photoreceptor degeneration, yet are fundamentally constrained by low resolution electrode arrays and patient-specific perceptual distortions. Most deployed encoders rely on task-agnostic downsampling and linear brightness-to-amplitude mappings, which are suboptimal under realistic perceptual models. While global inverse problems have been formulated as neural networks, such approaches can be fast at inference, and can achieve high reconstruction fidelity, but require training and have limited generalizability to arbitrary inputs. We cast stimulus encoding as a constrained sparse least-squares problem under a linearized perceptual forward model. Our key observation is that the resulting perception matrix can be highly sparse, depending on patient and implant configuration. Building on this, we apply an efficient projected residual norm steepest descent solver that exploits sparsity and supports stimulus bounds via projection. In silico experiments across four simulated patients and implant resolutions from $15\times15$ to $100\times100$ electrodes demonstrate improved reconstruction fidelity, with up to $+0.265$ SSIM increase, $+12.4\,\mathrm{dB}$ PSNR, and $81.4\%$ MAE reduction on Fashion-MNIST compared to Lanczos downsampling.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当提示变得可视化时：针对大图像编辑模型的以视觉为中心的越狱攻击</w:t>
      </w:r>
    </w:p>
    <w:p>
      <w:r>
        <w:rPr>
          <w:rFonts w:ascii="Times New Roman" w:hAnsi="Times New Roman" w:eastAsia="宋体"/>
          <w:b/>
          <w:color w:val="003264"/>
          <w:sz w:val="24"/>
        </w:rPr>
        <w:t>When the Prompt Becomes Visual: Vision-Centric Jailbreak Attacks for Large Image Editing Models</w:t>
      </w:r>
    </w:p>
    <w:p>
      <w:r>
        <w:rPr>
          <w:rFonts w:ascii="Times New Roman" w:hAnsi="Times New Roman" w:eastAsia="宋体"/>
          <w:sz w:val="21"/>
        </w:rPr>
        <w:t>作者: Alex Jinpeng Wang</w:t>
        <w:br/>
      </w:r>
      <w:r>
        <w:rPr>
          <w:rFonts w:ascii="Times New Roman" w:hAnsi="Times New Roman" w:eastAsia="宋体"/>
          <w:sz w:val="21"/>
        </w:rPr>
        <w:t xml:space="preserve">时间: 2026-02-10T18:59:55Z | </w:t>
      </w:r>
      <w:r>
        <w:t xml:space="preserve">链接: </w:t>
      </w:r>
      <w:hyperlink r:id="rId190">
        <w:r>
          <w:rPr>
            <w:rFonts w:ascii="Times New Roman" w:hAnsi="Times New Roman" w:eastAsia="宋体"/>
            <w:color w:val="0000FF"/>
            <w:sz w:val="21"/>
            <w:u w:val="single"/>
          </w:rPr>
          <w:t>https://arxiv.org/abs/2602.10179v1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图像编辑模型的最新进展已将范式从文本驱动指令转变为视觉提示编辑，其中用户意图直接从视觉输入（例如标记、箭头和视觉文本提示）推断出来。虽然这种范例极大地扩展了可用性，但它也引入了一个关键的且尚未充分探索的安全风险：攻击面本身变得可见。在这项工作中，我们提出了以视觉为中心的越狱攻击（VJA），这是第一个纯粹通过视觉输入传达恶意指令的视觉到视觉越狱攻击。为了系统地研究这一新兴威胁，我们引入了 IESBench，这是一种面向图像编辑模型的安全基准。 IESBench 上的大量实验表明，VJA 有效地破坏了最先进的商业模型，在 Nano Banana Pro 上实现了高达 80.9% 的攻击成功率，在 GPT-Image-1.5 上实现了高达 70.1% 的攻击成功率。为了减轻这个漏洞，我们提出了一种基于内省多模态推理的免训练防御，它大大提高了对齐不良模型的安全性，达到与商业系统相当的水平，无需辅助防护模型，计算开销可以忽略不计。我们的研究结果暴露了新的漏洞，为推进安全可靠的现代图像编辑系统提供了基准和实际防御。警告：本文包含由大型图像编辑模型创建的令人反感的图像。</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 image editing models have shifted the paradigm from text-driven instructions to vision-prompt editing, where user intent is inferred directly from visual inputs such as marks, arrows, and visual-text prompts. While this paradigm greatly expands usability, it also introduces a critical and underexplored safety risk: the attack surface itself becomes visual. In this work, we propose Vision-Centric Jailbreak Attack (VJA), the first visual-to-visual jailbreak attack that conveys malicious instructions purely through visual inputs. To systematically study this emerging threat, we introduce IESBench, a safety-oriented benchmark for image editing models. Extensive experiments on IESBench demonstrate that VJA effectively compromises state-of-the-art commercial models, achieving attack success rates of up to 80.9% on Nano Banana Pro and 70.1% on GPT-Image-1.5. To mitigate this vulnerability, we propose a training-free defense based on introspective multimodal reasoning, which substantially improves the safety of poorly aligned models to a level comparable with commercial systems, without auxiliary guard models and with negligible computational overhead. Our findings expose new vulnerabilities, provide both a benchmark and practical defense to advance safe and trustworthy modern image editing systems. Warning: This paper contains offensive images created by large image editing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色度计监督下的皮肤镜图像肤色估计，用于公平性审核</w:t>
      </w:r>
    </w:p>
    <w:p>
      <w:r>
        <w:rPr>
          <w:rFonts w:ascii="Times New Roman" w:hAnsi="Times New Roman" w:eastAsia="宋体"/>
          <w:b/>
          <w:color w:val="003264"/>
          <w:sz w:val="24"/>
        </w:rPr>
        <w:t>Colorimeter-Supervised Skin Tone Estimation from Dermatoscopic Images for Fairness Auditing</w:t>
      </w:r>
    </w:p>
    <w:p>
      <w:r>
        <w:rPr>
          <w:rFonts w:ascii="Times New Roman" w:hAnsi="Times New Roman" w:eastAsia="宋体"/>
          <w:sz w:val="21"/>
        </w:rPr>
        <w:t>作者: Irena Galić</w:t>
        <w:br/>
      </w:r>
      <w:r>
        <w:rPr>
          <w:rFonts w:ascii="Times New Roman" w:hAnsi="Times New Roman" w:eastAsia="宋体"/>
          <w:sz w:val="21"/>
        </w:rPr>
        <w:t xml:space="preserve">时间: 2026-02-10T20:20:45Z | </w:t>
      </w:r>
      <w:r>
        <w:t xml:space="preserve">链接: </w:t>
      </w:r>
      <w:hyperlink r:id="rId191">
        <w:r>
          <w:rPr>
            <w:rFonts w:ascii="Times New Roman" w:hAnsi="Times New Roman" w:eastAsia="宋体"/>
            <w:color w:val="0000FF"/>
            <w:sz w:val="21"/>
            <w:u w:val="single"/>
          </w:rPr>
          <w:t>https://arxiv.org/abs/2602.10265v1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皮肤镜图像的神经网络诊断越来越多地用于临床决策支持，但研究报告了不同肤色的性能差异。由于公共皮肤镜数据集中缺乏可靠的肤色注释，这些模型的公平性审核受到限制。我们通过神经网络解决了这一差距，该神经网络通过序数回归预测菲茨帕特里克皮肤类型，并通过颜色回归预测个体类型学角度（ITA），并使用现场菲茨帕特里克标签和色度计测量作为目标。我们进一步利用对合成和真实皮肤镜和临床图像的广泛预训练。 Fitzpatrick 模型达到了与人类众包注释相当的一致性，ITA 预测与色度计衍生的 ITA 高度一致，大大优于像素平均方法。将这些估计量应用于 ISIC 2020 和 MILK10k，我们发现不到 1% 的受试者属于 Fitzpatrick V 型和 VI 型。我们发布代码和预训练模型作为开源工具，用于快速肤色注释和偏差审核。据我们所知，这是第一个根据色度计测量进行验证的皮肤镜肤色估计神经网络，并且它支持了越来越多的证据表明不同肤色群体之间的临床相关性能差距。</w:t>
      </w:r>
    </w:p>
    <w:p>
      <w:pPr>
        <w:spacing w:before="120"/>
      </w:pPr>
      <w:r>
        <w:rPr>
          <w:rFonts w:ascii="Times New Roman" w:hAnsi="Times New Roman" w:eastAsia="宋体"/>
          <w:b/>
          <w:sz w:val="21"/>
        </w:rPr>
        <w:t>English Abstract:</w:t>
      </w:r>
    </w:p>
    <w:p>
      <w:r>
        <w:rPr>
          <w:rFonts w:ascii="Times New Roman" w:hAnsi="Times New Roman" w:eastAsia="宋体"/>
          <w:sz w:val="21"/>
        </w:rPr>
        <w:t>Neural-network-based diagnosis from dermatoscopic images is increasingly used for clinical decision support, yet studies report performance disparities across skin tones. Fairness auditing of these models is limited by the lack of reliable skin-tone annotations in public dermatoscopy datasets. We address this gap with neural networks that predict Fitzpatrick skin type via ordinal regression and the Individual Typology Angle (ITA) via color regression, using in-person Fitzpatrick labels and colorimeter measurements as targets. We further leverage extensive pretraining on synthetic and real dermatoscopic and clinical images. The Fitzpatrick model achieves agreement comparable to human crowdsourced annotations, and ITA predictions show high concordance with colorimeter-derived ITA, substantially outperforming pixel-averaging approaches. Applying these estimators to ISIC 2020 and MILK10k, we find that fewer than 1% of subjects belong to Fitzpatrick types V and VI. We release code and pretrained models as an open-source tool for rapid skin-tone annotation and bias auditing. This is, to our knowledge, the first dermatoscopic skin-tone estimation neural network validated against colorimeter measurements, and it supports growing evidence of clinically relevant performance gaps across skin-tone groups.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ERGO：高保真单目 3D 高斯泼溅的过度风险引导优化</w:t>
      </w:r>
    </w:p>
    <w:p>
      <w:r>
        <w:rPr>
          <w:rFonts w:ascii="Times New Roman" w:hAnsi="Times New Roman" w:eastAsia="宋体"/>
          <w:b/>
          <w:color w:val="003264"/>
          <w:sz w:val="24"/>
        </w:rPr>
        <w:t>ERGO: Excess-Risk-Guided Optimization for High-Fidelity Monocular 3D Gaussian Splatting</w:t>
      </w:r>
    </w:p>
    <w:p>
      <w:r>
        <w:rPr>
          <w:rFonts w:ascii="Times New Roman" w:hAnsi="Times New Roman" w:eastAsia="宋体"/>
          <w:sz w:val="21"/>
        </w:rPr>
        <w:t>作者: Xiaodan Liang</w:t>
        <w:br/>
      </w:r>
      <w:r>
        <w:rPr>
          <w:rFonts w:ascii="Times New Roman" w:hAnsi="Times New Roman" w:eastAsia="宋体"/>
          <w:sz w:val="21"/>
        </w:rPr>
        <w:t xml:space="preserve">时间: 2026-02-10T20:44:43Z | </w:t>
      </w:r>
      <w:r>
        <w:t xml:space="preserve">链接: </w:t>
      </w:r>
      <w:hyperlink r:id="rId192">
        <w:r>
          <w:rPr>
            <w:rFonts w:ascii="Times New Roman" w:hAnsi="Times New Roman" w:eastAsia="宋体"/>
            <w:color w:val="0000FF"/>
            <w:sz w:val="21"/>
            <w:u w:val="single"/>
          </w:rPr>
          <w:t>https://arxiv.org/abs/2602.10278v1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由于遮挡区域固有地缺乏几何和纹理信息，从单个图像生成 3D 内容仍然是一个根本性的挑战和不适定问题。虽然最先进的生成模型可以合成辅助视图来提供额外的监督，但这些视图不可避免地包含几何不一致和纹理错位，这些不一致和纹理错位会在 3D 重建过程中传播和放大伪影。为了有效地利用这些不完善的监管信号，我们提出了一种以过度风险分解为指导的自适应优化框架，称为 ERGO。具体来说，ERGO 将 3D 高斯分布中的优化损失分解为两个部分，即量化当前参数和最优参数之间的次优差距的超额风险，以及对合成视图中固有的不可约噪声进行建模的贝叶斯误差。这种分解使 ERGO 能够动态估计视图特定的超额风险，并在优化过程中自适应调整损失权重。此外，我们引入了几何感知和纹理感知目标，补充了过度风险衍生的加权机制，建立了协同的全局局部优化范例。因此，ERGO 展示了针对监督噪声的鲁棒性，同时持续增强重建 3D 内容的几何保真度和纹理质量。对 Google Scanned Objects 数据集和 OmniObject3D 数据集的大量实验证明了 ERGO 相对于现有最先进方法的优越性。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Generating 3D content from a single image remains a fundamentally challenging and ill-posed problem due to the inherent absence of geometric and textural information in occluded regions. While state-of-the-art generative models can synthesize auxiliary views to provide additional supervision, these views inevitably contain geometric inconsistencies and textural misalignments that propagate and amplify artifacts during 3D reconstruction. To effectively harness these imperfect supervisory signals, we propose an adaptive optimization framework guided by excess risk decomposition, termed ERGO. Specifically, ERGO decomposes the optimization losses in 3D Gaussian splatting into two components, i.e., excess risk that quantifies the suboptimality gap between current and optimal parameters, and Bayes error that models the irreducible noise inherent in synthesized views. This decomposition enables ERGO to dynamically estimate the view-specific excess risk and adaptively adjust loss weights during optimization. Furthermore, we introduce geometry-aware and texture-aware objectives that complement the excess-risk-derived weighting mechanism, establishing a synergistic global-local optimization paradigm. Consequently, ERGO demonstrates robustness against supervision noise while consistently enhancing both geometric fidelity and textural quality of the reconstructed 3D content. Extensive experiments on the Google Scanned Objects dataset and the OmniObject3D dataset demonstrate the superiority of ERGO over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扩散模型对抗性攻击的低阶防御方法</w:t>
      </w:r>
    </w:p>
    <w:p>
      <w:r>
        <w:rPr>
          <w:rFonts w:ascii="Times New Roman" w:hAnsi="Times New Roman" w:eastAsia="宋体"/>
          <w:b/>
          <w:color w:val="003264"/>
          <w:sz w:val="24"/>
        </w:rPr>
        <w:t>A Low-Rank Defense Method for Adversarial Attack on Diffusion Models</w:t>
      </w:r>
    </w:p>
    <w:p>
      <w:r>
        <w:rPr>
          <w:rFonts w:ascii="Times New Roman" w:hAnsi="Times New Roman" w:eastAsia="宋体"/>
          <w:sz w:val="21"/>
        </w:rPr>
        <w:t>作者: Siyu Huang</w:t>
        <w:br/>
      </w:r>
      <w:r>
        <w:rPr>
          <w:rFonts w:ascii="Times New Roman" w:hAnsi="Times New Roman" w:eastAsia="宋体"/>
          <w:sz w:val="21"/>
        </w:rPr>
        <w:t xml:space="preserve">时间: 2026-02-10T21:56:59Z | </w:t>
      </w:r>
      <w:r>
        <w:t xml:space="preserve">链接: </w:t>
      </w:r>
      <w:hyperlink r:id="rId193">
        <w:r>
          <w:rPr>
            <w:rFonts w:ascii="Times New Roman" w:hAnsi="Times New Roman" w:eastAsia="宋体"/>
            <w:color w:val="0000FF"/>
            <w:sz w:val="21"/>
            <w:u w:val="single"/>
          </w:rPr>
          <w:t>https://arxiv.org/abs/2602.10319v1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的对抗性攻击及其微调过程得到了迅速发展。为了防止这些攻击算法的滥用影响扩散模型的实际应用，制定相应的防御策略至关重要。在这项工作中，我们提出了一种有效的防御策略，称为低阶防御（LoRD），来防御对潜在扩散模型（LDM）的对抗性攻击。 LoRD引入合并思想和平衡参数，结合低秩适应（LoRA）模块来检测和防御对抗性样本。基于LoRD，我们建立了一个防御管道，应用学习到的LoRD模块来帮助扩散模型防御攻击算法。我们的方法确保在对抗样本和干净样本上进行微调的 LDM 仍然可以生成高质量的图像。为了证明我们方法的有效性，我们对面部和风景图像进行了广泛的实验，与基线方法相比，我们的方法显示出明显更好的防御性能。</w:t>
      </w:r>
    </w:p>
    <w:p>
      <w:pPr>
        <w:spacing w:before="120"/>
      </w:pPr>
      <w:r>
        <w:rPr>
          <w:rFonts w:ascii="Times New Roman" w:hAnsi="Times New Roman" w:eastAsia="宋体"/>
          <w:b/>
          <w:sz w:val="21"/>
        </w:rPr>
        <w:t>English Abstract:</w:t>
      </w:r>
    </w:p>
    <w:p>
      <w:r>
        <w:rPr>
          <w:rFonts w:ascii="Times New Roman" w:hAnsi="Times New Roman" w:eastAsia="宋体"/>
          <w:sz w:val="21"/>
        </w:rPr>
        <w:t>Recently, adversarial attacks for diffusion models as well as their fine-tuning process have been developed rapidly. To prevent the abuse of these attack algorithms from affecting the practical application of diffusion models, it is critical to develop corresponding defensive strategies. In this work, we propose an efficient defensive strategy, named Low-Rank Defense (LoRD), to defend the adversarial attack on Latent Diffusion Models (LDMs). LoRD introduces the merging idea and a balance parameter, combined with the low-rank adaptation (LoRA) modules, to detect and defend the adversarial samples. Based on LoRD, we build up a defense pipeline that applies the learned LoRD modules to help diffusion models defend against attack algorithms. Our method ensures that the LDM fine-tuned on both adversarial and clean samples can still generate high-quality images. To demonstrate the effectiveness of our approach, we conduct extensive experiments on facial and landscape images, and our method shows significantly better defense performance compared to the baseline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具有不确定性量化和指导的流量匹配</w:t>
      </w:r>
    </w:p>
    <w:p>
      <w:r>
        <w:rPr>
          <w:rFonts w:ascii="Times New Roman" w:hAnsi="Times New Roman" w:eastAsia="宋体"/>
          <w:b/>
          <w:color w:val="003264"/>
          <w:sz w:val="24"/>
        </w:rPr>
        <w:t>Flow Matching with Uncertainty Quantification and Guidance</w:t>
      </w:r>
    </w:p>
    <w:p>
      <w:r>
        <w:rPr>
          <w:rFonts w:ascii="Times New Roman" w:hAnsi="Times New Roman" w:eastAsia="宋体"/>
          <w:sz w:val="21"/>
        </w:rPr>
        <w:t>作者: Sertac Karaman</w:t>
        <w:br/>
      </w:r>
      <w:r>
        <w:rPr>
          <w:rFonts w:ascii="Times New Roman" w:hAnsi="Times New Roman" w:eastAsia="宋体"/>
          <w:sz w:val="21"/>
        </w:rPr>
        <w:t xml:space="preserve">时间: 2026-02-10T22:03:13Z | </w:t>
      </w:r>
      <w:r>
        <w:t xml:space="preserve">链接: </w:t>
      </w:r>
      <w:hyperlink r:id="rId194">
        <w:r>
          <w:rPr>
            <w:rFonts w:ascii="Times New Roman" w:hAnsi="Times New Roman" w:eastAsia="宋体"/>
            <w:color w:val="0000FF"/>
            <w:sz w:val="21"/>
            <w:u w:val="single"/>
          </w:rPr>
          <w:t>https://arxiv.org/abs/2602.10326v1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采样的生成模型（例如流量匹配）取得了巨大成功，但它们仍然会产生质量不一致或质量下降的样本。为了评估样本可靠性并生成更高质量的输出，我们提出了不确定性感知流匹配（UA-Flow），这是流匹配的轻量级扩展，可以预测速度场和异方差不确定性。 UA-Flow 通过流动动力学传播速度不确定性来估计每个样本的不确定性。这些不确定性估计充当单个样本的可靠性信号，我们进一步使用它们通过不确定性感知分类器指导和无分类器指导来指导生成。图像生成实验表明，与基线方法相比，UA-Flow 产生的不确定性信号与样本保真度更加相关，并且不确定性引导采样进一步提高了生成质量。</w:t>
      </w:r>
    </w:p>
    <w:p>
      <w:pPr>
        <w:spacing w:before="120"/>
      </w:pPr>
      <w:r>
        <w:rPr>
          <w:rFonts w:ascii="Times New Roman" w:hAnsi="Times New Roman" w:eastAsia="宋体"/>
          <w:b/>
          <w:sz w:val="21"/>
        </w:rPr>
        <w:t>English Abstract:</w:t>
      </w:r>
    </w:p>
    <w:p>
      <w:r>
        <w:rPr>
          <w:rFonts w:ascii="Times New Roman" w:hAnsi="Times New Roman" w:eastAsia="宋体"/>
          <w:sz w:val="21"/>
        </w:rPr>
        <w:t>Despite the remarkable success of sampling-based generative models such as flow matching, they can still produce samples of inconsistent or degraded quality. To assess sample reliability and generate higher-quality outputs, we propose uncertainty-aware flow matching (UA-Flow), a lightweight extension of flow matching that predicts the velocity field together with heteroscedastic uncertainty. UA-Flow estimates per-sample uncertainty by propagating velocity uncertainty through the flow dynamics. These uncertainty estimates act as a reliability signal for individual samples, and we further use them to steer generation via uncertainty-aware classifier guidance and classifier-free guidance. Experiments on image generation show that UA-Flow produces uncertainty signals more highly correlated with sample fidelity than baseline methods, and that uncertainty-guided sampling further improves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使用随机卷积神经网络进行条件不确定性感知政治深度伪造检测</w:t>
      </w:r>
    </w:p>
    <w:p>
      <w:r>
        <w:rPr>
          <w:rFonts w:ascii="Times New Roman" w:hAnsi="Times New Roman" w:eastAsia="宋体"/>
          <w:b/>
          <w:color w:val="003264"/>
          <w:sz w:val="24"/>
        </w:rPr>
        <w:t>Conditional Uncertainty-Aware Political Deepfake Detection with Stochastic Convolutional Neural Networks</w:t>
      </w:r>
    </w:p>
    <w:p>
      <w:r>
        <w:rPr>
          <w:rFonts w:ascii="Times New Roman" w:hAnsi="Times New Roman" w:eastAsia="宋体"/>
          <w:sz w:val="21"/>
        </w:rPr>
        <w:t>作者: Rafael-Petruţ Gardoş</w:t>
        <w:br/>
      </w:r>
      <w:r>
        <w:rPr>
          <w:rFonts w:ascii="Times New Roman" w:hAnsi="Times New Roman" w:eastAsia="宋体"/>
          <w:sz w:val="21"/>
        </w:rPr>
        <w:t xml:space="preserve">时间: 2026-02-10T22:31:18Z | </w:t>
      </w:r>
      <w:r>
        <w:t xml:space="preserve">链接: </w:t>
      </w:r>
      <w:hyperlink r:id="rId195">
        <w:r>
          <w:rPr>
            <w:rFonts w:ascii="Times New Roman" w:hAnsi="Times New Roman" w:eastAsia="宋体"/>
            <w:color w:val="0000FF"/>
            <w:sz w:val="21"/>
            <w:u w:val="single"/>
          </w:rPr>
          <w:t>https://arxiv.org/abs/2602.10343v1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模型的最新进展使得高度逼真的政治深度伪造成为可能，这给信息完整性、公众信任和民主进程带来了风险。虽然自动深度造假检测器越来越多地部署在审核和调查管道中，但大多数现有系统仅提供点预测，无法指示输出何时不可靠，这在高风险的政治背景下成为操作上的关键限制。这项工作研究了在经验性、面向决策的可靠性框架内使用随机卷积神经网络进行有条件的、不确定性感知的政治深度伪造检测。它不是将不确定性视为纯粹的贝叶斯构造，而是通过可观察的标准进行评估，包括校准质量、适当的评分规则及其与全局分析和置信条件分析下的预测误差的一致性。以政治为中心的二进制图像数据集是通过从大型公共真实合成语料库中进行确定性元数据过滤而构建的。两个预训练的 CNN 主干网络（ResNet-18 和 EfficientNet-B4）针对分类进行了全面微调。将确定性推理与单遍随机预测、多次前向传递的蒙特卡罗 dropout、温度缩放和基于集合的不确定性替代项进行比较。评估报告 ROC-AUC、阈值混淆矩阵、校准指标和生成器不相交的分布外性能。结果表明，经过校准的概率输出和不确定性估计可以实现风险意识调节政策。系统的置信带分析进一步阐明了不确定性何时提供超出预测置信度的操作价值，描绘了政治环境中不确定性感知深度伪造检测的好处和局限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image models have enabled the creation of highly realistic political deepfakes, posing risks to information integrity, public trust, and democratic processes. While automated deepfake detectors are increasingly deployed in moderation and investigative pipelines, most existing systems provide only point predictions and fail to indicate when outputs are unreliable, being an operationally critical limitation in high-stakes political contexts. This work investigates conditional, uncertainty-aware political deepfake detection using stochastic convolutional neural networks within an empirical, decision-oriented reliability framework. Rather than treating uncertainty as a purely Bayesian construct, it is evaluated through observable criteria, including calibration quality, proper scoring rules, and its alignment with prediction errors under both global and confidence-conditioned analyses. A politically focused binary image dataset is constructed via deterministic metadata filtering from a large public real-synthetic corpus. Two pretrained CNN backbones (ResNet-18 and EfficientNet-B4) are fully fine-tuned for classification. Deterministic inference is compared with single-pass stochastic prediction, Monte Carlo dropout with multiple forward passes, temperature scaling, and ensemble-based uncertainty surrogates. Evaluation reports ROC-AUC, thresholded confusion matrices, calibration metrics, and generator-disjoint out-of-distribution performance. Results demonstrate that calibrated probabilistic outputs and uncertainty estimates enable risk-aware moderation policies. A systematic confidence-band analysis further clarifies when uncertainty provides operational value beyond predicted confidence, delineating both the benefits and limitations of uncertainty-aware deepfake detection in political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散斑数字全息的蒙特卡罗最大似然重建</w:t>
      </w:r>
    </w:p>
    <w:p>
      <w:r>
        <w:rPr>
          <w:rFonts w:ascii="Times New Roman" w:hAnsi="Times New Roman" w:eastAsia="宋体"/>
          <w:b/>
          <w:color w:val="003264"/>
          <w:sz w:val="24"/>
        </w:rPr>
        <w:t>Monte Carlo Maximum Likelihood Reconstruction for Digital Holography with Speckle</w:t>
      </w:r>
    </w:p>
    <w:p>
      <w:r>
        <w:rPr>
          <w:rFonts w:ascii="Times New Roman" w:hAnsi="Times New Roman" w:eastAsia="宋体"/>
          <w:sz w:val="21"/>
        </w:rPr>
        <w:t>作者: Shirin Jalali</w:t>
        <w:br/>
      </w:r>
      <w:r>
        <w:rPr>
          <w:rFonts w:ascii="Times New Roman" w:hAnsi="Times New Roman" w:eastAsia="宋体"/>
          <w:sz w:val="21"/>
        </w:rPr>
        <w:t xml:space="preserve">时间: 2026-02-10T22:31:22Z | </w:t>
      </w:r>
      <w:r>
        <w:t xml:space="preserve">链接: </w:t>
      </w:r>
      <w:hyperlink r:id="rId196">
        <w:r>
          <w:rPr>
            <w:rFonts w:ascii="Times New Roman" w:hAnsi="Times New Roman" w:eastAsia="宋体"/>
            <w:color w:val="0000FF"/>
            <w:sz w:val="21"/>
            <w:u w:val="single"/>
          </w:rPr>
          <w:t>https://arxiv.org/abs/2602.10344v1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相干成像中，散斑在统计上被建模为乘性噪声，这对图像重建提出了根本性的挑战。虽然最大似然估计（MLE）为散斑抑制提供了原则框架，但其在相干成像系统（例如具有有限孔径的数字全息术）中的应用受到高维矩阵求逆成本高昂的阻碍，尤其是在高分辨率下。这种计算负担阻碍了基于 MLE 的重建与物理上精确的孔径建模的使用。在这项工作中，我们提出了一种随机线性代数方法，该方法可以实现可扩展的 MLE 优化，而无需在梯度计算中显式矩阵求逆。通过利用传感矩阵的结构特性并使用共轭梯度进行似然梯度评估，所提出的算法支持精确的孔径建模，而无需通常为易处理性而强加的简化假设。我们将所得方法称为蒙特卡罗估计投影梯度下降法 (PGD-MC)。所提出的 PGD-MC 框架 (i) 展示了对各种物理精确孔径模型的鲁棒性，(ii) 在重建质量和计算效率方面实现了实质性改进，以及 (iii) 有效地扩展到高分辨率数字全息术。结合三种代表性降噪器作为正则化的大量实验表明，PGD-MC 为有限孔径的数字全息术提供了灵活且有效的基于 MLE 的重建框架，在精度和速度上始终优于先前基于即插即用模型的迭代重建方法。我们的代码位于：https://github.com/Computational-Imaging-RU/MC_Maximum_Likelihood_Digital_Holography_Speckle。</w:t>
      </w:r>
    </w:p>
    <w:p>
      <w:pPr>
        <w:spacing w:before="120"/>
      </w:pPr>
      <w:r>
        <w:rPr>
          <w:rFonts w:ascii="Times New Roman" w:hAnsi="Times New Roman" w:eastAsia="宋体"/>
          <w:b/>
          <w:sz w:val="21"/>
        </w:rPr>
        <w:t>English Abstract:</w:t>
      </w:r>
    </w:p>
    <w:p>
      <w:r>
        <w:rPr>
          <w:rFonts w:ascii="Times New Roman" w:hAnsi="Times New Roman" w:eastAsia="宋体"/>
          <w:sz w:val="21"/>
        </w:rPr>
        <w:t>In coherent imaging, speckle is statistically modeled as multiplicative noise, posing a fundamental challenge for image reconstruction. While maximum likelihood estimation (MLE) provides a principled framework for speckle mitigation, its application to coherent imaging system such as digital holography with finite apertures is hindered by the prohibitive cost of high-dimensional matrix inversion, especially at high resolutions. This computational burden has prevented the use of MLE-based reconstruction with physically accurate aperture modeling. In this work, we propose a randomized linear algebra approach that enables scalable MLE optimization without explicit matrix inversions in gradient computation. By exploiting the structural properties of sensing matrix and using conjugate gradient for likelihood gradient evaluation, the proposed algorithm supports accurate aperture modeling without the simplifying assumptions commonly imposed for tractability. We term the resulting method projected gradient descent with Monte Carlo estimation (PGD-MC). The proposed PGD-MC framework (i) demonstrates robustness to diverse and physically accurate aperture models, (ii) achieves substantial improvements in reconstruction quality and computational efficiency, and (iii) scales effectively to high-resolution digital holography. Extensive experiments incorporating three representative denoisers as regularization show that PGD-MC provides a flexible and effective MLE-based reconstruction framework for digital holography with finite apertures, consistently outperforming prior Plug-and-Play model-based iterative reconstruction methods in both accuracy and speed. Our code is available at: https://github.com/Computational-Imaging-RU/MC_Maximum_Likelihood_Digital_Holography_Speckle.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ENIGMA：使用不到 1% 的参数在 15 分钟内将脑电图转换为图像</w:t>
      </w:r>
    </w:p>
    <w:p>
      <w:r>
        <w:rPr>
          <w:rFonts w:ascii="Times New Roman" w:hAnsi="Times New Roman" w:eastAsia="宋体"/>
          <w:b/>
          <w:color w:val="003264"/>
          <w:sz w:val="24"/>
        </w:rPr>
        <w:t>ENIGMA: EEG-to-Image in 15 Minutes Using Less Than 1% of the Parameters</w:t>
      </w:r>
    </w:p>
    <w:p>
      <w:r>
        <w:rPr>
          <w:rFonts w:ascii="Times New Roman" w:hAnsi="Times New Roman" w:eastAsia="宋体"/>
          <w:sz w:val="21"/>
        </w:rPr>
        <w:t>作者: Jonathan Xu</w:t>
        <w:br/>
      </w:r>
      <w:r>
        <w:rPr>
          <w:rFonts w:ascii="Times New Roman" w:hAnsi="Times New Roman" w:eastAsia="宋体"/>
          <w:sz w:val="21"/>
        </w:rPr>
        <w:t xml:space="preserve">时间: 2026-02-10T23:20:51Z | </w:t>
      </w:r>
      <w:r>
        <w:t xml:space="preserve">链接: </w:t>
      </w:r>
      <w:hyperlink r:id="rId197">
        <w:r>
          <w:rPr>
            <w:rFonts w:ascii="Times New Roman" w:hAnsi="Times New Roman" w:eastAsia="宋体"/>
            <w:color w:val="0000FF"/>
            <w:sz w:val="21"/>
            <w:u w:val="single"/>
          </w:rPr>
          <w:t>https://arxiv.org/abs/2602.10361v1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为了在现实生活中应用，脑机接口模型必须能够轻松快速地部署在新的主题上，在经济实惠的扫描硬件上有效，并且足够小以在可访问的计算资源上本地运行。为了直接解决当前的这些限制，我们引入了 ENIGMA，这是一种多主体脑电图 (EEG) 到图像解码模型，可以重建从 EEG 记录中看到的图像，并在研究级 THINGS-EEG2 和消费级 AllJoined-1.6M 基准上实现最先进的 (SOTA) 性能，同时用短短 15 分钟的数据对新主体进行有效微调。 ENIGMA 拥有更简单的架构，所需的可训练参数不到以前方法的 1%。我们的方法集成了主题统一的时空主干以及一组多主题潜在对齐层和 MLP 投影仪，以将原始 EEG 信号映射到丰富的视觉潜在空间。我们使用一系列广泛的图像重建指标来评估我们的方法，这些指标在功能磁共振成像到图像研究的相邻领域已经标准化，并且我们描述了第一个脑电图到图像研究，以使用人类评估者对我们的重建进行广泛的行为评估。我们简单而强大的架构显着提升了研究级和消费级脑电图硬件的性能，并显着提高了微调效率和推理成本。最后，我们提供了广泛的消融，以确定在跨多个基准数据集的单主题和多主题案例中最能提高性能的架构选择。总的来说，我们的工作为开发实用的脑机接口应用程序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To be practical for real-life applications, models for brain-computer interfaces must be easily and quickly deployable on new subjects, effective on affordable scanning hardware, and small enough to run locally on accessible computing resources. To directly address these current limitations, we introduce ENIGMA, a multi-subject electroencephalography (EEG)-to-Image decoding model that reconstructs seen images from EEG recordings and achieves state-of-the-art (SOTA) performance on the research-grade THINGS-EEG2 and consumer-grade AllJoined-1.6M benchmarks, while fine-tuning effectively on new subjects with as little as 15 minutes of data. ENIGMA boasts a simpler architecture and requires less than 1% of the trainable parameters necessary for previous approaches. Our approach integrates a subject-unified spatio-temporal backbone along with a set of multi-subject latent alignment layers and an MLP projector to map raw EEG signals to a rich visual latent space. We evaluate our approach using a broad suite of image reconstruction metrics that have been standardized in the adjacent field of fMRI-to-Image research, and we describe the first EEG-to-Image study to conduct extensive behavioral evaluations of our reconstructions using human raters. Our simple and robust architecture provides a significant performance boost across both research-grade and consumer-grade EEG hardware, and a substantial improvement in fine-tuning efficiency and inference cost. Finally, we provide extensive ablations to determine the architectural choices most responsible for our performance gains in both single and multi-subject cases across multiple benchmark datasets. Collectively, our work provides a substantial step towards the development of practical brain-computer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Comp2Comp：具有 FDA 批准的人工智能算法的开源软件，用于计算机断层扫描图像分析</w:t>
      </w:r>
    </w:p>
    <w:p>
      <w:r>
        <w:rPr>
          <w:rFonts w:ascii="Times New Roman" w:hAnsi="Times New Roman" w:eastAsia="宋体"/>
          <w:b/>
          <w:color w:val="003264"/>
          <w:sz w:val="24"/>
        </w:rPr>
        <w:t>Comp2Comp: Open-Source Software with FDA-Cleared Artificial Intelligence Algorithms for Computed Tomography Image Analysis</w:t>
      </w:r>
    </w:p>
    <w:p>
      <w:r>
        <w:rPr>
          <w:rFonts w:ascii="Times New Roman" w:hAnsi="Times New Roman" w:eastAsia="宋体"/>
          <w:sz w:val="21"/>
        </w:rPr>
        <w:t>作者: Akshay S. Chaudhari</w:t>
        <w:br/>
      </w:r>
      <w:r>
        <w:rPr>
          <w:rFonts w:ascii="Times New Roman" w:hAnsi="Times New Roman" w:eastAsia="宋体"/>
          <w:sz w:val="21"/>
        </w:rPr>
        <w:t xml:space="preserve">时间: 2026-02-10T23:30:40Z | </w:t>
      </w:r>
      <w:r>
        <w:t xml:space="preserve">链接: </w:t>
      </w:r>
      <w:hyperlink r:id="rId198">
        <w:r>
          <w:rPr>
            <w:rFonts w:ascii="Times New Roman" w:hAnsi="Times New Roman" w:eastAsia="宋体"/>
            <w:color w:val="0000FF"/>
            <w:sz w:val="21"/>
            <w:u w:val="single"/>
          </w:rPr>
          <w:t>https://arxiv.org/abs/2602.10364v1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可以从已获取的放射图像中自动提取成像生物标志物。这种机会成像范例增加了医学成像的价值，而无需额外的成像成本或患者辐射暴露。然而，许多开源图像分析解决方案缺乏严格的验证，而商业解决方案缺乏透明度，导致部署时出现意外故障。在这里，我们报告了两个首批完全开源、经 FDA-510(k) 批准的深度学习管道的开发和验证，以缓解这两个挑战：腹主动脉量化 (AAQ) 和骨矿物质密度 (BMD) 估计均在 Comp2Comp 软件包中提供，用于对计算机断层扫描进行机会分析。 AAQ 分割腹主动脉以评估动脉瘤大小； BMD 对椎体进行分段，以估计小梁骨密度和骨质疏松症风险。将 AAQ 得出的最大主动脉直径与放射科医生对来自 4 个外部机构的 258 名患者进行的腹主动脉瘤扫描的真实测量结果进行比较。将 BMD 二元分类（低骨密度与正常骨密度）与从四个外部机构的 371 名患者扫描中获得的同步 DXA 扫描基本事实进行比较。 AAQ 的总体平均绝对误差为 1.57 毫米（95% CI 1.38-1.80 毫米）。 BMD 的敏感性为 81.0% (95% CI 74.0-86.8%)，特异性为 78.4% (95% CI 72.3-83.7%)。 Comp2Comp AAQ 和 BMD 证明了足够的临床使用准确性。开源这些算法提高了通常不透明的 FDA 审批流程的透明度，允许医院在繁琐的临床试点之前测试算法，并为研究人员提供一流的方法。</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allows automatic extraction of imaging biomarkers from already-acquired radiologic images. This paradigm of opportunistic imaging adds value to medical imaging without additional imaging costs or patient radiation exposure. However, many open-source image analysis solutions lack rigorous validation while commercial solutions lack transparency, leading to unexpected failures when deployed. Here, we report development and validation for two of the first fully open-sourced, FDA-510(k)-cleared deep learning pipelines to mitigate both challenges: Abdominal Aortic Quantification (AAQ) and Bone Mineral Density (BMD) estimation are both offered within the Comp2Comp package for opportunistic analysis of computed tomography scans. AAQ segments the abdominal aorta to assess aneurysm size; BMD segments vertebral bodies to estimate trabecular bone density and osteoporosis risk. AAQ-derived maximal aortic diameters were compared against radiologist ground-truth measurements on 258 patient scans enriched for abdominal aortic aneurysms from four external institutions. BMD binary classifications (low vs. normal bone density) were compared against concurrent DXA scan ground truths obtained on 371 patient scans from four external institutions. AAQ had an overall mean absolute error of 1.57 mm (95% CI 1.38-1.80 mm). BMD had a sensitivity of 81.0% (95% CI 74.0-86.8%) and specificity of 78.4% (95% CI 72.3-83.7%). Comp2Comp AAQ and BMD demonstrated sufficient accuracy for clinical use. Open-sourcing these algorithms improves transparency of typically opaque FDA clearance processes, allows hospitals to test the algorithms before cumbersome clinical pilots, and provides researchers with best-in-class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HII-DPO：通过准确的诱发幻觉的反事实图像消除幻觉</w:t>
      </w:r>
    </w:p>
    <w:p>
      <w:r>
        <w:rPr>
          <w:rFonts w:ascii="Times New Roman" w:hAnsi="Times New Roman" w:eastAsia="宋体"/>
          <w:b/>
          <w:color w:val="003264"/>
          <w:sz w:val="24"/>
        </w:rPr>
        <w:t>HII-DPO: Eliminate Hallucination via Accurate Hallucination-Inducing Counterfactual Images</w:t>
      </w:r>
    </w:p>
    <w:p>
      <w:r>
        <w:rPr>
          <w:rFonts w:ascii="Times New Roman" w:hAnsi="Times New Roman" w:eastAsia="宋体"/>
          <w:sz w:val="21"/>
        </w:rPr>
        <w:t>作者: Chengming Zhang</w:t>
        <w:br/>
      </w:r>
      <w:r>
        <w:rPr>
          <w:rFonts w:ascii="Times New Roman" w:hAnsi="Times New Roman" w:eastAsia="宋体"/>
          <w:sz w:val="21"/>
        </w:rPr>
        <w:t xml:space="preserve">时间: 2026-02-11T02:11:02Z | </w:t>
      </w:r>
      <w:r>
        <w:t xml:space="preserve">链接: </w:t>
      </w:r>
      <w:hyperlink r:id="rId199">
        <w:r>
          <w:rPr>
            <w:rFonts w:ascii="Times New Roman" w:hAnsi="Times New Roman" w:eastAsia="宋体"/>
            <w:color w:val="0000FF"/>
            <w:sz w:val="21"/>
            <w:u w:val="single"/>
          </w:rPr>
          <w:t>https://arxiv.org/abs/2602.10425v1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VLM）在各种多模式任务中取得了显着的成功，但仍然容易受到源于固有语言偏见的幻觉的影响。尽管最近取得了进展，但现有的幻觉缓解方法常常忽视由语言偏见驱动的潜在幻觉模式。在这项工作中，我们设计了一种新颖的管道来准确合成幻觉诱导图像（HII）。使用合成的 HII，我们揭示了一致的场景条件幻觉模式：即使视觉证据被移除，模型也倾向于提及场景中高度典型的物体。为了量化 VLM 对这种幻觉模式的敏感性，我们建立了蒙面物体幻觉 (MOH) 基准来严格评估现有的最先进的对齐框架。最后，我们利用 HII 构建高质量的偏好数据集以进行细粒度对齐。实验结果表明，我们的方法有效地减轻了幻觉，同时保留了一般模型的能力。具体来说，我们的方法在标准幻觉基准上比当前最先进的方法提高了 38%。</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have achieved remarkable success across diverse multimodal tasks but remain vulnerable to hallucinations rooted in inherent language bias. Despite recent progress, existing hallucination mitigation methods often overlook the underlying hallucination patterns driven by language bias. In this work, we design a novel pipeline to accurately synthesize Hallucination-Inducing Images (HIIs). Using synthesized HIIs, we reveal a consistent scene-conditioned hallucination pattern: models tend to mention objects that are highly typical of the scene even when visual evidence is removed. To quantify the susceptibility of VLMs to this hallucination pattern, we establish the Masked-Object-Hallucination (MOH) benchmark to rigorously evaluate existing state-of-the-art alignment frameworks. Finally, we leverage HIIs to construct high-quality preference datasets for fine-grained alignment. Experimental results demonstrate that our approach effectively mitigates hallucinations while preserving general model capabilities. Specifically, our method achieves up to a 38% improvement over the current state-of-the-art on standard hallucination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垃圾数据集 (GD)：自动垃圾分类的多类图像基准</w:t>
      </w:r>
    </w:p>
    <w:p>
      <w:r>
        <w:rPr>
          <w:rFonts w:ascii="Times New Roman" w:hAnsi="Times New Roman" w:eastAsia="宋体"/>
          <w:b/>
          <w:color w:val="003264"/>
          <w:sz w:val="24"/>
        </w:rPr>
        <w:t>The Garbage Dataset (GD): A Multi-Class Image Benchmark for Automated Waste Segregation</w:t>
      </w:r>
    </w:p>
    <w:p>
      <w:r>
        <w:rPr>
          <w:rFonts w:ascii="Times New Roman" w:hAnsi="Times New Roman" w:eastAsia="宋体"/>
          <w:sz w:val="21"/>
        </w:rPr>
        <w:t>作者: Suman Kunwar</w:t>
        <w:br/>
      </w:r>
      <w:r>
        <w:rPr>
          <w:rFonts w:ascii="Times New Roman" w:hAnsi="Times New Roman" w:eastAsia="宋体"/>
          <w:sz w:val="21"/>
        </w:rPr>
        <w:t xml:space="preserve">时间: 2026-02-11T04:01:12Z | </w:t>
      </w:r>
      <w:r>
        <w:t xml:space="preserve">链接: </w:t>
      </w:r>
      <w:hyperlink r:id="rId200">
        <w:r>
          <w:rPr>
            <w:rFonts w:ascii="Times New Roman" w:hAnsi="Times New Roman" w:eastAsia="宋体"/>
            <w:color w:val="0000FF"/>
            <w:sz w:val="21"/>
            <w:u w:val="single"/>
          </w:rPr>
          <w:t>https://arxiv.org/abs/2602.10500v1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这项研究引入了垃圾数据集（GD），这是一个公开的图像数据集，旨在通过机器学习和计算机视觉推进自动垃圾分类。这是一个多样化的数据集，涵盖 10 种常见的家庭废物类别：金属、玻璃、生物、纸张、电池、垃圾、纸板、鞋子、衣服和塑料。该数据集包含通过多种方法收集的 13,348 张标记图像，包括 DWaste 移动应用程序和精选的网络资源。方法包括通过校验和和异常值检测进行严格验证，通过 PCA/t-SNE 分析类不平衡和视觉可分离性，以及使用熵和显着性度量评估背景复杂性。该数据集使用最先进的深度学习模型（EfficientNetV2M、EfficientNetV2S、MobileNet、ResNet50、ResNet101）进行基准测试，并根据性能指标和运营碳排放进行评估。实验结果表明，EfficientNetV2S 实现了最高性能，准确率达到 96.19%，F1 分数为 0.96，但碳成本适中。分析揭示了固有的数据集特征，包括类别不平衡、向高异常值类别（塑料、纸板、纸张）的倾斜以及需要考虑的亮度变化。主要结论是，GD 为废物分类研究提供了一个有价值的、真实的基准，同时强调了实际部署中必须解决的重要挑战，例如类别不平衡、背景复杂性以及模型选择中的环境权衡。该数据集的公开发布是为了支持环境可持续性应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the Garbage Dataset (GD), a publicly available image dataset designed to advance automated waste segregation through machine learning and computer vision. It's a diverse dataset covering 10 common household waste categories: metal, glass, biological, paper, battery, trash, cardboard, shoes, clothes, and plastic. The dataset comprises 13,348 labeled images collected through multiple methods, including DWaste mobile app and curated web sources. Methods included rigorous validation through checksums and outlier detection, analysis of class imbalance and visual separability via PCA/t-SNE, and assessment of background complexity using entropy and saliency measures. The dataset was benchmarked using state-of-the-art deep learning models (EfficientNetV2M, EfficientNetV2S, MobileNet, ResNet50, ResNet101) evaluated on performance metrics and operational carbon emissions. Experiment results indicate EfficientNetV2S achieved the highest performance with 96.19% accuracy and a 0.96 F1-score, though with a moderate carbon cost. Analysis revealed inherent dataset characteristics including class imbalance, a skew toward high-outlier classes (plastic, cardboard, paper), and brightness variations that require consideration. The main conclusion is that GD provides a valuable, real-world benchmark for waste classification research while highlighting important challenges such as class imbalance, background complexity, and environmental trade-offs in model selection that must be addressed for practical deployment. The dataset is publicly released to support further research in environmental sustainability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1%&gt;100%：具有复杂线性投影优化的高效视觉适配器</w:t>
      </w:r>
    </w:p>
    <w:p>
      <w:r>
        <w:rPr>
          <w:rFonts w:ascii="Times New Roman" w:hAnsi="Times New Roman" w:eastAsia="宋体"/>
          <w:b/>
          <w:color w:val="003264"/>
          <w:sz w:val="24"/>
        </w:rPr>
        <w:t>1%&gt;100%: High-Efficiency Visual Adapter with Complex Linear Projection Optimization</w:t>
      </w:r>
    </w:p>
    <w:p>
      <w:r>
        <w:rPr>
          <w:rFonts w:ascii="Times New Roman" w:hAnsi="Times New Roman" w:eastAsia="宋体"/>
          <w:sz w:val="21"/>
        </w:rPr>
        <w:t>作者: Shi-Min Hu</w:t>
        <w:br/>
      </w:r>
      <w:r>
        <w:rPr>
          <w:rFonts w:ascii="Times New Roman" w:hAnsi="Times New Roman" w:eastAsia="宋体"/>
          <w:sz w:val="21"/>
        </w:rPr>
        <w:t xml:space="preserve">时间: 2026-02-11T04:26:52Z | </w:t>
      </w:r>
      <w:r>
        <w:t xml:space="preserve">链接: </w:t>
      </w:r>
      <w:hyperlink r:id="rId201">
        <w:r>
          <w:rPr>
            <w:rFonts w:ascii="Times New Roman" w:hAnsi="Times New Roman" w:eastAsia="宋体"/>
            <w:color w:val="0000FF"/>
            <w:sz w:val="21"/>
            <w:u w:val="single"/>
          </w:rPr>
          <w:t>https://arxiv.org/abs/2602.10513v1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部署视觉基础模型通常依赖于高效的适应策略，而传统的全面微调成本高昂且效率低下。虽然 Delta-tuning 已被证明可以有效提高 LLM 在适应过程中的性能和效率，但其优势不能直接转移到视觉基础模型的微调流程中。为了突破视觉任务适应效率的界限，我们提出了一种具有复杂线性投影优化（CoLin）的适配器。对于架构，我们设计了一种新颖的低阶复杂适配器，仅向主干引入约 1% 的参数。为了提高效率，我们从理论上证明低秩复合矩阵在训练过程中会遇到严重的收敛问题，并通过定制损失来解决这一挑战。在对象检测、分割、图像分类和旋转对象检测（遥感场景）方面的大量实验表明，CoLin 首次仅用 1% 的参数就优于完全微调和经典的 delta-tuning 方法，为视觉基础模型的部署提供了一种新颖且高效的解决方案。我们在 https://github.com/DongshuoYin/CoLin 上发布了代码。</w:t>
      </w:r>
    </w:p>
    <w:p>
      <w:pPr>
        <w:spacing w:before="120"/>
      </w:pPr>
      <w:r>
        <w:rPr>
          <w:rFonts w:ascii="Times New Roman" w:hAnsi="Times New Roman" w:eastAsia="宋体"/>
          <w:b/>
          <w:sz w:val="21"/>
        </w:rPr>
        <w:t>English Abstract:</w:t>
      </w:r>
    </w:p>
    <w:p>
      <w:r>
        <w:rPr>
          <w:rFonts w:ascii="Times New Roman" w:hAnsi="Times New Roman" w:eastAsia="宋体"/>
          <w:sz w:val="21"/>
        </w:rPr>
        <w:t>Deploying vision foundation models typically relies on efficient adaptation strategies, whereas conventional full fine-tuning suffers from prohibitive costs and low efficiency. While delta-tuning has proven effective in boosting the performance and efficiency of LLMs during adaptation, its advantages cannot be directly transferred to the fine-tuning pipeline of vision foundation models. To push the boundaries of adaptation efficiency for vision tasks, we propose an adapter with Complex Linear Projection Optimization (CoLin). For architecture, we design a novel low-rank complex adapter that introduces only about 1% parameters to the backbone. For efficiency, we theoretically prove that low-rank composite matrices suffer from severe convergence issues during training, and address this challenge with a tailored loss. Extensive experiments on object detection, segmentation, image classification, and rotated object detection (remote sensing scenario) demonstrate that CoLin outperforms both full fine-tuning and classical delta-tuning approaches with merely 1% parameters for the first time, providing a novel and efficient solution for deployment of vision foundation models. We release the code on https://github.com/DongshuoYin/CoLin.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RealHD：用于对最先进的人工智能生成图像进行稳健检测的高质量数据集</w:t>
      </w:r>
    </w:p>
    <w:p>
      <w:r>
        <w:rPr>
          <w:rFonts w:ascii="Times New Roman" w:hAnsi="Times New Roman" w:eastAsia="宋体"/>
          <w:b/>
          <w:color w:val="003264"/>
          <w:sz w:val="24"/>
        </w:rPr>
        <w:t>RealHD: A High-Quality Dataset for Robust Detection of State-of-the-Art AI-Generated Images</w:t>
      </w:r>
    </w:p>
    <w:p>
      <w:r>
        <w:rPr>
          <w:rFonts w:ascii="Times New Roman" w:hAnsi="Times New Roman" w:eastAsia="宋体"/>
          <w:sz w:val="21"/>
        </w:rPr>
        <w:t>作者: Chen Ma</w:t>
        <w:br/>
      </w:r>
      <w:r>
        <w:rPr>
          <w:rFonts w:ascii="Times New Roman" w:hAnsi="Times New Roman" w:eastAsia="宋体"/>
          <w:sz w:val="21"/>
        </w:rPr>
        <w:t xml:space="preserve">时间: 2026-02-11T05:38:40Z | </w:t>
      </w:r>
      <w:r>
        <w:t xml:space="preserve">链接: </w:t>
      </w:r>
      <w:hyperlink r:id="rId202">
        <w:r>
          <w:rPr>
            <w:rFonts w:ascii="Times New Roman" w:hAnsi="Times New Roman" w:eastAsia="宋体"/>
            <w:color w:val="0000FF"/>
            <w:sz w:val="21"/>
            <w:u w:val="single"/>
          </w:rPr>
          <w:t>https://arxiv.org/abs/2602.10546v1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快速发展引起了人们对数字图像真实性的担忧，因为现在可以以低成本生成高度逼真的虚假图像，这可能会增加社会风险。为此，已经建立了几个数据集来训练检测模型，旨在区分人工智能生成的图像和真实图像。然而，现有数据集存在泛化能力有限、图像质量低、提示过于简单、图像多样性不足等问题。为了解决这些限制，我们提出了一个高质量、大规模的数据集，其中包含多个类别的 730,000 多张图像，包括真实图像和人工智能生成的图像。生成的图像是通过最先进的方法合成的，包括文本到图像生成（由超过 10,000 个精心设计的提示引导）、图像修复、图像细化和面部交换。每个生成的图像都注释有其生成方法和类别。修复图像还包括用于指示修复区域的二进制掩码，为分析提供丰富的元数据。与现有数据集相比，在我们的数据集上训练的检测模型表现出卓越的泛化能力。我们的数据集不仅可以作为评估检测方法的强大基准，还有助于提高人工智能生成的图像检测技术的稳健性。在此基础上，我们提出了一种基于图像噪声熵的轻量级检测方法，该方法在分类之前将原始图像转换为非局部均值（NLM）噪声的熵张量。大量的实验表明，在我们的数据集上训练的模型具有很强的泛化性，并且我们的方法提供了具有竞争力的性能，为未来的研究奠定了坚实的基线。数据集和源代码可在 https://real-hd.github.io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generative AI has raised concerns about the authenticity of digital images, as highly realistic fake images can now be generated at low cost, potentially increasing societal risks. In response, several datasets have been established to train detection models aimed at distinguishing AI-generated images from real ones. However, existing datasets suffer from limited generalization, low image quality, overly simple prompts, and insufficient image diversity. To address these limitations, we propose a high-quality, large-scale dataset comprising over 730,000 images across multiple categories, including both real and AI-generated images. The generated images are synthesized via state-of-the-art methods, including text-to-image generation (guided by over 10,000 carefully designed prompts), image inpainting, image refinement, and face swapping. Each generated image is annotated with its generation method and category. Inpainting images further include binary masks to indicate inpainted regions, providing rich metadata for analysis. Compared to existing datasets, detection models trained on our dataset demonstrate superior generalization capabilities. Our dataset not only serves as a strong benchmark for evaluating detection methods but also contributes to advancing the robustness of AI-generated image detection techniques. Building upon this, we propose a lightweight detection method based on image noise entropy, which transforms the original image into an entropy tensor of Non-Local Means (NLM) noise before classification. Extensive experiments demonstrate that models trained on our dataset achieve strong generalization, and our method delivers competitive performance, establishing a solid baseline for future research. The dataset and source code are publicly available at https://real-hd.github.io.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C^2ROPE：用于 3D 大型多模态模型推理的因果连续旋转位置编码</w:t>
      </w:r>
    </w:p>
    <w:p>
      <w:r>
        <w:rPr>
          <w:rFonts w:ascii="Times New Roman" w:hAnsi="Times New Roman" w:eastAsia="宋体"/>
          <w:b/>
          <w:color w:val="003264"/>
          <w:sz w:val="24"/>
        </w:rPr>
        <w:t>C^2ROPE: Causal Continuous Rotary Positional Encoding for 3D Large Multimodal-Models Reasoning</w:t>
      </w:r>
    </w:p>
    <w:p>
      <w:r>
        <w:rPr>
          <w:rFonts w:ascii="Times New Roman" w:hAnsi="Times New Roman" w:eastAsia="宋体"/>
          <w:sz w:val="21"/>
        </w:rPr>
        <w:t>作者: Ka-Veng Yuen</w:t>
        <w:br/>
      </w:r>
      <w:r>
        <w:rPr>
          <w:rFonts w:ascii="Times New Roman" w:hAnsi="Times New Roman" w:eastAsia="宋体"/>
          <w:sz w:val="21"/>
        </w:rPr>
        <w:t xml:space="preserve">时间: 2026-02-11T05:50:17Z | </w:t>
      </w:r>
      <w:r>
        <w:t xml:space="preserve">链接: </w:t>
      </w:r>
      <w:hyperlink r:id="rId203">
        <w:r>
          <w:rPr>
            <w:rFonts w:ascii="Times New Roman" w:hAnsi="Times New Roman" w:eastAsia="宋体"/>
            <w:color w:val="0000FF"/>
            <w:sz w:val="21"/>
            <w:u w:val="single"/>
          </w:rPr>
          <w:t>https://arxiv.org/abs/2602.10551v1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基于大型语言模型 (LLM) 的 3D 大型多模态模型 (LMM) 的最新进展已经建立了 3D 视觉特征与 LLM 表示的一致性作为主导范式。然而，继承的旋转位置嵌入（RoPE）引入了多模态处理的局限性。具体来说，应用一维时间位置索引会破坏视觉特征沿列维度的连续性，导致空间局部性损失。此外，RoPE 遵循先验知识，即时间上更接近的图像标记更具有因果关系，导致注意力分配的长期衰减，并导致模型随着序列长度的增加逐渐忽略较早的视觉标记。为了解决这些问题，我们提出了 C^2RoPE，这是一种改进的 RoPE，它可以显式地模拟视觉处理的局部空间连续性和空间因果关系。 C^2RoPE 引入了视觉标记的时空连续位置嵌入机制。它首先将一维时间位置与基于笛卡尔的空间坐标相结合以构建三元组混合位置索引，然后采用频率分配策略对三个索引分量之间的时空位置信息进行编码。此外，我们引入了切比雪夫因果掩蔽，它通过计算 2D 空间中图像标记的切比雪夫距离来确定因果依赖性。包括 3D 场景推理和 3D 视觉问答在内的各种基准的评估结果证明了 C^2RoPE 的有效性。该代码可从 https://github.com/ErikZ719/C2RoPE 获取。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3D Large Multimodal Models (LMMs) built on Large Language Models (LLMs) have established the alignment of 3D visual features with LLM representations as the dominant paradigm. However, the inherited Rotary Position Embedding (RoPE) introduces limitations for multimodal processing. Specifically, applying 1D temporal positional indices disrupts the continuity of visual features along the column dimension, resulting in spatial locality loss. Moreover, RoPE follows the prior that temporally closer image tokens are more causally related, leading to long-term decay in attention allocation and causing the model to progressively neglect earlier visual tokens as the sequence length increases. To address these issues, we propose C^2RoPE, an improved RoPE that explicitly models local spatial Continuity and spatial Causal relationships for visual processing. C^2RoPE introduces a spatio-temporal continuous positional embedding mechanism for visual tokens. It first integrates 1D temporal positions with Cartesian-based spatial coordinates to construct a triplet hybrid positional index, and then employs a frequency allocation strategy to encode spatio-temporal positional information across the three index components. Additionally, we introduce Chebyshev Causal Masking, which determines causal dependencies by computing the Chebyshev distance of image tokens in 2D space. Evaluation results across various benchmarks, including 3D scene reasoning and 3D visual question answering, demonstrate C^2RoPE's effectiveness. The code is be available at https://github.com/ErikZ719/C2RoPE.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MetaphorStar：通过端到端视觉强化学习进行图像隐喻理解和推理</w:t>
      </w:r>
    </w:p>
    <w:p>
      <w:r>
        <w:rPr>
          <w:rFonts w:ascii="Times New Roman" w:hAnsi="Times New Roman" w:eastAsia="宋体"/>
          <w:b/>
          <w:color w:val="003264"/>
          <w:sz w:val="24"/>
        </w:rPr>
        <w:t>MetaphorStar: Image Metaphor Understanding and Reasoning with End-to-End Visual Reinforcement Learning</w:t>
      </w:r>
    </w:p>
    <w:p>
      <w:r>
        <w:rPr>
          <w:rFonts w:ascii="Times New Roman" w:hAnsi="Times New Roman" w:eastAsia="宋体"/>
          <w:sz w:val="21"/>
        </w:rPr>
        <w:t>作者: Hongsheng Li</w:t>
        <w:br/>
      </w:r>
      <w:r>
        <w:rPr>
          <w:rFonts w:ascii="Times New Roman" w:hAnsi="Times New Roman" w:eastAsia="宋体"/>
          <w:sz w:val="21"/>
        </w:rPr>
        <w:t xml:space="preserve">时间: 2026-02-11T06:59:36Z | </w:t>
      </w:r>
      <w:r>
        <w:t xml:space="preserve">链接: </w:t>
      </w:r>
      <w:hyperlink r:id="rId204">
        <w:r>
          <w:rPr>
            <w:rFonts w:ascii="Times New Roman" w:hAnsi="Times New Roman" w:eastAsia="宋体"/>
            <w:color w:val="0000FF"/>
            <w:sz w:val="21"/>
            <w:u w:val="single"/>
          </w:rPr>
          <w:t>https://arxiv.org/abs/2602.10575v1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图像中的隐喻理解仍然是当今人工智能系统的一个关键挑战。虽然多模态大型语言模型 (MLLM) 擅长基本的视觉问答 (VQA)，但它们始终难以掌握视觉内容中嵌入的微妙文化、情感和上下文含义。这一困难源于该任务对复杂的多跳推理、文化背景和心智理论 (ToM) 能力的需求，而当前模型缺乏这些能力。为了填补这一空白，我们提出了 MetaphorStar，这是第一个用于图像暗示任务的端到端视觉强化学习（RL）框架。我们的框架包括三个核心组件：细粒度数据集 TFQ-Data、视觉 RL 方法 TFQ-GRPO 和结构良好的基准 TFQ-Bench。我们完全开源的 MetaphorStar 系列在 TFQ-Data 上使用 TFQ-GRPO 进行训练，在图像含义基准上显着提高了平均 82.6% 的性能。与20多个主流MLLM相比，MetaphorStar-32B在多项选择题和开放式题上达到了state-of-the-art（SOTA），在True-False题上显着优于顶级闭源模型Gemini-3.0-pro。至关重要的是，我们的实验表明，学习图像暗示任务可以提高一般理解能力，尤其是复杂的视觉推理能力。我们进一步对模型参数缩放、训练数据缩放以及不同模型架构和训练策略的影响进行了系统分析，证明了我们的方法的广泛适用性。我们在 https://metaphorstar.github.io 开源了所有模型权重、数据集和方法代码。</w:t>
      </w:r>
    </w:p>
    <w:p>
      <w:pPr>
        <w:spacing w:before="120"/>
      </w:pPr>
      <w:r>
        <w:rPr>
          <w:rFonts w:ascii="Times New Roman" w:hAnsi="Times New Roman" w:eastAsia="宋体"/>
          <w:b/>
          <w:sz w:val="21"/>
        </w:rPr>
        <w:t>English Abstract:</w:t>
      </w:r>
    </w:p>
    <w:p>
      <w:r>
        <w:rPr>
          <w:rFonts w:ascii="Times New Roman" w:hAnsi="Times New Roman" w:eastAsia="宋体"/>
          <w:sz w:val="21"/>
        </w:rPr>
        <w:t>Metaphorical comprehension in images remains a critical challenge for Nowadays AI systems. While Multimodal Large Language Models (MLLMs) excel at basic Visual Question Answering (VQA), they consistently struggle to grasp the nuanced cultural, emotional, and contextual implications embedded in visual content. This difficulty stems from the task's demand for sophisticated multi-hop reasoning, cultural context, and Theory of Mind (ToM) capabilities, which current models lack. To fill this gap, we propose MetaphorStar, the first end-to-end visual reinforcement learning (RL) framework for image implication tasks. Our framework includes three core components: the fine-grained dataset TFQ-Data, the visual RL method TFQ-GRPO, and the well-structured benchmark TFQ-Bench. Our fully open-source MetaphorStar family, trained using TFQ-GRPO on TFQ-Data, significantly improves performance by an average of 82.6% on the image implication benchmarks. Compared with 20+ mainstream MLLMs, MetaphorStar-32B achieves state-of-the-art (SOTA) on Multiple-Choice Question and Open-Style Question, significantly outperforms the top closed-source model Gemini-3.0-pro on True-False Question. Crucially, our experiments reveal that learning image implication tasks improves the general understanding ability, especially the complex visual reasoning ability. We further provide a systematic analysis of model parameter scaling, training data scaling, and the impact of different model architectures and training strategies, demonstrating the broad applicability of our method. We open-sourced all model weights, datasets, and method code at https://metaphorstar.github.io.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YOLOX 和 AI 加速器进行快速人员检测以确保火车站安全</w:t>
      </w:r>
    </w:p>
    <w:p>
      <w:r>
        <w:rPr>
          <w:rFonts w:ascii="Times New Roman" w:hAnsi="Times New Roman" w:eastAsia="宋体"/>
          <w:b/>
          <w:color w:val="003264"/>
          <w:sz w:val="24"/>
        </w:rPr>
        <w:t>Fast Person Detection Using YOLOX With AI Accelerator For Train Station Safety</w:t>
      </w:r>
    </w:p>
    <w:p>
      <w:r>
        <w:rPr>
          <w:rFonts w:ascii="Times New Roman" w:hAnsi="Times New Roman" w:eastAsia="宋体"/>
          <w:sz w:val="21"/>
        </w:rPr>
        <w:t>作者: Wen-Kai Kuo</w:t>
        <w:br/>
      </w:r>
      <w:r>
        <w:rPr>
          <w:rFonts w:ascii="Times New Roman" w:hAnsi="Times New Roman" w:eastAsia="宋体"/>
          <w:sz w:val="21"/>
        </w:rPr>
        <w:t xml:space="preserve">时间: 2026-02-11T07:30:03Z | </w:t>
      </w:r>
      <w:r>
        <w:t xml:space="preserve">链接: </w:t>
      </w:r>
      <w:hyperlink r:id="rId205">
        <w:r>
          <w:rPr>
            <w:rFonts w:ascii="Times New Roman" w:hAnsi="Times New Roman" w:eastAsia="宋体"/>
            <w:color w:val="0000FF"/>
            <w:sz w:val="21"/>
            <w:u w:val="single"/>
          </w:rPr>
          <w:t>https://arxiv.org/abs/2602.10593v1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图像处理发展得更快，并应用于许多领域，包括健康、工业和交通。在交通运输领域，物体检测被广泛用于提高安全性，例如交通安全和火车站的旅客过路处。一些事故发生在车站列车道口区域，例如乘客在通过黄线时不小心。因此需要开发进一步的安全性。需要额外的技术来减少事故数量。本文重点介绍使用 YOLOX 和 Edge AI Accelerator 硬件的火车站乘客检测应用。 AI加速器的性能将与Jetson Orin Nano进行比较。实验结果表明，Hailo-8 AI硬件加速器比Jetson Orin Nano具有更高的精度（提升超过12%），并且比Jetson Orin Nano具有更低的延迟（减少20毫秒）。</w:t>
      </w:r>
    </w:p>
    <w:p>
      <w:pPr>
        <w:spacing w:before="120"/>
      </w:pPr>
      <w:r>
        <w:rPr>
          <w:rFonts w:ascii="Times New Roman" w:hAnsi="Times New Roman" w:eastAsia="宋体"/>
          <w:b/>
          <w:sz w:val="21"/>
        </w:rPr>
        <w:t>English Abstract:</w:t>
      </w:r>
    </w:p>
    <w:p>
      <w:r>
        <w:rPr>
          <w:rFonts w:ascii="Times New Roman" w:hAnsi="Times New Roman" w:eastAsia="宋体"/>
          <w:sz w:val="21"/>
        </w:rPr>
        <w:t>Recently, Image processing has advanced Faster and applied in many fields, including health, industry, and transportation. In the transportation sector, object detection is widely used to improve security, for example, in traffic security and passenger crossings at train stations. Some accidents occur in the train crossing area at the station, like passengers uncarefully when passing through the yellow line. So further security needs to be developed. Additional technology is required to reduce the number of accidents. This paper focuses on passenger detection applications at train stations using YOLOX and Edge AI Accelerator hardware. the performance of the AI accelerator will be compared with Jetson Orin Nano. The experimental results show that the Hailo-8 AI hardware accelerator has higher accuracy than Jetson Orin Nano (improvement of over 12%) and has lower latency than Jetson Orin Nano (reduced 20 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通过感知和推理增强改善医学视觉强化微调</w:t>
      </w:r>
    </w:p>
    <w:p>
      <w:r>
        <w:rPr>
          <w:rFonts w:ascii="Times New Roman" w:hAnsi="Times New Roman" w:eastAsia="宋体"/>
          <w:b/>
          <w:color w:val="003264"/>
          <w:sz w:val="24"/>
        </w:rPr>
        <w:t>Improving Medical Visual Reinforcement Fine-Tuning via Perception and Reasoning Augmentation</w:t>
      </w:r>
    </w:p>
    <w:p>
      <w:r>
        <w:rPr>
          <w:rFonts w:ascii="Times New Roman" w:hAnsi="Times New Roman" w:eastAsia="宋体"/>
          <w:sz w:val="21"/>
        </w:rPr>
        <w:t>作者: Qicheng Lao</w:t>
        <w:br/>
      </w:r>
      <w:r>
        <w:rPr>
          <w:rFonts w:ascii="Times New Roman" w:hAnsi="Times New Roman" w:eastAsia="宋体"/>
          <w:sz w:val="21"/>
        </w:rPr>
        <w:t xml:space="preserve">时间: 2026-02-11T08:10:26Z | </w:t>
      </w:r>
      <w:r>
        <w:t xml:space="preserve">链接: </w:t>
      </w:r>
      <w:hyperlink r:id="rId206">
        <w:r>
          <w:rPr>
            <w:rFonts w:ascii="Times New Roman" w:hAnsi="Times New Roman" w:eastAsia="宋体"/>
            <w:color w:val="0000FF"/>
            <w:sz w:val="21"/>
            <w:u w:val="single"/>
          </w:rPr>
          <w:t>https://arxiv.org/abs/2602.10619v1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强化微调（RFT）的最新进展表明，基于规则的奖励方案可以为大型语言模型提供有效的后训练，但它们向跨模式、以视觉为中心的领域的扩展在很大程度上仍未得到充分探索。这种限制在医学成像领域尤其明显，其中有效的性能需要强大的视觉感知和结构化推理。在这项工作中，我们通过提出 VRFT-Aug 来解决这一差距，VRFT-Aug 是一种为医疗领域量身定制的视觉强化微调框架。 VRFT-Aug 引入了一系列旨在增强感知和推理的训练策略，包括先验知识注入、感知驱动的策略细化、医学知识奖励塑造和行为模仿。这些方法共同旨在稳定和改进 RFT 过程。通过对多个医学数据集的广泛实验，我们表明我们的方法始终优于标准监督微调和 RFT 基线。此外，我们提供了基于经验的见解和实践训练启发法，可以推广到其他医学图像任务。我们希望这项工作能够为持续努力为高风险医疗应用开发可靠、具有推理能力的模型提供可行的指导和新的灵感。</w:t>
      </w:r>
    </w:p>
    <w:p>
      <w:pPr>
        <w:spacing w:before="120"/>
      </w:pPr>
      <w:r>
        <w:rPr>
          <w:rFonts w:ascii="Times New Roman" w:hAnsi="Times New Roman" w:eastAsia="宋体"/>
          <w:b/>
          <w:sz w:val="21"/>
        </w:rPr>
        <w:t>English Abstract:</w:t>
      </w:r>
    </w:p>
    <w:p>
      <w:r>
        <w:rPr>
          <w:rFonts w:ascii="Times New Roman" w:hAnsi="Times New Roman" w:eastAsia="宋体"/>
          <w:sz w:val="21"/>
        </w:rPr>
        <w:t>While recent advances in Reinforcement Fine-Tuning (RFT) have shown that rule-based reward schemes can enable effective post-training for large language models, their extension to cross-modal, vision-centric domains remains largely underexplored. This limitation is especially pronounced in the medical imaging domain, where effective performance requires both robust visual perception and structured reasoning. In this work, we address this gap by proposing VRFT-Aug, a visual reinforcement fine-tuning framework tailored for the medical domain. VRFT-Aug introduces a series of training strategies designed to augment both perception and reasoning, including prior knowledge injection, perception-driven policy refinement, medically informed reward shaping, and behavioral imitation. Together, these methods aim to stabilize and improve the RFT process. Through extensive experiments across multiple medical datasets, we show that our approaches consistently outperform both standard supervised fine-tuning and RFT baselines. Moreover, we provide empirically grounded insights and practical training heuristics that can be generalized to other medical image tasks. We hope this work contributes actionable guidance and fresh inspiration for the ongoing effort to develop reliable, reasoning-capable models for high-stakes 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 VAE 以实现快速、高分辨率的生成细节恢复</w:t>
      </w:r>
    </w:p>
    <w:p>
      <w:r>
        <w:rPr>
          <w:rFonts w:ascii="Times New Roman" w:hAnsi="Times New Roman" w:eastAsia="宋体"/>
          <w:b/>
          <w:color w:val="003264"/>
          <w:sz w:val="24"/>
        </w:rPr>
        <w:t>Eliminating VAE for Fast and High-Resolution Generative Detail Restoration</w:t>
      </w:r>
    </w:p>
    <w:p>
      <w:r>
        <w:rPr>
          <w:rFonts w:ascii="Times New Roman" w:hAnsi="Times New Roman" w:eastAsia="宋体"/>
          <w:sz w:val="21"/>
        </w:rPr>
        <w:t>作者: Li Zhang</w:t>
        <w:br/>
      </w:r>
      <w:r>
        <w:rPr>
          <w:rFonts w:ascii="Times New Roman" w:hAnsi="Times New Roman" w:eastAsia="宋体"/>
          <w:sz w:val="21"/>
        </w:rPr>
        <w:t xml:space="preserve">时间: 2026-02-11T08:23:30Z | </w:t>
      </w:r>
      <w:r>
        <w:t xml:space="preserve">链接: </w:t>
      </w:r>
      <w:hyperlink r:id="rId207">
        <w:r>
          <w:rPr>
            <w:rFonts w:ascii="Times New Roman" w:hAnsi="Times New Roman" w:eastAsia="宋体"/>
            <w:color w:val="0000FF"/>
            <w:sz w:val="21"/>
            <w:u w:val="single"/>
          </w:rPr>
          <w:t>https://arxiv.org/abs/2602.10630v1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尽管推理速度慢且对设备的要求很高，但扩散模型在现实世界的超分辨率（SR）任务中取得了显着的突破。为了加速推理，GenDR 等最近的工作采用了步骤蒸馏，将步骤数最小化为 1。然而，内存边界仍然限制最大处理大小，需要逐块恢复高分辨率图像。通过对管道进行分析，我们发现变分自动编码器（VAE）是延迟和内存的瓶颈。为了彻底解决这个问题，我们利用像素（非）洗牌操作来消除 VAE，将基于潜在的 GenDR 反转为像素空间 GenDR-Pix。然而，x8 Pixelshuffle 的高档可能会导致重复图案的伪影。为了减轻失真，我们提出了多阶段对抗性蒸馏来逐步删除编码器和解码器。具体来说，我们利用前一阶段模型的生成特征来指导对抗性歧视。此外，我们提出随机填充来增强生成特征并避免鉴别器崩溃。我们还引入了掩蔽傅立叶空间损失来惩罚幅度的异常值。为了提高推理性能，我们根据经验将基于填充的自集成与无分类器指导相结合，以提高推理规模。实验结果表明，与 GenDR 相比，GenDR-Pix 的加速速度提高了 2.8 倍，节省了 60% 的内存，视觉退化可以忽略不计，超越了其他一步扩散 SR。尽管困难重重，GenDR-Pix 仍能在 1 秒内恢复 4K 图像和 6GB。</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attained remarkable breakthroughs in the real-world super-resolution (SR) task, albeit at slow inference and high demand on devices. To accelerate inference, recent works like GenDR adopt step distillation to minimize the step number to one. However, the memory boundary still restricts the maximum processing size, necessitating tile-by-tile restoration of high-resolution images. Through profiling the pipeline, we pinpoint that the variational auto-encoder (VAE) is the bottleneck of latency and memory. To completely solve the problem, we leverage pixel-(un)shuffle operations to eliminate the VAE, reversing the latent-based GenDR to pixel-space GenDR-Pix. However, upscale with x8 pixelshuffle may induce artifacts of repeated patterns. To alleviate the distortion, we propose a multi-stage adversarial distillation to progressively remove the encoder and decoder. Specifically, we utilize generative features from the previous stage models to guide adversarial discrimination. Moreover, we propose random padding to augment generative features and avoid discriminator collapse. We also introduce a masked Fourier space loss to penalize the outliers of amplitude. To improve inference performance, we empirically integrate a padding-based self-ensemble with classifier-free guidance to improve inference scaling. Experimental results show that GenDR-Pix performs 2.8x acceleration and 60% memory-saving compared to GenDR with negligible visual degradation, surpassing other one-step diffusion SR. Against all odds, GenDR-Pix can restore 4K image in only 1 second and 6GB.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多模态先验增强文本驱动 3D 人机交互生成</w:t>
      </w:r>
    </w:p>
    <w:p>
      <w:r>
        <w:rPr>
          <w:rFonts w:ascii="Times New Roman" w:hAnsi="Times New Roman" w:eastAsia="宋体"/>
          <w:b/>
          <w:color w:val="003264"/>
          <w:sz w:val="24"/>
        </w:rPr>
        <w:t>Multimodal Priors-Augmented Text-Driven 3D Human-Object Interaction Generation</w:t>
      </w:r>
    </w:p>
    <w:p>
      <w:r>
        <w:rPr>
          <w:rFonts w:ascii="Times New Roman" w:hAnsi="Times New Roman" w:eastAsia="宋体"/>
          <w:sz w:val="21"/>
        </w:rPr>
        <w:t>作者: Xiaohui Liang</w:t>
        <w:br/>
      </w:r>
      <w:r>
        <w:rPr>
          <w:rFonts w:ascii="Times New Roman" w:hAnsi="Times New Roman" w:eastAsia="宋体"/>
          <w:sz w:val="21"/>
        </w:rPr>
        <w:t xml:space="preserve">时间: 2026-02-11T09:04:28Z | </w:t>
      </w:r>
      <w:r>
        <w:t xml:space="preserve">链接: </w:t>
      </w:r>
      <w:hyperlink r:id="rId208">
        <w:r>
          <w:rPr>
            <w:rFonts w:ascii="Times New Roman" w:hAnsi="Times New Roman" w:eastAsia="宋体"/>
            <w:color w:val="0000FF"/>
            <w:sz w:val="21"/>
            <w:u w:val="single"/>
          </w:rPr>
          <w:t>https://arxiv.org/abs/2602.10659v1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我们解决文本驱动的 3D 人机交互 (HOI) 运动生成这一具有挑战性的任务。现有方法主要依赖于直接文本到 HOI 的映射，由于存在显着的跨模态差距，该方法受到三个关键限制：（Q1）次优的人体运动，（Q2）不自然的物体运动，以及（Q3）人类和物体之间的弱交互。为了应对这些挑战，我们提出了 MP-HOI，这是一个基于四个核心见解的新颖框架：（1）多模态数据先验：我们利用大型多模态模型中的多模态数据（文本、图像、姿势/对象）作为先验来指导 HOI 生成，从而解决数据建模中的 Q1 和 Q2 问题。 （2）增强的对象表示：我们通过合并几何关键点、接触特征和动态属性来改进现有的对象表示，从而实现富有表现力的对象表示，从而解决了数据表示中的问题2。 （3）多模态感知混合专家（MoE）模型：我们提出了一种用于有效多模态特征融合范式的模态感知MoE模型，该模型解决了特征融合中的Q1和Q2问题。 （4）具有交互监督的级联扩散：我们设计了一个级联扩散框架，在专门的监督下逐步细化人与物体的交互特征，解决了交互细化中的问题3。综合实验表明，MP-HOI 在生成高保真和细粒度 HOI 运动方面优于现有方法。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challenging task of text-driven 3D human-object interaction (HOI) motion generation. Existing methods primarily rely on a direct text-to-HOI mapping, which suffers from three key limitations due to the significant cross-modality gap: (Q1) sub-optimal human motion, (Q2) unnatural object motion, and (Q3) weak interaction between humans and objects. To address these challenges, we propose MP-HOI, a novel framework grounded in four core insights: (1) Multimodal Data Priors: We leverage multimodal data (text, image, pose/object) from large multimodal models as priors to guide HOI generation, which tackles Q1 and Q2 in data modeling. (2) Enhanced Object Representation: We improve existing object representations by incorporating geometric keypoints, contact features, and dynamic properties, enabling expressive object representations, which tackles Q2 in data representation. (3) Multimodal-Aware Mixture-of-Experts (MoE) Model: We propose a modality-aware MoE model for effective multimodal feature fusion paradigm, which tackles Q1 and Q2 in feature fusion. (4) Cascaded Diffusion with Interaction Supervision: We design a cascaded diffusion framework that progressively refines human-object interaction features under dedicated supervision, which tackles Q3 in interaction refinement. Comprehensive experiments demonstrate that MP-HOI outperforms existing approaches in generating high-fidelity and fine-grained HOI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用于可控文本驱动图像生成的动态频率调制</w:t>
      </w:r>
    </w:p>
    <w:p>
      <w:r>
        <w:rPr>
          <w:rFonts w:ascii="Times New Roman" w:hAnsi="Times New Roman" w:eastAsia="宋体"/>
          <w:b/>
          <w:color w:val="003264"/>
          <w:sz w:val="24"/>
        </w:rPr>
        <w:t>Dynamic Frequency Modulation for Controllable Text-driven Image Generation</w:t>
      </w:r>
    </w:p>
    <w:p>
      <w:r>
        <w:rPr>
          <w:rFonts w:ascii="Times New Roman" w:hAnsi="Times New Roman" w:eastAsia="宋体"/>
          <w:sz w:val="21"/>
        </w:rPr>
        <w:t>作者: Chengli Peng</w:t>
        <w:br/>
      </w:r>
      <w:r>
        <w:rPr>
          <w:rFonts w:ascii="Times New Roman" w:hAnsi="Times New Roman" w:eastAsia="宋体"/>
          <w:sz w:val="21"/>
        </w:rPr>
        <w:t xml:space="preserve">时间: 2026-02-11T09:06:44Z | </w:t>
      </w:r>
      <w:r>
        <w:t xml:space="preserve">链接: </w:t>
      </w:r>
      <w:hyperlink r:id="rId209">
        <w:r>
          <w:rPr>
            <w:rFonts w:ascii="Times New Roman" w:hAnsi="Times New Roman" w:eastAsia="宋体"/>
            <w:color w:val="0000FF"/>
            <w:sz w:val="21"/>
            <w:u w:val="single"/>
          </w:rPr>
          <w:t>https://arxiv.org/abs/2602.10662v1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引导扩散模型的成功建立了由文本提示的迭代细化驱动的新图像生成范式。然而，修改原始文本提示以实现预期的语义调整通常会导致意外的全局结构更改，从而扰乱用户意图。现有方法依赖于经验特征图选择进行干预，其性能在很大程度上取决于适当的选择，导致稳定性不佳。本文试图从频率角度解决上述问题，并分析生成过程中噪声潜变量的频谱对结构框架和细粒度纹理的分层出现的影响。我们发现低频组件主要负责建立早期生成阶段的结构框架。它们的影响随着时间的推移而减弱，让位于合成细粒度纹理的高频成分。鉴于此，我们提出了一种利用具有动态衰减的频率相关加权函数的免训练频率调制方法。该方法保持结构框架的一致性，同时允许有针对性的语义修改。通过直接操纵噪声潜变量，所提出的方法避免了内部特征图的经验选择。大量的实验表明，所提出的方法显着优于当前最先进的方法，在保留结构和实现语义更新之间实现了有效的平衡。</w:t>
      </w:r>
    </w:p>
    <w:p>
      <w:pPr>
        <w:spacing w:before="120"/>
      </w:pPr>
      <w:r>
        <w:rPr>
          <w:rFonts w:ascii="Times New Roman" w:hAnsi="Times New Roman" w:eastAsia="宋体"/>
          <w:b/>
          <w:sz w:val="21"/>
        </w:rPr>
        <w:t>English Abstract:</w:t>
      </w:r>
    </w:p>
    <w:p>
      <w:r>
        <w:rPr>
          <w:rFonts w:ascii="Times New Roman" w:hAnsi="Times New Roman" w:eastAsia="宋体"/>
          <w:sz w:val="21"/>
        </w:rPr>
        <w:t>The success of text-guided diffusion models has established a new image generation paradigm driven by the iterative refinement of text prompts. However, modifying the original text prompt to achieve the expected semantic adjustments often results in unintended global structure changes that disrupt user intent. Existing methods rely on empirical feature map selection for intervention, whose performance heavily depends on appropriate selection, leading to suboptimal stability. This paper tries to solve the aforementioned problem from a frequency perspective and analyzes the impact of the frequency spectrum of noisy latent variables on the hierarchical emergence of the structure framework and fine-grained textures during the generation process. We find that lower-frequency components are primarily responsible for establishing the structure framework in the early generation stage. Their influence diminishes over time, giving way to higher-frequency components that synthesize fine-grained textures. In light of this, we propose a training-free frequency modulation method utilizing a frequency-dependent weighting function with dynamic decay. This method maintains the structure framework consistency while permitting targeted semantic modifications. By directly manipulating the noisy latent variable, the proposed method avoids the empirical selection of internal feature maps. Extensive experiments demonstrate that the proposed method significantly outperforms current state-of-the-art methods, achieving an effective balance between preserving structure and enabling semantic updates.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AMAP-APP：足细胞荧光显微镜图像的有效分割和形态测量量化</w:t>
      </w:r>
    </w:p>
    <w:p>
      <w:r>
        <w:rPr>
          <w:rFonts w:ascii="Times New Roman" w:hAnsi="Times New Roman" w:eastAsia="宋体"/>
          <w:b/>
          <w:color w:val="003264"/>
          <w:sz w:val="24"/>
        </w:rPr>
        <w:t>AMAP-APP: Efficient Segmentation and Morphometry Quantification of Fluorescent Microscopy Images of Podocytes</w:t>
      </w:r>
    </w:p>
    <w:p>
      <w:r>
        <w:rPr>
          <w:rFonts w:ascii="Times New Roman" w:hAnsi="Times New Roman" w:eastAsia="宋体"/>
          <w:sz w:val="21"/>
        </w:rPr>
        <w:t>作者: Katarzyna Bozek</w:t>
        <w:br/>
      </w:r>
      <w:r>
        <w:rPr>
          <w:rFonts w:ascii="Times New Roman" w:hAnsi="Times New Roman" w:eastAsia="宋体"/>
          <w:sz w:val="21"/>
        </w:rPr>
        <w:t xml:space="preserve">时间: 2026-02-11T09:07:03Z | </w:t>
      </w:r>
      <w:r>
        <w:t xml:space="preserve">链接: </w:t>
      </w:r>
      <w:hyperlink r:id="rId210">
        <w:r>
          <w:rPr>
            <w:rFonts w:ascii="Times New Roman" w:hAnsi="Times New Roman" w:eastAsia="宋体"/>
            <w:color w:val="0000FF"/>
            <w:sz w:val="21"/>
            <w:u w:val="single"/>
          </w:rPr>
          <w:t>https://arxiv.org/abs/2602.10663v1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背景：自动足细胞足突定量对于肾脏研究至关重要，但已建立的“足细胞自动形态分析”(AMAP) 方法受到高计算需求、缺乏用户界面和 Linux 依赖性的阻碍。我们开发了 AMAP-APP，这是一款跨平台桌面应用程序，旨在克服这些障碍。方法：AMAP-APP通过用经典图像处理代替密集实例分割来优化效率，同时保留原始语义分割模型。它引入了改进的感兴趣区域 (ROI) 算法来提高精度。验证涉及 365 个小鼠和人类图像（STED 和共聚焦），通过 Pearson 相关性和两个单侧 T 检验 (TOST) 对原始 AMAP 进行性能基准测试。结果：AMAP-APP 在消费类硬件上的处理速度提高了 147 倍。形态测量输出（面积、周长、圆度和狭缝光阑密度）与原始方法显示出高度相关性（r&gt;0.90）和统计等效性（TOST P&lt;0.05）。此外，与原始算法相比，新的 ROI 算法表现出更高的准确性，减少了与手动描绘的偏差。结论：AMAP-APP 使基于深度学习的足细胞形态测量大众化。通过消除对高性能计算集群的需求并为 Windows、macOS 和 Linux 提供用户友好的界面，它可以在肾脏病学研究和潜在的临床诊断中得到广泛采用。</w:t>
      </w:r>
    </w:p>
    <w:p>
      <w:pPr>
        <w:spacing w:before="120"/>
      </w:pPr>
      <w:r>
        <w:rPr>
          <w:rFonts w:ascii="Times New Roman" w:hAnsi="Times New Roman" w:eastAsia="宋体"/>
          <w:b/>
          <w:sz w:val="21"/>
        </w:rPr>
        <w:t>English Abstract:</w:t>
      </w:r>
    </w:p>
    <w:p>
      <w:r>
        <w:rPr>
          <w:rFonts w:ascii="Times New Roman" w:hAnsi="Times New Roman" w:eastAsia="宋体"/>
          <w:sz w:val="21"/>
        </w:rPr>
        <w:t>Background: Automated podocyte foot process quantification is vital for kidney research, but the established "Automatic Morphological Analysis of Podocytes" (AMAP) method is hindered by high computational demands, a lack of a user interface, and Linux dependency. We developed AMAP-APP, a cross-platform desktop application designed to overcome these barriers. Methods: AMAP-APP optimizes efficiency by replacing intensive instance segmentation with classic image processing while retaining the original semantic segmentation model. It introduces a refined Region of Interest (ROI) algorithm to improve precision. Validation involved 365 mouse and human images (STED and confocal), benchmarking performance against the original AMAP via Pearson correlation and Two One-Sided T-tests (TOST). Results: AMAP-APP achieved a 147-fold increase in processing speed on consumer hardware. Morphometric outputs (area, perimeter, circularity, and slit diaphragm density) showed high correlation (r&gt;0.90) and statistical equivalence (TOST P&lt;0.05) to the original method. Additionally, the new ROI algorithm demonstrated superior accuracy compared to the original, showing reduced deviation from manual delineations. Conclusion: AMAP-APP democratizes deep learning-based podocyte morphometry. By eliminating the need for high-performance computing clusters and providing a user-friendly interface for Windows, macOS, and Linux, it enables widespread adoption in nephrology research and potential clinical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TwiFF（思考未来框架）：用于动态视觉推理的大规模数据集</w:t>
      </w:r>
    </w:p>
    <w:p>
      <w:r>
        <w:rPr>
          <w:rFonts w:ascii="Times New Roman" w:hAnsi="Times New Roman" w:eastAsia="宋体"/>
          <w:b/>
          <w:color w:val="003264"/>
          <w:sz w:val="24"/>
        </w:rPr>
        <w:t>TwiFF (Think With Future Frames): A Large-Scale Dataset for Dynamic Visual Reasoning</w:t>
      </w:r>
    </w:p>
    <w:p>
      <w:r>
        <w:rPr>
          <w:rFonts w:ascii="Times New Roman" w:hAnsi="Times New Roman" w:eastAsia="宋体"/>
          <w:sz w:val="21"/>
        </w:rPr>
        <w:t>作者: Kun Kuang</w:t>
        <w:br/>
      </w:r>
      <w:r>
        <w:rPr>
          <w:rFonts w:ascii="Times New Roman" w:hAnsi="Times New Roman" w:eastAsia="宋体"/>
          <w:sz w:val="21"/>
        </w:rPr>
        <w:t xml:space="preserve">时间: 2026-02-11T09:20:04Z | </w:t>
      </w:r>
      <w:r>
        <w:t xml:space="preserve">链接: </w:t>
      </w:r>
      <w:hyperlink r:id="rId211">
        <w:r>
          <w:rPr>
            <w:rFonts w:ascii="Times New Roman" w:hAnsi="Times New Roman" w:eastAsia="宋体"/>
            <w:color w:val="0000FF"/>
            <w:sz w:val="21"/>
            <w:u w:val="single"/>
          </w:rPr>
          <w:t>https://arxiv.org/abs/2602.10675v1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视觉思维链（VCoT）已成为一种有前途的范式，通过将视觉感知集成到中间推理步骤来增强多模态推理。然而，现有的 VCoT 方法主要局限于静态场景，难以捕捉指令、预测和相机运动等任务所必需的时间动态。为了弥补这一差距，我们提出了 TwiFF-2.7M，这是第一个大规模、基于时间的 VCoT 数据集，源自价值 270 万美元的视频剪辑，专门为动态视觉问答而设计。与此同时，我们推出了 TwiFF-Bench，这是一个包含 1,078 美元样本的高质量评估基准，用于评估开放式动态设置中推理轨迹的合理性和最终答案的正确性。在此基础上，我们提出了 TwiFF 模型，这是一种统一模式，协同利用预先训练的视频生成和图像理解功能来产生时间连贯的视觉推理线索，迭代地生成未来的动作框架和文本推理。大量实验表明，TwiFF 在动态推理任务上显着优于现有的 VCoT 方法和文本思维链基线，充分验证了动态场景下视觉问答的有效性。我们的代码和数据可在 https://github.com/LiuJunhua02/TwiFF 获取。</w:t>
      </w:r>
    </w:p>
    <w:p>
      <w:pPr>
        <w:spacing w:before="120"/>
      </w:pPr>
      <w:r>
        <w:rPr>
          <w:rFonts w:ascii="Times New Roman" w:hAnsi="Times New Roman" w:eastAsia="宋体"/>
          <w:b/>
          <w:sz w:val="21"/>
        </w:rPr>
        <w:t>English Abstract:</w:t>
      </w:r>
    </w:p>
    <w:p>
      <w:r>
        <w:rPr>
          <w:rFonts w:ascii="Times New Roman" w:hAnsi="Times New Roman" w:eastAsia="宋体"/>
          <w:sz w:val="21"/>
        </w:rPr>
        <w:t>Visual Chain-of-Thought (VCoT) has emerged as a promising paradigm for enhancing multimodal reasoning by integrating visual perception into intermediate reasoning steps. However, existing VCoT approaches are largely confined to static scenarios and struggle to capture the temporal dynamics essential for tasks such as instruction, prediction, and camera motion. To bridge this gap, we propose TwiFF-2.7M, the first large-scale, temporally grounded VCoT dataset derived from $2.7$ million video clips, explicitly designed for dynamic visual question and answer. Accompanying this, we introduce TwiFF-Bench, a high-quality evaluation benchmark of $1,078$ samples that assesses both the plausibility of reasoning trajectories and the correctness of final answers in open-ended dynamic settings. Building on these foundations, we propose the TwiFF model, a unified modal that synergistically leverages pre-trained video generation and image comprehension capabilities to produce temporally coherent visual reasoning cues-iteratively generating future action frames and textual reasoning. Extensive experiments demonstrate that TwiFF significantly outperforms existing VCoT methods and Textual Chain-of-Thought baselines on dynamic reasoning tasks, which fully validates the effectiveness for visual question answering in dynamic scenarios. Our code and data is available at https://github.com/LiuJunhua02/TwiFF.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OmniVL-Guard：通过平衡 RL 实现统一视觉语言伪造检测和接地</w:t>
      </w:r>
    </w:p>
    <w:p>
      <w:r>
        <w:rPr>
          <w:rFonts w:ascii="Times New Roman" w:hAnsi="Times New Roman" w:eastAsia="宋体"/>
          <w:b/>
          <w:color w:val="003264"/>
          <w:sz w:val="24"/>
        </w:rPr>
        <w:t>OmniVL-Guard: Towards Unified Vision-Language Forgery Detection and Grounding via Balanced RL</w:t>
      </w:r>
    </w:p>
    <w:p>
      <w:r>
        <w:rPr>
          <w:rFonts w:ascii="Times New Roman" w:hAnsi="Times New Roman" w:eastAsia="宋体"/>
          <w:sz w:val="21"/>
        </w:rPr>
        <w:t>作者: Zhun Zhong</w:t>
        <w:br/>
      </w:r>
      <w:r>
        <w:rPr>
          <w:rFonts w:ascii="Times New Roman" w:hAnsi="Times New Roman" w:eastAsia="宋体"/>
          <w:sz w:val="21"/>
        </w:rPr>
        <w:t xml:space="preserve">时间: 2026-02-11T09:41:36Z | </w:t>
      </w:r>
      <w:r>
        <w:t xml:space="preserve">链接: </w:t>
      </w:r>
      <w:hyperlink r:id="rId212">
        <w:r>
          <w:rPr>
            <w:rFonts w:ascii="Times New Roman" w:hAnsi="Times New Roman" w:eastAsia="宋体"/>
            <w:color w:val="0000FF"/>
            <w:sz w:val="21"/>
            <w:u w:val="single"/>
          </w:rPr>
          <w:t>https://arxiv.org/abs/2602.10687v1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伪造检测方法通常仅限于单模态或双模态设置，无法处理现实世界错误信息中普遍存在的交错文本、图像和视频。为了弥补这一差距，本文的目标是开发一个用于综合视觉语言伪造检测和基础的统一框架。在这种统一的设置中，不同模态之间的相互作用以及同时检测和定位的双重要求提出了一个关键的“难度偏差”问题：更简单的准确性分类任务往往会主导梯度，导致多任务优化期间细粒度基础的性能不佳。为了应对这一挑战，我们提出了 \textbf{OmniVL-Guard}，这是一个用于综合视觉语言伪造检测和基础的平衡强化学习框架。特别是，OmniVL-Guard包含两个核心设计：自我进化CoT生成和自适应奖励缩放策略优化（ARSPO）。 {Self-Evolving CoT Generation}综合高质量推理路径，有效克服冷启动挑战。在此基础上，{自适应奖励缩放策略优化（ARSPO）}动态调整奖励规模和任务权重，确保平衡的联合优化。大量实验表明，OmniVL-Guard 的性能显着优于最先进的方法，并在域外场景中展现出零样本的鲁棒泛化能力。</w:t>
      </w:r>
    </w:p>
    <w:p>
      <w:pPr>
        <w:spacing w:before="120"/>
      </w:pPr>
      <w:r>
        <w:rPr>
          <w:rFonts w:ascii="Times New Roman" w:hAnsi="Times New Roman" w:eastAsia="宋体"/>
          <w:b/>
          <w:sz w:val="21"/>
        </w:rPr>
        <w:t>English Abstract:</w:t>
      </w:r>
    </w:p>
    <w:p>
      <w:r>
        <w:rPr>
          <w:rFonts w:ascii="Times New Roman" w:hAnsi="Times New Roman" w:eastAsia="宋体"/>
          <w:sz w:val="21"/>
        </w:rPr>
        <w:t>Existing forgery detection methods are often limited to uni-modal or bi-modal settings, failing to handle the interleaved text, images, and videos prevalent in real-world misinformation. To bridge this gap, this paper targets to develop a unified framework for omnibus vision-language forgery detection and grounding. In this unified setting, the {interplay} between diverse modalities and the dual requirements of simultaneous detection and localization pose a critical ``difficulty bias`` problem: the simpler veracity classification task tends to dominate the gradients, leading to suboptimal performance in fine-grained grounding during multi-task optimization. To address this challenge, we propose \textbf{OmniVL-Guard}, a balanced reinforcement learning framework for omnibus vision-language forgery detection and grounding. Particularly, OmniVL-Guard comprises two core designs: Self-Evolving CoT Generatio and Adaptive Reward Scaling Policy Optimization (ARSPO). {Self-Evolving CoT Generation} synthesizes high-quality reasoning paths, effectively overcoming the cold-start challenge. Building upon this, {Adaptive Reward Scaling Policy Optimization (ARSPO)} dynamically modulates reward scales and task weights, ensuring a balanced joint optimization. Extensive experiments demonstrate that OmniVL-Guard significantly outperforms state-of-the-art methods and exhibits zero-shot robust generalization across out-of-domain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AugVLA-3D：视觉-语言-动作模型的深度驱动特征增强</w:t>
      </w:r>
    </w:p>
    <w:p>
      <w:r>
        <w:rPr>
          <w:rFonts w:ascii="Times New Roman" w:hAnsi="Times New Roman" w:eastAsia="宋体"/>
          <w:b/>
          <w:color w:val="003264"/>
          <w:sz w:val="24"/>
        </w:rPr>
        <w:t>AugVLA-3D: Depth-Driven Feature Augmentation for Vision-Language-Action Models</w:t>
      </w:r>
    </w:p>
    <w:p>
      <w:r>
        <w:rPr>
          <w:rFonts w:ascii="Times New Roman" w:hAnsi="Times New Roman" w:eastAsia="宋体"/>
          <w:sz w:val="21"/>
        </w:rPr>
        <w:t>作者: F. Richard Yu</w:t>
        <w:br/>
      </w:r>
      <w:r>
        <w:rPr>
          <w:rFonts w:ascii="Times New Roman" w:hAnsi="Times New Roman" w:eastAsia="宋体"/>
          <w:sz w:val="21"/>
        </w:rPr>
        <w:t xml:space="preserve">时间: 2026-02-11T09:57:32Z | </w:t>
      </w:r>
      <w:r>
        <w:t xml:space="preserve">链接: </w:t>
      </w:r>
      <w:hyperlink r:id="rId213">
        <w:r>
          <w:rPr>
            <w:rFonts w:ascii="Times New Roman" w:hAnsi="Times New Roman" w:eastAsia="宋体"/>
            <w:color w:val="0000FF"/>
            <w:sz w:val="21"/>
            <w:u w:val="single"/>
          </w:rPr>
          <w:t>https://arxiv.org/abs/2602.10698v1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 (VLA) 模型最近在机器人感知和控制方面取得了显着进展，但大多数现有方法主要依赖于使用 2D 图像训练的 VLM，这限制了它们在复杂 3D 环境中的空间理解和动作基础。为了解决这个限制，我们提出了一种新颖的框架，将深度估计集成到 VLA 模型中以丰富 3D 特征表示。具体来说，我们采用称为 VGGT 的深度估计基线从标准 RGB 输入中提取几何感知的 3D 线索，从而能够有效利用现有的大规模 2D 数据集，同时隐式恢复 3D 结构信息。为了进一步增强这些深度衍生特征的可靠性，我们引入了一个名为动作助手的新模块，它用动作先验来约束学习到的 3D 表示，并确保它们与下游控制任务的一致性。通过将增强的 3D 特征与传统的 2D 视觉标记融合，我们的方法显着提高了 VLA 模型的泛化能力和鲁棒性。实验结果表明，所提出的方法不仅增强了几何模糊场景中的感知，而且还带来了卓越的动作预测精度。这项工作强调了深度驱动的数据增强和辅助专家监督在缩小机器人系统中 2D 观察和 3D 感知决策之间差距的潜力。</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recently achieved remarkable progress in robotic perception and control, yet most existing approaches primarily rely on VLM trained using 2D images, which limits their spatial understanding and action grounding in complex 3D environments. To address this limitation, we propose a novel framework that integrates depth estimation into VLA models to enrich 3D feature representations. Specifically, we employ a depth estimation baseline called VGGT to extract geometry-aware 3D cues from standard RGB inputs, enabling efficient utilization of existing large-scale 2D datasets while implicitly recovering 3D structural information. To further enhance the reliability of these depth-derived features, we introduce a new module called action assistant, which constrains the learned 3D representations with action priors and ensures their consistency with downstream control tasks. By fusing the enhanced 3D features with conventional 2D visual tokens, our approach significantly improves the generalization ability and robustness of VLA models. Experimental results demonstrate that the proposed method not only strengthens perception in geometrically ambiguous scenarios but also leads to superior action prediction accuracy. This work highlights the potential of depth-driven data augmentation and auxiliary expert supervision for bridging the gap between 2D observations and 3D-aware decision-making in robotic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基于扩散的稀疏视图计算机断层扫描生成先验方法</w:t>
      </w:r>
    </w:p>
    <w:p>
      <w:r>
        <w:rPr>
          <w:rFonts w:ascii="Times New Roman" w:hAnsi="Times New Roman" w:eastAsia="宋体"/>
          <w:b/>
          <w:color w:val="003264"/>
          <w:sz w:val="24"/>
        </w:rPr>
        <w:t>A Diffusion-Based Generative Prior Approach to Sparse-view Computed Tomography</w:t>
      </w:r>
    </w:p>
    <w:p>
      <w:r>
        <w:rPr>
          <w:rFonts w:ascii="Times New Roman" w:hAnsi="Times New Roman" w:eastAsia="宋体"/>
          <w:sz w:val="21"/>
        </w:rPr>
        <w:t>作者: Elena Loli Piccolomini</w:t>
        <w:br/>
      </w:r>
      <w:r>
        <w:rPr>
          <w:rFonts w:ascii="Times New Roman" w:hAnsi="Times New Roman" w:eastAsia="宋体"/>
          <w:sz w:val="21"/>
        </w:rPr>
        <w:t xml:space="preserve">时间: 2026-02-11T10:27:41Z | </w:t>
      </w:r>
      <w:r>
        <w:t xml:space="preserve">链接: </w:t>
      </w:r>
      <w:hyperlink r:id="rId214">
        <w:r>
          <w:rPr>
            <w:rFonts w:ascii="Times New Roman" w:hAnsi="Times New Roman" w:eastAsia="宋体"/>
            <w:color w:val="0000FF"/>
            <w:sz w:val="21"/>
            <w:u w:val="single"/>
          </w:rPr>
          <w:t>https://arxiv.org/abs/2602.10722v1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从稀疏或有限角度几何形状重建 X 射线 CT 图像是一项极具挑战性的任务。数据的缺乏通常会导致重建图像中出现伪影，甚至可能导致对象失真。因此，在这种情况下使用深度生成模型具有很大的兴趣和潜在的成功。在深度生成先验（DGP）框架中，使用基于扩散的生成模型与迭代优化算法相结合，用于根据稀疏几何形状下获取的正弦图重建 CT 图像，以保持基于模型的方法的可解释性，同时引入神经网络的生成能力。因此，可以在这些框架内进一步研究几个方面，以提高重建质量，例如图像生成、模型和用于解决最小化问题的迭代算法，为此我们建议对现有方法进行修改。即使在高度稀疏的几何形状下获得的结果也非常有希望，尽管在这个方向上显然需要进一步的研究。</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X-rays CT images from sparse or limited-angle geometries is a highly challenging task. The lack of data typically results in artifacts in the reconstructed image and may even lead to object distortions. For this reason, the use of deep generative models in this context has great interest and potential success. In the Deep Generative Prior (DGP) framework, the use of diffusion-based generative models is combined with an iterative optimization algorithm for the reconstruction of CT images from sinograms acquired under sparse geometries, to maintain the explainability of a model-based approach while introducing the generative power of a neural network. There are therefore several aspects that can be further investigated within these frameworks to improve reconstruction quality, such as image generation, the model, and the iterative algorithm used to solve the minimization problem, for which we propose modifications with respect to existing approaches. The results obtained even under highly sparse geometries are very promising, although further research is clearly needed in this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基于内容无关的面向多模型表示学习的自监督图像超分辨率质量评估</w:t>
      </w:r>
    </w:p>
    <w:p>
      <w:r>
        <w:rPr>
          <w:rFonts w:ascii="Times New Roman" w:hAnsi="Times New Roman" w:eastAsia="宋体"/>
          <w:b/>
          <w:color w:val="003264"/>
          <w:sz w:val="24"/>
        </w:rPr>
        <w:t>Self-Supervised Image Super-Resolution Quality Assessment based on Content-Free Multi-Model Oriented Representation Learning</w:t>
      </w:r>
    </w:p>
    <w:p>
      <w:r>
        <w:rPr>
          <w:rFonts w:ascii="Times New Roman" w:hAnsi="Times New Roman" w:eastAsia="宋体"/>
          <w:sz w:val="21"/>
        </w:rPr>
        <w:t>作者: Peyman Adibi</w:t>
        <w:br/>
      </w:r>
      <w:r>
        <w:rPr>
          <w:rFonts w:ascii="Times New Roman" w:hAnsi="Times New Roman" w:eastAsia="宋体"/>
          <w:sz w:val="21"/>
        </w:rPr>
        <w:t xml:space="preserve">时间: 2026-02-11T11:15:34Z | </w:t>
      </w:r>
      <w:r>
        <w:t xml:space="preserve">链接: </w:t>
      </w:r>
      <w:hyperlink r:id="rId215">
        <w:r>
          <w:rPr>
            <w:rFonts w:ascii="Times New Roman" w:hAnsi="Times New Roman" w:eastAsia="宋体"/>
            <w:color w:val="0000FF"/>
            <w:sz w:val="21"/>
            <w:u w:val="single"/>
          </w:rPr>
          <w:t>https://arxiv.org/abs/2602.10744v1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将超分辨率 (SR) 应用于现实世界的低分辨率 (LR) 图像通常会导致复杂的、不规则的降级，这是由于自然场景采集的固有复杂性造成的。与在明确场景下创建的合成 LR 图像产生的 SR 伪像相比，这些失真是高度不可预测的，并且在不同的现实生活环境中存在显着差异。因此，评估从现实 LR 获得的 SR 图像 (SR-IQA) 的质量仍然是一个具有挑战性且尚未得到充分探索的问题。在这项工作中，我们引入了一种针对这种高度不适定的现实环境量身定制的无参考 SR-IQA 方法。所提出的方法能够为现实世界的 SR 应用提供域自适应 IQA，特别是在数据稀缺领域。我们假设超分辨率图像的退化很大程度上取决于底层的 SR 算法，而不是仅仅由图像内容决定。为此，我们引入了一种自监督学习（SSL）策略，该策略首先在借口阶段预训练多个面向 SR 模型的表示。我们的对比学习框架从相同 SR 模型生成的图像中形成正对，从不同方法生成的图像中形成负对，与图像内容无关。所提出的方法 S3 RIQA 进一步结合了有针对性的预处理以提取补充质量信息和辅助任务以更好地处理与不同 SR 缩放因子相关的各种退化概况。为此，我们构建了一个新的数据集SRMORSS，以支持无监督借口训练；它包括应用于大量真实 LR 图像的广泛 SR 算法，弥补了现有数据集的空白。对真实 SR-IQA 基准测试的实验表明，S3 RIQA 始终优于大多数最先进的相关指标。</w:t>
      </w:r>
    </w:p>
    <w:p>
      <w:pPr>
        <w:spacing w:before="120"/>
      </w:pPr>
      <w:r>
        <w:rPr>
          <w:rFonts w:ascii="Times New Roman" w:hAnsi="Times New Roman" w:eastAsia="宋体"/>
          <w:b/>
          <w:sz w:val="21"/>
        </w:rPr>
        <w:t>English Abstract:</w:t>
      </w:r>
    </w:p>
    <w:p>
      <w:r>
        <w:rPr>
          <w:rFonts w:ascii="Times New Roman" w:hAnsi="Times New Roman" w:eastAsia="宋体"/>
          <w:sz w:val="21"/>
        </w:rPr>
        <w:t>Super-resolution (SR) applied to real-world low-resolution (LR) images often results in complex, irregular degradations that stem from the inherent complexity of natural scene acquisition. In contrast to SR artifacts arising from synthetic LR images created under well-defined scenarios, those distortions are highly unpredictable and vary significantly across different real-life contexts. Consequently, assessing the quality of SR images (SR-IQA) obtained from realistic LR, remains a challenging and underexplored problem. In this work, we introduce a no-reference SR-IQA approach tailored for such highly ill-posed realistic settings. The proposed method enables domain-adaptive IQA for real-world SR applications, particularly in data-scarce domains. We hypothesize that degradations in super-resolved images are strongly dependent on the underlying SR algorithms, rather than being solely determined by image content. To this end, we introduce a self-supervised learning (SSL) strategy that first pretrains multiple SR model oriented representations in a pretext stage. Our contrastive learning framework forms positive pairs from images produced by the same SR model and negative pairs from those generated by different methods, independent of image content. The proposed approach S3 RIQA, further incorporates targeted preprocessing to extract complementary quality information and an auxiliary task to better handle the various degradation profiles associated with different SR scaling factors. To this end, we constructed a new dataset, SRMORSS, to support unsupervised pretext training; it includes a wide range of SR algorithms applied to numerous real LR images, which addresses a gap in existing datasets. Experiments on real SR-IQA benchmarks demonstrate that S3 RIQA consistently outperforms most state-of-the-art relevant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高光谱数据回归的谱空间对比学习框架</w:t>
      </w:r>
    </w:p>
    <w:p>
      <w:r>
        <w:rPr>
          <w:rFonts w:ascii="Times New Roman" w:hAnsi="Times New Roman" w:eastAsia="宋体"/>
          <w:b/>
          <w:color w:val="003264"/>
          <w:sz w:val="24"/>
        </w:rPr>
        <w:t>Spectral-Spatial Contrastive Learning Framework for Regression on Hyperspectral Data</w:t>
      </w:r>
    </w:p>
    <w:p>
      <w:r>
        <w:rPr>
          <w:rFonts w:ascii="Times New Roman" w:hAnsi="Times New Roman" w:eastAsia="宋体"/>
          <w:sz w:val="21"/>
        </w:rPr>
        <w:t>作者: Antonin Van Exem</w:t>
        <w:br/>
      </w:r>
      <w:r>
        <w:rPr>
          <w:rFonts w:ascii="Times New Roman" w:hAnsi="Times New Roman" w:eastAsia="宋体"/>
          <w:sz w:val="21"/>
        </w:rPr>
        <w:t xml:space="preserve">时间: 2026-02-11T11:16:57Z | </w:t>
      </w:r>
      <w:r>
        <w:t xml:space="preserve">链接: </w:t>
      </w:r>
      <w:hyperlink r:id="rId216">
        <w:r>
          <w:rPr>
            <w:rFonts w:ascii="Times New Roman" w:hAnsi="Times New Roman" w:eastAsia="宋体"/>
            <w:color w:val="0000FF"/>
            <w:sz w:val="21"/>
            <w:u w:val="single"/>
          </w:rPr>
          <w:t>https://arxiv.org/abs/2602.10745v1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在表示学习中取得了巨大的成功，特别是对于图像分类任务。然而，针对回归任务的研究仍然缺乏，更具体地说，针对高光谱数据的应用的研究仍然短缺。在本文中，我们提出了一种用于高光谱数据回归任务的光谱空间对比学习框架，采用与模型无关的设计，允许增强 3D 卷积和基于变压器的网络等主干网络。此外，我们提供了与增强​​高光谱数据相关的转换集合。对合成数据集和真实数据集的实验表明，所提出的框架和转换显着提高了所有研究的骨干模型的性能。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has demonstrated great success in representation learning, especially for image classification tasks. However, there is still a shortage in studies targeting regression tasks, and more specifically applications on hyperspectral data. In this paper, we propose a spectral-spatial contrastive learning framework for regression tasks for hyperspectral data, in a model-agnostic design allowing to enhance backbones such as 3D convolutional and transformer-based networks. Moreover, we provide a collection of transformations relevant for augmenting hyperspectral data. Experiments on synthetic and real datasets show that the proposed framework and transformations significantly improve the performance of all studied backbone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住宅规划设计的文本到矢量转换</w:t>
      </w:r>
    </w:p>
    <w:p>
      <w:r>
        <w:rPr>
          <w:rFonts w:ascii="Times New Roman" w:hAnsi="Times New Roman" w:eastAsia="宋体"/>
          <w:b/>
          <w:color w:val="003264"/>
          <w:sz w:val="24"/>
        </w:rPr>
        <w:t>Text-to-Vector Conversion for Residential Plan Design</w:t>
      </w:r>
    </w:p>
    <w:p>
      <w:r>
        <w:rPr>
          <w:rFonts w:ascii="Times New Roman" w:hAnsi="Times New Roman" w:eastAsia="宋体"/>
          <w:sz w:val="21"/>
        </w:rPr>
        <w:t>作者: Valeria Efimova</w:t>
        <w:br/>
      </w:r>
      <w:r>
        <w:rPr>
          <w:rFonts w:ascii="Times New Roman" w:hAnsi="Times New Roman" w:eastAsia="宋体"/>
          <w:sz w:val="21"/>
        </w:rPr>
        <w:t xml:space="preserve">时间: 2026-02-11T11:40:19Z | </w:t>
      </w:r>
      <w:r>
        <w:t xml:space="preserve">链接: </w:t>
      </w:r>
      <w:hyperlink r:id="rId217">
        <w:r>
          <w:rPr>
            <w:rFonts w:ascii="Times New Roman" w:hAnsi="Times New Roman" w:eastAsia="宋体"/>
            <w:color w:val="0000FF"/>
            <w:sz w:val="21"/>
            <w:u w:val="single"/>
          </w:rPr>
          <w:t>https://arxiv.org/abs/2602.10757v1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图形学由光栅和矢量组成，是现代科学、工业和数字通信的基本组成部分。虽然光栅图形易于使用，但其基于像素的结构限制了可扩展性。由数学基元定义的矢量图形提供了可扩展性而不会造成质量损失，但其生成更为复杂。对于设计和建筑来说，矢量图形的多功能性至关重要，尽管它具有计算需求。本文介绍了一种根据文本描述生成矢量住宅规划的新方法。我们的方法在基于 CLIPScore 的视觉质量方面比现有解决方案高出约 5%，这得益于其固有的直角处理和灵活的设置。此外，我们提出了一种将光栅计划矢量化为结构化矢量图像的新算法。与其他图像相比，此类图像的 CLIPscore 高出约 4%。</w:t>
      </w:r>
    </w:p>
    <w:p>
      <w:pPr>
        <w:spacing w:before="120"/>
      </w:pPr>
      <w:r>
        <w:rPr>
          <w:rFonts w:ascii="Times New Roman" w:hAnsi="Times New Roman" w:eastAsia="宋体"/>
          <w:b/>
          <w:sz w:val="21"/>
        </w:rPr>
        <w:t>English Abstract:</w:t>
      </w:r>
    </w:p>
    <w:p>
      <w:r>
        <w:rPr>
          <w:rFonts w:ascii="Times New Roman" w:hAnsi="Times New Roman" w:eastAsia="宋体"/>
          <w:sz w:val="21"/>
        </w:rPr>
        <w:t>Computer graphics, comprising both raster and vector components, is a fundamental part of modern science, industry, and digital communication. While raster graphics offer ease of use, its pixel-based structure limits scalability. Vector graphics, defined by mathematical primitives, provides scalability without quality loss, however, it is more complex to produce. For design and architecture, the versatility of vector graphics is paramount, despite its computational demands. This paper introduces a novel method for generating vector residential plans from textual descriptions. Our approach surpasses existing solutions by approximately 5% in CLIPScore-based visual quality, benefiting from its inherent handling of right angles and flexible settings. Additionally, we present a new algorithm for vectorizing raster plans into structured vector images. Such images have a better CLIPscore compared to others by about 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用火杀死它：利用潜在空间方向来缓解深度神经网络中的运行时后门</w:t>
      </w:r>
    </w:p>
    <w:p>
      <w:r>
        <w:rPr>
          <w:rFonts w:ascii="Times New Roman" w:hAnsi="Times New Roman" w:eastAsia="宋体"/>
          <w:b/>
          <w:color w:val="003264"/>
          <w:sz w:val="24"/>
        </w:rPr>
        <w:t>Kill it with FIRE: On Leveraging Latent Space Directions for Runtime Backdoor Mitigation in Deep Neural Networks</w:t>
      </w:r>
    </w:p>
    <w:p>
      <w:r>
        <w:rPr>
          <w:rFonts w:ascii="Times New Roman" w:hAnsi="Times New Roman" w:eastAsia="宋体"/>
          <w:sz w:val="21"/>
        </w:rPr>
        <w:t>作者: Lars Grunske</w:t>
        <w:br/>
      </w:r>
      <w:r>
        <w:rPr>
          <w:rFonts w:ascii="Times New Roman" w:hAnsi="Times New Roman" w:eastAsia="宋体"/>
          <w:sz w:val="21"/>
        </w:rPr>
        <w:t xml:space="preserve">时间: 2026-02-11T12:13:25Z | </w:t>
      </w:r>
      <w:r>
        <w:t xml:space="preserve">链接: </w:t>
      </w:r>
      <w:hyperlink r:id="rId218">
        <w:r>
          <w:rPr>
            <w:rFonts w:ascii="Times New Roman" w:hAnsi="Times New Roman" w:eastAsia="宋体"/>
            <w:color w:val="0000FF"/>
            <w:sz w:val="21"/>
            <w:u w:val="single"/>
          </w:rPr>
          <w:t>https://arxiv.org/abs/2602.10780v1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模型越来越多地出现在我们的日常生活中；因此，它们成为试图操纵我们与之交互的系统的敌对攻击者的目标。一个众所周知的漏洞是通过有毒的训练数据或恶意训练过程引入神经网络的后门。后门可用于通过在输入中包含特定触发器来引发不良行为。现有的缓解措施会过滤训练数据、修改模型或对样本执行昂贵的输入修改。然而，如果已经部署了易受攻击的模型，那么这些策略要么无效，要么效率低下。为了解决这一差距，我们提出了称为 FIRE（特征空间推理时间修复）的推理时间后门缓解方法。我们假设触发器会引起模型内部表示的结构化且可重复的变化。我们将触发器视为层之间潜在空间中的方向，可以反向应用以纠正推理机制。因此，我们通过操纵后门模型的潜在表示并沿着后门方向移动中毒样本的特征来抵消触发器，从而使后门模型与自身对抗。我们的评估表明，FIRE 的计算开销较低，并且在各种攻击、数据集和网络架构的图像基准测试中，其性能优于当前的运行时缓解措施。</w:t>
      </w:r>
    </w:p>
    <w:p>
      <w:pPr>
        <w:spacing w:before="120"/>
      </w:pPr>
      <w:r>
        <w:rPr>
          <w:rFonts w:ascii="Times New Roman" w:hAnsi="Times New Roman" w:eastAsia="宋体"/>
          <w:b/>
          <w:sz w:val="21"/>
        </w:rPr>
        <w:t>English Abstract:</w:t>
      </w:r>
    </w:p>
    <w:p>
      <w:r>
        <w:rPr>
          <w:rFonts w:ascii="Times New Roman" w:hAnsi="Times New Roman" w:eastAsia="宋体"/>
          <w:sz w:val="21"/>
        </w:rPr>
        <w:t>Machine learning models are increasingly present in our everyday lives; as a result, they become targets of adversarial attackers seeking to manipulate the systems we interact with. A well-known vulnerability is a backdoor introduced into a neural network by poisoned training data or a malicious training process. Backdoors can be used to induce unwanted behavior by including a certain trigger in the input. Existing mitigations filter training data, modify the model, or perform expensive input modifications on samples. If a vulnerable model has already been deployed, however, those strategies are either ineffective or inefficient. To address this gap, we propose our inference-time backdoor mitigation approach called FIRE (Feature-space Inference-time REpair). We hypothesize that a trigger induces structured and repeatable changes in the model's internal representation. We view the trigger as directions in the latent spaces between layers that can be applied in reverse to correct the inference mechanism. Therefore, we turn the backdoored model against itself by manipulating its latent representations and moving a poisoned sample's features along the backdoor directions to neutralize the trigger. Our evaluation shows that FIRE has low computational overhead and outperforms current runtime mitigations on image benchmarks across various attacks, datasets, and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RSHallu：具有领域定制缓解功能的遥感多模态大语言模型的双模幻觉评估</w:t>
      </w:r>
    </w:p>
    <w:p>
      <w:r>
        <w:rPr>
          <w:rFonts w:ascii="Times New Roman" w:hAnsi="Times New Roman" w:eastAsia="宋体"/>
          <w:b/>
          <w:color w:val="003264"/>
          <w:sz w:val="24"/>
        </w:rPr>
        <w:t>RSHallu: Dual-Mode Hallucination Evaluation for Remote-Sensing Multimodal Large Language Models with Domain-Tailored Mitigation</w:t>
      </w:r>
    </w:p>
    <w:p>
      <w:r>
        <w:rPr>
          <w:rFonts w:ascii="Times New Roman" w:hAnsi="Times New Roman" w:eastAsia="宋体"/>
          <w:sz w:val="21"/>
        </w:rPr>
        <w:t>作者: Weijia Jia</w:t>
        <w:br/>
      </w:r>
      <w:r>
        <w:rPr>
          <w:rFonts w:ascii="Times New Roman" w:hAnsi="Times New Roman" w:eastAsia="宋体"/>
          <w:sz w:val="21"/>
        </w:rPr>
        <w:t xml:space="preserve">时间: 2026-02-11T12:41:33Z | </w:t>
      </w:r>
      <w:r>
        <w:t xml:space="preserve">链接: </w:t>
      </w:r>
      <w:hyperlink r:id="rId219">
        <w:r>
          <w:rPr>
            <w:rFonts w:ascii="Times New Roman" w:hAnsi="Times New Roman" w:eastAsia="宋体"/>
            <w:color w:val="0000FF"/>
            <w:sz w:val="21"/>
            <w:u w:val="single"/>
          </w:rPr>
          <w:t>https://arxiv.org/abs/2602.10799v1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在遥感 (RS) 中越来越多地采用，并且在 RS 视觉接地 (RSVG)、RS 视觉问答 (RSVQA) 和多模态对话等任务上表现出强大的性能。然而，幻觉是与输入的遥感图像不一致的响应，严重阻碍了它们在高风险场景（例如应急管理和农业监测）中的部署，并且在遥感方面仍未得到充分探索。在这项工作中，我们提出了RSHallu，这是一项具有三个可交付成果的系统性研究：（1）我们用面向RS的分类法将RS幻觉形式化，并引入图像级幻觉来捕获以对象为中心的错误之外的RS特定的不一致（例如模态、分辨率和场景级语义）； （2）我们建立了幻觉基准RSHalluEval（2,023个QA对）并启用双模式检查，通过在RSHalluCheck数据集（15,396个QA对）上微调的紧凑检查器支持高精度云审计和低成本可重复的本地检查； (3)我们引入了一个领域定制的数据集RSHalluShield（30k QA对）用于训练友好的缓解，并进一步提出了免训练的即插即用策略，包括解码时logit校正和RS感知提示。在代表性的 RS-MLLM 中，我们的缓解措施在统一协议下将无幻觉率提高了高达 21.63 个百分点，同时保持了下游 RS 任务 (RSVQA/RSVG) 的竞争性能。代码和数据集将被发布。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increasingly adopted in remote sensing (RS) and have shown strong performance on tasks such as RS visual grounding (RSVG), RS visual question answering (RSVQA), and multimodal dialogue. However, hallucinations, which are responses inconsistent with the input RS images, severely hinder their deployment in high-stakes scenarios (e.g., emergency management and agricultural monitoring) and remain under-explored in RS. In this work, we present RSHallu, a systematic study with three deliverables: (1) we formalize RS hallucinations with an RS-oriented taxonomy and introduce image-level hallucination to capture RS-specific inconsistencies beyond object-centric errors (e.g., modality, resolution, and scene-level semantics); (2) we build a hallucination benchmark RSHalluEval (2,023 QA pairs) and enable dual-mode checking, supporting high-precision cloud auditing and low-cost reproducible local checking via a compact checker fine-tuned on RSHalluCheck dataset (15,396 QA pairs); and (3) we introduce a domain-tailored dataset RSHalluShield (30k QA pairs) for training-friendly mitigation and further propose training-free plug-and-play strategies, including decoding-time logit correction and RS-aware prompting. Across representative RS-MLLMs, our mitigation improves the hallucination-free rate by up to 21.63 percentage points under a unified protocol, while maintaining competitive performance on downstream RS tasks (RSVQA/RSVG). Code and datasets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DMP-3DAD：通过真实深度图投影与少量正常样本进行跨类别 3D 异常检测</w:t>
      </w:r>
    </w:p>
    <w:p>
      <w:r>
        <w:rPr>
          <w:rFonts w:ascii="Times New Roman" w:hAnsi="Times New Roman" w:eastAsia="宋体"/>
          <w:b/>
          <w:color w:val="003264"/>
          <w:sz w:val="24"/>
        </w:rPr>
        <w:t>DMP-3DAD: Cross-Category 3D Anomaly Detection via Realistic Depth Map Projection with Few Normal Samples</w:t>
      </w:r>
    </w:p>
    <w:p>
      <w:r>
        <w:rPr>
          <w:rFonts w:ascii="Times New Roman" w:hAnsi="Times New Roman" w:eastAsia="宋体"/>
          <w:sz w:val="21"/>
        </w:rPr>
        <w:t>作者: Jun Yu</w:t>
        <w:br/>
      </w:r>
      <w:r>
        <w:rPr>
          <w:rFonts w:ascii="Times New Roman" w:hAnsi="Times New Roman" w:eastAsia="宋体"/>
          <w:sz w:val="21"/>
        </w:rPr>
        <w:t xml:space="preserve">时间: 2026-02-11T12:47:38Z | </w:t>
      </w:r>
      <w:r>
        <w:t xml:space="preserve">链接: </w:t>
      </w:r>
      <w:hyperlink r:id="rId220">
        <w:r>
          <w:rPr>
            <w:rFonts w:ascii="Times New Roman" w:hAnsi="Times New Roman" w:eastAsia="宋体"/>
            <w:color w:val="0000FF"/>
            <w:sz w:val="21"/>
            <w:u w:val="single"/>
          </w:rPr>
          <w:t>https://arxiv.org/abs/2602.10806v1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点云的跨类别异常检测旨在仅使用几个正常示例来确定未见过的对象是否属于目标类别。大多数现有方法依赖于特定类别的训练，这限制了它们在少数场景中的灵活性。在本文中，我们提出了 DMP-3DAD，这是一种基于多视图真实深度图投影的跨类别 3D 异常检测的免训练框架。具体来说，通过将点云转换为一组固定的真实深度图像，我们的方法利用冻结的 CLIP 视觉编码器来提取多视图表示，并通过加权特征相似性执行异常检测，这不需要任何微调或依赖于类别的适应。在 ShapeNetPart 数据集上进行的大量实验表明，DMP-3DAD 在少量镜头设置下实现了最先进的性能。结果表明，所提出的方法为实际的跨类别 3D 异常检测提供了一种简单而有效的解决方案。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Cross-category anomaly detection for 3D point clouds aims to determine whether an unseen object belongs to a target category using only a few normal examples. Most existing methods rely on category-specific training, which limits their flexibility in few-shot scenarios. In this paper, we propose DMP-3DAD, a training-free framework for cross-category 3D anomaly detection based on multi-view realistic depth map projection. Specifically, by converting point clouds into a fixed set of realistic depth images, our method leverages a frozen CLIP visual encoder to extract multi-view representations and performs anomaly detection via weighted feature similarity, which does not require any fine-tuning or category-dependent adaptation. Extensive experiments on the ShapeNetPart dataset demonstrate that DMP-3DAD achieves state-of-the-art performance under few-shot setting. The results show that the proposed approach provides a simple yet effective solution for practical cross-category 3D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DeepImageSearch：视觉历史中上下文感知图像检索的多模态代理基准测试</w:t>
      </w:r>
    </w:p>
    <w:p>
      <w:r>
        <w:rPr>
          <w:rFonts w:ascii="Times New Roman" w:hAnsi="Times New Roman" w:eastAsia="宋体"/>
          <w:b/>
          <w:color w:val="003264"/>
          <w:sz w:val="24"/>
        </w:rPr>
        <w:t>DeepImageSearch: Benchmarking Multimodal Agents for Context-Aware Image Retrieval in Visual Histories</w:t>
      </w:r>
    </w:p>
    <w:p>
      <w:r>
        <w:rPr>
          <w:rFonts w:ascii="Times New Roman" w:hAnsi="Times New Roman" w:eastAsia="宋体"/>
          <w:sz w:val="21"/>
        </w:rPr>
        <w:t>作者: Zhicheng Dou</w:t>
        <w:br/>
      </w:r>
      <w:r>
        <w:rPr>
          <w:rFonts w:ascii="Times New Roman" w:hAnsi="Times New Roman" w:eastAsia="宋体"/>
          <w:sz w:val="21"/>
        </w:rPr>
        <w:t xml:space="preserve">时间: 2026-02-11T12:51:10Z | </w:t>
      </w:r>
      <w:r>
        <w:t xml:space="preserve">链接: </w:t>
      </w:r>
      <w:hyperlink r:id="rId221">
        <w:r>
          <w:rPr>
            <w:rFonts w:ascii="Times New Roman" w:hAnsi="Times New Roman" w:eastAsia="宋体"/>
            <w:color w:val="0000FF"/>
            <w:sz w:val="21"/>
            <w:u w:val="single"/>
          </w:rPr>
          <w:t>https://arxiv.org/abs/2602.10809v1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系统擅长语义匹配，但隐含地假设查询图像相关性可以单独测量。这种范例忽略了现实视觉流中固有的丰富依赖关系，其中信息分布在时间序列上，而不是局限于单个快照。为了弥补这一差距，我们引入了 DeepImageSearch，这是一种新颖的代理范式，它将图像检索重新定义为一项自主探索任务。模型必须对原始视觉历史进行规划和执行多步骤推理，以根据隐式上下文线索定位目标。我们构建了 DISBench，这是一个基于互连视觉数据的具有挑战性的基准。为了解决创建上下文相关查询的可扩展性挑战，我们提出了一种人类模型协作管道，该管道采用视觉语言模型来挖掘潜在的时空关联，从而在人类验证之前有效地卸载密集的上下文发现。此外，我们使用配备细粒度工具的模块化代理框架和用于长视野导航的双内存系统构建了强大的基线。大量实验表明 DISBench 对最先进的模型提出了重大挑战，凸显了将代理推理纳入下一代检索系统的必要性。</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systems excel at semantic matching but implicitly assume that query-image relevance can be measured in isolation. This paradigm overlooks the rich dependencies inherent in realistic visual streams, where information is distributed across temporal sequences rather than confined to single snapshots. To bridge this gap, we introduce DeepImageSearch, a novel agentic paradigm that reformulates image retrieval as an autonomous exploration task. Models must plan and perform multi-step reasoning over raw visual histories to locate targets based on implicit contextual cues. We construct DISBench, a challenging benchmark built on interconnected visual data. To address the scalability challenge of creating context-dependent queries, we propose a human-model collaborative pipeline that employs vision-language models to mine latent spatiotemporal associations, effectively offloading intensive context discovery before human verification. Furthermore, we build a robust baseline using a modular agent framework equipped with fine-grained tools and a dual-memory system for long-horizon navigation. Extensive experiments demonstrate that DISBench poses significant challenges to state-of-the-art models, highlighting the necessity of incorporating agentic reasoning into next-generation retrieval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通过混合原型进行高光谱烟雾分割</w:t>
      </w:r>
    </w:p>
    <w:p>
      <w:r>
        <w:rPr>
          <w:rFonts w:ascii="Times New Roman" w:hAnsi="Times New Roman" w:eastAsia="宋体"/>
          <w:b/>
          <w:color w:val="003264"/>
          <w:sz w:val="24"/>
        </w:rPr>
        <w:t>Hyperspectral Smoke Segmentation via Mixture of Prototypes</w:t>
      </w:r>
    </w:p>
    <w:p>
      <w:r>
        <w:rPr>
          <w:rFonts w:ascii="Times New Roman" w:hAnsi="Times New Roman" w:eastAsia="宋体"/>
          <w:sz w:val="21"/>
        </w:rPr>
        <w:t>作者: Yuhan Xu</w:t>
        <w:br/>
      </w:r>
      <w:r>
        <w:rPr>
          <w:rFonts w:ascii="Times New Roman" w:hAnsi="Times New Roman" w:eastAsia="宋体"/>
          <w:sz w:val="21"/>
        </w:rPr>
        <w:t xml:space="preserve">时间: 2026-02-11T13:44:58Z | </w:t>
      </w:r>
      <w:r>
        <w:t xml:space="preserve">链接: </w:t>
      </w:r>
      <w:hyperlink r:id="rId222">
        <w:r>
          <w:rPr>
            <w:rFonts w:ascii="Times New Roman" w:hAnsi="Times New Roman" w:eastAsia="宋体"/>
            <w:color w:val="0000FF"/>
            <w:sz w:val="21"/>
            <w:u w:val="single"/>
          </w:rPr>
          <w:t>https://arxiv.org/abs/2602.10858v1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烟雾分割对于野火管理和工业安全应用至关重要。传统的基于可见光的方法由于光谱信息不足而面临局限性，特别是在云干扰和半透明烟雾区域方面遇到困难。为了应对这些挑战，我们引入了用于烟雾分割的高光谱成像，并提出了第一个高光谱烟雾分割数据集 (HSSDataset)，其中使用多对一注释协议从 20 个真实场景的 18,000 多个帧中收集了仔细注释的样本。然而，不同的光谱带在空间区域上表现出不同的辨别能力，因此需要自适应频带加权策略。我们将其分解为三个技术挑战：光谱相互作用污染、有限的光谱模式建模和复杂的加权路由器问题。我们提出了一种混合原型（MoP）网络：（1）用于光谱隔离的频带分割，（2）用于不同模式的基于原型的光谱表示，以及（3）用于自适应空间感知频带加权的双层路由器。我们进一步用 RGB 红外图像构建了多光谱数据集 (MSSDataset)。大量的实验验证了高光谱和多光谱模式的卓越性能，为基于光谱的烟雾分割建立了新的范例。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Smoke segmentation is critical for wildfire management and industrial safety applications. Traditional visible-light-based methods face limitations due to insufficient spectral information, particularly struggling with cloud interference and semi-transparent smoke regions. To address these challenges, we introduce hyperspectral imaging for smoke segmentation and present the first hyperspectral smoke segmentation dataset (HSSDataset) with carefully annotated samples collected from over 18,000 frames across 20 real-world scenarios using a Many-to-One annotations protocol. However, different spectral bands exhibit varying discriminative capabilities across spatial regions, necessitating adaptive band weighting strategies. We decompose this into three technical challenges: spectral interaction contamination, limited spectral pattern modeling, and complex weighting router problems. We propose a mixture of prototypes (MoP) network with: (1) Band split for spectral isolation, (2) Prototype-based spectral representation for diverse patterns, and (3) Dual-level router for adaptive spatial-aware band weighting. We further construct a multispectral dataset (MSSDataset) with RGB-infrared images. Extensive experiments validate superior performance across both hyperspectral and multispectral modalities, establishing a new paradigm for spectral-based smoke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通过交互成本建模进行点云标注的观点推荐</w:t>
      </w:r>
    </w:p>
    <w:p>
      <w:r>
        <w:rPr>
          <w:rFonts w:ascii="Times New Roman" w:hAnsi="Times New Roman" w:eastAsia="宋体"/>
          <w:b/>
          <w:color w:val="003264"/>
          <w:sz w:val="24"/>
        </w:rPr>
        <w:t>Viewpoint Recommendation for Point Cloud Labeling through Interaction Cost Modeling</w:t>
      </w:r>
    </w:p>
    <w:p>
      <w:r>
        <w:rPr>
          <w:rFonts w:ascii="Times New Roman" w:hAnsi="Times New Roman" w:eastAsia="宋体"/>
          <w:sz w:val="21"/>
        </w:rPr>
        <w:t>作者: Siming Chen</w:t>
        <w:br/>
      </w:r>
      <w:r>
        <w:rPr>
          <w:rFonts w:ascii="Times New Roman" w:hAnsi="Times New Roman" w:eastAsia="宋体"/>
          <w:sz w:val="21"/>
        </w:rPr>
        <w:t xml:space="preserve">时间: 2026-02-11T13:59:42Z | </w:t>
      </w:r>
      <w:r>
        <w:t xml:space="preserve">链接: </w:t>
      </w:r>
      <w:hyperlink r:id="rId223">
        <w:r>
          <w:rPr>
            <w:rFonts w:ascii="Times New Roman" w:hAnsi="Times New Roman" w:eastAsia="宋体"/>
            <w:color w:val="0000FF"/>
            <w:sz w:val="21"/>
            <w:u w:val="single"/>
          </w:rPr>
          <w:t>https://arxiv.org/abs/2602.10871v1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语义分割对于许多应用都很重要，例如自动驾驶。为了训练语义分割模型，标记的点云分割数据集是必不可少的。同时，点云标记对于注释者来说非常耗时，这通常涉及调整相机视点并通过套索选择点。为了减少点云标记的时间成本，我们提出了一种观点推荐方法来减少注释者的标记时间成本。我们采用费茨定律来模拟点云中套索选择的时间成本。使用建模的时间成本，向注释者推荐最小化套索选择时间成本的观点。我们构建了一个用于 3D 点云语义分割的数据标记系统，该系统集成了我们的视点推荐方法。该系统使用户能够导航到推荐的观点以进行有效的注释。通过消融研究，我们观察到我们的方法有效降低了数据标记时间成本。我们还将我们的方法与之前在不同数据集上的观点选择方法进行定性比较。</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3D point clouds is important for many applications, such as autonomous driving. To train semantic segmentation models, labeled point cloud segmentation datasets are essential. Meanwhile, point cloud labeling is time-consuming for annotators, which typically involves tuning the camera viewpoint and selecting points by lasso. To reduce the time cost of point cloud labeling, we propose a viewpoint recommendation approach to reduce annotators' labeling time costs. We adapt Fitts' law to model the time cost of lasso selection in point clouds. Using the modeled time cost, the viewpoint that minimizes the lasso selection time cost is recommended to the annotator. We build a data labeling system for semantic segmentation of 3D point clouds that integrates our viewpoint recommendation approach. The system enables users to navigate to recommended viewpoints for efficient annotation. Through an ablation study, we observed that our approach effectively reduced the data labeling time cost. We also qualitatively compare our approach with previous viewpoint selection approaches on different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Stride-Net：用于胸部 X 射线诊断的公平意识解缠表示学习</w:t>
      </w:r>
    </w:p>
    <w:p>
      <w:r>
        <w:rPr>
          <w:rFonts w:ascii="Times New Roman" w:hAnsi="Times New Roman" w:eastAsia="宋体"/>
          <w:b/>
          <w:color w:val="003264"/>
          <w:sz w:val="24"/>
        </w:rPr>
        <w:t>Stride-Net: Fairness-Aware Disentangled Representation Learning for Chest X-Ray Diagnosis</w:t>
      </w:r>
    </w:p>
    <w:p>
      <w:r>
        <w:rPr>
          <w:rFonts w:ascii="Times New Roman" w:hAnsi="Times New Roman" w:eastAsia="宋体"/>
          <w:sz w:val="21"/>
        </w:rPr>
        <w:t>作者: Brejesh Lall</w:t>
        <w:br/>
      </w:r>
      <w:r>
        <w:rPr>
          <w:rFonts w:ascii="Times New Roman" w:hAnsi="Times New Roman" w:eastAsia="宋体"/>
          <w:sz w:val="21"/>
        </w:rPr>
        <w:t xml:space="preserve">时间: 2026-02-11T14:04:52Z | </w:t>
      </w:r>
      <w:r>
        <w:t xml:space="preserve">链接: </w:t>
      </w:r>
      <w:hyperlink r:id="rId224">
        <w:r>
          <w:rPr>
            <w:rFonts w:ascii="Times New Roman" w:hAnsi="Times New Roman" w:eastAsia="宋体"/>
            <w:color w:val="0000FF"/>
            <w:sz w:val="21"/>
            <w:u w:val="single"/>
          </w:rPr>
          <w:t>https://arxiv.org/abs/2602.10875v1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用于胸部 X 射线分类的深度神经网络实现了强劲的平均性能，但对于特定的人口亚组通常表现不佳，引发了对临床安全性和公平性的严重担忧。现有的去偏差方法经常会在数据集中产生不一致的改进，或者通过降低整体诊断效用来实现公平性，将公平性视为事后约束而不是学习表示的属性。在这项工作中，我们提出了 Stride-Net（通过解缠结和可学习掩码与嵌入对齐进行敏感属性弹性学习），这是一种公平意识框架，可以学习用于胸部 X 射线分析的疾病区分性但人口统计不变的表示。 Stride-Net 在补丁级别运行，使用可学习的基于步幅的掩模来选择标签对齐的图像区域，同时通过对抗性混淆损失抑制敏感属性信息。为了锚定临床语义中的表示并阻止快捷学习，我们通过组最优传输进一步加强图像特征和基于 BioBERT 的疾病标签嵌入之间的语义对齐。我们在 MIMIC-CXR 和 CheXpert 基准上评估跨种族和交叉种族性别子组的 Stride-Net。在包括 ResNet 和 Vision Transformers 在内的架构中，Stride-Net 持续改进公平性指标，同时匹配或超过基线准确度，实现比之前的去偏方法更有利的准确度与公平性权衡。我们的代码可在 https://github.com/Daraksh/Fairness_StrideNet 上获取。</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chest X-ray classification achieve strong average performance, yet often underperform for specific demographic subgroups, raising critical concerns about clinical safety and equity. Existing debiasing methods frequently yield inconsistent improvements across datasets or attain fairness by degrading overall diagnostic utility, treating fairness as a post hoc constraint rather than a property of the learned representation. In this work, we propose Stride-Net (Sensitive Attribute Resilient Learning via Disentanglement and Learnable Masking with Embedding Alignment), a fairness-aware framework that learns disease-discriminative yet demographically invariant representations for chest X-ray analysis. Stride-Net operates at the patch level, using a learnable stride-based mask to select label-aligned image regions while suppressing sensitive attribute information through adversarial confusion loss. To anchor representations in clinical semantics and discourage shortcut learning, we further enforce semantic alignment between image features and BioBERT-based disease label embeddings via Group Optimal Transport. We evaluate Stride-Net on the MIMIC-CXR and CheXpert benchmarks across race and intersectional race-gender subgroups. Across architectures including ResNet and Vision Transformers, Stride-Net consistently improves fairness metrics while matching or exceeding baseline accuracy, achieving a more favorable accuracy-fairness trade-off than prior debiasing approaches. Our code is available at https://github.com/Daraksh/Fairness_StrideNet.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图表规范：在图表到代码生成中激励 VLM 推理的结构表示</w:t>
      </w:r>
    </w:p>
    <w:p>
      <w:r>
        <w:rPr>
          <w:rFonts w:ascii="Times New Roman" w:hAnsi="Times New Roman" w:eastAsia="宋体"/>
          <w:b/>
          <w:color w:val="003264"/>
          <w:sz w:val="24"/>
        </w:rPr>
        <w:t>Chart Specification: Structural Representations for Incentivizing VLM Reasoning in Chart-to-Code Generation</w:t>
      </w:r>
    </w:p>
    <w:p>
      <w:r>
        <w:rPr>
          <w:rFonts w:ascii="Times New Roman" w:hAnsi="Times New Roman" w:eastAsia="宋体"/>
          <w:sz w:val="21"/>
        </w:rPr>
        <w:t>作者: Yuya Ieiri</w:t>
        <w:br/>
      </w:r>
      <w:r>
        <w:rPr>
          <w:rFonts w:ascii="Times New Roman" w:hAnsi="Times New Roman" w:eastAsia="宋体"/>
          <w:sz w:val="21"/>
        </w:rPr>
        <w:t xml:space="preserve">时间: 2026-02-11T14:08:06Z | </w:t>
      </w:r>
      <w:r>
        <w:t xml:space="preserve">链接: </w:t>
      </w:r>
      <w:hyperlink r:id="rId225">
        <w:r>
          <w:rPr>
            <w:rFonts w:ascii="Times New Roman" w:hAnsi="Times New Roman" w:eastAsia="宋体"/>
            <w:color w:val="0000FF"/>
            <w:sz w:val="21"/>
            <w:u w:val="single"/>
          </w:rPr>
          <w:t>https://arxiv.org/abs/2602.10880v1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从图表图像生成绘图代码方面显示出了前景，但实现结构保真度仍然具有挑战性。现有的方法在很大程度上依赖于监督微调，鼓励表面级别的令牌模仿，而不是对底层图表结构的忠实建模，这通常会导致幻觉或语义不一致的输出。我们提出了图表规范，一种结构化的中间表示，将训练从文本模仿转变为基于语义的监督。图表规范过滤语法噪音以构建结构平衡的训练集，并支持规范对齐奖励，该奖励提供有关结构正确性的细粒度、可验证的反馈，使强化学习能够强制执行一致的绘图逻辑。对三个公共基准的实验表明，我们的方法始终优于先前的方法。仅通过 3K 训练样本，我们就实现了强大的数据效率，在复杂的基准测试中超出了领先基线高达 61.7%，并且扩展到 4K 样本在所有评估指标中建立了新的最先进的结果。总的来说，我们的结果表明，精确的结构监督为高保真图表到代码生成提供了一条有效的途径。代码和数据集可在以下位置获取：https://github.com/Mighten/chart-specification-paper</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shown promise in generating plotting code from chart images, yet achieving structural fidelity remains challenging. Existing approaches largely rely on supervised fine-tuning, encouraging surface-level token imitation rather than faithful modeling of underlying chart structure, which often leads to hallucinated or semantically inconsistent outputs. We propose Chart Specification, a structured intermediate representation that shifts training from text imitation to semantically grounded supervision. Chart Specification filters syntactic noise to construct a structurally balanced training set and supports a Spec-Align Reward that provides fine-grained, verifiable feedback on structural correctness, enabling reinforcement learning to enforce consistent plotting logic. Experiments on three public benchmarks show that our method consistently outperforms prior approaches. With only 3K training samples, we achieve strong data efficiency, surpassing leading baselines by up to 61.7% on complex benchmarks, and scaling to 4K samples establishes new state-of-the-art results across all evaluated metrics. Overall, our results demonstrate that precise structural supervision offers an efficient pathway to high-fidelity chart-to-code generation. Code and dataset are available at: https://github.com/Mighten/chart-specification-paper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FastUSP：分布式扩散模型推理的多级协作加速框架</w:t>
      </w:r>
    </w:p>
    <w:p>
      <w:r>
        <w:rPr>
          <w:rFonts w:ascii="Times New Roman" w:hAnsi="Times New Roman" w:eastAsia="宋体"/>
          <w:b/>
          <w:color w:val="003264"/>
          <w:sz w:val="24"/>
        </w:rPr>
        <w:t>FastUSP: A Multi-Level Collaborative Acceleration Framework for Distributed Diffusion Model Inference</w:t>
      </w:r>
    </w:p>
    <w:p>
      <w:r>
        <w:rPr>
          <w:rFonts w:ascii="Times New Roman" w:hAnsi="Times New Roman" w:eastAsia="宋体"/>
          <w:sz w:val="21"/>
        </w:rPr>
        <w:t>作者: Guandong Li</w:t>
        <w:br/>
      </w:r>
      <w:r>
        <w:rPr>
          <w:rFonts w:ascii="Times New Roman" w:hAnsi="Times New Roman" w:eastAsia="宋体"/>
          <w:sz w:val="21"/>
        </w:rPr>
        <w:t xml:space="preserve">时间: 2026-02-11T15:19:57Z | </w:t>
      </w:r>
      <w:r>
        <w:t xml:space="preserve">链接: </w:t>
      </w:r>
      <w:hyperlink r:id="rId226">
        <w:r>
          <w:rPr>
            <w:rFonts w:ascii="Times New Roman" w:hAnsi="Times New Roman" w:eastAsia="宋体"/>
            <w:color w:val="0000FF"/>
            <w:sz w:val="21"/>
            <w:u w:val="single"/>
          </w:rPr>
          <w:t>https://arxiv.org/abs/2602.10940v1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FLUX（12B 参数）和 Stable Diffusion 3（8B 参数）等大规模扩散模型需要多 GPU 并行才能进行高效推理。统一序列并行（USP）结合了 Ulysses 和 Ring 注意力机制，已成为分布式注意力计算的最先进方法。然而，现有的 USP 实现效率严重低下，包括过多的内核启动开销和次优的计算通信调度。在本文中，我们提出了 \textbf{FastUSP}，一个多级优化框架，集成了编译级优化（使用 CUDA 图进行图编译和计算通信重新排序）、通信级优化（FP8 量化集体通信）和操作员级优化（具有双缓冲的流水线环注意）。我们在 2、4 和 8 个 NVIDIA RTX 5090 GPU 上的 FLUX (12B) 和 Qwen-Image 模型上评估 FastUSP。在 FLUX 上，FastUSP 相对于基线 USP 实现了一致的 \textbf{1.12$\times$--1.16$\times$} 端到端加速，其中编译级优化贡献了主要改进。在 Qwen-Image 上，FastUSP 在 2 个 GPU 上实现了 \textbf{1.09$\times$} 加速；在 4--8 个 GPU 上，我们发现 PyTorch Inductor 兼容性限制与 Ring Attention 会阻碍编译优化，而基线 USP 则可扩展到 2-GPU 性能的 1.30$\times$--1.46$\times$。我们进一步对分布式扩散推理的性能特征进行了详细分析，揭示了内核启动开销（而不是通信延迟）是现代高带宽 GPU 互连的主要瓶颈。</w:t>
      </w:r>
    </w:p>
    <w:p>
      <w:pPr>
        <w:spacing w:before="120"/>
      </w:pPr>
      <w:r>
        <w:rPr>
          <w:rFonts w:ascii="Times New Roman" w:hAnsi="Times New Roman" w:eastAsia="宋体"/>
          <w:b/>
          <w:sz w:val="21"/>
        </w:rPr>
        <w:t>English Abstract:</w:t>
      </w:r>
    </w:p>
    <w:p>
      <w:r>
        <w:rPr>
          <w:rFonts w:ascii="Times New Roman" w:hAnsi="Times New Roman" w:eastAsia="宋体"/>
          <w:sz w:val="21"/>
        </w:rPr>
        <w:t>Large-scale diffusion models such as FLUX (12B parameters) and Stable Diffusion 3 (8B parameters) require multi-GPU parallelism for efficient inference. Unified Sequence Parallelism (USP), which combines Ulysses and Ring attention mechanisms, has emerged as the state-of-the-art approach for distributed attention computation. However, existing USP implementations suffer from significant inefficiencies including excessive kernel launch overhead and suboptimal computation-communication scheduling. In this paper, we propose \textbf{FastUSP}, a multi-level optimization framework that integrates compile-level optimization (graph compilation with CUDA Graphs and computation-communication reordering), communication-level optimization (FP8 quantized collective communication), and operator-level optimization (pipelined Ring attention with double buffering). We evaluate FastUSP on FLUX (12B) and Qwen-Image models across 2, 4, and 8 NVIDIA RTX 5090 GPUs. On FLUX, FastUSP achieves consistent \textbf{1.12$\times$--1.16$\times$} end-to-end speedup over baseline USP, with compile-level optimization contributing the dominant improvement. On Qwen-Image, FastUSP achieves \textbf{1.09$\times$} speedup on 2 GPUs; on 4--8 GPUs, we identify a PyTorch Inductor compatibility limitation with Ring attention that prevents compile optimization, while baseline USP scales to 1.30$\times$--1.46$\times$ of 2-GPU performance. We further provide a detailed analysis of the performance characteristics of distributed diffusion inference, revealing that kernel launch overhead -- rather than communication latency -- is the primary bottleneck on modern high-bandwidth GPU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2D 观察中学习可概括的 3D 场景表示</w:t>
      </w:r>
    </w:p>
    <w:p>
      <w:r>
        <w:rPr>
          <w:rFonts w:ascii="Times New Roman" w:hAnsi="Times New Roman" w:eastAsia="宋体"/>
          <w:b/>
          <w:color w:val="003264"/>
          <w:sz w:val="24"/>
        </w:rPr>
        <w:t>Towards Learning a Generalizable 3D Scene Representation from 2D Observations</w:t>
      </w:r>
    </w:p>
    <w:p>
      <w:r>
        <w:rPr>
          <w:rFonts w:ascii="Times New Roman" w:hAnsi="Times New Roman" w:eastAsia="宋体"/>
          <w:sz w:val="21"/>
        </w:rPr>
        <w:t>作者: Stefan Wermter</w:t>
        <w:br/>
      </w:r>
      <w:r>
        <w:rPr>
          <w:rFonts w:ascii="Times New Roman" w:hAnsi="Times New Roman" w:eastAsia="宋体"/>
          <w:sz w:val="21"/>
        </w:rPr>
        <w:t xml:space="preserve">时间: 2026-02-11T15:22:41Z | </w:t>
      </w:r>
      <w:r>
        <w:t xml:space="preserve">链接: </w:t>
      </w:r>
      <w:hyperlink r:id="rId227">
        <w:r>
          <w:rPr>
            <w:rFonts w:ascii="Times New Roman" w:hAnsi="Times New Roman" w:eastAsia="宋体"/>
            <w:color w:val="0000FF"/>
            <w:sz w:val="21"/>
            <w:u w:val="single"/>
          </w:rPr>
          <w:t>https://arxiv.org/abs/2602.10943v1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我们引入了一种通用神经辐射场方法，用于根据以自我为中心的机器人观察来预测 3D 工作空间占用情况。与之前在以相机为中心的坐标中操作的方法不同，我们的模型在全局工作空间框架中构建占用表示，使其直接适用于机器人操作。该模型集成了灵活的源视图，并可推广到看不见的对象排列，而无需针对特定场景进行微调。我们在人形机器人上演示了该方法，并根据 3D 传感器地面实况评估预测的几何形状。经过 40 个真实场景的训练，我们的模型实现了 26mm 的重建误差（包括遮挡区域），验证了其超越传统立体视觉方法推断完整 3D 占用的能力。</w:t>
      </w:r>
    </w:p>
    <w:p>
      <w:pPr>
        <w:spacing w:before="120"/>
      </w:pPr>
      <w:r>
        <w:rPr>
          <w:rFonts w:ascii="Times New Roman" w:hAnsi="Times New Roman" w:eastAsia="宋体"/>
          <w:b/>
          <w:sz w:val="21"/>
        </w:rPr>
        <w:t>English Abstract:</w:t>
      </w:r>
    </w:p>
    <w:p>
      <w:r>
        <w:rPr>
          <w:rFonts w:ascii="Times New Roman" w:hAnsi="Times New Roman" w:eastAsia="宋体"/>
          <w:sz w:val="21"/>
        </w:rPr>
        <w:t>We introduce a Generalizable Neural Radiance Field approach for predicting 3D workspace occupancy from egocentric robot observations. Unlike prior methods operating in camera-centric coordinates, our model constructs occupancy representations in a global workspace frame, making it directly applicable to robotic manipulation. The model integrates flexible source views and generalizes to unseen object arrangements without scene-specific finetuning. We demonstrate the approach on a humanoid robot and evaluate predicted geometry against 3D sensor ground truth. Trained on 40 real scenes, our model achieves 26mm reconstruction error, including occluded regions, validating its ability to infer complete 3D occupancy beyond traditional stereo vision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健康收获：使用 InceptionV3 比较番石榴病害分类</w:t>
      </w:r>
    </w:p>
    <w:p>
      <w:r>
        <w:rPr>
          <w:rFonts w:ascii="Times New Roman" w:hAnsi="Times New Roman" w:eastAsia="宋体"/>
          <w:b/>
          <w:color w:val="003264"/>
          <w:sz w:val="24"/>
        </w:rPr>
        <w:t>Healthy Harvests: A Comparative Look at Guava Disease Classification Using InceptionV3</w:t>
      </w:r>
    </w:p>
    <w:p>
      <w:r>
        <w:rPr>
          <w:rFonts w:ascii="Times New Roman" w:hAnsi="Times New Roman" w:eastAsia="宋体"/>
          <w:sz w:val="21"/>
        </w:rPr>
        <w:t>作者: Nishat Tasnim Niloy</w:t>
        <w:br/>
      </w:r>
      <w:r>
        <w:rPr>
          <w:rFonts w:ascii="Times New Roman" w:hAnsi="Times New Roman" w:eastAsia="宋体"/>
          <w:sz w:val="21"/>
        </w:rPr>
        <w:t xml:space="preserve">时间: 2026-02-11T15:59:49Z | </w:t>
      </w:r>
      <w:r>
        <w:t xml:space="preserve">链接: </w:t>
      </w:r>
      <w:hyperlink r:id="rId228">
        <w:r>
          <w:rPr>
            <w:rFonts w:ascii="Times New Roman" w:hAnsi="Times New Roman" w:eastAsia="宋体"/>
            <w:color w:val="0000FF"/>
            <w:sz w:val="21"/>
            <w:u w:val="single"/>
          </w:rPr>
          <w:t>https://arxiv.org/abs/2602.10967v1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番石榴果实经常患有多种疾病。这会损害水果品质和水果作物产量。早期识别对于最大限度地减少损害和确保水果健康非常重要。本研究重点关注 3 个不同类别的疾病分类。这些是炭疽病、果蝇和健康水果。本研究使用的数据集来自 Mendeley Data。该数据集包含 473 张番石榴原始图像。这些图像的大小和格式各不相同。原始数据集大小调整为 256x256 像素，采用 RGB 颜色模式，以获得更好的一致性。之后，应用数据增强过程通过生成原始图像的变体来改进数据集。增强数据集由 3784 个使用先进预处理技术的图像组成。实施了两种深度学习模型来对图像进行分类。 InceptionV3模型以其先进的框架而闻名。它们应用多个卷积滤波器来有效地获得不同的特征。另一方面，ResNet50 模型有助于通过使用残差学习来训练更深的网络。 InceptionV3模型的准确率达到了98.15%，ResNet50的准确率达到了94.46%。应用CutMix和MixUp等数据混合方法来增强模型的鲁棒性。混淆矩阵用于评估 InceptionV3 和 Resnet50 的整体模型性能。此外，SHAP 分析用于提高可解释性，这有助于找到图像中用于模型预测的重要部分。本研究旨在强调先进模型如何增强</w:t>
      </w:r>
    </w:p>
    <w:p>
      <w:pPr>
        <w:spacing w:before="120"/>
      </w:pPr>
      <w:r>
        <w:rPr>
          <w:rFonts w:ascii="Times New Roman" w:hAnsi="Times New Roman" w:eastAsia="宋体"/>
          <w:b/>
          <w:sz w:val="21"/>
        </w:rPr>
        <w:t>English Abstract:</w:t>
      </w:r>
    </w:p>
    <w:p>
      <w:r>
        <w:rPr>
          <w:rFonts w:ascii="Times New Roman" w:hAnsi="Times New Roman" w:eastAsia="宋体"/>
          <w:sz w:val="21"/>
        </w:rPr>
        <w:t>Guava fruits often suffer from many diseases. This can harm fruit quality and fruit crop yield. Early identification is important for minimizing damage and ensuring fruit health. This study focuses on 3 different categories for classifying diseases. These are Anthracnose, Fruit flies, and Healthy fruit. The data set used in this study is collected from Mendeley Data. This dataset contains 473 original images of Guava. These images vary in size and format. The original dataset was resized to 256x256 pixels with RGB color mode for better consistency. After this, the Data augmentation process is applied to improve the dataset by generating variations of the original images. The augmented dataset consists of 3784 images using advanced preprocessing techniques. Two deep learning models were implemented to classify the images. The InceptionV3 model is well known for its advanced framework. These apply multiple convolutional filters for obtaining different features effectively. On the other hand, the ResNet50 model helps to train deeper networks by using residual learning. The InceptionV3 model achieved the impressive accuracy of 98.15%, and ResNet50got 94.46% accuracy. Data mixing methods such as CutMix and MixUp were applied to enhance the model's robustness. The confusion matrix was used to evaluate the overall model performance of both InceptionV3 and Resnet50. Additionally, SHAP analysis is used to improve interpretability, which helps to find the significant parts of the image for the model prediction. This study purposes to highlight how advanced models enhan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VFGS-Net：用于保留拓扑的视网膜血管分割的频率引导状态空间学习</w:t>
      </w:r>
    </w:p>
    <w:p>
      <w:r>
        <w:rPr>
          <w:rFonts w:ascii="Times New Roman" w:hAnsi="Times New Roman" w:eastAsia="宋体"/>
          <w:b/>
          <w:color w:val="003264"/>
          <w:sz w:val="24"/>
        </w:rPr>
        <w:t>VFGS-Net: Frequency-Guided State-Space Learning for Topology-Preserving Retinal Vessel Segmentation</w:t>
      </w:r>
    </w:p>
    <w:p>
      <w:r>
        <w:rPr>
          <w:rFonts w:ascii="Times New Roman" w:hAnsi="Times New Roman" w:eastAsia="宋体"/>
          <w:sz w:val="21"/>
        </w:rPr>
        <w:t>作者: Nan Mu</w:t>
        <w:br/>
      </w:r>
      <w:r>
        <w:rPr>
          <w:rFonts w:ascii="Times New Roman" w:hAnsi="Times New Roman" w:eastAsia="宋体"/>
          <w:sz w:val="21"/>
        </w:rPr>
        <w:t xml:space="preserve">时间: 2026-02-11T16:07:29Z | </w:t>
      </w:r>
      <w:r>
        <w:t xml:space="preserve">链接: </w:t>
      </w:r>
      <w:hyperlink r:id="rId229">
        <w:r>
          <w:rPr>
            <w:rFonts w:ascii="Times New Roman" w:hAnsi="Times New Roman" w:eastAsia="宋体"/>
            <w:color w:val="0000FF"/>
            <w:sz w:val="21"/>
            <w:u w:val="single"/>
          </w:rPr>
          <w:t>https://arxiv.org/abs/2602.10978v1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视网膜血管分割是视网膜图像定量分析和糖尿病视网膜病变等血管疾病的计算机辅助诊断的关键先决条件。然而，视网膜血管的细长形态、大尺度变化和低对比度对现有方法提出了重大挑战，使得难以同时保存细小毛细血管和维持全局拓扑连续性。为了应对这些挑战，我们提出了血管感知频域和全局空间建模网络（VFGS-Net），这是一种端到端分割框架，可将频率感知特征增强、双路径卷积表示学习和双向非对称空间状态空间建模无缝集成在一个统一的架构中。具体来说，VFGS-Net采用双路径特征卷积模块来联合捕获细粒度局部纹理和多尺度上下文语义。引入了一种新颖的血管感知频域通道注意机制来自适应地重新加权频谱分量，从而增强高级特征中与血管相关的响应。此外，在网络瓶颈处，我们提出了一种基于 Mamba2 的双向不对称空间建模模块，以有效捕获远程空间依赖性并增强血管结构的全局连续性。对四个公开可用的视网膜血管数据集的广泛实验表明，与最先进的方法相比，VFGS-Net 实现了具有竞争力或优越的性能。值得注意的是，我们的模型持续提高了细血管、复杂分支模式和低对比度区域的分割准确性，突出了其稳健性和临床潜力。</w:t>
      </w:r>
    </w:p>
    <w:p>
      <w:pPr>
        <w:spacing w:before="120"/>
      </w:pPr>
      <w:r>
        <w:rPr>
          <w:rFonts w:ascii="Times New Roman" w:hAnsi="Times New Roman" w:eastAsia="宋体"/>
          <w:b/>
          <w:sz w:val="21"/>
        </w:rPr>
        <w:t>English Abstract:</w:t>
      </w:r>
    </w:p>
    <w:p>
      <w:r>
        <w:rPr>
          <w:rFonts w:ascii="Times New Roman" w:hAnsi="Times New Roman" w:eastAsia="宋体"/>
          <w:sz w:val="21"/>
        </w:rPr>
        <w:t>Accurate retinal vessel segmentation is a critical prerequisite for quantitative analysis of retinal images and computer-aided diagnosis of vascular diseases such as diabetic retinopathy. However, the elongated morphology, wide scale variation, and low contrast of retinal vessels pose significant challenges for existing methods, making it difficult to simultaneously preserve fine capillaries and maintain global topological continuity. To address these challenges, we propose the Vessel-aware Frequency-domain and Global Spatial modeling Network (VFGS-Net), an end-to-end segmentation framework that seamlessly integrates frequency-aware feature enhancement, dual-path convolutional representation learning, and bidirectional asymmetric spatial state-space modeling within a unified architecture. Specifically, VFGS-Net employs a dual-path feature convolution module to jointly capture fine-grained local textures and multi-scale contextual semantics. A novel vessel-aware frequency-domain channel attention mechanism is introduced to adaptively reweight spectral components, thereby enhancing vessel-relevant responses in high-level features. Furthermore, at the network bottleneck, we propose a bidirectional asymmetric Mamba2-based spatial modeling block to efficiently capture long-range spatial dependencies and strengthen the global continuity of vascular structures. Extensive experiments on four publicly available retinal vessel datasets demonstrate that VFGS-Net achieves competitive or superior performance compared to state-of-the-art methods. Notably, our model consistently improves segmentation accuracy for fine vessels, complex branching patterns, and low-contrast regions, highlighting its robustness and clinical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DFIC：建立平衡的面部图像数据集，用于自动 ICAO 合规性验证</w:t>
      </w:r>
    </w:p>
    <w:p>
      <w:r>
        <w:rPr>
          <w:rFonts w:ascii="Times New Roman" w:hAnsi="Times New Roman" w:eastAsia="宋体"/>
          <w:b/>
          <w:color w:val="003264"/>
          <w:sz w:val="24"/>
        </w:rPr>
        <w:t>DFIC: Towards a balanced facial image dataset for automatic ICAO compliance verification</w:t>
      </w:r>
    </w:p>
    <w:p>
      <w:r>
        <w:rPr>
          <w:rFonts w:ascii="Times New Roman" w:hAnsi="Times New Roman" w:eastAsia="宋体"/>
          <w:sz w:val="21"/>
        </w:rPr>
        <w:t>作者: João Marcos</w:t>
        <w:br/>
      </w:r>
      <w:r>
        <w:rPr>
          <w:rFonts w:ascii="Times New Roman" w:hAnsi="Times New Roman" w:eastAsia="宋体"/>
          <w:sz w:val="21"/>
        </w:rPr>
        <w:t xml:space="preserve">时间: 2026-02-11T16:13:17Z | </w:t>
      </w:r>
      <w:r>
        <w:t xml:space="preserve">链接: </w:t>
      </w:r>
      <w:hyperlink r:id="rId230">
        <w:r>
          <w:rPr>
            <w:rFonts w:ascii="Times New Roman" w:hAnsi="Times New Roman" w:eastAsia="宋体"/>
            <w:color w:val="0000FF"/>
            <w:sz w:val="21"/>
            <w:u w:val="single"/>
          </w:rPr>
          <w:t>https://arxiv.org/abs/2602.10985v1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确保机读旅行证件 (MRTD) 中的面部图像符合 ISO/IEC 和 ICAO 标准对于可靠的身份验证至关重要，但当前的手动检查方法在高要求环境中效率低下。本文介绍了 DFIC 数据集，这是一个新颖的综合面部图像数据集，包含 1000 多个主题的约 58,000 张带注释图像和 2706 个视频，除了合规肖像之外，还涵盖了广泛的不合规条件。我们的数据集提供了比现有公共数据集更平衡的人口分布，其中一个分区几乎均匀分布，有利于自动化国际民航组织合规性验证方法的开发。使用 DFIC，我们微调了一种严重依赖空间注意机制来自动验证 ICAO 合规性要求的新颖方法，并将其与针对 ICAO 合规性验证的最先进方法进行了比较，展示了改进的结果。 DFIC 数据集现已公开 (https://github.com/visteam-isr-uc/DFIC)，用于新模型的训练和验证，提供前所未有的人脸多样性，这将提高可呈现给验证系统的人脸和道具的本质多样化组合的鲁棒性和适应性。这些结果强调了 DFIC 在增强自动化 ICAO 合规方法方面的潜力，但它也可用于许多其他旨在提高面部识别系统的安全性、隐私性和公平性的应用。</w:t>
      </w:r>
    </w:p>
    <w:p>
      <w:pPr>
        <w:spacing w:before="120"/>
      </w:pPr>
      <w:r>
        <w:rPr>
          <w:rFonts w:ascii="Times New Roman" w:hAnsi="Times New Roman" w:eastAsia="宋体"/>
          <w:b/>
          <w:sz w:val="21"/>
        </w:rPr>
        <w:t>English Abstract:</w:t>
      </w:r>
    </w:p>
    <w:p>
      <w:r>
        <w:rPr>
          <w:rFonts w:ascii="Times New Roman" w:hAnsi="Times New Roman" w:eastAsia="宋体"/>
          <w:sz w:val="21"/>
        </w:rPr>
        <w:t>Ensuring compliance with ISO/IEC and ICAO standards for facial images in machine-readable travel documents (MRTDs) is essential for reliable identity verification, but current manual inspection methods are inefficient in high-demand environments. This paper introduces the DFIC dataset, a novel comprehensive facial image dataset comprising around 58,000 annotated images and 2706 videos of more than 1000 subjects, that cover a broad range of non-compliant conditions, in addition to compliant portraits. Our dataset provides a more balanced demographic distribution than the existing public datasets, with one partition that is nearly uniformly distributed, facilitating the development of automated ICAO compliance verification methods. Using DFIC, we fine-tuned a novel method that heavily relies on spatial attention mechanisms for the automatic validation of ICAO compliance requirements, and we have compared it with the state-of-the-art aimed at ICAO compliance verification, demonstrating improved results. DFIC dataset is now made public (https://github.com/visteam-isr-uc/DFIC) for the training and validation of new models, offering an unprecedented diversity of faces, that will improve both robustness and adaptability to the intrinsically diverse combinations of faces and props that can be presented to the validation system. These results emphasize the potential of DFIC to enhance automated ICAO compliance methods but it can also be used in many other applications that aim to improve the security, privacy, and fairness of facial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SVDA 进行图像分类中的可解释视觉转换器</w:t>
      </w:r>
    </w:p>
    <w:p>
      <w:r>
        <w:rPr>
          <w:rFonts w:ascii="Times New Roman" w:hAnsi="Times New Roman" w:eastAsia="宋体"/>
          <w:b/>
          <w:color w:val="003264"/>
          <w:sz w:val="24"/>
        </w:rPr>
        <w:t>Interpretable Vision Transformers in Image Classification via SVDA</w:t>
      </w:r>
    </w:p>
    <w:p>
      <w:r>
        <w:rPr>
          <w:rFonts w:ascii="Times New Roman" w:hAnsi="Times New Roman" w:eastAsia="宋体"/>
          <w:sz w:val="21"/>
        </w:rPr>
        <w:t>作者: Nikos Papamarkos</w:t>
        <w:br/>
      </w:r>
      <w:r>
        <w:rPr>
          <w:rFonts w:ascii="Times New Roman" w:hAnsi="Times New Roman" w:eastAsia="宋体"/>
          <w:sz w:val="21"/>
        </w:rPr>
        <w:t xml:space="preserve">时间: 2026-02-11T16:20:32Z | </w:t>
      </w:r>
      <w:r>
        <w:t xml:space="preserve">链接: </w:t>
      </w:r>
      <w:hyperlink r:id="rId231">
        <w:r>
          <w:rPr>
            <w:rFonts w:ascii="Times New Roman" w:hAnsi="Times New Roman" w:eastAsia="宋体"/>
            <w:color w:val="0000FF"/>
            <w:sz w:val="21"/>
            <w:u w:val="single"/>
          </w:rPr>
          <w:t>https://arxiv.org/abs/2602.10994v1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视觉变换器 (ViT) 在图像分类方面取得了最先进的性能，但它们的注意力机制通常仍然不透明，并表现出密集的非结构化行为。在这项工作中，我们将之前提出的 SVD-Inspired Attention (SVDA) 机制应用于 ViT 架构，引入了一种基于几何的公式，增强了可解释性、稀疏性和谱结构。我们应用可解释性指标（最初由 SVDA 提出）来监控训练期间的注意力动态并评估所学习表征的结构属性。对四个广泛使用的基准（CIFAR-10、FashionMNIST、CIFAR-100 和 ImageNet-100）的实验评估表明，SVDA 在不牺牲分类准确性的情况下始终能产生更可解释的注意力模式。虽然当前的框架提供了描述性见解而不是规定性指导，但我们的结果将 SVDA 确立为一种用于分析和开发计算机视觉中结构化注意力模型的全面且信息丰富的工具。这项工作为可解释的人工智能、光谱诊断和基于注意力的模型压缩的未来发展奠定了基础。</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achieved state-of-the-art performance in image classification, yet their attention mechanisms often remain opaque and exhibit dense, non-structured behaviors. In this work, we adapt our previously proposed SVD-Inspired Attention (SVDA) mechanism to the ViT architecture, introducing a geometrically grounded formulation that enhances interpretability, sparsity, and spectral structure. We apply the use of interpretability indicators -- originally proposed with SVDA -- to monitor attention dynamics during training and assess structural properties of the learned representations. Experimental evaluations on four widely used benchmarks -- CIFAR-10, FashionMNIST, CIFAR-100, and ImageNet-100 -- demonstrate that SVDA consistently yields more interpretable attention patterns without sacrificing classification accuracy. While the current framework offers descriptive insights rather than prescriptive guidance, our results establish SVDA as a comprehensive and informative tool for analyzing and developing structured attention models in computer vision. This work lays the foundation for future advances in explainable AI, spectral diagnostics, and attention-based model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增强自动驾驶车辆感知的多租户 DNN 推理的可预测性</w:t>
      </w:r>
    </w:p>
    <w:p>
      <w:r>
        <w:rPr>
          <w:rFonts w:ascii="Times New Roman" w:hAnsi="Times New Roman" w:eastAsia="宋体"/>
          <w:b/>
          <w:color w:val="003264"/>
          <w:sz w:val="24"/>
        </w:rPr>
        <w:t>Enhancing Predictability of Multi-Tenant DNN Inference for Autonomous Vehicles' Perception</w:t>
      </w:r>
    </w:p>
    <w:p>
      <w:r>
        <w:rPr>
          <w:rFonts w:ascii="Times New Roman" w:hAnsi="Times New Roman" w:eastAsia="宋体"/>
          <w:sz w:val="21"/>
        </w:rPr>
        <w:t>作者: Weisong Shi</w:t>
        <w:br/>
      </w:r>
      <w:r>
        <w:rPr>
          <w:rFonts w:ascii="Times New Roman" w:hAnsi="Times New Roman" w:eastAsia="宋体"/>
          <w:sz w:val="21"/>
        </w:rPr>
        <w:t xml:space="preserve">时间: 2026-02-11T16:25:10Z | </w:t>
      </w:r>
      <w:r>
        <w:t xml:space="preserve">链接: </w:t>
      </w:r>
      <w:hyperlink r:id="rId232">
        <w:r>
          <w:rPr>
            <w:rFonts w:ascii="Times New Roman" w:hAnsi="Times New Roman" w:eastAsia="宋体"/>
            <w:color w:val="0000FF"/>
            <w:sz w:val="21"/>
            <w:u w:val="single"/>
          </w:rPr>
          <w:t>https://arxiv.org/abs/2602.11004v1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自动驾驶车辆 (AV) 依靠传感器和深度神经网络 (DNN) 感知周围环境并实时做出机动决策。然而，由于计算需求与 AV 有限资源之间存在巨大差距，在 AV 感知管道中实现实时 DNN 推理具有挑战性。大多数（如果不是全部）现有研究都集中在优化 DNN 推理时间，通过剪枝和量化压缩 DNN 模型来实现更快的感知。相比之下，我们提出了一种带有 DNN (PP-DNN) 的可预测感知系统，通过动态选择关键帧和感兴趣区域 (ROI)，减少要处理的图像数据量，同时保持多租户 DNN 相同的精度水平。 PP-DNN 基于我们的关键见解，即 AV 的关键帧和 ROI 随 AV 周围环境的变化而变化。然而，在多租户 DNN 中识别和使用关键帧和 ROI 来进行可预测的推理是一项挑战。给定图像帧流，PP-DNN 利用 ROI 生成器根据连续帧和交通场景的相似性来识别关键帧和 ROI。然后，PP-DNN 利用 FLOPs 预测器根据动态关键帧和 ROI 预测乘法累加运算 (MAC)。 ROI 调度程序通过多个 DNN 模型协调关键帧和 ROI 的处理。最后，我们设计了一个用于非关键帧感知的检测预测器。我们在基于 ROS 的 AV 管道中实现了 PP-DNN，并使用 BDD100K 和 nuScenes 数据集对其进行了评估。据观察，PP-DNN 显着增强了感知可预测性，将融合帧数量增加了 7.3 倍，将融合延迟减少了 &gt;2.6 倍，将融合延迟变化减少了 &gt;2.3 倍，将检测完整性提高了 75.4%，成本效益比基线提高了 98%。</w:t>
      </w:r>
    </w:p>
    <w:p>
      <w:pPr>
        <w:spacing w:before="120"/>
      </w:pPr>
      <w:r>
        <w:rPr>
          <w:rFonts w:ascii="Times New Roman" w:hAnsi="Times New Roman" w:eastAsia="宋体"/>
          <w:b/>
          <w:sz w:val="21"/>
        </w:rPr>
        <w:t>English Abstract:</w:t>
      </w:r>
    </w:p>
    <w:p>
      <w:r>
        <w:rPr>
          <w:rFonts w:ascii="Times New Roman" w:hAnsi="Times New Roman" w:eastAsia="宋体"/>
          <w:sz w:val="21"/>
        </w:rPr>
        <w:t>Autonomous vehicles (AVs) rely on sensors and deep neural networks (DNNs) to perceive their surrounding environment and make maneuver decisions in real time. However, achieving real-time DNN inference in the AV's perception pipeline is challenging due to the large gap between the computation requirement and the AV's limited resources. Most, if not all, of existing studies focus on optimizing the DNN inference time to achieve faster perception by compressing the DNN model with pruning and quantization. In contrast, we present a Predictable Perception system with DNNs (PP-DNN) that reduce the amount of image data to be processed while maintaining the same level of accuracy for multi-tenant DNNs by dynamically selecting critical frames and regions of interest (ROIs). PP-DNN is based on our key insight that critical frames and ROIs for AVs vary with the AV's surrounding environment. However, it is challenging to identify and use critical frames and ROIs in multi-tenant DNNs for predictable inference. Given image-frame streams, PP-DNN leverages an ROI generator to identify critical frames and ROIs based on the similarities of consecutive frames and traffic scenarios. PP-DNN then leverages a FLOPs predictor to predict multiply-accumulate operations (MACs) from the dynamic critical frames and ROIs. The ROI scheduler coordinates the processing of critical frames and ROIs with multiple DNN models. Finally, we design a detection predictor for the perception of non-critical frames. We have implemented PP-DNN in an ROS-based AV pipeline and evaluated it with the BDD100K and the nuScenes dataset. PP-DNN is observed to significantly enhance perception predictability, increasing the number of fusion frames by up to 7.3x, reducing the fusion delay by &gt;2.6x and fusion-delay variations by &gt;2.3x, improving detection completeness by 75.4% and the cost-effectiveness by up to 98% over the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密集手术器械计数的链视空间推理</w:t>
      </w:r>
    </w:p>
    <w:p>
      <w:r>
        <w:rPr>
          <w:rFonts w:ascii="Times New Roman" w:hAnsi="Times New Roman" w:eastAsia="宋体"/>
          <w:b/>
          <w:color w:val="003264"/>
          <w:sz w:val="24"/>
        </w:rPr>
        <w:t>Chain-of-Look Spatial Reasoning for Dense Surgical Instrument Counting</w:t>
      </w:r>
    </w:p>
    <w:p>
      <w:r>
        <w:rPr>
          <w:rFonts w:ascii="Times New Roman" w:hAnsi="Times New Roman" w:eastAsia="宋体"/>
          <w:sz w:val="21"/>
        </w:rPr>
        <w:t>作者: Peter C W Kim</w:t>
        <w:br/>
      </w:r>
      <w:r>
        <w:rPr>
          <w:rFonts w:ascii="Times New Roman" w:hAnsi="Times New Roman" w:eastAsia="宋体"/>
          <w:sz w:val="21"/>
        </w:rPr>
        <w:t xml:space="preserve">时间: 2026-02-11T16:49:37Z | </w:t>
      </w:r>
      <w:r>
        <w:t xml:space="preserve">链接: </w:t>
      </w:r>
      <w:hyperlink r:id="rId233">
        <w:r>
          <w:rPr>
            <w:rFonts w:ascii="Times New Roman" w:hAnsi="Times New Roman" w:eastAsia="宋体"/>
            <w:color w:val="0000FF"/>
            <w:sz w:val="21"/>
            <w:u w:val="single"/>
          </w:rPr>
          <w:t>https://arxiv.org/abs/2602.11024v1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手术室 (OR) 中手术器械的准确计数是确保手术期间患者安全的关键前提。尽管大型视觉语言模型和代理人工智能最近取得了进展，但准确计数此类仪器仍然极具挑战性，特别是在仪器紧密聚集的密集场景中。为了解决这个问题，我们引入了 Chain-of-Look，一种新颖的视觉推理框架，它通过强制执行结构化视觉链来模拟连续的人类计数过程，而不是依赖于经典的无序对象检测。该视觉链引导模型沿着连贯的空间轨迹进行计数，从而提高复杂场景中的准确性。为了进一步增强视觉链的物理合理性，我们引入了邻近损失函数，它明确地模拟了密集手术器械固有的空间约束。我们还推出了 SurgCount-HD，这是一个包含 1,464 张高密度手术器械图像的新数据集。大量实验表明，在密集手术器械计数这一具有挑战性的任务中，我们的方法优于最先进的计数方法（例如 CountGD、REC）以及多模态大型语言模型（例如 Qwen、ChatGPT）。</w:t>
      </w:r>
    </w:p>
    <w:p>
      <w:pPr>
        <w:spacing w:before="120"/>
      </w:pPr>
      <w:r>
        <w:rPr>
          <w:rFonts w:ascii="Times New Roman" w:hAnsi="Times New Roman" w:eastAsia="宋体"/>
          <w:b/>
          <w:sz w:val="21"/>
        </w:rPr>
        <w:t>English Abstract:</w:t>
      </w:r>
    </w:p>
    <w:p>
      <w:r>
        <w:rPr>
          <w:rFonts w:ascii="Times New Roman" w:hAnsi="Times New Roman" w:eastAsia="宋体"/>
          <w:sz w:val="21"/>
        </w:rPr>
        <w:t>Accurate counting of surgical instruments in Operating Rooms (OR) is a critical prerequisite for ensuring patient safety during surgery. Despite recent progress of large visual-language models and agentic AI, accurately counting such instruments remains highly challenging, particularly in dense scenarios where instruments are tightly clustered. To address this problem, we introduce Chain-of-Look, a novel visual reasoning framework that mimics the sequential human counting process by enforcing a structured visual chain, rather than relying on classic object detection which is unordered. This visual chain guides the model to count along a coherent spatial trajectory, improving accuracy in complex scenes. To further enforce the physical plausibility of the visual chain, we introduce the neighboring loss function, which explicitly models the spatial constraints inherent to densely packed surgical instruments. We also present SurgCount-HD, a new dataset comprising 1,464 high-density surgical instrument images. Extensive experiments demonstrate that our method outperforms state-of-the-art approaches for counting (e.g., CountGD, REC) as well as Multimodality Large Language Models (e.g., Qwen, ChatGPT) in the challenging task of dense surgical instrument counting.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与图像聊天进行内省视觉思维</w:t>
      </w:r>
    </w:p>
    <w:p>
      <w:r>
        <w:rPr>
          <w:rFonts w:ascii="Times New Roman" w:hAnsi="Times New Roman" w:eastAsia="宋体"/>
          <w:b/>
          <w:color w:val="003264"/>
          <w:sz w:val="24"/>
        </w:rPr>
        <w:t>Chatting with Images for Introspective Visual Thinking</w:t>
      </w:r>
    </w:p>
    <w:p>
      <w:r>
        <w:rPr>
          <w:rFonts w:ascii="Times New Roman" w:hAnsi="Times New Roman" w:eastAsia="宋体"/>
          <w:sz w:val="21"/>
        </w:rPr>
        <w:t>作者: Tienie Tan</w:t>
        <w:br/>
      </w:r>
      <w:r>
        <w:rPr>
          <w:rFonts w:ascii="Times New Roman" w:hAnsi="Times New Roman" w:eastAsia="宋体"/>
          <w:sz w:val="21"/>
        </w:rPr>
        <w:t xml:space="preserve">时间: 2026-02-11T17:42:37Z | </w:t>
      </w:r>
      <w:r>
        <w:t xml:space="preserve">链接: </w:t>
      </w:r>
      <w:hyperlink r:id="rId234">
        <w:r>
          <w:rPr>
            <w:rFonts w:ascii="Times New Roman" w:hAnsi="Times New Roman" w:eastAsia="宋体"/>
            <w:color w:val="0000FF"/>
            <w:sz w:val="21"/>
            <w:u w:val="single"/>
          </w:rPr>
          <w:t>https://arxiv.org/abs/2602.11073v1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大型视觉语言模型（LVLM）通常依赖于基于单通道视觉编码的纯文本推理，这通常会导致细粒度视觉信息的丢失。最近“用图像思考”的提议试图通过外部工具或代码操作图像来缓解这一限制；然而，由此产生的视觉状态通常没有充分基于语言语义，从而损害了有效的跨模态对齐——特别是当视觉语义或几何关系必须跨越遥远的区域或多个图像进行推理时。为了应对这些挑战，我们提出了“与图像聊天”，这是一种将视觉操作重新构建为语言引导的特征调制的新框架。在表达语言提示的指导下，该模型动态地对多个图像区域执行联合重新编码，从而实现语言推理和视觉状态更新之间更紧密的耦合。我们在 ViLaVT 中实例化了这种范式，ViLaVT 是一种新型 LVLM，配备了专门为此类交互式视觉推理而设计的动态视觉编码器，并通过结合监督微调和强化学习的两阶段课程对其进行训练，以促进有效的推理行为。跨越八个基准的大量实验表明，ViLaVT 实现了强大且一致的改进，尤其是在复杂的多图像和基于视频的空间推理任务上取得了显着的进步。</w:t>
      </w:r>
    </w:p>
    <w:p>
      <w:pPr>
        <w:spacing w:before="120"/>
      </w:pPr>
      <w:r>
        <w:rPr>
          <w:rFonts w:ascii="Times New Roman" w:hAnsi="Times New Roman" w:eastAsia="宋体"/>
          <w:b/>
          <w:sz w:val="21"/>
        </w:rPr>
        <w:t>English Abstract:</w:t>
      </w:r>
    </w:p>
    <w:p>
      <w:r>
        <w:rPr>
          <w:rFonts w:ascii="Times New Roman" w:hAnsi="Times New Roman" w:eastAsia="宋体"/>
          <w:sz w:val="21"/>
        </w:rPr>
        <w:t>Current large vision-language models (LVLMs) typically rely on text-only reasoning based on a single-pass visual encoding, which often leads to loss of fine-grained visual information. Recently the proposal of ''thinking with images'' attempts to alleviate this limitation by manipulating images via external tools or code; however, the resulting visual states are often insufficiently grounded in linguistic semantics, impairing effective cross-modal alignment - particularly when visual semantics or geometric relationships must be reasoned over across distant regions or multiple images. To address these challenges, we propose ''chatting with images'', a new framework that reframes visual manipulation as language-guided feature modulation. Under the guidance of expressive language prompts, the model dynamically performs joint re-encoding over multiple image regions, enabling tighter coupling between linguistic reasoning and visual state updates. We instantiate this paradigm in ViLaVT, a novel LVLM equipped with a dynamic vision encoder explicitly designed for such interactive visual reasoning, and trained it with a two-stage curriculum combining supervised fine-tuning and reinforcement learning to promote effective reasoning behaviors. Extensive experiments across eight benchmarks demonstrate that ViLaVT achieves strong and consistent improvements, with particularly pronounced gains on complex multi-image and video-based spatial reasoning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FastFlow：通过强盗推理加速生成流匹配模型</w:t>
      </w:r>
    </w:p>
    <w:p>
      <w:r>
        <w:rPr>
          <w:rFonts w:ascii="Times New Roman" w:hAnsi="Times New Roman" w:eastAsia="宋体"/>
          <w:b/>
          <w:color w:val="003264"/>
          <w:sz w:val="24"/>
        </w:rPr>
        <w:t>FastFlow: Accelerating The Generative Flow Matching Models with Bandit Inference</w:t>
      </w:r>
    </w:p>
    <w:p>
      <w:r>
        <w:rPr>
          <w:rFonts w:ascii="Times New Roman" w:hAnsi="Times New Roman" w:eastAsia="宋体"/>
          <w:sz w:val="21"/>
        </w:rPr>
        <w:t>作者: Manjesh Kumar Hanawal</w:t>
        <w:br/>
      </w:r>
      <w:r>
        <w:rPr>
          <w:rFonts w:ascii="Times New Roman" w:hAnsi="Times New Roman" w:eastAsia="宋体"/>
          <w:sz w:val="21"/>
        </w:rPr>
        <w:t xml:space="preserve">时间: 2026-02-11T18:21:11Z | </w:t>
      </w:r>
      <w:r>
        <w:t xml:space="preserve">链接: </w:t>
      </w:r>
      <w:hyperlink r:id="rId235">
        <w:r>
          <w:rPr>
            <w:rFonts w:ascii="Times New Roman" w:hAnsi="Times New Roman" w:eastAsia="宋体"/>
            <w:color w:val="0000FF"/>
            <w:sz w:val="21"/>
            <w:u w:val="single"/>
          </w:rPr>
          <w:t>https://arxiv.org/abs/2602.11105v1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在图像和视频生成中提供最先进的保真度，但固有的顺序去噪过程使它们速度变慢。现有的加速方法（例如蒸馏、轨迹截断和一致性方法）是静态的，需要重新训练，并且通常无法跨任务泛化。我们提出了 FastFlow，一种即插即用的自适应推理框架，可加速流匹配模型的生成。 FastFlow 识别仅对去噪路径产生微小调整的去噪步骤，并在不使用用于速度预测的完整神经网络模型的情况下对其进行近似。该近似利用先前预测的有限差分速度估计来有效地推断未来状态，从而以零计算成本沿着去噪路径实现更快的进展。这使得能够跳过中间步骤的计算。我们将在需要完整模型计算之前安全跳过多少步骤的决策建模为多臂老虎机问题。老虎机学习最佳跳跃以平衡速度与性能。 FastFlow 与现有管道无缝集成，并可泛化图像生成、视频生成和编辑任务。实验表明，在保持高质量输出的同时，速度提高了 2.6 倍以上。这项工作的源代码可以在 https://github.com/Div290/FastFlow 找到。</w:t>
      </w:r>
    </w:p>
    <w:p>
      <w:pPr>
        <w:spacing w:before="120"/>
      </w:pPr>
      <w:r>
        <w:rPr>
          <w:rFonts w:ascii="Times New Roman" w:hAnsi="Times New Roman" w:eastAsia="宋体"/>
          <w:b/>
          <w:sz w:val="21"/>
        </w:rPr>
        <w:t>English Abstract:</w:t>
      </w:r>
    </w:p>
    <w:p>
      <w:r>
        <w:rPr>
          <w:rFonts w:ascii="Times New Roman" w:hAnsi="Times New Roman" w:eastAsia="宋体"/>
          <w:sz w:val="21"/>
        </w:rPr>
        <w:t>Flow-matching models deliver state-of-the-art fidelity in image and video generation, but the inherent sequential denoising process renders them slower. Existing acceleration methods like distillation, trajectory truncation, and consistency approaches are static, require retraining, and often fail to generalize across tasks. We propose FastFlow, a plug-and-play adaptive inference framework that accelerates generation in flow matching models. FastFlow identifies denoising steps that produce only minor adjustments to the denoising path and approximates them without using the full neural network models used for velocity predictions. The approximation utilizes finite-difference velocity estimates from prior predictions to efficiently extrapolate future states, enabling faster advancements along the denoising path at zero compute cost. This enables skipping computation at intermediary steps. We model the decision of how many steps to safely skip before requiring a full model computation as a multi-armed bandit problem. The bandit learns the optimal skips to balance speed with performance. FastFlow integrates seamlessly with existing pipelines and generalizes across image generation, video generation, and editing tasks. Experiments demonstrate a speedup of over 2.6x while maintaining high-quality outputs. The source code for this work can be found at https://github.com/Div290/FastFlow.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HairWeaver：通过模拟到真实引导视频扩散进行少镜头真实感头发运动合成</w:t>
      </w:r>
    </w:p>
    <w:p>
      <w:r>
        <w:rPr>
          <w:rFonts w:ascii="Times New Roman" w:hAnsi="Times New Roman" w:eastAsia="宋体"/>
          <w:b/>
          <w:color w:val="003264"/>
          <w:sz w:val="24"/>
        </w:rPr>
        <w:t>HairWeaver: Few-Shot Photorealistic Hair Motion Synthesis with Sim-to-Real Guided Video Diffusion</w:t>
      </w:r>
    </w:p>
    <w:p>
      <w:r>
        <w:rPr>
          <w:rFonts w:ascii="Times New Roman" w:hAnsi="Times New Roman" w:eastAsia="宋体"/>
          <w:sz w:val="21"/>
        </w:rPr>
        <w:t>作者: Stephane Grabli</w:t>
        <w:br/>
      </w:r>
      <w:r>
        <w:rPr>
          <w:rFonts w:ascii="Times New Roman" w:hAnsi="Times New Roman" w:eastAsia="宋体"/>
          <w:sz w:val="21"/>
        </w:rPr>
        <w:t xml:space="preserve">时间: 2026-02-11T18:31:47Z | </w:t>
      </w:r>
      <w:r>
        <w:t xml:space="preserve">链接: </w:t>
      </w:r>
      <w:hyperlink r:id="rId236">
        <w:r>
          <w:rPr>
            <w:rFonts w:ascii="Times New Roman" w:hAnsi="Times New Roman" w:eastAsia="宋体"/>
            <w:color w:val="0000FF"/>
            <w:sz w:val="21"/>
            <w:u w:val="single"/>
          </w:rPr>
          <w:t>https://arxiv.org/abs/2602.11117v1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HairWeaver，这是一种基于扩散的管道，可以通过逼真且富有表现力的头发动态来对单个人类图像进行动画处理。虽然现有方法成功地控制了身体姿势，但它们缺乏对头发的具体控制，因此无法捕捉复杂的头发运动，导致动画僵硬且不切实际。 HairWeaver 使用两个专用模块克服了这一限制：一个用于集成运动条件的 Motion-Context-LoRA，另一个是 Sim2Real-Domain-LoRA，用于在不同数据域中保留主体的真实外观。这些轻量级组件旨在指导视频传播主干，同时保持其核心生成功能。通过对 CG 模拟器生成的动态人体运动的专门数据集进行训练，HairWeaver 可以对头发运动进行精细控制，并最终学会生成对运动做出自然响应的高度逼真的头发。综合评估表明，我们的方法树立了新的技术水平，可以制作具有动态细节的逼真的人发动画。</w:t>
      </w:r>
    </w:p>
    <w:p>
      <w:pPr>
        <w:spacing w:before="120"/>
      </w:pPr>
      <w:r>
        <w:rPr>
          <w:rFonts w:ascii="Times New Roman" w:hAnsi="Times New Roman" w:eastAsia="宋体"/>
          <w:b/>
          <w:sz w:val="21"/>
        </w:rPr>
        <w:t>English Abstract:</w:t>
      </w:r>
    </w:p>
    <w:p>
      <w:r>
        <w:rPr>
          <w:rFonts w:ascii="Times New Roman" w:hAnsi="Times New Roman" w:eastAsia="宋体"/>
          <w:sz w:val="21"/>
        </w:rPr>
        <w:t>We present HairWeaver, a diffusion-based pipeline that animates a single human image with realistic and expressive hair dynamics. While existing methods successfully control body pose, they lack specific control over hair, and as a result, fail to capture the intricate hair motions, resulting in stiff and unrealistic animations. HairWeaver overcomes this limitation using two specialized modules: a Motion-Context-LoRA to integrate motion conditions and a Sim2Real-Domain-LoRA to preserve the subject's photoreal appearance across different data domains. These lightweight components are designed to guide a video diffusion backbone while maintaining its core generative capabilities. By training on a specialized dataset of dynamic human motion generated from a CG simulator, HairWeaver affords fine control over hair motion and ultimately learns to produce highly realistic hair that responds naturally to movement. Comprehensive evaluations demonstrate that our approach sets a new state of the art, producing lifelike human hair animations with dynamic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PhyCritic：物理 AI 的多模态批评模型</w:t>
      </w:r>
    </w:p>
    <w:p>
      <w:r>
        <w:rPr>
          <w:rFonts w:ascii="Times New Roman" w:hAnsi="Times New Roman" w:eastAsia="宋体"/>
          <w:b/>
          <w:color w:val="003264"/>
          <w:sz w:val="24"/>
        </w:rPr>
        <w:t>PhyCritic: Multimodal Critic Models for Physical AI</w:t>
      </w:r>
    </w:p>
    <w:p>
      <w:r>
        <w:rPr>
          <w:rFonts w:ascii="Times New Roman" w:hAnsi="Times New Roman" w:eastAsia="宋体"/>
          <w:sz w:val="21"/>
        </w:rPr>
        <w:t>作者: Zhiding Yu</w:t>
        <w:br/>
      </w:r>
      <w:r>
        <w:rPr>
          <w:rFonts w:ascii="Times New Roman" w:hAnsi="Times New Roman" w:eastAsia="宋体"/>
          <w:sz w:val="21"/>
        </w:rPr>
        <w:t xml:space="preserve">时间: 2026-02-11T18:35:39Z | </w:t>
      </w:r>
      <w:r>
        <w:t xml:space="preserve">链接: </w:t>
      </w:r>
      <w:hyperlink r:id="rId237">
        <w:r>
          <w:rPr>
            <w:rFonts w:ascii="Times New Roman" w:hAnsi="Times New Roman" w:eastAsia="宋体"/>
            <w:color w:val="0000FF"/>
            <w:sz w:val="21"/>
            <w:u w:val="single"/>
          </w:rPr>
          <w:t>https://arxiv.org/abs/2602.11124v1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型多模态模型的快速发展，可靠的法官和批评家模型对于开放式评估和偏好调整至关重要，为评估模型生成的响应提供成对偏好、数字分数和解释性理由。然而，现有的批评者主要接受一般视觉领域的培训，例如字幕或图像问答，而涉及感知、因果推理和规划的物理人工智能任务在很大程度上尚未得到充分探索。我们引入了 PhyCritic，这是一种通过两阶段 RLVR 管道针对物理 AI 进行优化的多模态评论家模型：物理技能预热阶段，增强面向物理的感知和推理，然后是自我参照评论家微调，其中评论家在判断候选响应之前生成自己的预测作为内部参考，从而提高判断稳定性和物理正确性。在物理和通用多模态判断基准中，PhyCritic 比开源基准实现了强劲的性能提升，并且当用作策略模型时，进一步改善了物理基础任务中的感知和推理。</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large multimodal models, reliable judge and critic models have become essential for open-ended evaluation and preference alignment, providing pairwise preferences, numerical scores, and explanatory justifications for assessing model-generated responses. However, existing critics are primarily trained in general visual domains such as captioning or image question answering, leaving physical AI tasks involving perception, causal reasoning, and planning largely underexplored. We introduce PhyCritic, a multimodal critic model optimized for physical AI through a two-stage RLVR pipeline: a physical skill warmup stage that enhances physically oriented perception and reasoning, followed by self-referential critic finetuning, where the critic generates its own prediction as an internal reference before judging candidate responses, improving judgment stability and physical correctness. Across both physical and general-purpose multimodal judge benchmarks, PhyCritic achieves strong performance gains over open-source baselines and, when applied as a policy model, further improves perception and reasoning in physically grounded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超越基于 VLM 的奖励：扩散原生潜在奖励模型</w:t>
      </w:r>
    </w:p>
    <w:p>
      <w:r>
        <w:rPr>
          <w:rFonts w:ascii="Times New Roman" w:hAnsi="Times New Roman" w:eastAsia="宋体"/>
          <w:b/>
          <w:color w:val="003264"/>
          <w:sz w:val="24"/>
        </w:rPr>
        <w:t>Beyond VLM-Based Rewards: Diffusion-Native Latent Reward Modeling</w:t>
      </w:r>
    </w:p>
    <w:p>
      <w:r>
        <w:rPr>
          <w:rFonts w:ascii="Times New Roman" w:hAnsi="Times New Roman" w:eastAsia="宋体"/>
          <w:sz w:val="21"/>
        </w:rPr>
        <w:t>作者: Wenhan Luo</w:t>
        <w:br/>
      </w:r>
      <w:r>
        <w:rPr>
          <w:rFonts w:ascii="Times New Roman" w:hAnsi="Times New Roman" w:eastAsia="宋体"/>
          <w:sz w:val="21"/>
        </w:rPr>
        <w:t xml:space="preserve">时间: 2026-02-11T18:57:29Z | </w:t>
      </w:r>
      <w:r>
        <w:t xml:space="preserve">链接: </w:t>
      </w:r>
      <w:hyperlink r:id="rId238">
        <w:r>
          <w:rPr>
            <w:rFonts w:ascii="Times New Roman" w:hAnsi="Times New Roman" w:eastAsia="宋体"/>
            <w:color w:val="0000FF"/>
            <w:sz w:val="21"/>
            <w:u w:val="single"/>
          </w:rPr>
          <w:t>https://arxiv.org/abs/2602.11146v1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扩散和流量匹配模型的偏好优化依赖于具有区分鲁棒性和计算效率的奖励函数。视觉语言模型 (VLM) 已成为主要的奖励提供者，利用其丰富的多模式先验来指导一致性。然而，它们的计算和内存成本可能很大，并且通过像素空间奖励优化潜在扩散生成器会引入域不匹配，从而使对齐变得复杂。在本文中，我们提出了 DiNa-LRM，一种扩散原生潜在奖励模型，直接在噪声扩散状态上制定偏好学习。我们的方法引入了具有扩散噪声相关不确定性的噪声校准瑟斯通似然。 DiNa-LRM 利用带有时间步条件奖励头的预训练潜在扩散主干，并支持推理时间噪声集成，为测试时间扩展和鲁棒奖励提供了扩散原生机制。在图像对齐基准中，DiNa-LRM 的性能大大优于现有的基于扩散的奖励基线，并且以极低的计算成本实现了与最先进的 VLM 相媲美的性能。在偏好优化中，我们证明 DiNa-LRM 改善了偏好优化动态，从而实现更快、更节省资源的模型对齐。</w:t>
      </w:r>
    </w:p>
    <w:p>
      <w:pPr>
        <w:spacing w:before="120"/>
      </w:pPr>
      <w:r>
        <w:rPr>
          <w:rFonts w:ascii="Times New Roman" w:hAnsi="Times New Roman" w:eastAsia="宋体"/>
          <w:b/>
          <w:sz w:val="21"/>
        </w:rPr>
        <w:t>English Abstract:</w:t>
      </w:r>
    </w:p>
    <w:p>
      <w:r>
        <w:rPr>
          <w:rFonts w:ascii="Times New Roman" w:hAnsi="Times New Roman" w:eastAsia="宋体"/>
          <w:sz w:val="21"/>
        </w:rPr>
        <w:t>Preference optimization for diffusion and flow-matching models relies on reward functions that are both discriminatively robust and computationally efficient. Vision-Language Models (VLMs) have emerged as the primary reward provider, leveraging their rich multimodal priors to guide alignment. However, their computation and memory cost can be substantial, and optimizing a latent diffusion generator through a pixel-space reward introduces a domain mismatch that complicates alignment. In this paper, we propose DiNa-LRM, a diffusion-native latent reward model that formulates preference learning directly on noisy diffusion states. Our method introduces a noise-calibrated Thurstone likelihood with diffusion-noise-dependent uncertainty. DiNa-LRM leverages a pretrained latent diffusion backbone with a timestep-conditioned reward head, and supports inference-time noise ensembling, providing a diffusion-native mechanism for test-time scaling and robust rewarding. Across image alignment benchmarks, DiNa-LRM substantially outperforms existing diffusion-based reward baselines and achieves performance competitive with state-of-the-art VLMs at a fraction of the computational cost. In preference optimization, we demonstrate that DiNa-LRM improves preference optimization dynamics, enabling faster and more resource-efficient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SurfPhase：稀疏视频中两相流的 3D 界面动力学</w:t>
      </w:r>
    </w:p>
    <w:p>
      <w:r>
        <w:rPr>
          <w:rFonts w:ascii="Times New Roman" w:hAnsi="Times New Roman" w:eastAsia="宋体"/>
          <w:b/>
          <w:color w:val="003264"/>
          <w:sz w:val="24"/>
        </w:rPr>
        <w:t>SurfPhase: 3D Interfacial Dynamics in Two-Phase Flows from Sparse Videos</w:t>
      </w:r>
    </w:p>
    <w:p>
      <w:r>
        <w:rPr>
          <w:rFonts w:ascii="Times New Roman" w:hAnsi="Times New Roman" w:eastAsia="宋体"/>
          <w:sz w:val="21"/>
        </w:rPr>
        <w:t>作者: Jiajun Wu</w:t>
        <w:br/>
      </w:r>
      <w:r>
        <w:rPr>
          <w:rFonts w:ascii="Times New Roman" w:hAnsi="Times New Roman" w:eastAsia="宋体"/>
          <w:sz w:val="21"/>
        </w:rPr>
        <w:t xml:space="preserve">时间: 2026-02-11T18:59:55Z | </w:t>
      </w:r>
      <w:r>
        <w:t xml:space="preserve">链接: </w:t>
      </w:r>
      <w:hyperlink r:id="rId239">
        <w:r>
          <w:rPr>
            <w:rFonts w:ascii="Times New Roman" w:hAnsi="Times New Roman" w:eastAsia="宋体"/>
            <w:color w:val="0000FF"/>
            <w:sz w:val="21"/>
            <w:u w:val="single"/>
          </w:rPr>
          <w:t>https://arxiv.org/abs/2602.11154v1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相流中的界面动力学控制动量、热量和质量传递，但仍然难以通过实验测量。经典技术在移动界面附近面临固有的局限性，而现有的神经渲染方法针对具有扩散边界的单相流，无法处理尖锐、可变形的液-气界面。我们提出了 SurfPhase，一种从稀疏相机视图重建 3D 界面动力学的新颖模型。我们的方法将动态高斯面元与带符号距离函数公式相结合以实现几何一致性，并利用视频扩散模型来合成新颖的视图视频，以改进稀疏观测的重建。我们对高速池沸腾视频的新数据集进行了评估，仅通过两个摄像机视图演示了高质量的视图合成和速度估计。项目网站：https://yuegao.me/SurfPhase。</w:t>
      </w:r>
    </w:p>
    <w:p>
      <w:pPr>
        <w:spacing w:before="120"/>
      </w:pPr>
      <w:r>
        <w:rPr>
          <w:rFonts w:ascii="Times New Roman" w:hAnsi="Times New Roman" w:eastAsia="宋体"/>
          <w:b/>
          <w:sz w:val="21"/>
        </w:rPr>
        <w:t>English Abstract:</w:t>
      </w:r>
    </w:p>
    <w:p>
      <w:r>
        <w:rPr>
          <w:rFonts w:ascii="Times New Roman" w:hAnsi="Times New Roman" w:eastAsia="宋体"/>
          <w:sz w:val="21"/>
        </w:rPr>
        <w:t>Interfacial dynamics in two-phase flows govern momentum, heat, and mass transfer, yet remain difficult to measure experimentally. Classical techniques face intrinsic limitations near moving interfaces, while existing neural rendering methods target single-phase flows with diffuse boundaries and cannot handle sharp, deformable liquid-vapor interfaces. We propose SurfPhase, a novel model for reconstructing 3D interfacial dynamics from sparse camera views. Our approach integrates dynamic Gaussian surfels with a signed distance function formulation for geometric consistency, and leverages a video diffusion model to synthesize novel-view videos to refine reconstruction from sparse observations. We evaluate on a new dataset of high-speed pool boiling videos, demonstrating high-quality view synthesis and velocity estimation from only two camera views. Project website: https://yuegao.me/SurfPhase.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表征和优化多分辨率哈希编码的空间内核</w:t>
      </w:r>
    </w:p>
    <w:p>
      <w:r>
        <w:rPr>
          <w:rFonts w:ascii="Times New Roman" w:hAnsi="Times New Roman" w:eastAsia="宋体"/>
          <w:b/>
          <w:color w:val="003264"/>
          <w:sz w:val="24"/>
        </w:rPr>
        <w:t>Characterizing and Optimizing the Spatial Kernel of Multi Resolution Hash Encodings</w:t>
      </w:r>
    </w:p>
    <w:p>
      <w:r>
        <w:rPr>
          <w:rFonts w:ascii="Times New Roman" w:hAnsi="Times New Roman" w:eastAsia="宋体"/>
          <w:sz w:val="21"/>
        </w:rPr>
        <w:t>作者: Jonathan Fan</w:t>
        <w:br/>
      </w:r>
      <w:r>
        <w:rPr>
          <w:rFonts w:ascii="Times New Roman" w:hAnsi="Times New Roman" w:eastAsia="宋体"/>
          <w:sz w:val="21"/>
        </w:rPr>
        <w:t xml:space="preserve">时间: 2026-02-11T03:55:42Z | </w:t>
      </w:r>
      <w:r>
        <w:t xml:space="preserve">链接: </w:t>
      </w:r>
      <w:hyperlink r:id="rId240">
        <w:r>
          <w:rPr>
            <w:rFonts w:ascii="Times New Roman" w:hAnsi="Times New Roman" w:eastAsia="宋体"/>
            <w:color w:val="0000FF"/>
            <w:sz w:val="21"/>
            <w:u w:val="single"/>
          </w:rPr>
          <w:t>https://arxiv.org/abs/2602.10495v1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多分辨率哈希编码 (MHE) 是即时神经图形基元背后的基础技术，为神经领域提供了强大的参数化。然而，它的空间行为缺乏从物理系统角度的严格理解，导致超参数选择依赖于启发式方法。这项工作引入了一种新颖的分析方法，通过检查其点扩散函数 (PSF) 来表征 MHE，该函数类似于系统的格林函数。该方法可以量化编码的空间分辨率和保真度。我们推导了无碰撞 PSF 的封闭形式近似，揭示了固有的网格引起的各向异性和对数空间轮廓。我们确定理想化的空间带宽，特别是半高全宽 (FWHM)，是由平均分辨率 $N_{\text{avg}}$ 决定的。这导致了一个违反直觉的发现：模型的有效分辨率受拓宽的经验半峰宽（因此 $N_{\text{avg}}$）控制，而不是最精细的分辨率 $N_{\max}$，我们证明的拓宽效应源于优化动态。此外，我们分析了有限散列容量的影响，展示了碰撞如何引入散斑噪声并降低信噪比（SNR）。利用这些理论见解，我们提出了旋转 MHE (R-MHE)，这是一种在每个分辨率级别对输入坐标应用不同旋转的架构。 R-MHE 减轻了各向异性，同时保持了原始 MHE 的效率和参数计数。本研究建立了一种基于物理原理的方法，超越启发式来表征和优化 MHE。</w:t>
      </w:r>
    </w:p>
    <w:p>
      <w:pPr>
        <w:spacing w:before="120"/>
      </w:pPr>
      <w:r>
        <w:rPr>
          <w:rFonts w:ascii="Times New Roman" w:hAnsi="Times New Roman" w:eastAsia="宋体"/>
          <w:b/>
          <w:sz w:val="21"/>
        </w:rPr>
        <w:t>English Abstract:</w:t>
      </w:r>
    </w:p>
    <w:p>
      <w:r>
        <w:rPr>
          <w:rFonts w:ascii="Times New Roman" w:hAnsi="Times New Roman" w:eastAsia="宋体"/>
          <w:sz w:val="21"/>
        </w:rPr>
        <w:t>Multi-Resolution Hash Encoding (MHE), the foundational technique behind Instant Neural Graphics Primitives, provides a powerful parameterization for neural fields. However, its spatial behavior lacks rigorous understanding from a physical systems perspective, leading to reliance on heuristics for hyperparameter selection. This work introduces a novel analytical approach that characterizes MHE by examining its Point Spread Function (PSF), which is analogous to the Green's function of the system. This methodology enables a quantification of the encoding's spatial resolution and fidelity. We derive a closed-form approximation for the collision-free PSF, uncovering inherent grid-induced anisotropy and a logarithmic spatial profile. We establish that the idealized spatial bandwidth, specifically the Full Width at Half Maximum (FWHM), is determined by the average resolution, $N_{\text{avg}}$. This leads to a counterintuitive finding: the effective resolution of the model is governed by the broadened empirical FWHM (and therefore $N_{\text{avg}}$), rather than the finest resolution $N_{\max}$, a broadening effect we demonstrate arises from optimization dynamics. Furthermore, we analyze the impact of finite hash capacity, demonstrating how collisions introduce speckle noise and degrade the Signal-to-Noise Ratio (SNR). Leveraging these theoretical insights, we propose Rotated MHE (R-MHE), an architecture that applies distinct rotations to the input coordinates at each resolution level. R-MHE mitigates anisotropy while maintaining the efficiency and parameter count of the original MHE. This study establishes a methodology based on physical principles that moves beyond heuristics to characterize and optimize MHE.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 Id="rId75" Type="http://schemas.openxmlformats.org/officeDocument/2006/relationships/hyperlink" Target="https://doi.org/10.1038/s41586-025-10068-0" TargetMode="External"/><Relationship Id="rId76" Type="http://schemas.openxmlformats.org/officeDocument/2006/relationships/hyperlink" Target="https://doi.org/10.1038/s41586-025-10050-w" TargetMode="External"/><Relationship Id="rId77" Type="http://schemas.openxmlformats.org/officeDocument/2006/relationships/hyperlink" Target="https://doi.org/10.1038/s41586-026-10133-2" TargetMode="External"/><Relationship Id="rId78" Type="http://schemas.openxmlformats.org/officeDocument/2006/relationships/hyperlink" Target="https://doi.org/10.1038/s41586-026-10114-5" TargetMode="External"/><Relationship Id="rId79" Type="http://schemas.openxmlformats.org/officeDocument/2006/relationships/hyperlink" Target="https://doi.org/10.1038/s41586-026-10122-5" TargetMode="External"/><Relationship Id="rId80" Type="http://schemas.openxmlformats.org/officeDocument/2006/relationships/hyperlink" Target="https://doi.org/10.1038/s41586-026-10134-1" TargetMode="External"/><Relationship Id="rId81" Type="http://schemas.openxmlformats.org/officeDocument/2006/relationships/hyperlink" Target="https://doi.org/10.1038/s41586-026-10107-4" TargetMode="External"/><Relationship Id="rId82" Type="http://schemas.openxmlformats.org/officeDocument/2006/relationships/hyperlink" Target="https://doi.org/10.1038/s41586-026-10124-3" TargetMode="External"/><Relationship Id="rId83" Type="http://schemas.openxmlformats.org/officeDocument/2006/relationships/hyperlink" Target="https://doi.org/10.1038/s41586-026-10129-y" TargetMode="External"/><Relationship Id="rId84" Type="http://schemas.openxmlformats.org/officeDocument/2006/relationships/hyperlink" Target="https://doi.org/10.1038/s41467-026-68530-0" TargetMode="External"/><Relationship Id="rId85" Type="http://schemas.openxmlformats.org/officeDocument/2006/relationships/hyperlink" Target="https://doi.org/10.1038/s41467-026-68610-1" TargetMode="External"/><Relationship Id="rId86" Type="http://schemas.openxmlformats.org/officeDocument/2006/relationships/hyperlink" Target="https://doi.org/10.1126/sciadv.adz3199" TargetMode="External"/><Relationship Id="rId87" Type="http://schemas.openxmlformats.org/officeDocument/2006/relationships/hyperlink" Target="https://doi.org/10.1126/sciadv.ads7509" TargetMode="External"/><Relationship Id="rId88" Type="http://schemas.openxmlformats.org/officeDocument/2006/relationships/hyperlink" Target="https://doi.org/10.1126/sciadv.ady9874" TargetMode="External"/><Relationship Id="rId89" Type="http://schemas.openxmlformats.org/officeDocument/2006/relationships/hyperlink" Target="https://doi.org/10.1126/sciadv.aeb4171" TargetMode="External"/><Relationship Id="rId90" Type="http://schemas.openxmlformats.org/officeDocument/2006/relationships/hyperlink" Target="https://doi.org/10.1126/sciadv.aec5937" TargetMode="External"/><Relationship Id="rId91" Type="http://schemas.openxmlformats.org/officeDocument/2006/relationships/hyperlink" Target="https://doi.org/10.1126/sciadv.adz5645" TargetMode="External"/><Relationship Id="rId92" Type="http://schemas.openxmlformats.org/officeDocument/2006/relationships/hyperlink" Target="https://doi.org/10.1126/sciadv.aea4144" TargetMode="External"/><Relationship Id="rId93" Type="http://schemas.openxmlformats.org/officeDocument/2006/relationships/hyperlink" Target="https://doi.org/10.1126/sciadv.aeb2410" TargetMode="External"/><Relationship Id="rId94" Type="http://schemas.openxmlformats.org/officeDocument/2006/relationships/hyperlink" Target="https://doi.org/10.1126/sciadv.aeb2417" TargetMode="External"/><Relationship Id="rId95" Type="http://schemas.openxmlformats.org/officeDocument/2006/relationships/hyperlink" Target="https://doi.org/10.1126/sciadv.adx2596" TargetMode="External"/><Relationship Id="rId96" Type="http://schemas.openxmlformats.org/officeDocument/2006/relationships/hyperlink" Target="https://doi.org/10.1126/sciadv.aeb4237" TargetMode="External"/><Relationship Id="rId97" Type="http://schemas.openxmlformats.org/officeDocument/2006/relationships/hyperlink" Target="https://doi.org/10.1126/sciadv.aea1184" TargetMode="External"/><Relationship Id="rId98" Type="http://schemas.openxmlformats.org/officeDocument/2006/relationships/hyperlink" Target="https://doi.org/10.1126/sciadv.aec5225" TargetMode="External"/><Relationship Id="rId99" Type="http://schemas.openxmlformats.org/officeDocument/2006/relationships/hyperlink" Target="https://doi.org/10.1126/sciadv.aec6957" TargetMode="External"/><Relationship Id="rId100" Type="http://schemas.openxmlformats.org/officeDocument/2006/relationships/hyperlink" Target="https://doi.org/10.1126/sciadv.adw3298" TargetMode="External"/><Relationship Id="rId101" Type="http://schemas.openxmlformats.org/officeDocument/2006/relationships/hyperlink" Target="https://doi.org/10.1038/s41598-026-38826-8" TargetMode="External"/><Relationship Id="rId102" Type="http://schemas.openxmlformats.org/officeDocument/2006/relationships/hyperlink" Target="https://doi.org/10.1038/s41598-026-39419-1" TargetMode="External"/><Relationship Id="rId103" Type="http://schemas.openxmlformats.org/officeDocument/2006/relationships/hyperlink" Target="https://doi.org/10.1038/s41598-026-36449-7" TargetMode="External"/><Relationship Id="rId104" Type="http://schemas.openxmlformats.org/officeDocument/2006/relationships/hyperlink" Target="https://doi.org/10.1038/s41598-026-36956-7" TargetMode="External"/><Relationship Id="rId105" Type="http://schemas.openxmlformats.org/officeDocument/2006/relationships/hyperlink" Target="https://doi.org/10.1038/s41598-025-04606-z" TargetMode="External"/><Relationship Id="rId106" Type="http://schemas.openxmlformats.org/officeDocument/2006/relationships/hyperlink" Target="https://doi.org/10.1038/s41598-026-39605-1" TargetMode="External"/><Relationship Id="rId107" Type="http://schemas.openxmlformats.org/officeDocument/2006/relationships/hyperlink" Target="https://doi.org/10.1038/s41598-026-38697-z" TargetMode="External"/><Relationship Id="rId108" Type="http://schemas.openxmlformats.org/officeDocument/2006/relationships/hyperlink" Target="https://doi.org/10.1038/s41598-026-37971-4" TargetMode="External"/><Relationship Id="rId109" Type="http://schemas.openxmlformats.org/officeDocument/2006/relationships/hyperlink" Target="https://doi.org/10.1038/s41598-026-39777-w" TargetMode="External"/><Relationship Id="rId110" Type="http://schemas.openxmlformats.org/officeDocument/2006/relationships/hyperlink" Target="https://doi.org/10.1038/s41598-026-39517-0" TargetMode="External"/><Relationship Id="rId111" Type="http://schemas.openxmlformats.org/officeDocument/2006/relationships/hyperlink" Target="https://doi.org/10.1038/s41598-026-37709-2" TargetMode="External"/><Relationship Id="rId112" Type="http://schemas.openxmlformats.org/officeDocument/2006/relationships/hyperlink" Target="https://doi.org/10.1038/s41598-025-33900-z" TargetMode="External"/><Relationship Id="rId113" Type="http://schemas.openxmlformats.org/officeDocument/2006/relationships/hyperlink" Target="https://doi.org/10.1038/s41598-026-38534-3" TargetMode="External"/><Relationship Id="rId114" Type="http://schemas.openxmlformats.org/officeDocument/2006/relationships/hyperlink" Target="https://doi.org/10.1038/s41598-026-39170-7" TargetMode="External"/><Relationship Id="rId115" Type="http://schemas.openxmlformats.org/officeDocument/2006/relationships/hyperlink" Target="https://doi.org/10.1038/s41598-026-38774-3" TargetMode="External"/><Relationship Id="rId116" Type="http://schemas.openxmlformats.org/officeDocument/2006/relationships/hyperlink" Target="https://doi.org/10.1038/s41598-026-39536-x" TargetMode="External"/><Relationship Id="rId117" Type="http://schemas.openxmlformats.org/officeDocument/2006/relationships/hyperlink" Target="https://doi.org/10.1038/s41598-026-39546-9" TargetMode="External"/><Relationship Id="rId118" Type="http://schemas.openxmlformats.org/officeDocument/2006/relationships/hyperlink" Target="https://doi.org/10.1038/s41598-026-39260-6" TargetMode="External"/><Relationship Id="rId119" Type="http://schemas.openxmlformats.org/officeDocument/2006/relationships/hyperlink" Target="https://doi.org/10.1038/s41592-026-03020-1" TargetMode="External"/><Relationship Id="rId120" Type="http://schemas.openxmlformats.org/officeDocument/2006/relationships/hyperlink" Target="https://doi.org/10.1038/s41592-026-03012-1" TargetMode="External"/><Relationship Id="rId121" Type="http://schemas.openxmlformats.org/officeDocument/2006/relationships/hyperlink" Target="https://doi.org/10.1038/s41566-026-01845-y" TargetMode="External"/><Relationship Id="rId122" Type="http://schemas.openxmlformats.org/officeDocument/2006/relationships/hyperlink" Target="https://doi.org/10.1016/j.displa.2026.103380" TargetMode="External"/><Relationship Id="rId123" Type="http://schemas.openxmlformats.org/officeDocument/2006/relationships/hyperlink" Target="https://doi.org/10.1016/j.optlastec.2026.114907" TargetMode="External"/><Relationship Id="rId124" Type="http://schemas.openxmlformats.org/officeDocument/2006/relationships/hyperlink" Target="https://doi.org/10.1016/j.optlastec.2026.114918" TargetMode="External"/><Relationship Id="rId125" Type="http://schemas.openxmlformats.org/officeDocument/2006/relationships/hyperlink" Target="https://doi.org/10.1016/j.optlastec.2026.114887" TargetMode="External"/><Relationship Id="rId126" Type="http://schemas.openxmlformats.org/officeDocument/2006/relationships/hyperlink" Target="https://doi.org/10.1016/j.optlastec.2026.114858" TargetMode="External"/><Relationship Id="rId127" Type="http://schemas.openxmlformats.org/officeDocument/2006/relationships/hyperlink" Target="https://doi.org/10.1016/j.optlaseng.2026.109677" TargetMode="External"/><Relationship Id="rId128" Type="http://schemas.openxmlformats.org/officeDocument/2006/relationships/hyperlink" Target="https://doi.org/10.1016/j.optcom.2026.133013" TargetMode="External"/><Relationship Id="rId129" Type="http://schemas.openxmlformats.org/officeDocument/2006/relationships/hyperlink" Target="https://doi.org/10.1364/prj.566625" TargetMode="External"/><Relationship Id="rId130" Type="http://schemas.openxmlformats.org/officeDocument/2006/relationships/hyperlink" Target="https://doi.org/10.1364/prj.574190" TargetMode="External"/><Relationship Id="rId131" Type="http://schemas.openxmlformats.org/officeDocument/2006/relationships/hyperlink" Target="https://doi.org/10.1109/tvcg.2025.3646304" TargetMode="External"/><Relationship Id="rId132" Type="http://schemas.openxmlformats.org/officeDocument/2006/relationships/hyperlink" Target="https://doi.org/10.1145/3796224" TargetMode="External"/><Relationship Id="rId133" Type="http://schemas.openxmlformats.org/officeDocument/2006/relationships/hyperlink" Target="https://doi.org/10.1021/acsphotonics.6c00085" TargetMode="External"/><Relationship Id="rId134" Type="http://schemas.openxmlformats.org/officeDocument/2006/relationships/hyperlink" Target="https://doi.org/10.1109/tci.2026.3663972" TargetMode="External"/><Relationship Id="rId135" Type="http://schemas.openxmlformats.org/officeDocument/2006/relationships/hyperlink" Target="https://doi.org/10.1109/tci.2026.3663899" TargetMode="External"/><Relationship Id="rId136" Type="http://schemas.openxmlformats.org/officeDocument/2006/relationships/hyperlink" Target="https://doi.org/10.1109/tci.2026.3663911" TargetMode="External"/><Relationship Id="rId137" Type="http://schemas.openxmlformats.org/officeDocument/2006/relationships/hyperlink" Target="https://doi.org/10.1109/tip.2026.3661813" TargetMode="External"/><Relationship Id="rId138" Type="http://schemas.openxmlformats.org/officeDocument/2006/relationships/hyperlink" Target="https://doi.org/10.1109/tip.2026.3661874" TargetMode="External"/><Relationship Id="rId139" Type="http://schemas.openxmlformats.org/officeDocument/2006/relationships/hyperlink" Target="https://doi.org/10.1109/tip.2026.3661868" TargetMode="External"/><Relationship Id="rId140" Type="http://schemas.openxmlformats.org/officeDocument/2006/relationships/hyperlink" Target="https://doi.org/10.1109/tip.2026.3661814" TargetMode="External"/><Relationship Id="rId141" Type="http://schemas.openxmlformats.org/officeDocument/2006/relationships/hyperlink" Target="https://doi.org/10.1109/tip.2026.3661851" TargetMode="External"/><Relationship Id="rId142" Type="http://schemas.openxmlformats.org/officeDocument/2006/relationships/hyperlink" Target="https://doi.org/10.1109/tpami.2026.3663759" TargetMode="External"/><Relationship Id="rId143" Type="http://schemas.openxmlformats.org/officeDocument/2006/relationships/hyperlink" Target="https://doi.org/10.1109/tpami.2026.3663788" TargetMode="External"/><Relationship Id="rId144" Type="http://schemas.openxmlformats.org/officeDocument/2006/relationships/hyperlink" Target="https://doi.org/10.1109/tpami.2026.3663608" TargetMode="External"/><Relationship Id="rId145" Type="http://schemas.openxmlformats.org/officeDocument/2006/relationships/hyperlink" Target="https://doi.org/10.1109/tpami.2026.3663545" TargetMode="External"/><Relationship Id="rId146" Type="http://schemas.openxmlformats.org/officeDocument/2006/relationships/hyperlink" Target="https://doi.org/10.1109/tpami.2026.3663547" TargetMode="External"/><Relationship Id="rId147" Type="http://schemas.openxmlformats.org/officeDocument/2006/relationships/hyperlink" Target="https://doi.org/10.1109/tpami.2026.3663633" TargetMode="External"/><Relationship Id="rId148" Type="http://schemas.openxmlformats.org/officeDocument/2006/relationships/hyperlink" Target="https://doi.org/10.1109/tpami.2026.3663744" TargetMode="External"/><Relationship Id="rId149" Type="http://schemas.openxmlformats.org/officeDocument/2006/relationships/hyperlink" Target="https://doi.org/10.1109/tpami.2026.3663672" TargetMode="External"/><Relationship Id="rId150" Type="http://schemas.openxmlformats.org/officeDocument/2006/relationships/hyperlink" Target="https://doi.org/10.1109/tpami.2026.3663966" TargetMode="External"/><Relationship Id="rId151" Type="http://schemas.openxmlformats.org/officeDocument/2006/relationships/hyperlink" Target="https://doi.org/10.1109/tpami.2026.3663617" TargetMode="External"/><Relationship Id="rId152" Type="http://schemas.openxmlformats.org/officeDocument/2006/relationships/hyperlink" Target="https://doi.org/10.1038/s41467-026-68543-9" TargetMode="External"/><Relationship Id="rId153" Type="http://schemas.openxmlformats.org/officeDocument/2006/relationships/hyperlink" Target="https://doi.org/10.1038/s41598-026-38262-8" TargetMode="External"/><Relationship Id="rId154" Type="http://schemas.openxmlformats.org/officeDocument/2006/relationships/hyperlink" Target="https://doi.org/10.1038/s41598-026-37020-0" TargetMode="External"/><Relationship Id="rId155" Type="http://schemas.openxmlformats.org/officeDocument/2006/relationships/hyperlink" Target="https://doi.org/10.1038/s41598-026-36359-8" TargetMode="External"/><Relationship Id="rId156" Type="http://schemas.openxmlformats.org/officeDocument/2006/relationships/hyperlink" Target="https://doi.org/10.1038/s41598-026-38307-y" TargetMode="External"/><Relationship Id="rId157" Type="http://schemas.openxmlformats.org/officeDocument/2006/relationships/hyperlink" Target="https://doi.org/10.1038/s41598-026-38594-5" TargetMode="External"/><Relationship Id="rId158" Type="http://schemas.openxmlformats.org/officeDocument/2006/relationships/hyperlink" Target="https://doi.org/10.1038/s41598-026-39495-3" TargetMode="External"/><Relationship Id="rId159" Type="http://schemas.openxmlformats.org/officeDocument/2006/relationships/hyperlink" Target="https://doi.org/10.1186/s43593-026-00121-4" TargetMode="External"/><Relationship Id="rId160" Type="http://schemas.openxmlformats.org/officeDocument/2006/relationships/hyperlink" Target="https://doi.org/10.29026/oea.2025.250013c" TargetMode="External"/><Relationship Id="rId161" Type="http://schemas.openxmlformats.org/officeDocument/2006/relationships/hyperlink" Target="https://doi.org/10.1016/j.optlastec.2026.114917" TargetMode="External"/><Relationship Id="rId162" Type="http://schemas.openxmlformats.org/officeDocument/2006/relationships/hyperlink" Target="https://doi.org/10.1016/j.optlastec.2026.114937" TargetMode="External"/><Relationship Id="rId163" Type="http://schemas.openxmlformats.org/officeDocument/2006/relationships/hyperlink" Target="https://doi.org/10.1016/j.optcom.2026.133009" TargetMode="External"/><Relationship Id="rId164" Type="http://schemas.openxmlformats.org/officeDocument/2006/relationships/hyperlink" Target="https://doi.org/10.1016/s0030-4018(26)00094-5" TargetMode="External"/><Relationship Id="rId165" Type="http://schemas.openxmlformats.org/officeDocument/2006/relationships/hyperlink" Target="https://doi.org/10.1364/oe.584320" TargetMode="External"/><Relationship Id="rId166" Type="http://schemas.openxmlformats.org/officeDocument/2006/relationships/hyperlink" Target="https://doi.org/10.1364/oe.584103" TargetMode="External"/><Relationship Id="rId167" Type="http://schemas.openxmlformats.org/officeDocument/2006/relationships/hyperlink" Target="https://doi.org/10.1364/oe.584527" TargetMode="External"/><Relationship Id="rId168" Type="http://schemas.openxmlformats.org/officeDocument/2006/relationships/hyperlink" Target="https://arxiv.org/abs/2602.10170v1" TargetMode="External"/><Relationship Id="rId169" Type="http://schemas.openxmlformats.org/officeDocument/2006/relationships/hyperlink" Target="https://arxiv.org/abs/2602.10277v1" TargetMode="External"/><Relationship Id="rId170" Type="http://schemas.openxmlformats.org/officeDocument/2006/relationships/hyperlink" Target="https://arxiv.org/abs/2602.10283v1" TargetMode="External"/><Relationship Id="rId171" Type="http://schemas.openxmlformats.org/officeDocument/2006/relationships/hyperlink" Target="https://arxiv.org/abs/2602.10317v1" TargetMode="External"/><Relationship Id="rId172" Type="http://schemas.openxmlformats.org/officeDocument/2006/relationships/hyperlink" Target="https://arxiv.org/abs/2602.10338v1" TargetMode="External"/><Relationship Id="rId173" Type="http://schemas.openxmlformats.org/officeDocument/2006/relationships/hyperlink" Target="https://arxiv.org/abs/2602.10401v1" TargetMode="External"/><Relationship Id="rId174" Type="http://schemas.openxmlformats.org/officeDocument/2006/relationships/hyperlink" Target="https://arxiv.org/abs/2602.10409v1" TargetMode="External"/><Relationship Id="rId175" Type="http://schemas.openxmlformats.org/officeDocument/2006/relationships/hyperlink" Target="https://arxiv.org/abs/2602.10896v1" TargetMode="External"/><Relationship Id="rId176" Type="http://schemas.openxmlformats.org/officeDocument/2006/relationships/hyperlink" Target="https://arxiv.org/abs/2602.10937v1" TargetMode="External"/><Relationship Id="rId177" Type="http://schemas.openxmlformats.org/officeDocument/2006/relationships/hyperlink" Target="https://arxiv.org/abs/2602.10998v1" TargetMode="External"/><Relationship Id="rId178" Type="http://schemas.openxmlformats.org/officeDocument/2006/relationships/hyperlink" Target="https://arxiv.org/abs/2602.11043v1" TargetMode="External"/><Relationship Id="rId179" Type="http://schemas.openxmlformats.org/officeDocument/2006/relationships/hyperlink" Target="https://arxiv.org/abs/2602.11067v1" TargetMode="External"/><Relationship Id="rId180" Type="http://schemas.openxmlformats.org/officeDocument/2006/relationships/hyperlink" Target="https://arxiv.org/abs/2602.10219v1" TargetMode="External"/><Relationship Id="rId181" Type="http://schemas.openxmlformats.org/officeDocument/2006/relationships/hyperlink" Target="https://arxiv.org/abs/2602.10315v1" TargetMode="External"/><Relationship Id="rId182" Type="http://schemas.openxmlformats.org/officeDocument/2006/relationships/hyperlink" Target="https://arxiv.org/abs/2602.10336v1" TargetMode="External"/><Relationship Id="rId183" Type="http://schemas.openxmlformats.org/officeDocument/2006/relationships/hyperlink" Target="https://arxiv.org/abs/2602.10359v1" TargetMode="External"/><Relationship Id="rId184" Type="http://schemas.openxmlformats.org/officeDocument/2006/relationships/hyperlink" Target="https://arxiv.org/abs/2602.10420v1" TargetMode="External"/><Relationship Id="rId185" Type="http://schemas.openxmlformats.org/officeDocument/2006/relationships/hyperlink" Target="https://arxiv.org/abs/2602.10434v1" TargetMode="External"/><Relationship Id="rId186" Type="http://schemas.openxmlformats.org/officeDocument/2006/relationships/hyperlink" Target="https://arxiv.org/abs/2602.10482v1" TargetMode="External"/><Relationship Id="rId187" Type="http://schemas.openxmlformats.org/officeDocument/2006/relationships/hyperlink" Target="https://arxiv.org/abs/2602.10586v1" TargetMode="External"/><Relationship Id="rId188" Type="http://schemas.openxmlformats.org/officeDocument/2006/relationships/hyperlink" Target="https://arxiv.org/abs/2602.10837v1" TargetMode="External"/><Relationship Id="rId189" Type="http://schemas.openxmlformats.org/officeDocument/2006/relationships/hyperlink" Target="https://arxiv.org/abs/2602.10906v1" TargetMode="External"/><Relationship Id="rId190" Type="http://schemas.openxmlformats.org/officeDocument/2006/relationships/hyperlink" Target="https://arxiv.org/abs/2602.10179v1" TargetMode="External"/><Relationship Id="rId191" Type="http://schemas.openxmlformats.org/officeDocument/2006/relationships/hyperlink" Target="https://arxiv.org/abs/2602.10265v1" TargetMode="External"/><Relationship Id="rId192" Type="http://schemas.openxmlformats.org/officeDocument/2006/relationships/hyperlink" Target="https://arxiv.org/abs/2602.10278v1" TargetMode="External"/><Relationship Id="rId193" Type="http://schemas.openxmlformats.org/officeDocument/2006/relationships/hyperlink" Target="https://arxiv.org/abs/2602.10319v1" TargetMode="External"/><Relationship Id="rId194" Type="http://schemas.openxmlformats.org/officeDocument/2006/relationships/hyperlink" Target="https://arxiv.org/abs/2602.10326v1" TargetMode="External"/><Relationship Id="rId195" Type="http://schemas.openxmlformats.org/officeDocument/2006/relationships/hyperlink" Target="https://arxiv.org/abs/2602.10343v1" TargetMode="External"/><Relationship Id="rId196" Type="http://schemas.openxmlformats.org/officeDocument/2006/relationships/hyperlink" Target="https://arxiv.org/abs/2602.10344v1" TargetMode="External"/><Relationship Id="rId197" Type="http://schemas.openxmlformats.org/officeDocument/2006/relationships/hyperlink" Target="https://arxiv.org/abs/2602.10361v1" TargetMode="External"/><Relationship Id="rId198" Type="http://schemas.openxmlformats.org/officeDocument/2006/relationships/hyperlink" Target="https://arxiv.org/abs/2602.10364v1" TargetMode="External"/><Relationship Id="rId199" Type="http://schemas.openxmlformats.org/officeDocument/2006/relationships/hyperlink" Target="https://arxiv.org/abs/2602.10425v1" TargetMode="External"/><Relationship Id="rId200" Type="http://schemas.openxmlformats.org/officeDocument/2006/relationships/hyperlink" Target="https://arxiv.org/abs/2602.10500v1" TargetMode="External"/><Relationship Id="rId201" Type="http://schemas.openxmlformats.org/officeDocument/2006/relationships/hyperlink" Target="https://arxiv.org/abs/2602.10513v1" TargetMode="External"/><Relationship Id="rId202" Type="http://schemas.openxmlformats.org/officeDocument/2006/relationships/hyperlink" Target="https://arxiv.org/abs/2602.10546v1" TargetMode="External"/><Relationship Id="rId203" Type="http://schemas.openxmlformats.org/officeDocument/2006/relationships/hyperlink" Target="https://arxiv.org/abs/2602.10551v1" TargetMode="External"/><Relationship Id="rId204" Type="http://schemas.openxmlformats.org/officeDocument/2006/relationships/hyperlink" Target="https://arxiv.org/abs/2602.10575v1" TargetMode="External"/><Relationship Id="rId205" Type="http://schemas.openxmlformats.org/officeDocument/2006/relationships/hyperlink" Target="https://arxiv.org/abs/2602.10593v1" TargetMode="External"/><Relationship Id="rId206" Type="http://schemas.openxmlformats.org/officeDocument/2006/relationships/hyperlink" Target="https://arxiv.org/abs/2602.10619v1" TargetMode="External"/><Relationship Id="rId207" Type="http://schemas.openxmlformats.org/officeDocument/2006/relationships/hyperlink" Target="https://arxiv.org/abs/2602.10630v1" TargetMode="External"/><Relationship Id="rId208" Type="http://schemas.openxmlformats.org/officeDocument/2006/relationships/hyperlink" Target="https://arxiv.org/abs/2602.10659v1" TargetMode="External"/><Relationship Id="rId209" Type="http://schemas.openxmlformats.org/officeDocument/2006/relationships/hyperlink" Target="https://arxiv.org/abs/2602.10662v1" TargetMode="External"/><Relationship Id="rId210" Type="http://schemas.openxmlformats.org/officeDocument/2006/relationships/hyperlink" Target="https://arxiv.org/abs/2602.10663v1" TargetMode="External"/><Relationship Id="rId211" Type="http://schemas.openxmlformats.org/officeDocument/2006/relationships/hyperlink" Target="https://arxiv.org/abs/2602.10675v1" TargetMode="External"/><Relationship Id="rId212" Type="http://schemas.openxmlformats.org/officeDocument/2006/relationships/hyperlink" Target="https://arxiv.org/abs/2602.10687v1" TargetMode="External"/><Relationship Id="rId213" Type="http://schemas.openxmlformats.org/officeDocument/2006/relationships/hyperlink" Target="https://arxiv.org/abs/2602.10698v1" TargetMode="External"/><Relationship Id="rId214" Type="http://schemas.openxmlformats.org/officeDocument/2006/relationships/hyperlink" Target="https://arxiv.org/abs/2602.10722v1" TargetMode="External"/><Relationship Id="rId215" Type="http://schemas.openxmlformats.org/officeDocument/2006/relationships/hyperlink" Target="https://arxiv.org/abs/2602.10744v1" TargetMode="External"/><Relationship Id="rId216" Type="http://schemas.openxmlformats.org/officeDocument/2006/relationships/hyperlink" Target="https://arxiv.org/abs/2602.10745v1" TargetMode="External"/><Relationship Id="rId217" Type="http://schemas.openxmlformats.org/officeDocument/2006/relationships/hyperlink" Target="https://arxiv.org/abs/2602.10757v1" TargetMode="External"/><Relationship Id="rId218" Type="http://schemas.openxmlformats.org/officeDocument/2006/relationships/hyperlink" Target="https://arxiv.org/abs/2602.10780v1" TargetMode="External"/><Relationship Id="rId219" Type="http://schemas.openxmlformats.org/officeDocument/2006/relationships/hyperlink" Target="https://arxiv.org/abs/2602.10799v1" TargetMode="External"/><Relationship Id="rId220" Type="http://schemas.openxmlformats.org/officeDocument/2006/relationships/hyperlink" Target="https://arxiv.org/abs/2602.10806v1" TargetMode="External"/><Relationship Id="rId221" Type="http://schemas.openxmlformats.org/officeDocument/2006/relationships/hyperlink" Target="https://arxiv.org/abs/2602.10809v1" TargetMode="External"/><Relationship Id="rId222" Type="http://schemas.openxmlformats.org/officeDocument/2006/relationships/hyperlink" Target="https://arxiv.org/abs/2602.10858v1" TargetMode="External"/><Relationship Id="rId223" Type="http://schemas.openxmlformats.org/officeDocument/2006/relationships/hyperlink" Target="https://arxiv.org/abs/2602.10871v1" TargetMode="External"/><Relationship Id="rId224" Type="http://schemas.openxmlformats.org/officeDocument/2006/relationships/hyperlink" Target="https://arxiv.org/abs/2602.10875v1" TargetMode="External"/><Relationship Id="rId225" Type="http://schemas.openxmlformats.org/officeDocument/2006/relationships/hyperlink" Target="https://arxiv.org/abs/2602.10880v1" TargetMode="External"/><Relationship Id="rId226" Type="http://schemas.openxmlformats.org/officeDocument/2006/relationships/hyperlink" Target="https://arxiv.org/abs/2602.10940v1" TargetMode="External"/><Relationship Id="rId227" Type="http://schemas.openxmlformats.org/officeDocument/2006/relationships/hyperlink" Target="https://arxiv.org/abs/2602.10943v1" TargetMode="External"/><Relationship Id="rId228" Type="http://schemas.openxmlformats.org/officeDocument/2006/relationships/hyperlink" Target="https://arxiv.org/abs/2602.10967v1" TargetMode="External"/><Relationship Id="rId229" Type="http://schemas.openxmlformats.org/officeDocument/2006/relationships/hyperlink" Target="https://arxiv.org/abs/2602.10978v1" TargetMode="External"/><Relationship Id="rId230" Type="http://schemas.openxmlformats.org/officeDocument/2006/relationships/hyperlink" Target="https://arxiv.org/abs/2602.10985v1" TargetMode="External"/><Relationship Id="rId231" Type="http://schemas.openxmlformats.org/officeDocument/2006/relationships/hyperlink" Target="https://arxiv.org/abs/2602.10994v1" TargetMode="External"/><Relationship Id="rId232" Type="http://schemas.openxmlformats.org/officeDocument/2006/relationships/hyperlink" Target="https://arxiv.org/abs/2602.11004v1" TargetMode="External"/><Relationship Id="rId233" Type="http://schemas.openxmlformats.org/officeDocument/2006/relationships/hyperlink" Target="https://arxiv.org/abs/2602.11024v1" TargetMode="External"/><Relationship Id="rId234" Type="http://schemas.openxmlformats.org/officeDocument/2006/relationships/hyperlink" Target="https://arxiv.org/abs/2602.11073v1" TargetMode="External"/><Relationship Id="rId235" Type="http://schemas.openxmlformats.org/officeDocument/2006/relationships/hyperlink" Target="https://arxiv.org/abs/2602.11105v1" TargetMode="External"/><Relationship Id="rId236" Type="http://schemas.openxmlformats.org/officeDocument/2006/relationships/hyperlink" Target="https://arxiv.org/abs/2602.11117v1" TargetMode="External"/><Relationship Id="rId237" Type="http://schemas.openxmlformats.org/officeDocument/2006/relationships/hyperlink" Target="https://arxiv.org/abs/2602.11124v1" TargetMode="External"/><Relationship Id="rId238" Type="http://schemas.openxmlformats.org/officeDocument/2006/relationships/hyperlink" Target="https://arxiv.org/abs/2602.11146v1" TargetMode="External"/><Relationship Id="rId239" Type="http://schemas.openxmlformats.org/officeDocument/2006/relationships/hyperlink" Target="https://arxiv.org/abs/2602.11154v1" TargetMode="External"/><Relationship Id="rId240" Type="http://schemas.openxmlformats.org/officeDocument/2006/relationships/hyperlink" Target="https://arxiv.org/abs/2602.10495v1" TargetMode="External"/><Relationship Id="rId241" Type="http://schemas.openxmlformats.org/officeDocument/2006/relationships/hyperlink" Target="https://doi.org/10.1038/s41467-026-69359-3" TargetMode="External"/><Relationship Id="rId242" Type="http://schemas.openxmlformats.org/officeDocument/2006/relationships/hyperlink" Target="https://doi.org/10.1038/s41467-026-69533-7" TargetMode="External"/><Relationship Id="rId243" Type="http://schemas.openxmlformats.org/officeDocument/2006/relationships/hyperlink" Target="https://doi.org/10.1038/s41598-026-38191-6" TargetMode="External"/><Relationship Id="rId244" Type="http://schemas.openxmlformats.org/officeDocument/2006/relationships/hyperlink" Target="https://doi.org/10.1038/s41598-026-38729-8" TargetMode="External"/><Relationship Id="rId245" Type="http://schemas.openxmlformats.org/officeDocument/2006/relationships/hyperlink" Target="https://doi.org/10.1038/s41598-026-39049-7" TargetMode="External"/><Relationship Id="rId246" Type="http://schemas.openxmlformats.org/officeDocument/2006/relationships/hyperlink" Target="https://doi.org/10.1038/s41598-026-38928-3" TargetMode="External"/><Relationship Id="rId247" Type="http://schemas.openxmlformats.org/officeDocument/2006/relationships/hyperlink" Target="https://doi.org/10.1038/s41598-026-38441-7" TargetMode="External"/><Relationship Id="rId248" Type="http://schemas.openxmlformats.org/officeDocument/2006/relationships/hyperlink" Target="https://doi.org/10.1038/s41598-026-36461-x" TargetMode="External"/><Relationship Id="rId249" Type="http://schemas.openxmlformats.org/officeDocument/2006/relationships/hyperlink" Target="https://doi.org/10.1364/oe.586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