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宋体"/>
          <w:b/>
          <w:sz w:val="32"/>
        </w:rPr>
        <w:t>目 录</w:t>
      </w:r>
    </w:p>
    <w:p>
      <w:r>
        <w:fldChar w:fldCharType="begin"/>
        <w:instrText xml:space="preserve">TOC \o "1-3" \h \z \u</w:instrText>
        <w:fldChar w:fldCharType="separate"/>
        <w:fldChar w:fldCharType="end"/>
      </w:r>
    </w:p>
    <w:p>
      <w:r>
        <w:br/>
      </w:r>
    </w:p>
    <w:p>
      <w:pPr>
        <w:pStyle w:val="Heading1"/>
      </w:pPr>
      <w:r>
        <w:rPr>
          <w:rFonts w:ascii="Times New Roman" w:hAnsi="Times New Roman" w:eastAsia="宋体"/>
          <w:b/>
          <w:color w:val="000000"/>
          <w:sz w:val="32"/>
        </w:rPr>
        <w:t>IEEE Trans. Image Processing</w:t>
      </w:r>
    </w:p>
    <w:p>
      <w:pPr>
        <w:jc w:val="center"/>
      </w:pPr>
      <w:r>
        <w:t>--- 更新: 00:27 ---</w:t>
      </w:r>
    </w:p>
    <w:p>
      <w:pPr>
        <w:pStyle w:val="Heading2"/>
      </w:pPr>
      <w:r/>
      <w:r>
        <w:rPr>
          <w:rFonts w:ascii="Times New Roman" w:hAnsi="Times New Roman" w:eastAsia="宋体"/>
          <w:b/>
          <w:color w:val="000000"/>
          <w:sz w:val="24"/>
        </w:rPr>
        <w:t>Unc-SOD：用于小物体检测的不确定性学习框架</w:t>
      </w:r>
    </w:p>
    <w:p>
      <w:r>
        <w:rPr>
          <w:rFonts w:ascii="Times New Roman" w:hAnsi="Times New Roman" w:eastAsia="宋体"/>
          <w:b/>
          <w:color w:val="003264"/>
          <w:sz w:val="24"/>
        </w:rPr>
        <w:t>Unc-SOD: An Uncertainty Learning Framework for Small Object Detection</w:t>
      </w:r>
    </w:p>
    <w:p>
      <w:r>
        <w:rPr>
          <w:rFonts w:ascii="Times New Roman" w:hAnsi="Times New Roman" w:eastAsia="宋体"/>
          <w:sz w:val="21"/>
        </w:rPr>
        <w:t>作者: Xiang Yuan, Gong Cheng, Jiacheng Cheng, Ruixiang Yao, Junwei Han</w:t>
        <w:br/>
      </w:r>
      <w:r>
        <w:rPr>
          <w:rFonts w:ascii="Times New Roman" w:hAnsi="Times New Roman" w:eastAsia="宋体"/>
          <w:sz w:val="21"/>
        </w:rPr>
        <w:t xml:space="preserve">时间: 2026 | </w:t>
      </w:r>
      <w:r>
        <w:t xml:space="preserve">链接: </w:t>
      </w:r>
      <w:hyperlink r:id="rId10">
        <w:r>
          <w:rPr>
            <w:rFonts w:ascii="Times New Roman" w:hAnsi="Times New Roman" w:eastAsia="宋体"/>
            <w:color w:val="0000FF"/>
            <w:sz w:val="21"/>
            <w:u w:val="single"/>
          </w:rPr>
          <w:t>https://doi.org/10.1109/tip.2026.3654892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小物体检测（SOD）是一项值得注意但极其艰巨的任务，源于尺寸有限实例中固有的有限信息区域，这进一步引发了超出当前两级探测器能力的高度不确定性。具体来说，小物体固有的模糊性破坏了流行的采样范式，并可能误导模型对那些无法识别的目标进行徒劳的努力，而两个阶段用于检测的特征的不一致进一步暴露了层次的不确定性。在本文中，我们开发了一个用于小目标检测的不确定性学习框架，称为 Unc-SOD。通过将辅助不确定性分支合并到传统的区域提议网络（RPN）中，我们对实例级别的不确定性进行建模，随后将其用作采样的替代标准，从而根据不同程度的不确定性动态地挖掘足够的候选者，并促进提议网络的学习。与此同时，通过优化原始金字塔和指定金字塔的区域特征的内在属性，设计了一种感知与交互策略来捕获丰富且有区别的表示，其中感知过程在相互范式中展开。作为 SOD 任务中不确定性建模的开创性尝试，我们的 Unc-SOD 在两个大规模小目标检测基准 SODA-D 和 SODA-A 上产生了最先进的性能，并且在包括 COCO、VisDrone 和 Tsinghua-Tencent 100K 在内的几个面向 SOD 的数据集上的结果也显示出对基线检测器的提升。这强调了我们的方法的有效性及其在处理小实例时相对于主流检测器的优越性。</w:t>
      </w:r>
    </w:p>
    <w:p>
      <w:pPr>
        <w:spacing w:before="120"/>
      </w:pPr>
      <w:r>
        <w:rPr>
          <w:rFonts w:ascii="Times New Roman" w:hAnsi="Times New Roman" w:eastAsia="宋体"/>
          <w:b/>
          <w:sz w:val="21"/>
        </w:rPr>
        <w:t>English Abstract:</w:t>
      </w:r>
    </w:p>
    <w:p>
      <w:r>
        <w:rPr>
          <w:rFonts w:ascii="Times New Roman" w:hAnsi="Times New Roman" w:eastAsia="宋体"/>
          <w:sz w:val="21"/>
        </w:rPr>
        <w:t>Small object detection (SOD) constitutes a notable yet immensely arduous task, stemming from the restricted informative regions inherent in size-limited instances, which further sparks off heightened uncertainty beyond the capacity of current two-stage detectors. Specifically, the intrinsic ambiguity in small objects undermines the prevailing sampling paradigms and may mislead the model to devote futile effort to those unrecognizable targets, while the inconsistency of features utilized for the detection at two stages further exposes the hierarchical uncertainty. In this paper, we develop an Uncertainty learning framework for Small Object Detection, dubbed as Unc-SOD. By incorporating an auxiliary uncertainty branch to conventional Region Proposal Network (RPN), we model the indeterminacy at instance-level which later on serves as a surrogate criterion for sampling, thereby unearthing adequate candidates dynamically based on the varying degrees of uncertainty and facilitating the learning of proposal networks. In parallel, a Perception-and-Interaction strategy is devised to capture rich and discriminative representations, through optimizing the intrinsic properties from the regional features at the original pyramid and the assigned one, in which the perceptual process unfolds in a mutual paradigm. As the seminal attempt to model uncertainty in SOD task, our Unc-SOD yields state-of-the-art performance on two large-scale small object detection benchmarks, SODA-D and SODA-A, and the results on several SOD-oriented datasets including COCO, VisDrone, and Tsinghua-Tencent 100K also exhibit the promotion to baseline detector. This underscores the efficacy of our approach and its superiority over prevailing detectors when dealing with small instances.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Optica</w:t>
      </w:r>
    </w:p>
    <w:p>
      <w:pPr>
        <w:jc w:val="center"/>
      </w:pPr>
      <w:r>
        <w:t>--- 更新: 00:27 ---</w:t>
      </w:r>
    </w:p>
    <w:p>
      <w:pPr>
        <w:pStyle w:val="Heading2"/>
      </w:pPr>
      <w:r/>
      <w:r>
        <w:rPr>
          <w:rFonts w:ascii="Times New Roman" w:hAnsi="Times New Roman" w:eastAsia="宋体"/>
          <w:b/>
          <w:color w:val="000000"/>
          <w:sz w:val="24"/>
        </w:rPr>
        <w:t>太赫兹傅里叶叠层成像</w:t>
      </w:r>
    </w:p>
    <w:p>
      <w:r>
        <w:rPr>
          <w:rFonts w:ascii="Times New Roman" w:hAnsi="Times New Roman" w:eastAsia="宋体"/>
          <w:b/>
          <w:color w:val="003264"/>
          <w:sz w:val="24"/>
        </w:rPr>
        <w:t>Terahertz Fourier Ptychographic Imaging</w:t>
      </w:r>
    </w:p>
    <w:p>
      <w:r>
        <w:rPr>
          <w:rFonts w:ascii="Times New Roman" w:hAnsi="Times New Roman" w:eastAsia="宋体"/>
          <w:sz w:val="21"/>
        </w:rPr>
        <w:t>作者: Pitambar Mukherjee, Vivek Kumar, Frederic Fauquet, Amaury Badon, Damien Bigourd, Kedar Khare, Sylvain Gigan, Patrick Mounaix</w:t>
        <w:br/>
      </w:r>
      <w:r>
        <w:rPr>
          <w:rFonts w:ascii="Times New Roman" w:hAnsi="Times New Roman" w:eastAsia="宋体"/>
          <w:sz w:val="21"/>
        </w:rPr>
        <w:t xml:space="preserve">时间: 2026-01-23 | </w:t>
      </w:r>
      <w:r>
        <w:t xml:space="preserve">链接: </w:t>
      </w:r>
      <w:hyperlink r:id="rId11">
        <w:r>
          <w:rPr>
            <w:rFonts w:ascii="Times New Roman" w:hAnsi="Times New Roman" w:eastAsia="宋体"/>
            <w:color w:val="0000FF"/>
            <w:sz w:val="21"/>
            <w:u w:val="single"/>
          </w:rPr>
          <w:t>https://doi.org/10.1364/optica.586220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Optics Letters</w:t>
      </w:r>
    </w:p>
    <w:p>
      <w:pPr>
        <w:jc w:val="center"/>
      </w:pPr>
      <w:r>
        <w:t>--- 更新: 00:27 ---</w:t>
      </w:r>
    </w:p>
    <w:p>
      <w:pPr>
        <w:pStyle w:val="Heading2"/>
      </w:pPr>
      <w:r/>
      <w:r>
        <w:rPr>
          <w:rFonts w:ascii="Times New Roman" w:hAnsi="Times New Roman" w:eastAsia="宋体"/>
          <w:b/>
          <w:color w:val="000000"/>
          <w:sz w:val="24"/>
        </w:rPr>
        <w:t>基于光谱和声学模态融合的大气碳浓度情景分类</w:t>
      </w:r>
    </w:p>
    <w:p>
      <w:r>
        <w:rPr>
          <w:rFonts w:ascii="Times New Roman" w:hAnsi="Times New Roman" w:eastAsia="宋体"/>
          <w:b/>
          <w:color w:val="003264"/>
          <w:sz w:val="24"/>
        </w:rPr>
        <w:t>Atmospheric Carbon Concentration Scenario Classification Based on the Fusion of Spectral and Acoustic Modalities</w:t>
      </w:r>
    </w:p>
    <w:p>
      <w:r>
        <w:rPr>
          <w:rFonts w:ascii="Times New Roman" w:hAnsi="Times New Roman" w:eastAsia="宋体"/>
          <w:sz w:val="21"/>
        </w:rPr>
        <w:t>作者: ShiHao Liu, Yu Zhang, Jun Feng, Wenhan Gao, TianLong Li, Yuzhu Liu</w:t>
        <w:br/>
      </w:r>
      <w:r>
        <w:rPr>
          <w:rFonts w:ascii="Times New Roman" w:hAnsi="Times New Roman" w:eastAsia="宋体"/>
          <w:sz w:val="21"/>
        </w:rPr>
        <w:t xml:space="preserve">时间: 2026-01-23 | </w:t>
      </w:r>
      <w:r>
        <w:t xml:space="preserve">链接: </w:t>
      </w:r>
      <w:hyperlink r:id="rId12">
        <w:r>
          <w:rPr>
            <w:rFonts w:ascii="Times New Roman" w:hAnsi="Times New Roman" w:eastAsia="宋体"/>
            <w:color w:val="0000FF"/>
            <w:sz w:val="21"/>
            <w:u w:val="single"/>
          </w:rPr>
          <w:t>https://doi.org/10.1364/ol.576900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PRISM：一种基于激光诱导光谱-声学融合的新型峰区识别和特征映射方法，用于金属腐蚀辨别</w:t>
      </w:r>
    </w:p>
    <w:p>
      <w:r>
        <w:rPr>
          <w:rFonts w:ascii="Times New Roman" w:hAnsi="Times New Roman" w:eastAsia="宋体"/>
          <w:b/>
          <w:color w:val="003264"/>
          <w:sz w:val="24"/>
        </w:rPr>
        <w:t>PRISM: A novel Peak Region Identification and Signature Mapping method based on Laser-Induced Spectroscopy-Acoustics Fusion for metal corrosion discrimination</w:t>
      </w:r>
    </w:p>
    <w:p>
      <w:r>
        <w:rPr>
          <w:rFonts w:ascii="Times New Roman" w:hAnsi="Times New Roman" w:eastAsia="宋体"/>
          <w:sz w:val="21"/>
        </w:rPr>
        <w:t>作者: Wenkang Sun, Wenhan Gao, Yu Zhang, dongdong Deng, Tianzhuang Wu, Boyuan Han, Junjie Li, Ziwei Wang, Yuzhu Liu</w:t>
        <w:br/>
      </w:r>
      <w:r>
        <w:rPr>
          <w:rFonts w:ascii="Times New Roman" w:hAnsi="Times New Roman" w:eastAsia="宋体"/>
          <w:sz w:val="21"/>
        </w:rPr>
        <w:t xml:space="preserve">时间: 2026-01-23 | </w:t>
      </w:r>
      <w:r>
        <w:t xml:space="preserve">链接: </w:t>
      </w:r>
      <w:hyperlink r:id="rId13">
        <w:r>
          <w:rPr>
            <w:rFonts w:ascii="Times New Roman" w:hAnsi="Times New Roman" w:eastAsia="宋体"/>
            <w:color w:val="0000FF"/>
            <w:sz w:val="21"/>
            <w:u w:val="single"/>
          </w:rPr>
          <w:t>https://doi.org/10.1364/ol.585954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使用循环剪切干涉测量法的自参考偏振增强琼斯矩阵成像</w:t>
      </w:r>
    </w:p>
    <w:p>
      <w:r>
        <w:rPr>
          <w:rFonts w:ascii="Times New Roman" w:hAnsi="Times New Roman" w:eastAsia="宋体"/>
          <w:b/>
          <w:color w:val="003264"/>
          <w:sz w:val="24"/>
        </w:rPr>
        <w:t>Self-referenced polarization augmented Jones matrix imaging using cyclic shearing interferometry</w:t>
      </w:r>
    </w:p>
    <w:p>
      <w:r>
        <w:rPr>
          <w:rFonts w:ascii="Times New Roman" w:hAnsi="Times New Roman" w:eastAsia="宋体"/>
          <w:sz w:val="21"/>
        </w:rPr>
        <w:t>作者: VIPIN TIWARI, Davood Khodadad</w:t>
        <w:br/>
      </w:r>
      <w:r>
        <w:rPr>
          <w:rFonts w:ascii="Times New Roman" w:hAnsi="Times New Roman" w:eastAsia="宋体"/>
          <w:sz w:val="21"/>
        </w:rPr>
        <w:t xml:space="preserve">时间: 2026-01-23 | </w:t>
      </w:r>
      <w:r>
        <w:t xml:space="preserve">链接: </w:t>
      </w:r>
      <w:hyperlink r:id="rId14">
        <w:r>
          <w:rPr>
            <w:rFonts w:ascii="Times New Roman" w:hAnsi="Times New Roman" w:eastAsia="宋体"/>
            <w:color w:val="0000FF"/>
            <w:sz w:val="21"/>
            <w:u w:val="single"/>
          </w:rPr>
          <w:t>https://doi.org/10.1364/ol.586227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3D打印微光学暗场聚光镜</w:t>
      </w:r>
    </w:p>
    <w:p>
      <w:r>
        <w:rPr>
          <w:rFonts w:ascii="Times New Roman" w:hAnsi="Times New Roman" w:eastAsia="宋体"/>
          <w:b/>
          <w:color w:val="003264"/>
          <w:sz w:val="24"/>
        </w:rPr>
        <w:t>3D-printed micro-optical dark-field condenser</w:t>
      </w:r>
    </w:p>
    <w:p>
      <w:r>
        <w:rPr>
          <w:rFonts w:ascii="Times New Roman" w:hAnsi="Times New Roman" w:eastAsia="宋体"/>
          <w:sz w:val="21"/>
        </w:rPr>
        <w:t>作者: Robert Horvat, Leander Siegle, Luca Schmid, Pavel Ruchka, Philipp Flad, Monika Ubl, Michael Schmid, Lukas Wesemann, Harald Giessen</w:t>
        <w:br/>
      </w:r>
      <w:r>
        <w:rPr>
          <w:rFonts w:ascii="Times New Roman" w:hAnsi="Times New Roman" w:eastAsia="宋体"/>
          <w:sz w:val="21"/>
        </w:rPr>
        <w:t xml:space="preserve">时间: 2026-01-23 | </w:t>
      </w:r>
      <w:r>
        <w:t xml:space="preserve">链接: </w:t>
      </w:r>
      <w:hyperlink r:id="rId15">
        <w:r>
          <w:rPr>
            <w:rFonts w:ascii="Times New Roman" w:hAnsi="Times New Roman" w:eastAsia="宋体"/>
            <w:color w:val="0000FF"/>
            <w:sz w:val="21"/>
            <w:u w:val="single"/>
          </w:rPr>
          <w:t>https://doi.org/10.1364/ol.585515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利用光纤色散的光混频器阵列产生太赫兹多光束的光子</w:t>
      </w:r>
    </w:p>
    <w:p>
      <w:r>
        <w:rPr>
          <w:rFonts w:ascii="Times New Roman" w:hAnsi="Times New Roman" w:eastAsia="宋体"/>
          <w:b/>
          <w:color w:val="003264"/>
          <w:sz w:val="24"/>
        </w:rPr>
        <w:t>Photonic Generation of Terahertz Multi-Beams by Photomixer Arrays Exploiting Fiber Chromatic Dispersion</w:t>
      </w:r>
    </w:p>
    <w:p>
      <w:r>
        <w:rPr>
          <w:rFonts w:ascii="Times New Roman" w:hAnsi="Times New Roman" w:eastAsia="宋体"/>
          <w:sz w:val="21"/>
        </w:rPr>
        <w:t>作者: Yoshiki Kamiura, Masato Kawano, Yuya Mikami, Kazutoshi Kato</w:t>
        <w:br/>
      </w:r>
      <w:r>
        <w:rPr>
          <w:rFonts w:ascii="Times New Roman" w:hAnsi="Times New Roman" w:eastAsia="宋体"/>
          <w:sz w:val="21"/>
        </w:rPr>
        <w:t xml:space="preserve">时间: 2026-01-23 | </w:t>
      </w:r>
      <w:r>
        <w:t xml:space="preserve">链接: </w:t>
      </w:r>
      <w:hyperlink r:id="rId16">
        <w:r>
          <w:rPr>
            <w:rFonts w:ascii="Times New Roman" w:hAnsi="Times New Roman" w:eastAsia="宋体"/>
            <w:color w:val="0000FF"/>
            <w:sz w:val="21"/>
            <w:u w:val="single"/>
          </w:rPr>
          <w:t>https://doi.org/10.1364/ol.583514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基于二次扩束镜的大口径望远镜系统，跟踪精度达100纳弧度</w:t>
      </w:r>
    </w:p>
    <w:p>
      <w:r>
        <w:rPr>
          <w:rFonts w:ascii="Times New Roman" w:hAnsi="Times New Roman" w:eastAsia="宋体"/>
          <w:b/>
          <w:color w:val="003264"/>
          <w:sz w:val="24"/>
        </w:rPr>
        <w:t>A large aperture telescope system based on a secondary optical beam expander with tracking precision in 100 nanoradians</w:t>
      </w:r>
    </w:p>
    <w:p>
      <w:r>
        <w:rPr>
          <w:rFonts w:ascii="Times New Roman" w:hAnsi="Times New Roman" w:eastAsia="宋体"/>
          <w:sz w:val="21"/>
        </w:rPr>
        <w:t>作者: Chenglin Zhou, rui xiu, Zeng Chenchen, Tingting Wang, Jianan Sun, YunPeng Liu, Jincai Wu, Liang Zhang</w:t>
        <w:br/>
      </w:r>
      <w:r>
        <w:rPr>
          <w:rFonts w:ascii="Times New Roman" w:hAnsi="Times New Roman" w:eastAsia="宋体"/>
          <w:sz w:val="21"/>
        </w:rPr>
        <w:t xml:space="preserve">时间: 2026-01-23 | </w:t>
      </w:r>
      <w:r>
        <w:t xml:space="preserve">链接: </w:t>
      </w:r>
      <w:hyperlink r:id="rId17">
        <w:r>
          <w:rPr>
            <w:rFonts w:ascii="Times New Roman" w:hAnsi="Times New Roman" w:eastAsia="宋体"/>
            <w:color w:val="0000FF"/>
            <w:sz w:val="21"/>
            <w:u w:val="single"/>
          </w:rPr>
          <w:t>https://doi.org/10.1364/ol.586687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Advanced Photonics Research</w:t>
      </w:r>
    </w:p>
    <w:p>
      <w:pPr>
        <w:jc w:val="center"/>
      </w:pPr>
      <w:r>
        <w:t>--- 更新: 00:28 ---</w:t>
      </w:r>
    </w:p>
    <w:p>
      <w:pPr>
        <w:pStyle w:val="Heading2"/>
      </w:pPr>
      <w:r/>
      <w:r>
        <w:rPr>
          <w:rFonts w:ascii="Times New Roman" w:hAnsi="Times New Roman" w:eastAsia="宋体"/>
          <w:b/>
          <w:color w:val="000000"/>
          <w:sz w:val="24"/>
        </w:rPr>
        <w:t>基于全电介质氮化硅（Si &lt;sub&gt;3&lt;/sub&gt; N &lt;sub&gt;4&lt;/sub&gt;）的超宽广角高温稳定性红外超材料吸收体</w:t>
      </w:r>
    </w:p>
    <w:p>
      <w:r>
        <w:rPr>
          <w:rFonts w:ascii="Times New Roman" w:hAnsi="Times New Roman" w:eastAsia="宋体"/>
          <w:b/>
          <w:color w:val="003264"/>
          <w:sz w:val="24"/>
        </w:rPr>
        <w:t>Ultrabroad and Wide‐Angle High‐Temperature‐Stability Infrared Metamaterial Absorber Based on All‐Dielectric Silicon Nitride (Si                     &lt;sub&gt;3&lt;/sub&gt;                     N                     &lt;sub&gt;4&lt;/sub&gt;                     )</w:t>
      </w:r>
    </w:p>
    <w:p>
      <w:r>
        <w:rPr>
          <w:rFonts w:ascii="Times New Roman" w:hAnsi="Times New Roman" w:eastAsia="宋体"/>
          <w:sz w:val="21"/>
        </w:rPr>
        <w:t>作者: Jiayu Jia, Yanfang Xiao, Lingling Yang, Bin Cai, Yongzhi Cheng, Hui Luo, Xiangcheng Li</w:t>
        <w:br/>
      </w:r>
      <w:r>
        <w:rPr>
          <w:rFonts w:ascii="Times New Roman" w:hAnsi="Times New Roman" w:eastAsia="宋体"/>
          <w:sz w:val="21"/>
        </w:rPr>
        <w:t xml:space="preserve">时间: 2026-01-23 | </w:t>
      </w:r>
      <w:r>
        <w:t xml:space="preserve">链接: </w:t>
      </w:r>
      <w:hyperlink r:id="rId18">
        <w:r>
          <w:rPr>
            <w:rFonts w:ascii="Times New Roman" w:hAnsi="Times New Roman" w:eastAsia="宋体"/>
            <w:color w:val="0000FF"/>
            <w:sz w:val="21"/>
            <w:u w:val="single"/>
          </w:rPr>
          <w:t>https://doi.org/10.1002/adpr.202500200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长波和超长波红外（LWIR/ULWIR）光谱的超宽带吸收对于从热成像到光谱学的各种应用至关重要，但仍然是一个持续存在的挑战。在此，由四个垂直锥形氮化硅（Si</w:t>
        <w:br/>
        <w:t xml:space="preserve">                    &lt;贾茨：子&gt;3&lt;/贾茨：子&gt;</w:t>
        <w:br/>
        <w:t xml:space="preserve">                    氮</w:t>
        <w:br/>
        <w:t xml:space="preserve">                    &lt;贾茨：子&gt;4&lt;/贾茨：子&gt;</w:t>
        <w:br/>
        <w:t xml:space="preserve">                    ）提出了钨基板上的棒。有限元法（FEM）模拟表明，MMA在7.15~31.62μm范围内的吸光度达到90%以上，相对带宽为126.23%。值得注意的是，MMA的吸光度峰分别在7.653、9.045、16.762和26.731μm处高达99.97%、97.92%、98.42%和99.96%。等效电路模型证实了这些结果并阐明了潜在的阻抗匹配。超宽带性能源自多种谐振模式的协同耦合，包括高阶波导谐振（WGR）、法布里-珀罗（F-P）腔谐振（FPCR）、局域表面/传播等离子体谐振（LSPR/PPR）以及Si的固有损耗</w:t>
        <w:br/>
        <w:t xml:space="preserve">                    &lt;贾茨：子&gt;3&lt;/贾茨：子&gt;</w:t>
        <w:br/>
        <w:t xml:space="preserve">                    氮</w:t>
        <w:br/>
        <w:t xml:space="preserve">                    &lt;贾茨：子&gt;4&lt;/贾茨：子&gt;</w:t>
        <w:br/>
        <w:t xml:space="preserve">                    材料。 MMA 还表现出广角稳定性，在 TE 和 TM 偏振下保持高达 50° 的入射效率。它具有简单、可调的几何形状和全介电成分，有利于制造并确保高温弹性。该设计为先进的红外系统提供了一个强大的平台，包括热能收集和光谱成像。</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Ultrabroadband absorption across the long‐wave and ultralong‐wave infrared (LWIR/ULWIR) spectrum is essential for applications ranging from thermal imaging to spectroscopy, yet remains a persistent challenge. Herein, a refractory metamaterial absorber (MMA) composed of four vertically tapered silicon nitride (Si</w:t>
        <w:br/>
        <w:t xml:space="preserve">                    &lt;jats:sub&gt;3&lt;/jats:sub&gt;</w:t>
        <w:br/>
        <w:t xml:space="preserve">                    N</w:t>
        <w:br/>
        <w:t xml:space="preserve">                    &lt;jats:sub&gt;4&lt;/jats:sub&gt;</w:t>
        <w:br/>
        <w:t xml:space="preserve">                    ) rods on a tungsten substrate is proposed. Finite element method (FEM) simulations show that the MMA achieves an absorbance of over 90% from 7.15 to 31.62 μm, with a relative bandwidth of 126.23%. Notably, the absorbance peak of the MMA is up to 99.97%, 97.92%, 98.42%, and 99.96% at 7.653, 9.045, 16.762, and 26.731 μm, respectively. An equivalent circuit model corroborates these results and elucidates the underlying impedance matching. The ultra‐broadband performance arises from synergistic coupling of multiple resonant modes, including waveguide resonance (WGR) with higher‐order, Fabry–Pérot (F–P) cavity resonance (FPCR), local surface/propagating plasmon resonance (LSPR/PPR), as well as intrinsic losses of Si</w:t>
        <w:br/>
        <w:t xml:space="preserve">                    &lt;jats:sub&gt;3&lt;/jats:sub&gt;</w:t>
        <w:br/>
        <w:t xml:space="preserve">                    N</w:t>
        <w:br/>
        <w:t xml:space="preserve">                    &lt;jats:sub&gt;4&lt;/jats:sub&gt;</w:t>
        <w:br/>
        <w:t xml:space="preserve">                    material. The MMA also exhibits wide‐angle stability, maintaining high efficiency for incidence up to 50° under both TE and TM polarizations. It's simple, tunable geometry and fully dielectric composition facilitate fabrication and ensure high‐temperature resilience. This design offers a robust platform for advanced infrared systems, including thermal energy harvesting and spectral imaging.</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超过 10μm 的可调谐光学多模微腔中极化子介导的能量传输</w:t>
      </w:r>
    </w:p>
    <w:p>
      <w:r>
        <w:rPr>
          <w:rFonts w:ascii="Times New Roman" w:hAnsi="Times New Roman" w:eastAsia="宋体"/>
          <w:b/>
          <w:color w:val="003264"/>
          <w:sz w:val="24"/>
        </w:rPr>
        <w:t>Polariton‐Mediated Energy Transfer in a Tunable Optical Multimode Microcavity Exceeding 10 μm</w:t>
      </w:r>
    </w:p>
    <w:p>
      <w:r>
        <w:rPr>
          <w:rFonts w:ascii="Times New Roman" w:hAnsi="Times New Roman" w:eastAsia="宋体"/>
          <w:sz w:val="21"/>
        </w:rPr>
        <w:t>作者: Christoph Kertzscher, Michael Mauch, Jakob Keck, Alfred J. Meixner</w:t>
        <w:br/>
      </w:r>
      <w:r>
        <w:rPr>
          <w:rFonts w:ascii="Times New Roman" w:hAnsi="Times New Roman" w:eastAsia="宋体"/>
          <w:sz w:val="21"/>
        </w:rPr>
        <w:t xml:space="preserve">时间: 2026-01-23 | </w:t>
      </w:r>
      <w:r>
        <w:t xml:space="preserve">链接: </w:t>
      </w:r>
      <w:hyperlink r:id="rId23">
        <w:r>
          <w:rPr>
            <w:rFonts w:ascii="Times New Roman" w:hAnsi="Times New Roman" w:eastAsia="宋体"/>
            <w:color w:val="0000FF"/>
            <w:sz w:val="21"/>
            <w:u w:val="single"/>
          </w:rPr>
          <w:t>https://doi.org/10.1002/adpr.202500296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&lt;jats:p&gt;研究了 J 聚集染料的供体-受体对之间的能量转移，这些染料被旋涂到可调谐法布里-珀罗微谐振器的镜子上。研究发现，供体和受体都与谐振器的光学模式强烈耦合，并形成混合光-物质态（极化子）。荧光光谱的形状显示了从供体到受体的有效能量转移，其间隔可达 11μm。在相同的测量中，能量转移效率似乎与供体-受体分离无关。现象学哈密顿量可以很好地解释观察到的荧光特征，该哈密顿量模拟了新兴的极化子模式和速率方程。&lt;/jats:p&gt;</w:t>
      </w:r>
    </w:p>
    <w:p>
      <w:pPr>
        <w:spacing w:before="120"/>
      </w:pPr>
      <w:r>
        <w:rPr>
          <w:rFonts w:ascii="Times New Roman" w:hAnsi="Times New Roman" w:eastAsia="宋体"/>
          <w:b/>
          <w:sz w:val="21"/>
        </w:rPr>
        <w:t>English Abstract:</w:t>
      </w:r>
    </w:p>
    <w:p>
      <w:r>
        <w:rPr>
          <w:rFonts w:ascii="Times New Roman" w:hAnsi="Times New Roman" w:eastAsia="宋体"/>
          <w:sz w:val="21"/>
        </w:rPr>
        <w:t>&lt;jats:p&gt;Energy transfer between a donor‐acceptor pair of J‐aggregated dyes, which are spin‐coated onto the mirrors of a tunable Fabry–Pérot microresonator, is studied. It is found that both donor and acceptor are strongly coupled to the optical modes of the resonator and form hybrid light–matter states (polaritons). The shapes of the fluorescence spectra show efficient energy transfer from donor to acceptor, which are separated up to 11 μm. Within the same measurement, the energy transfer efficiency appears to be independent of donor–acceptor separation. The observed fluorescence features are well explained by a phenomenological Hamiltonian, which models the emerging polariton modes and rate equations.&lt;/jats:p&gt;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用于抑制非封装有机发光二极管中水分引起的降解的菲咯啉修饰电极</w:t>
      </w:r>
    </w:p>
    <w:p>
      <w:r>
        <w:rPr>
          <w:rFonts w:ascii="Times New Roman" w:hAnsi="Times New Roman" w:eastAsia="宋体"/>
          <w:b/>
          <w:color w:val="003264"/>
          <w:sz w:val="24"/>
        </w:rPr>
        <w:t>Phenanthroline‐Modified Electrodes for Suppressing Moisture‐Induced Degradation in Nonencapsulated Organic Light‐Emitting Diodes</w:t>
      </w:r>
    </w:p>
    <w:p>
      <w:r>
        <w:rPr>
          <w:rFonts w:ascii="Times New Roman" w:hAnsi="Times New Roman" w:eastAsia="宋体"/>
          <w:sz w:val="21"/>
        </w:rPr>
        <w:t>作者: Takuya Okada, Tsubasa Sasaki, Taku Oono, Hirohiko Fukagawa, Takahisa Shimizu</w:t>
        <w:br/>
      </w:r>
      <w:r>
        <w:rPr>
          <w:rFonts w:ascii="Times New Roman" w:hAnsi="Times New Roman" w:eastAsia="宋体"/>
          <w:sz w:val="21"/>
        </w:rPr>
        <w:t xml:space="preserve">时间: 2026-01-23 | </w:t>
      </w:r>
      <w:r>
        <w:t xml:space="preserve">链接: </w:t>
      </w:r>
      <w:hyperlink r:id="rId24">
        <w:r>
          <w:rPr>
            <w:rFonts w:ascii="Times New Roman" w:hAnsi="Times New Roman" w:eastAsia="宋体"/>
            <w:color w:val="0000FF"/>
            <w:sz w:val="21"/>
            <w:u w:val="single"/>
          </w:rPr>
          <w:t>https://doi.org/10.1002/adpr.202500245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&lt;jats:p&gt;电子注入稳定性对于有机半导体至关重要。尽管菲咯啉（Phen）衍生物是稳定高效的电极修饰材料，但其空气稳定性尚未得到充分研究，环境因素对 Phen 修饰电极的影响尚不清楚。本研究通过监测未封装的环境空气暴露下发光区域的时间变化来研究 Phen 修饰的有机发光二极管 (OLED) 的降解情况。结果表明，Phen 修饰可以在室温和大气压条件下稳定电子注入。降解行为符合菲克扩散定律。降解速率和相对湿度之间的强相关性表明水分子扩散控制降解过程的机制。 Phen 衍生物的膜密度是使用分子动力学模拟计算的。高密度改性剂膜可能会物理阻碍水扩散，从而抑制降解。这些发现凸显了 Phen 基材料在实现高性能有机电子器件方面的潜力，在最小封装下具有高效的电子注入和增强的稳定性。&lt;/jats:p&gt;</w:t>
      </w:r>
    </w:p>
    <w:p>
      <w:pPr>
        <w:spacing w:before="120"/>
      </w:pPr>
      <w:r>
        <w:rPr>
          <w:rFonts w:ascii="Times New Roman" w:hAnsi="Times New Roman" w:eastAsia="宋体"/>
          <w:b/>
          <w:sz w:val="21"/>
        </w:rPr>
        <w:t>English Abstract:</w:t>
      </w:r>
    </w:p>
    <w:p>
      <w:r>
        <w:rPr>
          <w:rFonts w:ascii="Times New Roman" w:hAnsi="Times New Roman" w:eastAsia="宋体"/>
          <w:sz w:val="21"/>
        </w:rPr>
        <w:t>&lt;jats:p&gt;Electron injection stability is crucial for organic semiconductors. Although phenanthroline (Phen) derivatives are stable and efficient electrode modification materials, their air stability is underexplored, and the impacts of environmental factors on Phen‐modified electrodes are not well understood. This study investigates the degradation of Phen‐modified organic light‐emitting diodes (OLEDs) by monitoring temporal changes in the light‐emitting area under ambient air exposure without encapsulation. The results demonstrate that Phen modification stabilizes electron injection under room‐temperature and atmospheric‐pressure conditions. The degradation behavior is consistent with Fick's law of diffusion. A strong correlation between the degradation rate and relative humidity indicates a mechanism wherein water molecule diffusion governs the degradation process. The film densities of Phen derivatives are calculated using molecular dynamics simulations. High‐density modifier films may physically hinder water diffusion, suppressing degradation. These findings highlight the potential of Phen‐based materials to enable high‐performance organic electronics with efficient electron injection and enhanced stability under minimal encapsulation.&lt;/jats:p&gt;</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Displays</w:t>
      </w:r>
    </w:p>
    <w:p>
      <w:pPr>
        <w:jc w:val="center"/>
      </w:pPr>
      <w:r>
        <w:t>--- 更新: 00:28 ---</w:t>
      </w:r>
    </w:p>
    <w:p>
      <w:pPr>
        <w:pStyle w:val="Heading2"/>
      </w:pPr>
      <w:r/>
      <w:r>
        <w:rPr>
          <w:rFonts w:ascii="Times New Roman" w:hAnsi="Times New Roman" w:eastAsia="宋体"/>
          <w:b/>
          <w:color w:val="000000"/>
          <w:sz w:val="24"/>
        </w:rPr>
        <w:t>RAP-SORT：适用于复杂场景的高级多对象跟踪</w:t>
      </w:r>
    </w:p>
    <w:p>
      <w:r>
        <w:rPr>
          <w:rFonts w:ascii="Times New Roman" w:hAnsi="Times New Roman" w:eastAsia="宋体"/>
          <w:b/>
          <w:color w:val="003264"/>
          <w:sz w:val="24"/>
        </w:rPr>
        <w:t>RAP-SORT: Advanced Multi-Object Tracking for complex scenarios</w:t>
      </w:r>
    </w:p>
    <w:p>
      <w:r>
        <w:rPr>
          <w:rFonts w:ascii="Times New Roman" w:hAnsi="Times New Roman" w:eastAsia="宋体"/>
          <w:sz w:val="21"/>
        </w:rPr>
        <w:t>作者: Unknown</w:t>
        <w:br/>
      </w:r>
      <w:r>
        <w:rPr>
          <w:rFonts w:ascii="Times New Roman" w:hAnsi="Times New Roman" w:eastAsia="宋体"/>
          <w:sz w:val="21"/>
        </w:rPr>
        <w:t xml:space="preserve">时间:  | </w:t>
      </w:r>
      <w:r>
        <w:t xml:space="preserve">链接: </w:t>
      </w:r>
      <w:hyperlink r:id="rId19">
        <w:r>
          <w:rPr>
            <w:rFonts w:ascii="Times New Roman" w:hAnsi="Times New Roman" w:eastAsia="宋体"/>
            <w:color w:val="0000FF"/>
            <w:sz w:val="21"/>
            <w:u w:val="single"/>
          </w:rPr>
          <w:t>https://www.sciencedirect.com/science/article/pii/S0141938226000247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【摘要未收录】新文章暂无数据库记录，请点击链接直达官网。</w:t>
      </w:r>
    </w:p>
    <w:p>
      <w:pPr>
        <w:spacing w:before="120"/>
      </w:pPr>
      <w:r>
        <w:rPr>
          <w:rFonts w:ascii="Times New Roman" w:hAnsi="Times New Roman" w:eastAsia="宋体"/>
          <w:b/>
          <w:sz w:val="21"/>
        </w:rPr>
        <w:t>English Abstract:</w:t>
      </w:r>
    </w:p>
    <w:p>
      <w:r>
        <w:rPr>
          <w:rFonts w:ascii="Times New Roman" w:hAnsi="Times New Roman" w:eastAsia="宋体"/>
          <w:sz w:val="21"/>
        </w:rPr>
        <w:t>[New Paper] Abstract not indexed yet. Please visit the official website.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Optics and Laser Technology</w:t>
      </w:r>
    </w:p>
    <w:p>
      <w:pPr>
        <w:jc w:val="center"/>
      </w:pPr>
      <w:r>
        <w:t>--- 更新: 00:28 ---</w:t>
      </w:r>
    </w:p>
    <w:p>
      <w:pPr>
        <w:pStyle w:val="Heading2"/>
      </w:pPr>
      <w:r/>
      <w:r>
        <w:rPr>
          <w:rFonts w:ascii="Times New Roman" w:hAnsi="Times New Roman" w:eastAsia="宋体"/>
          <w:b/>
          <w:color w:val="000000"/>
          <w:sz w:val="24"/>
        </w:rPr>
        <w:t>太赫兹成像技术研究进展及应用前景综述</w:t>
      </w:r>
    </w:p>
    <w:p>
      <w:r>
        <w:rPr>
          <w:rFonts w:ascii="Times New Roman" w:hAnsi="Times New Roman" w:eastAsia="宋体"/>
          <w:b/>
          <w:color w:val="003264"/>
          <w:sz w:val="24"/>
        </w:rPr>
        <w:t>A review of the research progress and application prospects of terahertz imaging technology</w:t>
      </w:r>
    </w:p>
    <w:p>
      <w:r>
        <w:rPr>
          <w:rFonts w:ascii="Times New Roman" w:hAnsi="Times New Roman" w:eastAsia="宋体"/>
          <w:sz w:val="21"/>
        </w:rPr>
        <w:t>作者: Unknown</w:t>
        <w:br/>
      </w:r>
      <w:r>
        <w:rPr>
          <w:rFonts w:ascii="Times New Roman" w:hAnsi="Times New Roman" w:eastAsia="宋体"/>
          <w:sz w:val="21"/>
        </w:rPr>
        <w:t xml:space="preserve">时间:  | </w:t>
      </w:r>
      <w:r>
        <w:t xml:space="preserve">链接: </w:t>
      </w:r>
      <w:hyperlink r:id="rId20">
        <w:r>
          <w:rPr>
            <w:rFonts w:ascii="Times New Roman" w:hAnsi="Times New Roman" w:eastAsia="宋体"/>
            <w:color w:val="0000FF"/>
            <w:sz w:val="21"/>
            <w:u w:val="single"/>
          </w:rPr>
          <w:t>https://www.sciencedirect.com/science/article/pii/S0030399226001283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【摘要未收录】新文章暂无数据库记录，请点击链接直达官网。</w:t>
      </w:r>
    </w:p>
    <w:p>
      <w:pPr>
        <w:spacing w:before="120"/>
      </w:pPr>
      <w:r>
        <w:rPr>
          <w:rFonts w:ascii="Times New Roman" w:hAnsi="Times New Roman" w:eastAsia="宋体"/>
          <w:b/>
          <w:sz w:val="21"/>
        </w:rPr>
        <w:t>English Abstract:</w:t>
      </w:r>
    </w:p>
    <w:p>
      <w:r>
        <w:rPr>
          <w:rFonts w:ascii="Times New Roman" w:hAnsi="Times New Roman" w:eastAsia="宋体"/>
          <w:sz w:val="21"/>
        </w:rPr>
        <w:t>[New Paper] Abstract not indexed yet. Please visit the official website.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Photonics Research</w:t>
      </w:r>
    </w:p>
    <w:p>
      <w:pPr>
        <w:jc w:val="center"/>
      </w:pPr>
      <w:r>
        <w:t>--- 更新: 06:27 ---</w:t>
      </w:r>
    </w:p>
    <w:p>
      <w:pPr>
        <w:pStyle w:val="Heading2"/>
      </w:pPr>
      <w:r/>
      <w:r>
        <w:rPr>
          <w:rFonts w:ascii="Times New Roman" w:hAnsi="Times New Roman" w:eastAsia="宋体"/>
          <w:b/>
          <w:color w:val="000000"/>
          <w:sz w:val="24"/>
        </w:rPr>
        <w:t>全面回顾基于石墨烯的自供电光电探测器的最新进展，以实现灵活和可持续的光子技术</w:t>
      </w:r>
    </w:p>
    <w:p>
      <w:r>
        <w:rPr>
          <w:rFonts w:ascii="Times New Roman" w:hAnsi="Times New Roman" w:eastAsia="宋体"/>
          <w:b/>
          <w:color w:val="003264"/>
          <w:sz w:val="24"/>
        </w:rPr>
        <w:t>A Comprehensive Review of Recent Advances in Graphene-Based Self-Powered Photodetectors for Flexible and Sustainable Photonic Technologies</w:t>
      </w:r>
    </w:p>
    <w:p>
      <w:r>
        <w:rPr>
          <w:rFonts w:ascii="Times New Roman" w:hAnsi="Times New Roman" w:eastAsia="宋体"/>
          <w:sz w:val="21"/>
        </w:rPr>
        <w:t>作者: Muhammad Sulaman, Ammarah Afzal, Muhammad Qasim, Shareen Shafique, Yang Wang, Chuanbo li, Xin Tang</w:t>
        <w:br/>
      </w:r>
      <w:r>
        <w:rPr>
          <w:rFonts w:ascii="Times New Roman" w:hAnsi="Times New Roman" w:eastAsia="宋体"/>
          <w:sz w:val="21"/>
        </w:rPr>
        <w:t xml:space="preserve">时间: 2026-01-23 | </w:t>
      </w:r>
      <w:r>
        <w:t xml:space="preserve">链接: </w:t>
      </w:r>
      <w:hyperlink r:id="rId21">
        <w:r>
          <w:rPr>
            <w:rFonts w:ascii="Times New Roman" w:hAnsi="Times New Roman" w:eastAsia="宋体"/>
            <w:color w:val="0000FF"/>
            <w:sz w:val="21"/>
            <w:u w:val="single"/>
          </w:rPr>
          <w:t>https://doi.org/10.1364/prj.577410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具有高制造公差的高性能宽带全电介质红外超表面吸收器的神经网络辅助设计</w:t>
      </w:r>
    </w:p>
    <w:p>
      <w:r>
        <w:rPr>
          <w:rFonts w:ascii="Times New Roman" w:hAnsi="Times New Roman" w:eastAsia="宋体"/>
          <w:b/>
          <w:color w:val="003264"/>
          <w:sz w:val="24"/>
        </w:rPr>
        <w:t>Neural Network Assisted Design of High-performance Broadband All-dielectric Infrared Metasurface Absorber with High Fabrication Tolerance</w:t>
      </w:r>
    </w:p>
    <w:p>
      <w:r>
        <w:rPr>
          <w:rFonts w:ascii="Times New Roman" w:hAnsi="Times New Roman" w:eastAsia="宋体"/>
          <w:sz w:val="21"/>
        </w:rPr>
        <w:t>作者: wenqian zhang, Ruoxin Fan, Yan Miao, Jinguo Chen, Youxin Chen, Qingkang WANG</w:t>
        <w:br/>
      </w:r>
      <w:r>
        <w:rPr>
          <w:rFonts w:ascii="Times New Roman" w:hAnsi="Times New Roman" w:eastAsia="宋体"/>
          <w:sz w:val="21"/>
        </w:rPr>
        <w:t xml:space="preserve">时间: 2026-01-23 | </w:t>
      </w:r>
      <w:r>
        <w:t xml:space="preserve">链接: </w:t>
      </w:r>
      <w:hyperlink r:id="rId22">
        <w:r>
          <w:rPr>
            <w:rFonts w:ascii="Times New Roman" w:hAnsi="Times New Roman" w:eastAsia="宋体"/>
            <w:color w:val="0000FF"/>
            <w:sz w:val="21"/>
            <w:u w:val="single"/>
          </w:rPr>
          <w:t>https://doi.org/10.1364/prj.584792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Nature Photonics</w:t>
      </w:r>
    </w:p>
    <w:p>
      <w:pPr>
        <w:jc w:val="center"/>
      </w:pPr>
      <w:r>
        <w:t>--- 更新: 06:27 ---</w:t>
      </w:r>
    </w:p>
    <w:p>
      <w:pPr>
        <w:pStyle w:val="Heading2"/>
      </w:pPr>
      <w:r/>
      <w:r>
        <w:rPr>
          <w:rFonts w:ascii="Times New Roman" w:hAnsi="Times New Roman" w:eastAsia="宋体"/>
          <w:b/>
          <w:color w:val="000000"/>
          <w:sz w:val="24"/>
        </w:rPr>
        <w:t>出版商更正：钙钛矿太阳能电池埋入界面处自发形成的二维钙钛矿增强了结晶均匀性和缺陷钝化</w:t>
      </w:r>
    </w:p>
    <w:p>
      <w:r>
        <w:rPr>
          <w:rFonts w:ascii="Times New Roman" w:hAnsi="Times New Roman" w:eastAsia="宋体"/>
          <w:b/>
          <w:color w:val="003264"/>
          <w:sz w:val="24"/>
        </w:rPr>
        <w:t>Publisher Correction: Spontaneous 2D perovskite formation at the buried interface of perovskite solar cells enhances crystallization uniformity and defect passivation</w:t>
      </w:r>
    </w:p>
    <w:p>
      <w:r>
        <w:rPr>
          <w:rFonts w:ascii="Times New Roman" w:hAnsi="Times New Roman" w:eastAsia="宋体"/>
          <w:sz w:val="21"/>
        </w:rPr>
        <w:t>作者: Yongsheng Liu</w:t>
        <w:br/>
      </w:r>
      <w:r>
        <w:rPr>
          <w:rFonts w:ascii="Times New Roman" w:hAnsi="Times New Roman" w:eastAsia="宋体"/>
          <w:sz w:val="21"/>
        </w:rPr>
        <w:t xml:space="preserve">时间:  | </w:t>
      </w:r>
      <w:r>
        <w:t xml:space="preserve">链接: </w:t>
      </w:r>
      <w:hyperlink r:id="rId25">
        <w:r>
          <w:rPr>
            <w:rFonts w:ascii="Times New Roman" w:hAnsi="Times New Roman" w:eastAsia="宋体"/>
            <w:color w:val="0000FF"/>
            <w:sz w:val="21"/>
            <w:u w:val="single"/>
          </w:rPr>
          <w:t>https://www.nature.com/articles/s41566-026-01853-y</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【摘要未收录】新文章暂无数据库记录，请点击链接直达官网。</w:t>
      </w:r>
    </w:p>
    <w:p>
      <w:pPr>
        <w:spacing w:before="120"/>
      </w:pPr>
      <w:r>
        <w:rPr>
          <w:rFonts w:ascii="Times New Roman" w:hAnsi="Times New Roman" w:eastAsia="宋体"/>
          <w:b/>
          <w:sz w:val="21"/>
        </w:rPr>
        <w:t>English Abstract:</w:t>
      </w:r>
    </w:p>
    <w:p>
      <w:r>
        <w:rPr>
          <w:rFonts w:ascii="Times New Roman" w:hAnsi="Times New Roman" w:eastAsia="宋体"/>
          <w:sz w:val="21"/>
        </w:rPr>
        <w:t>[New Paper] Abstract not indexed yet. Please visit the official website.</w:t>
      </w:r>
    </w:p>
    <w:p>
      <w:r>
        <w:rPr>
          <w:rFonts w:ascii="Times New Roman" w:hAnsi="Times New Roman" w:eastAsia="宋体"/>
          <w:sz w:val="21"/>
        </w:rPr>
        <w:t>__________________________________________________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21"/>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i.org/10.1109/tip.2026.3654892" TargetMode="External"/><Relationship Id="rId11" Type="http://schemas.openxmlformats.org/officeDocument/2006/relationships/hyperlink" Target="https://doi.org/10.1364/optica.586220" TargetMode="External"/><Relationship Id="rId12" Type="http://schemas.openxmlformats.org/officeDocument/2006/relationships/hyperlink" Target="https://doi.org/10.1364/ol.576900" TargetMode="External"/><Relationship Id="rId13" Type="http://schemas.openxmlformats.org/officeDocument/2006/relationships/hyperlink" Target="https://doi.org/10.1364/ol.585954" TargetMode="External"/><Relationship Id="rId14" Type="http://schemas.openxmlformats.org/officeDocument/2006/relationships/hyperlink" Target="https://doi.org/10.1364/ol.586227" TargetMode="External"/><Relationship Id="rId15" Type="http://schemas.openxmlformats.org/officeDocument/2006/relationships/hyperlink" Target="https://doi.org/10.1364/ol.585515" TargetMode="External"/><Relationship Id="rId16" Type="http://schemas.openxmlformats.org/officeDocument/2006/relationships/hyperlink" Target="https://doi.org/10.1364/ol.583514" TargetMode="External"/><Relationship Id="rId17" Type="http://schemas.openxmlformats.org/officeDocument/2006/relationships/hyperlink" Target="https://doi.org/10.1364/ol.586687" TargetMode="External"/><Relationship Id="rId18" Type="http://schemas.openxmlformats.org/officeDocument/2006/relationships/hyperlink" Target="https://doi.org/10.1002/adpr.202500200" TargetMode="External"/><Relationship Id="rId19" Type="http://schemas.openxmlformats.org/officeDocument/2006/relationships/hyperlink" Target="https://www.sciencedirect.com/science/article/pii/S0141938226000247" TargetMode="External"/><Relationship Id="rId20" Type="http://schemas.openxmlformats.org/officeDocument/2006/relationships/hyperlink" Target="https://www.sciencedirect.com/science/article/pii/S0030399226001283" TargetMode="External"/><Relationship Id="rId21" Type="http://schemas.openxmlformats.org/officeDocument/2006/relationships/hyperlink" Target="https://doi.org/10.1364/prj.577410" TargetMode="External"/><Relationship Id="rId22" Type="http://schemas.openxmlformats.org/officeDocument/2006/relationships/hyperlink" Target="https://doi.org/10.1364/prj.584792" TargetMode="External"/><Relationship Id="rId23" Type="http://schemas.openxmlformats.org/officeDocument/2006/relationships/hyperlink" Target="https://doi.org/10.1002/adpr.202500296" TargetMode="External"/><Relationship Id="rId24" Type="http://schemas.openxmlformats.org/officeDocument/2006/relationships/hyperlink" Target="https://doi.org/10.1002/adpr.202500245" TargetMode="External"/><Relationship Id="rId25" Type="http://schemas.openxmlformats.org/officeDocument/2006/relationships/hyperlink" Target="https://www.nature.com/articles/s41566-026-01853-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