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UHPFRC 干预瑞士网络桥梁管理的环境和经济效益</w:t>
      </w:r>
    </w:p>
    <w:p>
      <w:r>
        <w:rPr>
          <w:rFonts w:ascii="Times New Roman" w:hAnsi="Times New Roman" w:eastAsia="宋体"/>
          <w:b/>
          <w:color w:val="003264"/>
          <w:sz w:val="24"/>
        </w:rPr>
        <w:t>Environmental and economic benefits of UHPFRC intervention in bridge management for the Swiss network</w:t>
      </w:r>
    </w:p>
    <w:p>
      <w:r>
        <w:rPr>
          <w:rFonts w:ascii="Times New Roman" w:hAnsi="Times New Roman" w:eastAsia="宋体"/>
          <w:sz w:val="21"/>
        </w:rPr>
        <w:t>作者: Numa Bertola, Célia Küpfer, Eugen Brühwiler</w:t>
        <w:br/>
      </w:r>
      <w:r>
        <w:rPr>
          <w:rFonts w:ascii="Times New Roman" w:hAnsi="Times New Roman" w:eastAsia="宋体"/>
          <w:sz w:val="21"/>
        </w:rPr>
        <w:t xml:space="preserve">时间: 2026-02-04 | </w:t>
      </w:r>
      <w:r>
        <w:t xml:space="preserve">链接: </w:t>
      </w:r>
      <w:hyperlink r:id="rId10">
        <w:r>
          <w:rPr>
            <w:rFonts w:ascii="Times New Roman" w:hAnsi="Times New Roman" w:eastAsia="宋体"/>
            <w:color w:val="0000FF"/>
            <w:sz w:val="21"/>
            <w:u w:val="single"/>
          </w:rPr>
          <w:t>https://doi.org/10.1038/s41467-026-69103-x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该研究评估了瑞士使用超高性能纤维增强水泥基复合材料 (UHPFRC) 进行桥梁维护的情况，发现它对于 99.7% 的桥梁都是可行的，与传统方法相比，在 80 年内可能节省 770 万吨二氧化碳当量和 185 亿瑞士法郎。</w:t>
      </w:r>
    </w:p>
    <w:p>
      <w:pPr>
        <w:spacing w:before="120"/>
      </w:pPr>
      <w:r>
        <w:rPr>
          <w:rFonts w:ascii="Times New Roman" w:hAnsi="Times New Roman" w:eastAsia="宋体"/>
          <w:b/>
          <w:sz w:val="21"/>
        </w:rPr>
        <w:t>English Abstract:</w:t>
      </w:r>
    </w:p>
    <w:p>
      <w:r>
        <w:rPr>
          <w:rFonts w:ascii="Times New Roman" w:hAnsi="Times New Roman" w:eastAsia="宋体"/>
          <w:sz w:val="21"/>
        </w:rPr>
        <w:t>The study evaluates using ultra-high-performance fiber-reinforced cementitious composite (UHPFRC) for bridge maintenance in Switzerland, finding it feasible for 99.7% of bridges, potentially saving 7.7 million tons of CO2 equivalent and 18.5 billion Swiss francs over 80 years compared to traditional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基于实验的聚合物模型揭示了基因组位点的高分辨率组织</w:t>
      </w:r>
    </w:p>
    <w:p>
      <w:r>
        <w:rPr>
          <w:rFonts w:ascii="Times New Roman" w:hAnsi="Times New Roman" w:eastAsia="宋体"/>
          <w:b/>
          <w:color w:val="003264"/>
          <w:sz w:val="24"/>
        </w:rPr>
        <w:t>An experimentally-informed polymer model reveals high resolution organization of genomic loci</w:t>
      </w:r>
    </w:p>
    <w:p>
      <w:r>
        <w:rPr>
          <w:rFonts w:ascii="Times New Roman" w:hAnsi="Times New Roman" w:eastAsia="宋体"/>
          <w:sz w:val="21"/>
        </w:rPr>
        <w:t>作者: Rahul Mittal, Dieter W. Heermann, Arnab Bhattacherjee</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https://doi.org/10.1038/s41467-026-68928-w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因表达模式受基因组的层次结构控制。利用基于聚合物物理的模型和实验成像技术，人们进行了大量的努力，试图阐明染色质纤维的结构与功能关系。然而，染色质组织的多尺度性质带来了重大挑战。在这里，我们提出了一种基于实验的、基于聚合物物理的模型，能够通过整合低分辨率接触数据与 MNase 衍生的核小体定位信息来重建染色质结构整体。我们将我们的方法应用于多个人类基因组位点。我们的分析显示了与活性和非活性染色质状态相关的独特结构特征，为基因组组织和转录活性之间的关系提供了见解。这些发现为理解基因组结构与功能关系提供了一个框架。</w:t>
      </w:r>
    </w:p>
    <w:p>
      <w:pPr>
        <w:spacing w:before="120"/>
      </w:pPr>
      <w:r>
        <w:rPr>
          <w:rFonts w:ascii="Times New Roman" w:hAnsi="Times New Roman" w:eastAsia="宋体"/>
          <w:b/>
          <w:sz w:val="21"/>
        </w:rPr>
        <w:t>English Abstract:</w:t>
      </w:r>
    </w:p>
    <w:p>
      <w:r>
        <w:rPr>
          <w:rFonts w:ascii="Times New Roman" w:hAnsi="Times New Roman" w:eastAsia="宋体"/>
          <w:sz w:val="21"/>
        </w:rPr>
        <w:t>Abstract Gene expression patterns are governed by the hierarchical organization of the genome. Numerous efforts, leveraging both polymer physics-based models and experimental imaging technologies, have sought to elucidate the structure-function relationship of chromatin fibers. However, a major challenge is posed by the multi-scale nature of chromatin organization. Here, we present an experimentally informed, polymer physics-based model capable of reconstructing chromatin structural ensembles by integrating low-resolution contact data with MNase-derived nucleosome positioning information. We apply our approach to multiple human genomic loci. Our analysis shows distinct structural features associated with active and inactive chromatin states, providing insights into the relationship between genomic organization and transcriptional activity. These findings offer a framework for understanding genome structure-function relationships.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欧亚急流轴上下游地带一致性变化破纪录出现</w:t>
      </w:r>
    </w:p>
    <w:p>
      <w:r>
        <w:rPr>
          <w:rFonts w:ascii="Times New Roman" w:hAnsi="Times New Roman" w:eastAsia="宋体"/>
          <w:b/>
          <w:color w:val="003264"/>
          <w:sz w:val="24"/>
        </w:rPr>
        <w:t>Record-breaking emergence of upstream-downstream zonal-consistent variation in the Eurasian jet axis</w:t>
      </w:r>
    </w:p>
    <w:p>
      <w:r>
        <w:rPr>
          <w:rFonts w:ascii="Times New Roman" w:hAnsi="Times New Roman" w:eastAsia="宋体"/>
          <w:sz w:val="21"/>
        </w:rPr>
        <w:t>作者: Lifei Lin, Chundi Hu, Dake Chen, Renguang Wu, Tao Lian, Quanliang Chen, Zeming Wu, Song Yang</w:t>
        <w:br/>
      </w:r>
      <w:r>
        <w:rPr>
          <w:rFonts w:ascii="Times New Roman" w:hAnsi="Times New Roman" w:eastAsia="宋体"/>
          <w:sz w:val="21"/>
        </w:rPr>
        <w:t xml:space="preserve">时间: 2026-02-04 | </w:t>
      </w:r>
      <w:r>
        <w:t xml:space="preserve">链接: </w:t>
      </w:r>
      <w:hyperlink r:id="rId27">
        <w:r>
          <w:rPr>
            <w:rFonts w:ascii="Times New Roman" w:hAnsi="Times New Roman" w:eastAsia="宋体"/>
            <w:color w:val="0000FF"/>
            <w:sz w:val="21"/>
            <w:u w:val="single"/>
          </w:rPr>
          <w:t>https://doi.org/10.1038/s41467-026-68772-y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欧亚地区的天气/气候极端事件通常与高层西风急流的蜿蜒和/或纬度变化有很大关系，但欧亚急流轴上下游纬向一致性（UDZC）的变化和影响却鲜为人知。在这里，我们报告了过去两到三十年中破纪录的增强型 UDZC 的出现。特别是上下游协方差从&lt;10%​​增加到&gt;60%，欧亚对流层上层西风异常以欧亚急流强度变化模式为主，促使亚洲和太平洋副热带高压发生大规模相互作用，从而引起欧亚大陆环流和气候异常分布格局的巨变。这种大范围的环流调整还伴随着环全球丝绸之路遥相关，即纬向波数为6的罗斯贝波列，它起源于东北大西洋，将亚洲气候与西欧和北美的热浪和干旱条件联系起来。气候模型模拟表明，随着北部中纬度地区变暖变得更加明显，UDZC将进一步加剧。我们的研究结果强调，欧亚急流轴上增强的UDZC的出现能够引发行星规模的极端气候，甚至遍及整个北半球，从而造成更严重的气候威胁。</w:t>
      </w:r>
    </w:p>
    <w:p>
      <w:pPr>
        <w:spacing w:before="120"/>
      </w:pPr>
      <w:r>
        <w:rPr>
          <w:rFonts w:ascii="Times New Roman" w:hAnsi="Times New Roman" w:eastAsia="宋体"/>
          <w:b/>
          <w:sz w:val="21"/>
        </w:rPr>
        <w:t>English Abstract:</w:t>
      </w:r>
    </w:p>
    <w:p>
      <w:r>
        <w:rPr>
          <w:rFonts w:ascii="Times New Roman" w:hAnsi="Times New Roman" w:eastAsia="宋体"/>
          <w:sz w:val="21"/>
        </w:rPr>
        <w:t>Abstract Eurasian weather/climate extremes are often considerably linked to the meandering and/or latitudinal shifts of upper-level westerly jet, but the variation and impact of the upstream-downstream zonal consistency (UDZC) in the Eurasian jet axis are less known. Here we report a record-breaking emergence of an enhanced UDZC during the past two-to-three decades. In particular, the upstream-downstream covariance has increased from &lt;10% to &gt;60%, with the Eurasian upper-tropospheric westerly wind anomalies dominated by the Eurasian jet intensity change mode, which prompts a large-scale interplay between Asian and Pacific subtropical highs and thereby induces mega-shifts in the distribution patterns of circulation and climate anomalies across Eurasia. Such large-range circulation adjustments are also accompanied by a circumglobal Silk Road teleconnection, a Rossby wavetrain with zonal wavenumber 6, which originates from the Northeast Atlantic and connects Asian climate with western Europe and North America heatwave and drought conditions. Climate model simulations suggest that the UDZC would further intensify as the northern mid-latitude warming becomes more pronounced. Our results highlight that the emergence of enhancing UDZC in the Eurasian jet axis is capable of triggering planetary-scale climate extremes even across the whole Northern Hemisphere, imposing more serious climate threats.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利用深度学习进行低碘、低辐射 CTPA 分类，增强诊断安全性</w:t>
      </w:r>
    </w:p>
    <w:p>
      <w:r>
        <w:rPr>
          <w:rFonts w:ascii="Times New Roman" w:hAnsi="Times New Roman" w:eastAsia="宋体"/>
          <w:b/>
          <w:color w:val="003264"/>
          <w:sz w:val="24"/>
        </w:rPr>
        <w:t>Enhancing diagnostic safety with low iodine, low radiation CTPA classification using deep learning</w:t>
      </w:r>
    </w:p>
    <w:p>
      <w:r>
        <w:rPr>
          <w:rFonts w:ascii="Times New Roman" w:hAnsi="Times New Roman" w:eastAsia="宋体"/>
          <w:sz w:val="21"/>
        </w:rPr>
        <w:t>作者: Mingyao Hong, Tao Gu, Hongyu An, Xu Fan, Xinfeng Zhang</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https://doi.org/10.1038/s41598-026-38223-1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肺栓塞 (PE) 是一种危及生命的疾病，计算机断层扫描肺血管造影 (CTPA) 是标准诊断方式。然而，传统的 CTPA 方案需要相对较高的碘对比和辐射剂量，引起了对肾损伤和辐射暴露的担忧。在这项研究中，我们提出了一种基于深度学习的低碘和低辐射 CTPA 条件下 PE 诊断框架。所提出的两阶段框架通过联合利用原始低曝光图像及其超分辨率对应图像来集成图像增强和分类。我们进一步构建并公开发布与临床机构合作开发的低碘、低辐射 CTPA 数据集，以支持安全成像的可重复研究。实验结果表明，与单分支基线相比，所提出的方法显着提高了诊断性能，实现了 0.928 的 ROC 曲线下面积 (AUC)，同时保持平衡的敏感性和特异性。这些发现表明，所提出的框架能够在降低对比度和辐射暴露的情况下实现准确、更安全的 PE 诊断，为提高临床 CTPA 成像的诊断安全性提供实用的解决方案。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Pulmonary embolism (PE) is a life-threatening condition for which computed tomography pulmonary angiography (CTPA) is the standard diagnostic modality. However, conventional CTPA protocols require relatively high iodine contrast and radiation doses, raising concerns about renal injury and radiation exposure. In this study, we propose a deep learning-based framework for PE diagnosis under low-iodine and low-radiation CTPA conditions. The proposed two-stage framework integrates image enhancement and classification by jointly leveraging original low-exposure images and their super-resolved counterparts. We further construct and publicly release a low-iodine, low-radiation CTPA dataset developed in collaboration with a clinical institution to support reproducible research in safe imaging. Experimental results demonstrate that the proposed method substantially improves diagnostic performance compared with single-branch baselines, achieving an area under the ROC curve (AUC) of 0.928 while maintaining balanced sensitivity and specificity. These findings suggest that the proposed framework enables accurate and safer PE diagnosis under reduced contrast and radiation exposure, offering a practical solution for improving diagnostic safety in clinical CTPA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YOLO 架构利用不同色域的实时工业安全自动化</w:t>
      </w:r>
    </w:p>
    <w:p>
      <w:r>
        <w:rPr>
          <w:rFonts w:ascii="Times New Roman" w:hAnsi="Times New Roman" w:eastAsia="宋体"/>
          <w:b/>
          <w:color w:val="003264"/>
          <w:sz w:val="24"/>
        </w:rPr>
        <w:t>A real-time industrial safety automation using YOLO architectures leveraging diverse chromatic domains</w:t>
      </w:r>
    </w:p>
    <w:p>
      <w:r>
        <w:rPr>
          <w:rFonts w:ascii="Times New Roman" w:hAnsi="Times New Roman" w:eastAsia="宋体"/>
          <w:sz w:val="21"/>
        </w:rPr>
        <w:t>作者: Natasha Pati, Atul Sharma, Mahendra Kumar Gourisaria, Junali Jasmine Jena, Amitkumar V. Jha, Bhargav Appasani, Nicu Bizon</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https://doi.org/10.1038/s41598-026-37869-1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计算机视觉的重要组成部分，具有广泛的工业应用。它涉及识别和定位图像或视频帧内的对象，通过为检测到的对象提供边界框来超越简单的图像分类。在这项工作中，作者使用实时方法在焊接缺陷数据集上评估 YOLO 对象检测模型，并使用跨不同色域的多光谱方法。具体来说，使用多个颜色空间（RGB、HSV、LAB 和 YCbCr）分析 YOLOv3、YOLOv5 和 YOLOv8 的性能。检查颜色表示如何影响检测结果。 YOLO 的统一架构优化了速度和准确性，使其非常适合实时工业安全应用。结果表明，与之前使用 RGB 颜色空间的版本相比，YOLOv8 在准确性和推理速度方面都有显着提高。使用 RGB 颜色空间实现了 0.592 的归一化 mAP@0.5，凸显了 YOLOv8 在不同视觉条件下挑战性检测任务中的有效性。该模型的轻量级结构和计算效率使其非常适合各种工业环境中的实时焊接缺陷检测，这一点已使用实时框架进行了演示。</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of computer vision with extensive industrial applications. It involves identifying and localizing objects within an image or video frame, surpassing simple image classification by providing bounding boxes for detected objects. In this work, authors used a real-time approach for evaluating YOLO object detection models on a welding defect dataset, using a multispectral approach across diverse chromatic domains. Specifically, the performance of YOLOv3, YOLOv5, and YOLOv8 is analyzed using multiple color spaces—RGB, HSV, LAB, and YCbCr. To examine how color representation affects detection outcomes. YOLO’s unified architecture optimizes both speed and accuracy, making it well-suited for real-time industrial safety applications. The results indicate that YOLOv8 demonstrates significant improvements in both accuracy and inference speed over previous versions using RGB color space. A normalized mAP@0.5 of 0.592 was achieved using the RGB color space, highlighting YOLOv8’s effectiveness in challenging detection tasks under varying visual conditions. The model’s lightweight structure and computational efficiency make it an excellent fit for real-time welding defect detection in diverse industrial environments which has been demonstrated using a real-time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15年来棕熊对意大利东北部农牧业活动的损害模式</w:t>
      </w:r>
    </w:p>
    <w:p>
      <w:r>
        <w:rPr>
          <w:rFonts w:ascii="Times New Roman" w:hAnsi="Times New Roman" w:eastAsia="宋体"/>
          <w:b/>
          <w:color w:val="003264"/>
          <w:sz w:val="24"/>
        </w:rPr>
        <w:t>Patterns of brown bear damages to agro-livestock activities in North-Eastern Italy across 15 years</w:t>
      </w:r>
    </w:p>
    <w:p>
      <w:r>
        <w:rPr>
          <w:rFonts w:ascii="Times New Roman" w:hAnsi="Times New Roman" w:eastAsia="宋体"/>
          <w:sz w:val="21"/>
        </w:rPr>
        <w:t>作者: Marcello Franchini, Salvatore Raniolo, Mirco Corazzin, Paolo Zanghellini, Natalia Bragalanti, Stefano Bovolenta</w:t>
        <w:br/>
      </w:r>
      <w:r>
        <w:rPr>
          <w:rFonts w:ascii="Times New Roman" w:hAnsi="Times New Roman" w:eastAsia="宋体"/>
          <w:sz w:val="21"/>
        </w:rPr>
        <w:t xml:space="preserve">时间: 2026-02-04 | </w:t>
      </w:r>
      <w:r>
        <w:t xml:space="preserve">链接: </w:t>
      </w:r>
      <w:hyperlink r:id="rId28">
        <w:r>
          <w:rPr>
            <w:rFonts w:ascii="Times New Roman" w:hAnsi="Times New Roman" w:eastAsia="宋体"/>
            <w:color w:val="0000FF"/>
            <w:sz w:val="21"/>
            <w:u w:val="single"/>
          </w:rPr>
          <w:t>https://doi.org/10.1038/s41598-026-38371-4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牲畜的捕食以及对农田和蜂箱的破坏是共享景观中人熊冲突的一些主要驱动因素。在意大利东北部阿尔卑斯山，唯一的棕熊 Ursus arctos 繁殖种群持续存在于特伦托自治省，通过 LIFE Ursus 计划（1999-2004）重新引入，而在弗留利·威尼斯朱利亚 (FVG)，每年很少发现分散的雄性。这两个地区均报告主要对人类住区附近的农牧业活动造成损害。本研究的目的是：(i) 使用 15 年的索赔数据描述与熊相关的对牲畜（被捕食、受伤和失踪个体的总和）、农业、蜂箱和结构的损害； ㈡ 评估人类住区附近损害的时间趋势； (iii) 评估损害的空间扩展。我们分析了特伦托自治省和 FVG 2009 年至 2023 年的官方赔偿索赔。广义相加模型评估邻近趋势，同时使用基于 5 × 5 公里网格的热点分析来分析空间扩展。调查结果显示，多年来，牲畜和结构性破坏发生在距离人类住区更近的地方；但仅在特伦托自治省观察到损害在空间上显着扩大。结果强调需要有效预防以减少冲突并支持人与熊共存。</w:t>
      </w:r>
    </w:p>
    <w:p>
      <w:pPr>
        <w:spacing w:before="120"/>
      </w:pPr>
      <w:r>
        <w:rPr>
          <w:rFonts w:ascii="Times New Roman" w:hAnsi="Times New Roman" w:eastAsia="宋体"/>
          <w:b/>
          <w:sz w:val="21"/>
        </w:rPr>
        <w:t>English Abstract:</w:t>
      </w:r>
    </w:p>
    <w:p>
      <w:r>
        <w:rPr>
          <w:rFonts w:ascii="Times New Roman" w:hAnsi="Times New Roman" w:eastAsia="宋体"/>
          <w:sz w:val="21"/>
        </w:rPr>
        <w:t>Livestock predations along with damages to croplands and beehives, are some of the main drivers of human-bear conflicts in shared landscapes. In the North-Eastern Italian Alps, the only brown bear Ursus arctos breeding population persists in the Autonomous Province of Trento, reintroduced via the LIFE Ursus program (1999–2004), while in Friuli Venezia Giulia (FVG) few dispersing males are detected annually. Both areas report damages mainly to agro-livestock activities near human settlements. This study aimed to: (i) describe bear-related damages to livestock (sum of preyed, injured, and missing individuals), agriculture, beehives, and structures using 15 years of claims data; (ii) assess temporal trends in damages near human settlements; and (iii) evaluate the spatial expansion of damages. We analysed official compensation claims from 2009 to 2023 in the Autonomous Province of Trento and FVG. Generalized Additive Models assessed proximity trends, while spatial expansion was analysed using 5 × 5 km grid-based hotspot analysis. Findings revealed that livestock and structural damages occurred significantly closer to human settlements across years; but a significant spatial expansion of damages was observed only in the Autonomous Province of Trento. Results highlight the need for effective prevention to reduce conflicts and support human-bear coexistence.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使用光学相干断层扫描血管造影诊断帕金森病的整体机器学习分类器</w:t>
      </w:r>
    </w:p>
    <w:p>
      <w:r>
        <w:rPr>
          <w:rFonts w:ascii="Times New Roman" w:hAnsi="Times New Roman" w:eastAsia="宋体"/>
          <w:b/>
          <w:color w:val="003264"/>
          <w:sz w:val="24"/>
        </w:rPr>
        <w:t>An ensemble machine learning classifier for Parkinson’s disease diagnosis using optical coherence tomography angiography</w:t>
      </w:r>
    </w:p>
    <w:p>
      <w:r>
        <w:rPr>
          <w:rFonts w:ascii="Times New Roman" w:hAnsi="Times New Roman" w:eastAsia="宋体"/>
          <w:sz w:val="21"/>
        </w:rPr>
        <w:t>作者: MohammadReza Hasanshahi, Alireza Mehdizadeh, Tahereh Mahmoudi, Vahid Reza Ostovan, M. Hossein Nowroozzadeh, Hossein Parsaei</w:t>
        <w:br/>
      </w:r>
      <w:r>
        <w:rPr>
          <w:rFonts w:ascii="Times New Roman" w:hAnsi="Times New Roman" w:eastAsia="宋体"/>
          <w:sz w:val="21"/>
        </w:rPr>
        <w:t xml:space="preserve">时间: 2026-02-04 | </w:t>
      </w:r>
      <w:r>
        <w:t xml:space="preserve">链接: </w:t>
      </w:r>
      <w:hyperlink r:id="rId29">
        <w:r>
          <w:rPr>
            <w:rFonts w:ascii="Times New Roman" w:hAnsi="Times New Roman" w:eastAsia="宋体"/>
            <w:color w:val="0000FF"/>
            <w:sz w:val="21"/>
            <w:u w:val="single"/>
          </w:rPr>
          <w:t>https://doi.org/10.1038/s41598-026-38407-9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帕金森病（PD）是全球增长最快的神经退行性疾病，但由于缺乏可靠的生物标志物，其早期诊断仍然是一个重大挑战。新的证据表明，可通过光学相干断层扫描血管造影 (OCTA) 检测到的视网膜微血管改变可能作为 PD 的有前途的非侵入性生物标志物。然而，早期 PD 缺乏明确的诊断测试突显了迫切需要客观、非侵入性的工具来促进及时检测和干预。在这项回顾性研究中，从 53 名 PD 患者和 39 名健康对照中获得了 OCTA 图像。对浅表血管复合体 (SVC) 和深层血管复合体 (DVC) 进行分割，以提取 22 个定量特征，包括中心凹无血管区 (FAZ) 描述符和血管密度测量值。采用基于患者的交叉验证策略将数据集划分为训练集、验证集和独立测试集，确保来自同一个体的数据不会出现在多个子集中。为了降低维度并增强泛化性，我们应用了使用单变量特征选择、递归特征消除和随机森林特征重要性的组合特征选择框架。然后对多种机器学习算法进行训练和优化，将性能最佳的分类器（XGBoost、随机森林和 K 最近邻）集成到加权集成模型中。集成方法优于单个分类器，在独立保留测试集上实现了 74.28% 的准确度、90% 的灵敏度、53.33% 的特异性和 0.75 的 AUC 。特征分析表明，形态描述符（形状因子、凸度、坚固度、圆度）和血管密度参数（包括血管面积密度（VAD）和血管骨架密度（VSD））对模型性能有很大贡献。开发了图形用户界面（PDAI – 帕金森病人工智能）以促进临床采用，实现交互式预处理、特征可视化和自动预测。我们的研究结果提供了一个有前景的非侵入性框架来支持 PD 分类和筛查，值得在更大的多中心队列中进行进一步验证。</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(PD) is the fastest-growing neurodegenerative disorder worldwide, yet its early diagnosis remains a major challenge due to the absence of reliable biomarkers. Emerging evidence indicates that retinal microvascular alterations, detectable through Optical Coherence Tomography Angiography (OCTA), may serve as promising non-invasive biomarkers for PD. However, the lack of definitive diagnostic tests for early-stage PD underscores an urgent need for objective, non-invasive tools to facilitate timely detection and intervention. In this retrospective study, OCTA images were obtained from 53 PD patients and 39 healthy controls. Both the superficial vascular complex (SVC) and deep vascular complex (DVC) were segmented to extract 22 quantitative features, including foveal avascular zone (FAZ) descriptors and vascular density measures. A patient-based cross-validation strategy was employed to partition the dataset into training, validation, and independent test sets, ensuring that data from the same individual did not appear across multiple subsets. To reduce dimensionality and enhance generalizability, we applied a combined feature selection framework using Univariate Feature Selection, Recursive Feature Elimination, and Random Forest Feature Importance. Multiple machine learning algorithms were then trained and optimized, with the best-performing classifiers (XGBoost, Random Forest, and K-Nearest Neighbors) integrated into a weighted ensemble model. The ensemble approach outperformed individual classifiers, achieving an accuracy of 74.28%, sensitivity of 90%, specificity of 53.33%, and an AUC of 0.75 on the independent hold-out test set. Feature analysis revealed that both morphological descriptors (form factor, convexity, solidity, roundness) and vascular density parameters, including vessel area density (VAD) and vessel skeleton density (VSD) contributed strongly to model performance. A graphical user interface (PDAI – Parkinson’s Disease Artificial Intelligence) was developed to facilitate clinical adoption, enabling interactive preprocessing, feature visualization, and automated prediction. Our findings provide a promising and non-invasive framework to support PD classification and screening, warranting further validation in larger and multi-center cohorts.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辫状河河段堤防管理策略的洪峰衰减有效性评估：以黄河下游为例</w:t>
      </w:r>
    </w:p>
    <w:p>
      <w:r>
        <w:rPr>
          <w:rFonts w:ascii="Times New Roman" w:hAnsi="Times New Roman" w:eastAsia="宋体"/>
          <w:b/>
          <w:color w:val="003264"/>
          <w:sz w:val="24"/>
        </w:rPr>
        <w:t>Evaluating flood peak attenuation effectiveness of levee management strategies in braided river reaches: a case study of the lower Yellow River</w:t>
      </w:r>
    </w:p>
    <w:p>
      <w:r>
        <w:rPr>
          <w:rFonts w:ascii="Times New Roman" w:hAnsi="Times New Roman" w:eastAsia="宋体"/>
          <w:sz w:val="21"/>
        </w:rPr>
        <w:t>作者: Jian Chen, Luyao Zhang, Haizhou Wang</w:t>
        <w:br/>
      </w:r>
      <w:r>
        <w:rPr>
          <w:rFonts w:ascii="Times New Roman" w:hAnsi="Times New Roman" w:eastAsia="宋体"/>
          <w:sz w:val="21"/>
        </w:rPr>
        <w:t xml:space="preserve">时间: 2026-02-04 | </w:t>
      </w:r>
      <w:r>
        <w:t xml:space="preserve">链接: </w:t>
      </w:r>
      <w:hyperlink r:id="rId30">
        <w:r>
          <w:rPr>
            <w:rFonts w:ascii="Times New Roman" w:hAnsi="Times New Roman" w:eastAsia="宋体"/>
            <w:color w:val="0000FF"/>
            <w:sz w:val="21"/>
            <w:u w:val="single"/>
          </w:rPr>
          <w:t>https://doi.org/10.1038/s41598-026-38415-9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以黄河下游辫状河为研究对象，分析了不同重现期（5年一遇、10年一遇、100年一遇）下宽堤间距和窄堤间距两种人工堤坝治理方案对洪峰衰减和空间分布的影响。结果表明，两种方案均显着降低了洪峰流量，且衰减幅度随着洪水重现期的延长而增大。宽堤间距方案在极端洪水条件下表现出优异的减峰性能，在100年一遇洪水期间，最大减峰量为985.6 m3/s，平均减峰量为342.02 m3/s，但伴随着水位上升0.57~1.14 m。窄堤间距方案位居第二，最大减量为669.51 m3/s，平均减量为290.32 m3/s，水位上升0.66~1.45 m。从空间上看，堤坝方案可能会略微增加上游断面（如大柳寺）的洪峰流量，而在下游断面（如宝城）实现显着减少。宽堤距方案更适合应对高洪水风险，特别是在极端洪水情况下，而窄堤距方案更适合适度防洪、平衡洪峰衰减和上下游流量分配。该研究为辫状河河段防洪及优化设计提供科学依据。</w:t>
      </w:r>
    </w:p>
    <w:p>
      <w:pPr>
        <w:spacing w:before="120"/>
      </w:pPr>
      <w:r>
        <w:rPr>
          <w:rFonts w:ascii="Times New Roman" w:hAnsi="Times New Roman" w:eastAsia="宋体"/>
          <w:b/>
          <w:sz w:val="21"/>
        </w:rPr>
        <w:t>English Abstract:</w:t>
      </w:r>
    </w:p>
    <w:p>
      <w:r>
        <w:rPr>
          <w:rFonts w:ascii="Times New Roman" w:hAnsi="Times New Roman" w:eastAsia="宋体"/>
          <w:sz w:val="21"/>
        </w:rPr>
        <w:t>This study focuses on the braided river of the lower Yellow River, analyzing the effects of two artificial levee management schemes—wide levee spacing and narrow levee spacing—on flood peak attenuation and spatial distribution under different return periods (5-year, 10-year, and 100-year floods). The results demonstrate that both schemes significantly reduce flood peak discharges, with the attenuation magnitude increasing as the flood return period becomes longer. The wide levee spacing scheme exhibits superior peak reduction performance under extreme flood conditions, achieving a maximum reduction of 985.6 m3/s and an average reduction of 342.02 m3/s during the 100-year flood event, though accompanied by a water level rise of 0.57–1.14 m. The narrow levee spacing scheme ranks second, with a maximum reduction of 669.51 m3/s and an average reduction of 290.32 m3/s, with water levels rising by 0.66–1.45 m. Spatially, the levee schemes may slightly increase peak discharge at upstream sections (e.g., Daliusi) while achieving significant reductions at downstream sections (e.g., Baocheng). The wide levee spacing scheme is more suitable for addressing high flood risks, particularly in extreme flood scenarios, while the narrow levee spacing scheme is better suited for moderate flood control, balancing peak attenuation and upstream-downstream flow distribution. This study provides a scientific basis for flood control and optimization design in braided river reaches.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人工智能与多学科团队建议在结直肠癌肝转移管理中的比较</w:t>
      </w:r>
    </w:p>
    <w:p>
      <w:r>
        <w:rPr>
          <w:rFonts w:ascii="Times New Roman" w:hAnsi="Times New Roman" w:eastAsia="宋体"/>
          <w:b/>
          <w:color w:val="003264"/>
          <w:sz w:val="24"/>
        </w:rPr>
        <w:t>Comparison of artificial intelligence and multidisciplinary team recommendations in the management of colorectal cancer liver metastases</w:t>
      </w:r>
    </w:p>
    <w:p>
      <w:r>
        <w:rPr>
          <w:rFonts w:ascii="Times New Roman" w:hAnsi="Times New Roman" w:eastAsia="宋体"/>
          <w:sz w:val="21"/>
        </w:rPr>
        <w:t>作者: Mustafa Yılmaz, Najmaddın Abbaslı, Simge Tuna, Uğfe Kuyucuoğlu, Cumhur Özcan, Hilmi Bozkurt, Tahsin Çolak</w:t>
        <w:br/>
      </w:r>
      <w:r>
        <w:rPr>
          <w:rFonts w:ascii="Times New Roman" w:hAnsi="Times New Roman" w:eastAsia="宋体"/>
          <w:sz w:val="21"/>
        </w:rPr>
        <w:t xml:space="preserve">时间: 2026-02-04 | </w:t>
      </w:r>
      <w:r>
        <w:t xml:space="preserve">链接: </w:t>
      </w:r>
      <w:hyperlink r:id="rId31">
        <w:r>
          <w:rPr>
            <w:rFonts w:ascii="Times New Roman" w:hAnsi="Times New Roman" w:eastAsia="宋体"/>
            <w:color w:val="0000FF"/>
            <w:sz w:val="21"/>
            <w:u w:val="single"/>
          </w:rPr>
          <w:t>https://doi.org/10.1038/s41598-026-38449-z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多学科团队 (MDT) 是结直肠癌肝转移 (CRCLM) 治疗计划的核心，但需要时间和持续获得专业知识。基于聊天的大型语言模型 (LLM)（例如 ChatGPT）可以根据书面临床摘要生成建议；然而，它们与 CRCLM 中 MDT 决策的一致性尚不明确。我们对 MDT 中讨论的 30 个连续 CRCLM 病例进行了单中心回顾性一致性研究。 ChatGPT 获得了标准化匿名文本概要（没有直接成像访问），并要求在两个先验条件下提供管理建议：（1）仅基线概要，以及（2）明确指定可切除性状态的条件查询。每个案例和条件都使用相同的提示在单独的会话中独立查询三次；产出被映射到预定义的管理类别。最终 LLM 建议与 MDT 决策之间的一致性是使用一致性百分比和 Cohen 的 kappa 进行评估的。在重复运行中，LLM 在所有情况下为两个查询条件分配相同的管理类别（模型内一致性 100%，3/3）。在基线条件下，与 MDT 决策的一致性为 66.7%（20/30；Cohen’s kappa = 0.606，中等一致性）。在有条件可切除性指定条件下，一致性为 93.3%（28/30；Cohen’s kappa = 0.924，非常好的一致性）。基线不一致病例的特点是保守的模型输出，包括全身治疗和/或额外诊断检查的建议；在确定可切除性后，只有两例仍不一致。基于聊天的法学硕士显示出与来自最少病例摘要的一致 MDT 建议的中等一致性，并且在明确指定可切除状态时显示出非常好的一致性。这些发现支持作为监督决策支持辅助手段的可行性，但并未确定临床益处；需要基于预期结果的验证。</w:t>
      </w:r>
    </w:p>
    <w:p>
      <w:pPr>
        <w:spacing w:before="120"/>
      </w:pPr>
      <w:r>
        <w:rPr>
          <w:rFonts w:ascii="Times New Roman" w:hAnsi="Times New Roman" w:eastAsia="宋体"/>
          <w:b/>
          <w:sz w:val="21"/>
        </w:rPr>
        <w:t>English Abstract:</w:t>
      </w:r>
    </w:p>
    <w:p>
      <w:r>
        <w:rPr>
          <w:rFonts w:ascii="Times New Roman" w:hAnsi="Times New Roman" w:eastAsia="宋体"/>
          <w:sz w:val="21"/>
        </w:rPr>
        <w:t>Multidisciplinary teams (MDTs) are central to treatment planning for colorectal cancer liver metastases (CRCLM) but require time and consistent access to expertise. Chat-based large language models (LLMs) such as ChatGPT can generate recommendations from written clinical summaries; however, their concordance with MDT decisions in CRCLM is not well characterized. We conducted a single-center retrospective concordance study of 30 consecutive CRCLM cases discussed at an MDT. ChatGPT was provided a standardized anonymized text synopsis (without direct imaging access) and asked for management recommendations under two a priori conditions: (1) baseline synopsis only, and (2) a conditional query in which resectability status was explicitly specified. Each case and condition was queried three independent times in separate sessions using identical prompts; outputs were mapped to predefined management categories. Agreement between the final LLM recommendation and MDT decisions was assessed using percent agreement and Cohen’s kappa. Across repeated runs, the LLM assigned the same management category in all cases (within-model consistency 100%, 3/3) for both querying conditions. In the baseline condition, agreement with MDT decisions was 66.7% (20/30; Cohen’s kappa = 0.606, moderate agreement). In the conditional resectability-specified condition, agreement was 93.3% (28/30; Cohen’s kappa = 0.924, very good agreement). Baseline discordant cases were characterized by conservative model outputs, including recommendations for systemic therapy and/or additional diagnostic work-up; only two cases remained discordant after resectability was specified. A chat-based LLM showed moderate concordance with unanimous MDT recommendations from minimal case summaries and very good concordance when resectability status was explicitly specified. These findings support feasibility as a supervised decision-support adjunct, but do not establish clinical benefit; prospective outcome-based validation is required.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七叶苷通过调节细胞外基质重塑和分子途径改善糖尿病大鼠的伤口愈合</w:t>
      </w:r>
    </w:p>
    <w:p>
      <w:r>
        <w:rPr>
          <w:rFonts w:ascii="Times New Roman" w:hAnsi="Times New Roman" w:eastAsia="宋体"/>
          <w:b/>
          <w:color w:val="003264"/>
          <w:sz w:val="24"/>
        </w:rPr>
        <w:t>Esculin improves wound healing in diabetic rats by modulating extracellular matrix remodeling and molecular pathways</w:t>
      </w:r>
    </w:p>
    <w:p>
      <w:r>
        <w:rPr>
          <w:rFonts w:ascii="Times New Roman" w:hAnsi="Times New Roman" w:eastAsia="宋体"/>
          <w:sz w:val="21"/>
        </w:rPr>
        <w:t>作者: Mohamadreza Almasifard, Mohammad Hashemnia, Hadi Cheraghi, Adel Mohammadalipour</w:t>
        <w:br/>
      </w:r>
      <w:r>
        <w:rPr>
          <w:rFonts w:ascii="Times New Roman" w:hAnsi="Times New Roman" w:eastAsia="宋体"/>
          <w:sz w:val="21"/>
        </w:rPr>
        <w:t xml:space="preserve">时间: 2026-02-04 | </w:t>
      </w:r>
      <w:r>
        <w:t xml:space="preserve">链接: </w:t>
      </w:r>
      <w:hyperlink r:id="rId32">
        <w:r>
          <w:rPr>
            <w:rFonts w:ascii="Times New Roman" w:hAnsi="Times New Roman" w:eastAsia="宋体"/>
            <w:color w:val="0000FF"/>
            <w:sz w:val="21"/>
            <w:u w:val="single"/>
          </w:rPr>
          <w:t>https://doi.org/10.1038/s41598-026-39098-y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伤口以再生不良、慢性炎症和氧化应激为特征，是糖尿病患者面临的重大挑战。七叶苷是一种天然香豆素，具有抗氧化和抗炎作用，有望促进伤口愈合。本研究调查了外用七叶苷对链脲佐菌素诱导的糖尿病大鼠全层伤口的组织病理学、生化和分子影响。对 60 只 Sprague-Dawley 大鼠进行切除伤口，分为四组：正常对照组、糖尿病对照组、七叶苷软膏 5% 和 10%。在第 7、14 和 21 天收集组织样本进行组织病理学、分子和生化分析。七叶苷治疗显着加速伤口闭合并改善上皮再形成和肉芽组织形成。组织学分析显示，早期阶段淋巴细胞浸润减少，成纤维细胞增殖和新血管形成增加，伤口愈合后期纤维细胞数量增多，胶原蛋白沉积更有组织。从生化角度来看，七叶苷显着提高抗氧化酶活性并减少氧化应激标记物，表明氧化还原平衡的恢复。此外，七叶苷下调促炎细胞因子 IL-1β 并上调 bFGF、VEG) 和 TGF-β1，从而支持成纤维细胞活性、血管生成和细胞外基质重塑。总的来说，这些发现强调了七叶苷在促进糖尿病患者伤口愈合方面的多方面作用，支持其作为治疗慢性伤口的有前途的辅助疗法的潜力。</w:t>
      </w:r>
    </w:p>
    <w:p>
      <w:pPr>
        <w:spacing w:before="120"/>
      </w:pPr>
      <w:r>
        <w:rPr>
          <w:rFonts w:ascii="Times New Roman" w:hAnsi="Times New Roman" w:eastAsia="宋体"/>
          <w:b/>
          <w:sz w:val="21"/>
        </w:rPr>
        <w:t>English Abstract:</w:t>
      </w:r>
    </w:p>
    <w:p>
      <w:r>
        <w:rPr>
          <w:rFonts w:ascii="Times New Roman" w:hAnsi="Times New Roman" w:eastAsia="宋体"/>
          <w:sz w:val="21"/>
        </w:rPr>
        <w:t>Diabetic wounds, marked by poor regeneration, chronic inflammation, and oxidative stress, pose a major challenge in diabetes. Esculin, a natural coumarin with antioxidant and anti-inflammatory effects, shows promise for wound healing. This study investigated the histopathological, biochemical, and molecular effects of topical esculin on full-thickness wounds in streptozotocin-induced diabetic rats. Excisional wounds were created on 60 Sprague-Dawley rats, assigned to four groups: normal control, diabetic control, esculin ointment 5% and 10%. Tissue samples were collected on days 7, 14, and 21 for histopathological, molecular, and biochemical analysis. Esculin treatment significantly accelerated wound closure and improved re-epithelialization and granulation tissue formation. Histological analysis revealed a decrease in lymphocyte infiltration, increased fibroblast proliferation and neovascularization at the earlier stages, and a higher number of fibrocytes and more organized collagen deposition at later stages of wound healing. Biochemically, esculin significantly elevated antioxidant enzyme activities and reduced oxidative stress markers, indicating restoration of redox balance. Moreover, esculin downregulated the pro-inflammatory cytokine IL-1β and upregulated bFGF, VEG), and TGF-β1, thereby supporting fibroblast activity, angiogenesis, and extracellular matrix remodeling. Collectively, these findings highlight the multifaceted role of esculin in promoting wound healing under diabetic conditions, supporting its potential as a promising adjunct therapy for managing chronic wounds.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脑血管疾病患者抓握力可调性与上肢/手功能的关系</w:t>
      </w:r>
    </w:p>
    <w:p>
      <w:r>
        <w:rPr>
          <w:rFonts w:ascii="Times New Roman" w:hAnsi="Times New Roman" w:eastAsia="宋体"/>
          <w:b/>
          <w:color w:val="003264"/>
          <w:sz w:val="24"/>
        </w:rPr>
        <w:t>Relationship between adjustability of grasping force and upper limb/hand function in individuals with cerebrovascular disorders</w:t>
      </w:r>
    </w:p>
    <w:p>
      <w:r>
        <w:rPr>
          <w:rFonts w:ascii="Times New Roman" w:hAnsi="Times New Roman" w:eastAsia="宋体"/>
          <w:sz w:val="21"/>
        </w:rPr>
        <w:t>作者: Tatsuya Kaneno, Katsutoshi Kawahara, Tatsuya Yabe, Takashi Tasaka, Tomoyuki Sakurai, Akihiro Sato, Kazunori Akizuki, Yoshifumi Morita</w:t>
        <w:br/>
      </w:r>
      <w:r>
        <w:rPr>
          <w:rFonts w:ascii="Times New Roman" w:hAnsi="Times New Roman" w:eastAsia="宋体"/>
          <w:sz w:val="21"/>
        </w:rPr>
        <w:t xml:space="preserve">时间: 2026-02-04 | </w:t>
      </w:r>
      <w:r>
        <w:t xml:space="preserve">链接: </w:t>
      </w:r>
      <w:hyperlink r:id="rId33">
        <w:r>
          <w:rPr>
            <w:rFonts w:ascii="Times New Roman" w:hAnsi="Times New Roman" w:eastAsia="宋体"/>
            <w:color w:val="0000FF"/>
            <w:sz w:val="21"/>
            <w:u w:val="single"/>
          </w:rPr>
          <w:t>https://doi.org/10.1038/s41598-026-38384-z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日常生活活动，包括抓、握、捏，对于独立至关重要，但对于患有脑血管疾病的人来说，由于上肢瘫痪往往变得困难。我们研究了抓握力可调节性（AGF）（定义为调节抓握力的能力）与上肢/手功能表现之间的关系。十二名患有轻度脑血管疾病的个体参与了这项初步横断面研究。评估包括使用 iWakka 的 AGF 任务、Fugl-Meyer 评估、评估手功能的简单测试、手臂动作研究测试 (ARAT) 和运动活动日志 (MAL)。 AGF 使用 AGF 分数进行量化，计算为目标抓握力和实际抓握力之间的绝对误差； AGF 分数越低表明 AGF 越好。根据年龄进行调整后的部分斯皮尔曼等级相关显示，受影响较小一侧的 AGF 评分（等长截面）分别与受影响较小一侧和受影响较大一侧的 ARAT 和 MAL（运动质量）呈负相关和正相关。这些发现表明，受影响较小一侧的 AGF 较好，可能会增强该侧的运动表现，但可能与受影响较大一侧的感知运动质量较低有关。这凸显了受影响较小的一侧在中风后功能中的复杂作用，并表明康复策略应考虑身体两侧的 AGF。</w:t>
      </w:r>
    </w:p>
    <w:p>
      <w:pPr>
        <w:spacing w:before="120"/>
      </w:pPr>
      <w:r>
        <w:rPr>
          <w:rFonts w:ascii="Times New Roman" w:hAnsi="Times New Roman" w:eastAsia="宋体"/>
          <w:b/>
          <w:sz w:val="21"/>
        </w:rPr>
        <w:t>English Abstract:</w:t>
      </w:r>
    </w:p>
    <w:p>
      <w:r>
        <w:rPr>
          <w:rFonts w:ascii="Times New Roman" w:hAnsi="Times New Roman" w:eastAsia="宋体"/>
          <w:sz w:val="21"/>
        </w:rPr>
        <w:t>Abstract Activities of daily living, including grasping, holding, and pinching, are essential for independence but often become difficult for individuals with cerebrovascular disease owing to upper limb paralysis. We investigated the relationship between adjustability of grasping force (AGF), defined as the ability to adjust grasping force, and upper limb/hand functional performance. Twelve individuals with mild cerebrovascular disorders participated in this preliminary cross-sectional study. Assessments included the AGF task using iWakka, the Fugl-Meyer Assessment, Simple Test for Evaluating Hand Function, Action Research Arm Test (ARAT), and Motor Activity Log (MAL). AGF was quantified using the AGF score, calculated as the absolute error between target and actual grasping force; lower AGF scores indicate better AGF. Partial Spearman’s rank correlations, adjusted for age, revealed that AGF score (isometric section) on the less-affected side was negatively and positively correlated with ARAT and MAL (Quality of Movement) on the less-affected and more-affected sides, respectively. These findings suggest that better AGF on the less-affected side may enhance motor performance on that side but could be associated with lower perceived movement quality on the more-affected side. This highlights the complex role of the less-affected side in post-stroke function and suggests that rehabilitation strategies should consider AGF on both sides of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晶格集成的 AES 框架，可在资源受限的边缘设备上提供超安全的生物识别保护</w:t>
      </w:r>
    </w:p>
    <w:p>
      <w:r>
        <w:rPr>
          <w:rFonts w:ascii="Times New Roman" w:hAnsi="Times New Roman" w:eastAsia="宋体"/>
          <w:b/>
          <w:color w:val="003264"/>
          <w:sz w:val="24"/>
        </w:rPr>
        <w:t>A lattice-integrated AES framework for ultra-secure biometric protection on resource-constrained edge devices</w:t>
      </w:r>
    </w:p>
    <w:p>
      <w:r>
        <w:rPr>
          <w:rFonts w:ascii="Times New Roman" w:hAnsi="Times New Roman" w:eastAsia="宋体"/>
          <w:sz w:val="21"/>
        </w:rPr>
        <w:t>作者: Aanjankumar Sureshkumar, M. Maragatharajan, Kaushik Jangiti, M. Karuppasamy, Kathiresan Jayabalan, Prakash Tukaram Raut, Nithya Rekha Sivakumar</w:t>
        <w:br/>
      </w:r>
      <w:r>
        <w:rPr>
          <w:rFonts w:ascii="Times New Roman" w:hAnsi="Times New Roman" w:eastAsia="宋体"/>
          <w:sz w:val="21"/>
        </w:rPr>
        <w:t xml:space="preserve">时间: 2026-02-04 | </w:t>
      </w:r>
      <w:r>
        <w:t xml:space="preserve">链接: </w:t>
      </w:r>
      <w:hyperlink r:id="rId34">
        <w:r>
          <w:rPr>
            <w:rFonts w:ascii="Times New Roman" w:hAnsi="Times New Roman" w:eastAsia="宋体"/>
            <w:color w:val="0000FF"/>
            <w:sz w:val="21"/>
            <w:u w:val="single"/>
          </w:rPr>
          <w:t>https://doi.org/10.1038/s41598-026-36054-8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在最近的技术进步中，手机和边缘设备等消费电子产品迅速扩张。尽管如此，与用户数据的机密性和完整性相关的关键安全问题仍然存在。超过 12 亿台消费设备正在使用，其用户数据各不相同。尽管如此，用户生物识别信息（例如指纹、语音和面部映射）的保密性仍然受到损害，导致消费者及其宝贵的储蓄遭受重大损失。为了克服这个问题，该研究引入了指纹模板保护框架，以确保用户生物识别信息在消费电子设备上的安全，防止用户数据被篡改。所提出的方法是轻量级的，可以在资源受限的设备上平稳运行，并能有效地提取特征并标准化用户指纹数据。该模型利用 AES-256 Galois 计数器模式 (GCM) 和面向 PIN 的密钥以及基于点阵的轻量级随机生成器来保护用户信息。与 RC5 (59.6%)、ElGamal (91.1%) 和 RSA (92.35%) 等其他最先进的方法相比，所提出的框架以最小的加密和解密周转时间实现了 98.69% 的假指纹检测准确率。实验结果表明，所提出的框架在安全性和数据可访问性方面均具有优越性。在消费电子产品中集成基于点阵的轻量级随机发生器可提高安全性并实现更可靠的设备应用程序。</w:t>
      </w:r>
    </w:p>
    <w:p>
      <w:pPr>
        <w:spacing w:before="120"/>
      </w:pPr>
      <w:r>
        <w:rPr>
          <w:rFonts w:ascii="Times New Roman" w:hAnsi="Times New Roman" w:eastAsia="宋体"/>
          <w:b/>
          <w:sz w:val="21"/>
        </w:rPr>
        <w:t>English Abstract:</w:t>
      </w:r>
    </w:p>
    <w:p>
      <w:r>
        <w:rPr>
          <w:rFonts w:ascii="Times New Roman" w:hAnsi="Times New Roman" w:eastAsia="宋体"/>
          <w:sz w:val="21"/>
        </w:rPr>
        <w:t>In recent technological advancements, consumer electronics such as mobile phones and edge devices have expanded rapidly. Still, critical security issues related to the confidentiality and integrity of user data is persistent. Over 1.2 billion consumer devices are in use, with varying user data. Still the secrecy of user biometric information, such as fingerprints, voice, and facial mapping is being compromised, leading to significant losses for consumers and their valuable savings. To overcome this, the study introduces a fingerprint-template protection framework to keep user biometric information safe on consumer electronic devices, preventing tampering with user data. The proposed methodology is lightweight and runs smoothly on resource-constrained devices, with an effective feature extraction and normalization of user fingerprint data. The model utilizes AES-256 Galois counter mode (GCM) with PIN oriented keys and a lightweight lattice-based randomness generator to secure user information. The proposed framework achieves a fake fingerprint detection accuracy of 98.69% with minimum turnaround for encryption and decryption, compared with other state-of-the-art methods such as RC5 (59.6%), ElGamal (91.1%), and RSA (92.35%). The experimental results show that the proposed framework is superior in both security and data accessibility. Integration of lightweight lattice-based randomness generators in consumer electronics improves security and enables more reliable on-device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多囊卵巢综合征女性与排卵对照女性的24小时动态血压及相关因素</w:t>
      </w:r>
    </w:p>
    <w:p>
      <w:r>
        <w:rPr>
          <w:rFonts w:ascii="Times New Roman" w:hAnsi="Times New Roman" w:eastAsia="宋体"/>
          <w:b/>
          <w:color w:val="003264"/>
          <w:sz w:val="24"/>
        </w:rPr>
        <w:t>24-hour ambulatory blood pressure and associated factors in women with polycystic ovary syndrome compared with ovulatory controls</w:t>
      </w:r>
    </w:p>
    <w:p>
      <w:r>
        <w:rPr>
          <w:rFonts w:ascii="Times New Roman" w:hAnsi="Times New Roman" w:eastAsia="宋体"/>
          <w:sz w:val="21"/>
        </w:rPr>
        <w:t>作者: Maria de Fátima Azevedo, Ana Kleyce Coreia Rocha, Livia Maria Bezerra de Melo, Luciana Medeiros Bezerra de Melo, Romena Leão Azevedo Catão, Eduardo Caldas Costa</w:t>
        <w:br/>
      </w:r>
      <w:r>
        <w:rPr>
          <w:rFonts w:ascii="Times New Roman" w:hAnsi="Times New Roman" w:eastAsia="宋体"/>
          <w:sz w:val="21"/>
        </w:rPr>
        <w:t xml:space="preserve">时间: 2026-02-04 | </w:t>
      </w:r>
      <w:r>
        <w:t xml:space="preserve">链接: </w:t>
      </w:r>
      <w:hyperlink r:id="rId35">
        <w:r>
          <w:rPr>
            <w:rFonts w:ascii="Times New Roman" w:hAnsi="Times New Roman" w:eastAsia="宋体"/>
            <w:color w:val="0000FF"/>
            <w:sz w:val="21"/>
            <w:u w:val="single"/>
          </w:rPr>
          <w:t>https://doi.org/10.1038/s41598-026-38731-0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比较多囊卵巢综合征 (PCOS) 女性与排卵对照女性之间的 24 小时动态血压 (ABP)，并探讨 PCOS 女性 ABP 的潜在人体测量、激素、代谢和炎症相关性。在这项横断面研究中，50 名患有 PCOS 的女性（按照鹿特丹标准诊断）和 50 名排卵对照者接受了办公室 24 小时 ABP 监测。评估临床、人体测量、激素、代谢和炎症参数。组间比较根据体重指数（BMI）进行调整。 LASSO 回归用于识别与 PCOS 组 ABP 独立相关的变量。与对照组相比，PCOS 女性的 24 小时和白天平均动脉压和心率显着升高，即使在调整 BMI 后也是如此 (p &lt; 0.05)。夜间 ABP 或诊室血压没有观察到差异 (p &gt; 0.05)。 PCOS 参与者表现出更不利的心脏代谢特征，包括较高的 BMI、腰围、胰岛素、糖化血红蛋白、甘油三酯、肌酐和 TNF-α，以及较低的雌二醇和黄体酮水平。在 LASSO 模型中，BMI 成为所有时期 ABP 唯一一致的独立预测因子。其他预测因子，如 HbA1c（夜间平均血压）、肌酐（日间舒张压）和腰围（日间收缩压）均保留在特定模型中，而大多数激素、代谢和炎症标志物与 PCOS 组的 ABP 无关。总之，与排卵对照相比，患有 PCOS 的女性表现出更高的 24 小时和白天 ABP，与 BMI 无关。根据 BMI 评估，肥胖似乎是该人群中与 ABP 相关的关键因素。这些发现强调了 24 小时 ABP 监测和体重管理在 PCOS 女性心血管风险评估和护理中的重要性。</w:t>
      </w:r>
    </w:p>
    <w:p>
      <w:pPr>
        <w:spacing w:before="120"/>
      </w:pPr>
      <w:r>
        <w:rPr>
          <w:rFonts w:ascii="Times New Roman" w:hAnsi="Times New Roman" w:eastAsia="宋体"/>
          <w:b/>
          <w:sz w:val="21"/>
        </w:rPr>
        <w:t>English Abstract:</w:t>
      </w:r>
    </w:p>
    <w:p>
      <w:r>
        <w:rPr>
          <w:rFonts w:ascii="Times New Roman" w:hAnsi="Times New Roman" w:eastAsia="宋体"/>
          <w:sz w:val="21"/>
        </w:rPr>
        <w:t>To compare 24-hour ambulatory blood pressure (ABP) between women with polycystic ovary syndrome (PCOS) and ovulatory controls, and to explore potential anthropometric, hormonal, metabolic, and inflammatory correlates of ABP in women with PCOS. In this cross-sectional study, 50 women with PCOS (diagnosed by Rotterdam criteria) and 50 ovulatory controls underwent office and 24-hour ABP monitoring. Clinical, anthropometric, hormonal, metabolic, and inflammatory parameters were assessed. Between-group comparisons were adjusted for body mass index (BMI). LASSO regression was used to identify variables independently associated with ABP in the PCOS group. Women with PCOS showed significantly higher 24-hour and daytime mean arterial pressure and heart rate compared to controls, even after adjustment for BMI (p &lt; 0.05). No differences were observed in nighttime ABP or office blood pressure (p &gt; 0.05). PCOS participants exhibited a more adverse cardiometabolic profile, including higher BMI, waist circumference, insulin, HbA1c, triglycerides, creatinine, and TNF-alfa, along with lower estradiol and progesterone levels. In LASSO models, BMI emerged as the only consistent independent predictor of ABP across all periods. Additional predictors, such as HbA1c (nighttime mean BP), creatinine (daytime diastolic BP), and waist circumference (daytime systolic BP), were retained in specific models, while most hormonal, metabolic, and inflammatory markers were not associated with ABP in the PCOS group. In summary, women with PCOS exhibit higher 24-hour and daytime ABP compared to ovulatory controls, independently of BMI. Adiposity, as assessed by BMI, appears to be a key factor associated with ABP in this population. These findings highlight the importance of 24-hour ABP monitoring and weight management in the cardiovascular risk assessment and care of women with PCOS.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尼日利亚 COVID-19 大流行对性健康和生殖健康的影响：一项信息流行病学调查</w:t>
      </w:r>
    </w:p>
    <w:p>
      <w:r>
        <w:rPr>
          <w:rFonts w:ascii="Times New Roman" w:hAnsi="Times New Roman" w:eastAsia="宋体"/>
          <w:b/>
          <w:color w:val="003264"/>
          <w:sz w:val="24"/>
        </w:rPr>
        <w:t>Sexual and reproductive health consequences of COVID-19 pandemic in Nigeria: an infodemiological survey</w:t>
      </w:r>
    </w:p>
    <w:p>
      <w:r>
        <w:rPr>
          <w:rFonts w:ascii="Times New Roman" w:hAnsi="Times New Roman" w:eastAsia="宋体"/>
          <w:sz w:val="21"/>
        </w:rPr>
        <w:t>作者: R. E. Akhigbe, M. A. Hamed, D. H. Adeyemi, T. M. Akhigbe</w:t>
        <w:br/>
      </w:r>
      <w:r>
        <w:rPr>
          <w:rFonts w:ascii="Times New Roman" w:hAnsi="Times New Roman" w:eastAsia="宋体"/>
          <w:sz w:val="21"/>
        </w:rPr>
        <w:t xml:space="preserve">时间: 2026-02-04 | </w:t>
      </w:r>
      <w:r>
        <w:t xml:space="preserve">链接: </w:t>
      </w:r>
      <w:hyperlink r:id="rId36">
        <w:r>
          <w:rPr>
            <w:rFonts w:ascii="Times New Roman" w:hAnsi="Times New Roman" w:eastAsia="宋体"/>
            <w:color w:val="0000FF"/>
            <w:sz w:val="21"/>
            <w:u w:val="single"/>
          </w:rPr>
          <w:t>https://doi.org/10.1038/s41598-026-38746-7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本研究分析了常见性和生殖健康状况（例如性、色情、强奸、避孕、堕胎、性传播感染、性传播感染、勃起功能障碍和 ED）的互联网搜索行为及其与 COVID-19 的关联。这项信息流行病学调查利用 Google Trends 分析了 2018 年 10 月 1 日至 2021 年 8 月 1 日期间尼日利亚选定的性健康和生殖健康状况的互联网搜索行为，分为新冠疫情前和 2020 年 3 月 1 日新冠疫情期间。提取的数据包括查询最多的州、人口最多的州、上升的查询和热门查询的搜索量指数 (SVI)。 Mann-Whitney U 检验用于比较新冠疫情前和新冠疫情期间的平均 SVI，而 Spearman 的排序相关性则用于使用 SPSS 统计包确定性健康和生殖健康指数与 COVID-19 之间的关联。 P 值 &lt; 0.05 被认为是显着的。与新冠疫情之前相比，新冠疫情期间，网上对“如何强奸”、“后遗症”、“什么是性病”、“性病的含义”、“什么是勃起功能障碍”和“勃起功能障碍治疗”等术语的兴趣有所增加。此外，与新冠疫情爆发前相比，大流行期间强奸、避孕、堕胎、性传播感染和 ED 的 SVI 有所减少。此外，色情的 SVI 有所增加，而性的 SVI 在大流行期间没有变化。 COVID 的 SVI 与色情呈正相关，但与强奸、避孕、堕胎、性传播感染和 ED 呈负相关。疫情期间，强奸意图、对紧急避孕药（如事后避孕）、性传播感染事件和性传播感染自我诊断、性传播感染事件以及性传播感染自我诊断和自我管理的需求有所增加。这些发现与色情消费的增加有关，如色情 SVI 的增加所示。 COVID-19 大流行极大地影响了尼日利亚与性和生殖健康相关的互联网搜索行为，这表现在人们对某些健康查询的兴趣增加，例如与性暴力、紧急避孕和勃起功能障碍相关的查询，同时色情内容搜索也有所增加。相比之下，与避孕、堕胎和性传播感染 (STI) 相关的术语的搜索兴趣有所下降。这些模式表明，在大流行期间，性健康话题的在线参与度增加与态度或行为的改变之间存在着复杂的相互作用。研究结果可以通过强调新兴趋势以及在 COVID-19 期间和之后不断变化的性健康和生殖健康问题的背景下对有针对性的健康教育和服务的需求，为公共卫生举措提供信息。</w:t>
      </w:r>
    </w:p>
    <w:p>
      <w:pPr>
        <w:spacing w:before="120"/>
      </w:pPr>
      <w:r>
        <w:rPr>
          <w:rFonts w:ascii="Times New Roman" w:hAnsi="Times New Roman" w:eastAsia="宋体"/>
          <w:b/>
          <w:sz w:val="21"/>
        </w:rPr>
        <w:t>English Abstract:</w:t>
      </w:r>
    </w:p>
    <w:p>
      <w:r>
        <w:rPr>
          <w:rFonts w:ascii="Times New Roman" w:hAnsi="Times New Roman" w:eastAsia="宋体"/>
          <w:sz w:val="21"/>
        </w:rPr>
        <w:t>The present study analyzed the internet search behavior of common sexual and reproductive health conditions (such as sex, porn, rape, contraceptive, abortion, sexually transmitted infections, STI, erectile dysfunction, and ED) and their associations with COVID-19. This infodemiological survey employed Google Trends to analyze the internet search behavior of selected sexual and reproductive health conditions in Nigeria from October 1, 2018, to August 1, 2021, which was divided into the pre-COVID and COVID periods on March 1, 2020. The extracted data included search volume index (SVIs) for the top queried state, most populated state, rising queries, and top queries. Mann-Whitney U test was used to compare the mean SVIs for the pre-COVID and COVID periods, while Spearman’s rank-order correlation was conducted to determine the association between the sexual and reproductive health indices and COVID-19 using the SPSS statistical package. P-values &lt; 0.05 were considered significant. The online interest in terms such as “how to rape”, “postinor”, “what is sti”, “meaning of sti”, “what is erectile dysfunction”, and “erectile dysfunction treatment” increased during the COVID pandemic compared to the pre-COVID period. Also, the SVIs for rape, contraceptive, abortion, STI, and ED reduced during the pandemic compared to the pre-COVID period. In addition, the SVI for porn increased, while that for sex was unaltered during the pandemic. SVI for COVID was positively correlated with porn but negatively correlated with rape, contraceptive, abortion, STI, and ED. The intent of rape, the need for an emergency contraceptive such as postinor, incident STI and self-diagnosis of STI, and incident ED and self-diagnosis and self-management of STI increased during the pandemic. These findings are associated with increased porn consumption as depicted by a rise in porn SVI. The COVID-19 pandemic considerably influenced internet search behavior related to sexual and reproductive health in Nigeria as shown by an increased interest in certain health queries, such as those related to sexual violence, emergency contraception, and erectile dysfunction, alongside a rise in pornographic content searches. In contrast, there was a decrease in search interest for terms related to contraception, abortion, and sexually transmitted infections (STIs). These patterns suggest a complex interplay between increased online engagement with sexual health topics and altered attitudes or behaviors during the pandemic. The findings could inform public health initiatives by highlighting emerging trends and the need for targeted health education and services in the context of evolving sexual and reproductive health concerns during and post-COVID-19.</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结肠内吞细胞镜染色质量的新型评分量表的开发和验证</w:t>
      </w:r>
    </w:p>
    <w:p>
      <w:r>
        <w:rPr>
          <w:rFonts w:ascii="Times New Roman" w:hAnsi="Times New Roman" w:eastAsia="宋体"/>
          <w:b/>
          <w:color w:val="003264"/>
          <w:sz w:val="24"/>
        </w:rPr>
        <w:t>Development and validation of a novel scoring scale for colonic endocytoscopy staining quality</w:t>
      </w:r>
    </w:p>
    <w:p>
      <w:r>
        <w:rPr>
          <w:rFonts w:ascii="Times New Roman" w:hAnsi="Times New Roman" w:eastAsia="宋体"/>
          <w:sz w:val="21"/>
        </w:rPr>
        <w:t>作者: Jiawei Fan, He Zhu, Mingqing Liu, Fengming Ni, Dong Yang, Guohua Jin, Ke Tao, Hong Xu</w:t>
        <w:br/>
      </w:r>
      <w:r>
        <w:rPr>
          <w:rFonts w:ascii="Times New Roman" w:hAnsi="Times New Roman" w:eastAsia="宋体"/>
          <w:sz w:val="21"/>
        </w:rPr>
        <w:t xml:space="preserve">时间: 2026-02-04 | </w:t>
      </w:r>
      <w:r>
        <w:t xml:space="preserve">链接: </w:t>
      </w:r>
      <w:hyperlink r:id="rId37">
        <w:r>
          <w:rPr>
            <w:rFonts w:ascii="Times New Roman" w:hAnsi="Times New Roman" w:eastAsia="宋体"/>
            <w:color w:val="0000FF"/>
            <w:sz w:val="21"/>
            <w:u w:val="single"/>
          </w:rPr>
          <w:t>https://doi.org/10.1038/s41598-026-37406-0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摘要背景 虽然内吞镜允许进行体内细胞水平观察，但实现高质量染色仍然是一个技术挑战。目的 开发并验证一种简单、可靠的量表，用于评估和提高内吞细胞镜染色质量。方法 我们制定了四维染色质量评分，并在回顾性图像队列 (n = 2692) 上对其进行了验证。评估了量表的信度、效度和内部一致性，并使用多项回归确定了相关因素。然后，该量表在单独的回顾性图像队列 (n = 2413) 中进行了外部验证，以确认其临床适用性。结果该量表显示出评定者间一致性（ICC = 0.992）和可靠性（Cronbach's alpha = 0.81），单个主因素解释了 62.3% 的方差。金标准得分与 AOD 值之间的 Spearman 相关性为 0.81。染色质量受病变特征和医生经验的影响（P &lt; 0.05）。经过一个月的培训，初级医生与金标准分数的一致性有所提高，Kappa 值从 0.61、0.66 和 0.69 上升到 0.81、0.83 和 0.82。较高的染色质量也与细胞镜成像和组织病理学之间更好的一致性显着相关（P &lt; 0.001）。结论 该内吞细胞镜染色质量评分是指导技术改进和提高诊断准确性的可靠有效的工具。</w:t>
      </w:r>
    </w:p>
    <w:p>
      <w:pPr>
        <w:spacing w:before="120"/>
      </w:pPr>
      <w:r>
        <w:rPr>
          <w:rFonts w:ascii="Times New Roman" w:hAnsi="Times New Roman" w:eastAsia="宋体"/>
          <w:b/>
          <w:sz w:val="21"/>
        </w:rPr>
        <w:t>English Abstract:</w:t>
      </w:r>
    </w:p>
    <w:p>
      <w:r>
        <w:rPr>
          <w:rFonts w:ascii="Times New Roman" w:hAnsi="Times New Roman" w:eastAsia="宋体"/>
          <w:sz w:val="21"/>
        </w:rPr>
        <w:t>Abstract Background While endocytoscopy allows for in vivo cellular-level observation, achieving high-quality staining remains a technical challenge. Aims To develop and validate a simple, reliable scale for assessing and improving endocytoscopic staining quality. Methods We developed a four-dimension staining quality score and validated it on a retrospective image cohort (n = 2692). The scale’s reliability, validity, and internal consistency were assessed, and associated factors were identified using multinomial regression. The scale was then externally validated in a separate retrospective image cohort (n = 2413) to confirm its clinical applicability. Results The scale showed inter-rater agreement (ICC = 0.992) and reliability (Cronbach’s alpha = 0.81), with a single principal factor explaining 62.3% of variance.The Spearman correlation between the gold standard score and AOD value was 0.81. Staining quality was influenced by lesion characteristics and physician experience (P &lt; 0.05). After one month of training, junior physicians showed improved agreement with gold standard scores, with Kappa values rising from 0.61, 0.66, and 0.69 to 0.81, 0.83, and 0.82. Higher staining quality was also significantly associated with better concordance between Endocytoscopy imaging and histopathology (P &lt; 0.001). Conclusion This endocytoscopic staining quality score is a reliable and valid tool to guide technique refinement and improve diagnostic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5XFAD 小鼠中参考基因随年龄和性别的变化凸显了阿尔茨海默氏症模型正常化的挑战</w:t>
      </w:r>
    </w:p>
    <w:p>
      <w:r>
        <w:rPr>
          <w:rFonts w:ascii="Times New Roman" w:hAnsi="Times New Roman" w:eastAsia="宋体"/>
          <w:b/>
          <w:color w:val="003264"/>
          <w:sz w:val="24"/>
        </w:rPr>
        <w:t>Reference gene variability across age and sex in 5XFAD mice highlights normalization challenges in Alzheimer’s models</w:t>
      </w:r>
    </w:p>
    <w:p>
      <w:r>
        <w:rPr>
          <w:rFonts w:ascii="Times New Roman" w:hAnsi="Times New Roman" w:eastAsia="宋体"/>
          <w:sz w:val="21"/>
        </w:rPr>
        <w:t>作者: Eleonora Daini, Kristy Antonioni, Monica Piemontese, Martina Bodria, Michele Zoli, Antonietta Vilella</w:t>
        <w:br/>
      </w:r>
      <w:r>
        <w:rPr>
          <w:rFonts w:ascii="Times New Roman" w:hAnsi="Times New Roman" w:eastAsia="宋体"/>
          <w:sz w:val="21"/>
        </w:rPr>
        <w:t xml:space="preserve">时间: 2026-02-04 | </w:t>
      </w:r>
      <w:r>
        <w:t xml:space="preserve">链接: </w:t>
      </w:r>
      <w:hyperlink r:id="rId38">
        <w:r>
          <w:rPr>
            <w:rFonts w:ascii="Times New Roman" w:hAnsi="Times New Roman" w:eastAsia="宋体"/>
            <w:color w:val="0000FF"/>
            <w:sz w:val="21"/>
            <w:u w:val="single"/>
          </w:rPr>
          <w:t>https://doi.org/10.1038/s41598-026-38346-5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阿尔茨海默病 (AD) 等神经退行性疾病的基因表达谱通常使用实时定量聚合酶链反应 (RT-qPCR) 进行。该技术的准确性在很大程度上依赖于选择合适的参考基因（RG）进行标准化和内部控制。理想情况下，RG 应保持一致的转录水平，不受细胞或病理变化的影响。然而，识别稳定的 RG 具有挑战性，特别是在 AD 等疾病中，基因表达在不同疾病阶段会发生波动。本研究旨在确定雄性和雌性 5XFAD 小鼠（家族性 AD 模型）的两个大脑区域 - 皮质 (CTX) 和海马 (HIPP) 中最稳定的 RG。使用 GeNorm、NormFinder、BestKeeper 和 EndoGene 算法评估了五种常用 RG（即 Gapdh、Ppia、Rer1、Rpl27 和 Rps29）在三个 AD 阶段的稳定性：前驱期（2 个月龄）、早期（4 个月）和晚期（7 个月和 10 个月）。结果揭示了 RG 表达稳定性的区域、性别和时间依赖性差异，反映了 CTX 和 HIPP 对 Aβ 病理学的明显脆弱性。使用两个最稳定的 RG 进行标准化可以提高靶基因表达分析的精度、减少变异性并提高显着性水平。这些发现强调了在特定实验条件下验证 RG 的必要性，以确保 AD 研究中可靠的 RT-qPCR 定量。</w:t>
      </w:r>
    </w:p>
    <w:p>
      <w:pPr>
        <w:spacing w:before="120"/>
      </w:pPr>
      <w:r>
        <w:rPr>
          <w:rFonts w:ascii="Times New Roman" w:hAnsi="Times New Roman" w:eastAsia="宋体"/>
          <w:b/>
          <w:sz w:val="21"/>
        </w:rPr>
        <w:t>English Abstract:</w:t>
      </w:r>
    </w:p>
    <w:p>
      <w:r>
        <w:rPr>
          <w:rFonts w:ascii="Times New Roman" w:hAnsi="Times New Roman" w:eastAsia="宋体"/>
          <w:sz w:val="21"/>
        </w:rPr>
        <w:t>Gene expression profiling in neurodegenerative diseases such as Alzheimer’s Disease (AD) is frequently performed using real-time quantitative polymerase chain reaction (RT-qPCR). The accuracy of this technique relies heavily on selecting suitable reference genes (RGs) for normalization and internal control. Ideally, RGs should maintain consistent transcription levels, unaffected by cellular or pathological changes. However, identifying stable RGs is challenging, particularly in diseases like AD, where gene expression fluctuates across disease stages. This study aimed to determine the most stable RGs in two brain regions - cortex (CTX) and hippocampus (HIPP) - of male and female 5XFAD mice, a model of familial AD. The stability of five commonly used RGs namely Gapdh, Ppia, Rer1, Rpl27 and Rps29, was evaluated using GeNorm, NormFinder, BestKeeper, and EndoGene algorithms across three AD stages: prodromal (2 months of age, mo), early (4 mo), and late (7 and 10 mo). Results revealed region-, sex-, and time-dependent differences in RG expression stability, reflecting the distinct vulnerability of CTX and HIPP to Aβ pathology. Using the two most stable RGs for normalization improved precision, reducing variability and increasing the significance level in target gene expression analyses. These findings emphasize the necessity of validating RGs under specific experimental conditions to ensure reliable RT-qPCR quantification in AD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火山灰介导的锰循环塑造珊瑚对沿海沉积的反应</w:t>
      </w:r>
    </w:p>
    <w:p>
      <w:r>
        <w:rPr>
          <w:rFonts w:ascii="Times New Roman" w:hAnsi="Times New Roman" w:eastAsia="宋体"/>
          <w:b/>
          <w:color w:val="003264"/>
          <w:sz w:val="24"/>
        </w:rPr>
        <w:t>Tephra-mediated manganese cycling shapes coral responses to coastal sedimentation</w:t>
      </w:r>
    </w:p>
    <w:p>
      <w:r>
        <w:rPr>
          <w:rFonts w:ascii="Times New Roman" w:hAnsi="Times New Roman" w:eastAsia="宋体"/>
          <w:sz w:val="21"/>
        </w:rPr>
        <w:t>作者: Frank Förster, Christine Ferrier-Pagès, Allan Fries, Erouscilla Joseph, Tom E. Sheldrake</w:t>
        <w:br/>
      </w:r>
      <w:r>
        <w:rPr>
          <w:rFonts w:ascii="Times New Roman" w:hAnsi="Times New Roman" w:eastAsia="宋体"/>
          <w:sz w:val="21"/>
        </w:rPr>
        <w:t xml:space="preserve">时间: 2026-02-04 | </w:t>
      </w:r>
      <w:r>
        <w:t xml:space="preserve">链接: </w:t>
      </w:r>
      <w:hyperlink r:id="rId39">
        <w:r>
          <w:rPr>
            <w:rFonts w:ascii="Times New Roman" w:hAnsi="Times New Roman" w:eastAsia="宋体"/>
            <w:color w:val="0000FF"/>
            <w:sz w:val="21"/>
            <w:u w:val="single"/>
          </w:rPr>
          <w:t>https://doi.org/10.1038/s41598-026-38388-9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来自热带火山岛的陆地径流通过增加浑浊度和沉积作用影响珊瑚礁。在火山爆发期间，大量碎裂的火山岩（火山灰）沉积下来，长期加剧沉积物径流。然而，火山灰是必需微量金属锰 (Mn) 的重要来源，但被低估了，锰可促进珊瑚的光合作用。在这里，我们表明从原始和重新流动的火山灰中浸出的锰可以提高对沉积应力的恢复能力。通过珊瑚培养实验，暴露于四种火山灰样本的 Stylophora pistillata 小菌落均表现出光合效率（ΦPSII、rETR、Pn 和 Pgross）快速且持续的增加，即使在光照条件较差的情况下也是如此。光合效率与海水锰浓度呈对数相关，在值 &lt; 3 µg Mn L− 1 时大幅增加，而在值 &gt; 10 µg Mn L− 1 时变化可忽略不计。 接触火山灰在沿海锰循环中发挥着至关重要的作用，并可能对环境干扰后应激的珊瑚有益。</w:t>
      </w:r>
    </w:p>
    <w:p>
      <w:pPr>
        <w:spacing w:before="120"/>
      </w:pPr>
      <w:r>
        <w:rPr>
          <w:rFonts w:ascii="Times New Roman" w:hAnsi="Times New Roman" w:eastAsia="宋体"/>
          <w:b/>
          <w:sz w:val="21"/>
        </w:rPr>
        <w:t>English Abstract:</w:t>
      </w:r>
    </w:p>
    <w:p>
      <w:r>
        <w:rPr>
          <w:rFonts w:ascii="Times New Roman" w:hAnsi="Times New Roman" w:eastAsia="宋体"/>
          <w:sz w:val="21"/>
        </w:rPr>
        <w:t>Terrestrial runoff from tropical volcanic islands impacts coral reefs by increasing turbidity and sedimentation. During explosive volcanic eruptions, large amounts of fragmented volcanogenic rock (tephra) are deposited, exacerbating sediment runoff for long periods of time. Nevertheless, tephra is an important, yet underestimated, source of the essential trace metal manganese (Mn), which promotes coral photosynthesis. Here, we show Mn leached from pristine and remobilised tephra increases resilience to sedimentation stress. Using coral culture experiments, microcolonies of Stylophora pistillata exposed to four tephra samples all showed rapid and sustained increases in photosynthetic efficiency (ΦPSII, rETR, Pn and Pgross), even under reduced light conditions. Photosynthetic efficiency is logarithmically correlated to seawater Mn concentration, with large increases at values &lt; 3 µg Mn L− 1, and negligible changes at values &gt; 10 µg Mn L− 1. Tephra exposure has a crucial role in coastal Mn cycling and potentially benefits stressed corals following environmental disturbances.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发达地区传统村落空间格局及影响因素——以浙江省为例</w:t>
      </w:r>
    </w:p>
    <w:p>
      <w:r>
        <w:rPr>
          <w:rFonts w:ascii="Times New Roman" w:hAnsi="Times New Roman" w:eastAsia="宋体"/>
          <w:b/>
          <w:color w:val="003264"/>
          <w:sz w:val="24"/>
        </w:rPr>
        <w:t>Spatial patterns and influencing factors of traditional villages in developed regions: a case study of Zhejiang Province, China</w:t>
      </w:r>
    </w:p>
    <w:p>
      <w:r>
        <w:rPr>
          <w:rFonts w:ascii="Times New Roman" w:hAnsi="Times New Roman" w:eastAsia="宋体"/>
          <w:sz w:val="21"/>
        </w:rPr>
        <w:t>作者: Ding Chuanbiao, He Yuzhe, Wang Jiacheng, Zheng Yiyi, Wang Zhengzheng, Bai Congxia, Yan Dan</w:t>
        <w:br/>
      </w:r>
      <w:r>
        <w:rPr>
          <w:rFonts w:ascii="Times New Roman" w:hAnsi="Times New Roman" w:eastAsia="宋体"/>
          <w:sz w:val="21"/>
        </w:rPr>
        <w:t xml:space="preserve">时间: 2026-02-04 | </w:t>
      </w:r>
      <w:r>
        <w:t xml:space="preserve">链接: </w:t>
      </w:r>
      <w:hyperlink r:id="rId40">
        <w:r>
          <w:rPr>
            <w:rFonts w:ascii="Times New Roman" w:hAnsi="Times New Roman" w:eastAsia="宋体"/>
            <w:color w:val="0000FF"/>
            <w:sz w:val="21"/>
            <w:u w:val="single"/>
          </w:rPr>
          <w:t>https://doi.org/10.1038/s41598-026-38128-z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村落在乡村发展中发挥着重要作用，推动了我国乡村振兴、民族文化复兴。本研究以浙江省701个民族传统村落为研究对象，利用最近邻指数和核密度分析方法分析其空间分布。利用地理探测器定量识别影响空间分布的因素及其相互作用效应。研究结果表明：（1）浙江省传统村落呈现出独特的“两核多点”空间集聚特征，民族分化明显。少数民族村寨主要分布在浙西南山区。 （2）海拔、人均可支配收入、社会固定资产投资、人均GDP是驱动该地区传统村落空间分异的关键因素。 (3)交叉检测揭示了浙江省传统村落的空间分布是在自然、经济和社会因素的共同影响下演变的。这种演变涵盖了以自然环境位置和随后社会经济发展中的保护为特征的时期。该研究量化了自然和经济因素对中国发达省份传统村落分布和保护的影响，确定了居民收入和社会固定资产投资对其保留模式的影响。</w:t>
      </w:r>
    </w:p>
    <w:p>
      <w:pPr>
        <w:spacing w:before="120"/>
      </w:pPr>
      <w:r>
        <w:rPr>
          <w:rFonts w:ascii="Times New Roman" w:hAnsi="Times New Roman" w:eastAsia="宋体"/>
          <w:b/>
          <w:sz w:val="21"/>
        </w:rPr>
        <w:t>English Abstract:</w:t>
      </w:r>
    </w:p>
    <w:p>
      <w:r>
        <w:rPr>
          <w:rFonts w:ascii="Times New Roman" w:hAnsi="Times New Roman" w:eastAsia="宋体"/>
          <w:sz w:val="21"/>
        </w:rPr>
        <w:t>Traditional villages play a vital role in rural development by promoting the revitalization of China’s rural areas and the rejuvenation of national culture. This study examines 701 national traditional villages in Zhejiang Province, analyzing their spatial distribution using the nearest neighbor index, and kernel density analysis. Geographic detectors were employed to quantitatively identify the factors influencing spatial distribution and their interaction effects. Findings indicate: (1) Traditional villages in Zhejiang Province display unique spatial agglomeration characteristics described as “two cores and multiple points,” accompanied by notable ethnic differentiation. Predominantly, minority villages are situated in the mountainous regions of southwestern Zhejiang. (2) Elevation, per capita disposable income, social fixed asset investment, per capita GDP, are key factors driving the spatial differentiation of traditional villages in the region. (3) Cross detection reveals that the spatial distribution of traditional villages in Zhejiang Province has evolved through the combined influence of natural, economic, and social factors. This evolution encompasses periods characterized by natural environmental location and subsequent preservation amid socio-economic development. The study quantifies the impact of natural and economic factors on the distribution and preservation of traditional villages in China’s developed provinces, identifying the influence of residential income and social fixed asset investment on their retention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自动驾驶车辆中具有照明适应的多模式道路感知</w:t>
      </w:r>
    </w:p>
    <w:p>
      <w:r>
        <w:rPr>
          <w:rFonts w:ascii="Times New Roman" w:hAnsi="Times New Roman" w:eastAsia="宋体"/>
          <w:b/>
          <w:color w:val="003264"/>
          <w:sz w:val="24"/>
        </w:rPr>
        <w:t>Multimodal road perception with illumination adaptation in autonomous vehicles</w:t>
      </w:r>
    </w:p>
    <w:p>
      <w:r>
        <w:rPr>
          <w:rFonts w:ascii="Times New Roman" w:hAnsi="Times New Roman" w:eastAsia="宋体"/>
          <w:sz w:val="21"/>
        </w:rPr>
        <w:t>作者: Jinri Wei, Yi Mo, Caiyu Su, Xueping Li</w:t>
        <w:br/>
      </w:r>
      <w:r>
        <w:rPr>
          <w:rFonts w:ascii="Times New Roman" w:hAnsi="Times New Roman" w:eastAsia="宋体"/>
          <w:sz w:val="21"/>
        </w:rPr>
        <w:t xml:space="preserve">时间: 2026-02-04 | </w:t>
      </w:r>
      <w:r>
        <w:t xml:space="preserve">链接: </w:t>
      </w:r>
      <w:hyperlink r:id="rId41">
        <w:r>
          <w:rPr>
            <w:rFonts w:ascii="Times New Roman" w:hAnsi="Times New Roman" w:eastAsia="宋体"/>
            <w:color w:val="0000FF"/>
            <w:sz w:val="21"/>
            <w:u w:val="single"/>
          </w:rPr>
          <w:t>https://doi.org/10.1038/s41598-025-31173-0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自动驾驶技术的发展正在重塑交通方式。然而，雨、雾、夜间等弱光条件下感知能力的显着下降仍然是限制其广泛应用的关键瓶颈。本文提出了 SafeDrive-Fusion，这是一种新型的光照自适应多模态感知框架，引入动态跨模态注意力融合和安全关键区域优先级，以实现自动驾驶中稳健的道路通行性评估。与现有的静态融合方法不同，该框架通过创新的照明自适应加权机制解决了昏暗环境中感知能力显着降低的问题，该机制动态集成视觉和雷达信息，同时优先考虑安全关键的道路区域。实验结果表明，即使在极弱光条件下，SafeDrive-Fusion也能保持87.5%的准确率，性能下降仅为6.1%，远远优于现有方法16.6%-34.8%的下降范围。特别是在安全关键的“危险情况”识别中，该系统的 F1 得分为 0.82，比基线方法高出 0.40。通过其光照自适应模态权重动态调整机制，系统可以根据环境条件自动调整其对不同模态的依赖性。随着照度从正常降低到极低，雷达模态权重从 25% 增加到 62%。同时，SafeDrive-Fusion具有45ms的低计算延迟，满足自动驾驶的实时要求。</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autonomous driving technology is reshaping transportation methods. However, the significant decline in perception capabilities under low-light conditions such as rain, fog, and nighttime remains a key bottleneck restricting its widespread application. This paper proposes SafeDrive-Fusion, a novel illumination-adaptive multimodal perception framework that introduces dynamic cross-modal attention fusion and safety-critical region prioritization for robust road passability assessment in autonomous driving. Unlike existing static fusion approaches, this framework addresses the problem of significantly reduced perception capabilities in dim environments through an innovative illumination-adaptive weighting mechanism that dynamically integrates visual and radar information while prioritizing safety-critical road regions. Experimental results show that SafeDrive-Fusion maintains 87.5% accuracy even under extremely low-light conditions, with a performance degradation of only 6.1%, far superior to existing methods’ degradation range of 16.6%-34.8%. Particularly in safety-critical “hazardous situation” recognition, the system achieves an F1 score of 0.82, which is 0.40 higher than baseline methods. Through its illumination-adaptive modal weight dynamic adjustment mechanism, the system can automatically adjust its dependence on different modalities according to environmental conditions. As illumination decreases from normal to extremely low, the radar modality weight increases from 25% to 62%. Meanwhile, SafeDrive-Fusion features a low computational latency of 45ms, meeting the real-time requirements of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通过智能优化和进化算法为随机性测试人员生成边界测试样本</w:t>
      </w:r>
    </w:p>
    <w:p>
      <w:r>
        <w:rPr>
          <w:rFonts w:ascii="Times New Roman" w:hAnsi="Times New Roman" w:eastAsia="宋体"/>
          <w:b/>
          <w:color w:val="003264"/>
          <w:sz w:val="24"/>
        </w:rPr>
        <w:t>Generating borderline test samples for randomness testers via intelligent optimization and evolutionary algorithms</w:t>
      </w:r>
    </w:p>
    <w:p>
      <w:r>
        <w:rPr>
          <w:rFonts w:ascii="Times New Roman" w:hAnsi="Times New Roman" w:eastAsia="宋体"/>
          <w:sz w:val="21"/>
        </w:rPr>
        <w:t>作者: Peng Gao, Bin Zhang, Ziyuan Wang, Chenglong Li</w:t>
        <w:br/>
      </w:r>
      <w:r>
        <w:rPr>
          <w:rFonts w:ascii="Times New Roman" w:hAnsi="Times New Roman" w:eastAsia="宋体"/>
          <w:sz w:val="21"/>
        </w:rPr>
        <w:t xml:space="preserve">时间: 2026-02-04 | </w:t>
      </w:r>
      <w:r>
        <w:t xml:space="preserve">链接: </w:t>
      </w:r>
      <w:hyperlink r:id="rId42">
        <w:r>
          <w:rPr>
            <w:rFonts w:ascii="Times New Roman" w:hAnsi="Times New Roman" w:eastAsia="宋体"/>
            <w:color w:val="0000FF"/>
            <w:sz w:val="21"/>
            <w:u w:val="single"/>
          </w:rPr>
          <w:t>https://doi.org/10.1038/s41598-026-38020-w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确保信息安全在很大程度上依赖于加密密钥的高质量随机序列。物理熵源尽管用于生成真正的随机序列，但很容易受到环境干扰，因此需要实时随机性测试来维持高熵。然而，现有的为实时随机性测试仪生成测试数据的方法面临着重大挑战，包括生成无法满足特定随机性标准的序列、构造具有轻微非随机性的边界序列以及解决同时违反多个随机性标准的困难。本文介绍了一个旨在解决这些挑战的动态测试数据生成框架。该框架利用进化算法（EA）将边界序列的生成转化为多约束优化问题，其中大型语言模型（LLM）充当动态参数调节器。通过分析人口统计中的进化趋势，并通过博弈论机制与进化动力学相互作用，法学硕士可以自适应地调整比例因子和权重系数，减轻多目标优化中的维数灾难，并实现实时参数调整。实验结果还强调了生成序列的高质量：我们的方法可以生成稍微无法满足目标随机性标准的边缘测试数据，但表现出与标准测试套件下的高熵源非常相似的统计特性。这些边界序列是可检测错误的，并为基于经典统计测试的实时随机性测试仪提供具有挑战性的、真实的测试输入。</w:t>
      </w:r>
    </w:p>
    <w:p>
      <w:pPr>
        <w:spacing w:before="120"/>
      </w:pPr>
      <w:r>
        <w:rPr>
          <w:rFonts w:ascii="Times New Roman" w:hAnsi="Times New Roman" w:eastAsia="宋体"/>
          <w:b/>
          <w:sz w:val="21"/>
        </w:rPr>
        <w:t>English Abstract:</w:t>
      </w:r>
    </w:p>
    <w:p>
      <w:r>
        <w:rPr>
          <w:rFonts w:ascii="Times New Roman" w:hAnsi="Times New Roman" w:eastAsia="宋体"/>
          <w:sz w:val="21"/>
        </w:rPr>
        <w:t>Abstract Ensuring information security heavily relies on high-quality random sequences for encryption keys. Physical entropy sources, despite their use in generating true random sequences, are susceptible to environmental disturbances, necessitating real-time randomness testing to maintain high entropy. However, existing methods for generating test data for real-time randomness testers face significant challenges, including producing sequences that fail to meet specific randomness criteria, constructing borderline sequences with slight non-randomness, and addressing the difficulty of simultaneously violating multiple randomness criteria. This paper introduces a dynamic test data generation framework designed to address these challenges. The framework leverages evolutionary algorithm (EA) to transform the generation of borderline sequences into a multi-constrained optimization problem, where a large language model (LLM) acts as a dynamic parameter adjuster. By analyzing evolutionary trends in population statistics and interacting with evolutionary dynamics through a game-theoretic mechanism, the LLM adaptively adjusts scaling factors and weight coefficients, mitigating the curse of dimensionality in multi-objective optimization and enabling real-time parameter tuning. The experimental results also highlight the high quality of the generated sequences: our approach can generate borderline test data that slightly fail to satisfy the target randomness criteria, yet exhibit statistical properties very similar to those of high-entropy sources under standard test suites. These borderline sequences are fault-detectable and provide challenging, realistic test inputs for classical statistical-test-based real-time randomness testers.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通过多模式脑电图和心电图融合改善认知压力分类：生理反应的性别差异</w:t>
      </w:r>
    </w:p>
    <w:p>
      <w:r>
        <w:rPr>
          <w:rFonts w:ascii="Times New Roman" w:hAnsi="Times New Roman" w:eastAsia="宋体"/>
          <w:b/>
          <w:color w:val="003264"/>
          <w:sz w:val="24"/>
        </w:rPr>
        <w:t>Improving cognitive stress classification via multimodal EEG and ECG fusion: gender differences in physiological response</w:t>
      </w:r>
    </w:p>
    <w:p>
      <w:r>
        <w:rPr>
          <w:rFonts w:ascii="Times New Roman" w:hAnsi="Times New Roman" w:eastAsia="宋体"/>
          <w:sz w:val="21"/>
        </w:rPr>
        <w:t>作者: Abdus Salam, Fakhre Alam, Dilawar Shah, Sami Ur Rahman, Shujaat Ali, Muhammad Tahir</w:t>
        <w:br/>
      </w:r>
      <w:r>
        <w:rPr>
          <w:rFonts w:ascii="Times New Roman" w:hAnsi="Times New Roman" w:eastAsia="宋体"/>
          <w:sz w:val="21"/>
        </w:rPr>
        <w:t xml:space="preserve">时间: 2026-02-04 | </w:t>
      </w:r>
      <w:r>
        <w:t xml:space="preserve">链接: </w:t>
      </w:r>
      <w:hyperlink r:id="rId43">
        <w:r>
          <w:rPr>
            <w:rFonts w:ascii="Times New Roman" w:hAnsi="Times New Roman" w:eastAsia="宋体"/>
            <w:color w:val="0000FF"/>
            <w:sz w:val="21"/>
            <w:u w:val="single"/>
          </w:rPr>
          <w:t>https://doi.org/10.1038/s41598-026-38356-3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集成脑电图（EEG）和心电图（ECG）特征的多模式机器学习系统，以区分认知压力水平并分析性别差异。特别是，我们评估了特征融合如何提高分类准确性，并且还比较了男性和女性受试者认知压力的生理迹象。使用公开的数据集，即不同性别的心理负荷和多级压力分类的心电图和脑电图特征。在 EEG 信号和 ECG 信号中确定了三个基本生理特征（Theta/Alpha 比率 (TAR)、心率 (HR) 和 LF/HF 比率）。这些特征的辨别能力通过统计测试（例如 Shapiro-Wilk 和 Kruskal-Wallis 测试）得到了证实。使用主成分分析（PCA）进行降维。进行特征融合，其中引入脑电图和心电图信号并对齐以形成分类的完整输入。在二元和多类认知压力任务上测试了六种机器学习 (ML) 分类模型，即决策树 (DT)、K 最近邻 (KNN)、线性判别 (LD)、朴素贝叶斯 (NB)、随机森林 (RF) 和支持向量机 (SVM)。就整体性能而言，SVM取得了最好的结果，在认知压力的组合性别分类中达到了94.7%的准确率。对于特定性别分类，LD 得分最高（90.9%）。多模态 SVM 表现出优于单模态 EEG/ECG 模型的优越性，达到 92.6% 的峰值平均准确度。由于基于性别的分析，女性在分类上得分更高，这意味着认知压力期间与性别相关的生理模式存在差异。结果表明，生理特征的多模态融合可以改善认知压力分类。基于性别的分析的建议强调了认知监测系统在个人层面的可能性。这在教育、人体工程学和人机交互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multimodal machine learning system integrating electroencephalogram (EEG) and electrocardiogram (ECG) features to discriminate cognitive stress levels and analyze gender differences. In particular, we assess how well feature fusion enhances the classification accuracy and we also compare the physiological signs of cognitive stress in male and female subjects. A publicly available dataset, namely, ECG and EEG features for mental workload and multilevel stress classification of different sexes, was used. Three essential physiological characteristics (Theta/Alpha Ratio (TAR), Heart Rate (HR), and LF/HF Ratio) were identified in EEG signals as well as in ECG signals. The discriminative power of the features was confirmed by statistical testing, such as Shapiro-Wilk and Kruskal-Wallis tests. Dimensional reduction was performed using Principal Component Analysis (PCA). Feature fusion was performed, where EEG and ECG signals were introduced and aligned to form a complete input for the classification. Six machine learning (ML) classification models, namely Decision Tree (DT), K-Nearest Neighbors (KNN), Linear Discriminant (LD), Naive Bayes (NB), Random Forest (RF), and Support Vector Machine (SVM), were tested on binary and multiclass cognitive stress tasks. In terms of overall performance, the SVM achieved the best results, attaining 94.7% accuracy in the combined-gender classification of cognitive stress. For sex-specific classifications, LD recorded the highest score (90.9%). The multimodal SVM demonstrated superiority over the unimodal EEG/ECG models, reaching a peak average accuracy of 92.6%. Owing to the gender-based analysis, females had a better score in classification, implying a difference in sex-related physiological patterns during cognitive stress. The results show that multimodal fusion of physiological features can improve cognitive stress classification. The suggestion of gender-based analysis highlights the possibility of cognitive monitoring systems being at a personal level. This has potential applications in education, ergonomics, and human-computer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岩相-地层压力耦合下深层页岩孔隙微裂缝结构、孔隙度及含气性</w:t>
      </w:r>
    </w:p>
    <w:p>
      <w:r>
        <w:rPr>
          <w:rFonts w:ascii="Times New Roman" w:hAnsi="Times New Roman" w:eastAsia="宋体"/>
          <w:b/>
          <w:color w:val="003264"/>
          <w:sz w:val="24"/>
        </w:rPr>
        <w:t>Pore-micro fracture structure, porosity and gas- bearing property of deep shale under lithofacies-formation pressure coupling</w:t>
      </w:r>
    </w:p>
    <w:p>
      <w:r>
        <w:rPr>
          <w:rFonts w:ascii="Times New Roman" w:hAnsi="Times New Roman" w:eastAsia="宋体"/>
          <w:sz w:val="21"/>
        </w:rPr>
        <w:t>作者: Yunjun Zhang, Hao Zhang, Li Zhang, Jianlin Li, Yaohui Yan</w:t>
        <w:br/>
      </w:r>
      <w:r>
        <w:rPr>
          <w:rFonts w:ascii="Times New Roman" w:hAnsi="Times New Roman" w:eastAsia="宋体"/>
          <w:sz w:val="21"/>
        </w:rPr>
        <w:t xml:space="preserve">时间: 2026-02-04 | </w:t>
      </w:r>
      <w:r>
        <w:t xml:space="preserve">链接: </w:t>
      </w:r>
      <w:hyperlink r:id="rId44">
        <w:r>
          <w:rPr>
            <w:rFonts w:ascii="Times New Roman" w:hAnsi="Times New Roman" w:eastAsia="宋体"/>
            <w:color w:val="0000FF"/>
            <w:sz w:val="21"/>
            <w:u w:val="single"/>
          </w:rPr>
          <w:t>https://doi.org/10.1038/s41598-026-38352-7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地层压力-岩相类型是影响页岩储层微观孔隙结构和孔隙度的最关键因素。然而，这两个因素如何共同影响页岩气聚集仍不清楚。综合扫描电镜（SEM）、X射线衍射（XRD）、核磁共振（NMR）、现场解吸和低温氮气吸附（LTNA）等技术，分析压力变化与岩相耦合对深层页岩储层质量和含气性的影响。龙马溪组深埋页岩发育3种岩相：硅质岩相（S）、泥质岩相（CM）和混合岩相（M）。孔径&lt;4 nm的孔是比表面积（SSA）的主要贡献者，4 nm至30 nm之间的孔是孔体积（PV）的主要贡献者。压力变化直接影响有机质孔隙的大小和数量，但对颗粒内孔隙没有影响。粒间孔隙的变异性表明S岩相比M岩相具有更强的抗压实能力。深埋页岩储层孔隙度和微观结构受岩相类型、埋藏深度和压力变化的影响。富有机质S页岩和贫有机质S页岩在超压和保存良好的条件下表现出良好的储层物性，其中富有机质S页岩的抗压实能力最强。在富含有机质页岩的压实过程中，有机孔和无机孔大量损失。 CM岩相的物质基础较差，抗压实能力最弱，压实过程中难以保持原有的孔隙度和孔隙结构。地层压力的降低导致大孔隙对孔体积几乎没有贡献，而中孔的贡献进一步增强。随着地层压力降低，微孔对孔体积的贡献逐渐增大。随着页岩孔隙度的降低，与大孔隙相关的孔隙度首先下降，其次是与中孔相关的孔隙度。随着孔隙度的降低，CM 和 M 岩相中的游离气含量迅速下降。随着孔隙率的丧失，吸附气体和游离气体都急剧减少。</w:t>
      </w:r>
    </w:p>
    <w:p>
      <w:pPr>
        <w:spacing w:before="120"/>
      </w:pPr>
      <w:r>
        <w:rPr>
          <w:rFonts w:ascii="Times New Roman" w:hAnsi="Times New Roman" w:eastAsia="宋体"/>
          <w:b/>
          <w:sz w:val="21"/>
        </w:rPr>
        <w:t>English Abstract:</w:t>
      </w:r>
    </w:p>
    <w:p>
      <w:r>
        <w:rPr>
          <w:rFonts w:ascii="Times New Roman" w:hAnsi="Times New Roman" w:eastAsia="宋体"/>
          <w:sz w:val="21"/>
        </w:rPr>
        <w:t>Formation pressure-lithofacies type are the most critical factors influencing micro pore structure and porosity in shale reservoir. However, how these two factors jointly affect shale gas accumulation remains unclear. Scanning electron microscopy (SEM), X-ray diffraction (XRD), nuclear magnetic resonance (NMR), on-site desorption and low-temperature N2 adsorption (LTNA) are integrated to analyze coupling effects of pressure variation and lithofacies on reservoir quality and gas-bearing characteristics of deep-buried shale. Three lithofacies are identified in Longmaxi deep-buried shale: siliceous lithofacies (S), argillaceous lithofacies (CM) and mixed lithofacies (M). Pores with pore size &lt; 4 nm are the main contributors to the specific surface area (SSA), and pores between 4 nm and 30 nm are the main contributors to the pore volume (PV). Pressure variations directly affect the size and number of organic matter pores but have no impact on intraparticle pores. The variability in interparticle pores indicates that the S lithofacies has a stronger resistance to compaction compared to the M lithofacies. Porosity and micro structure of deep-buried shale reservoir are influenced by lithofacies type, burial depth and pressure variation. Organic-rich S shale and organic-poor S shale demonstrate good reservoir properties under over-pressure and well-preserved conditions, with organic-rich S shale having the strongest resistance to compaction. Organic and inorganic pores are largely lost during compaction of organic-rich M shale. CM lithofacies also has a poor material foundation and the weakest resistance to compaction, making it difficult to preserve original porosity and pore structure during compaction. The decrease in formation pressure results in macropores making almost no contribution to pore volume, while the contribution of mesopores is further enhanced. As the formation pressure decreases, the contribution of micropores to pore volume is gradually increased. As shale porosity decreases, porosity associated with macro pores declines first, followed by that associated with mesopores. Free-gas content in the CM and M lithofacies declines rapidly as porosity decreases. Both adsorbed and free gas decrease sharply as porosity is lost.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00:28 ---</w:t>
      </w:r>
    </w:p>
    <w:p>
      <w:pPr>
        <w:pStyle w:val="Heading2"/>
      </w:pPr>
      <w:r/>
      <w:r>
        <w:rPr>
          <w:rFonts w:ascii="Times New Roman" w:hAnsi="Times New Roman" w:eastAsia="宋体"/>
          <w:b/>
          <w:color w:val="000000"/>
          <w:sz w:val="24"/>
        </w:rPr>
        <w:t>集成光纤器件</w:t>
      </w:r>
    </w:p>
    <w:p>
      <w:r>
        <w:rPr>
          <w:rFonts w:ascii="Times New Roman" w:hAnsi="Times New Roman" w:eastAsia="宋体"/>
          <w:b/>
          <w:color w:val="003264"/>
          <w:sz w:val="24"/>
        </w:rPr>
        <w:t>Integrated optical fiber devices</w:t>
      </w:r>
    </w:p>
    <w:p>
      <w:r>
        <w:rPr>
          <w:rFonts w:ascii="Times New Roman" w:hAnsi="Times New Roman" w:eastAsia="宋体"/>
          <w:sz w:val="21"/>
        </w:rPr>
        <w:t>作者: Wei Jin</w:t>
        <w:br/>
      </w:r>
      <w:r>
        <w:rPr>
          <w:rFonts w:ascii="Times New Roman" w:hAnsi="Times New Roman" w:eastAsia="宋体"/>
          <w:sz w:val="21"/>
        </w:rPr>
        <w:t xml:space="preserve">时间: 2026 | </w:t>
      </w:r>
      <w:r>
        <w:t xml:space="preserve">链接: </w:t>
      </w:r>
      <w:hyperlink r:id="rId14">
        <w:r>
          <w:rPr>
            <w:rFonts w:ascii="Times New Roman" w:hAnsi="Times New Roman" w:eastAsia="宋体"/>
            <w:color w:val="0000FF"/>
            <w:sz w:val="21"/>
            <w:u w:val="single"/>
          </w:rPr>
          <w:t>https://doi.org/10.29026/oea.2026.250323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将功能材料、光子结构和电路集成在光纤平台中为一系列新颖的应用提供了机会。最近，Yuan TT等人对光纤内光子集成器件和系统的发展进行了全面的回顾，包括历史背景、集成方法、结构和材料、功能和性能，以及在传感、通信、信号操纵和处理、医疗诊断和治疗方面的应用。该评论还包括对未来研究方向的深刻分析和讨论。</w:t>
      </w:r>
    </w:p>
    <w:p>
      <w:pPr>
        <w:spacing w:before="120"/>
      </w:pPr>
      <w:r>
        <w:rPr>
          <w:rFonts w:ascii="Times New Roman" w:hAnsi="Times New Roman" w:eastAsia="宋体"/>
          <w:b/>
          <w:sz w:val="21"/>
        </w:rPr>
        <w:t>English Abstract:</w:t>
      </w:r>
    </w:p>
    <w:p>
      <w:r>
        <w:rPr>
          <w:rFonts w:ascii="Times New Roman" w:hAnsi="Times New Roman" w:eastAsia="宋体"/>
          <w:sz w:val="21"/>
        </w:rPr>
        <w:t>Integrating functional materials, photonic structures and circuits in an optical fiber platform provides opportunities for a range of novel applications. Recently, Yuan TT et al presents a comprehensive review on the development of in-fiber photonic integrated devices and systems, including historic background, methods of integration, structures and materials, functionalities and performances, as well as applications in sensing, communications, signal manipulation and processing, medical diagnosis and treatment. The review also includes insightful analysis and discussion of future research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用于空频复用无线通信的环境能量驱动的空时编码超表面</w:t>
      </w:r>
    </w:p>
    <w:p>
      <w:r>
        <w:rPr>
          <w:rFonts w:ascii="Times New Roman" w:hAnsi="Times New Roman" w:eastAsia="宋体"/>
          <w:b/>
          <w:color w:val="003264"/>
          <w:sz w:val="24"/>
        </w:rPr>
        <w:t>Ambient-energy-driven space-time-coding metasurface for space-frequency-division multiplexing wireless communications</w:t>
      </w:r>
    </w:p>
    <w:p>
      <w:r>
        <w:rPr>
          <w:rFonts w:ascii="Times New Roman" w:hAnsi="Times New Roman" w:eastAsia="宋体"/>
          <w:sz w:val="21"/>
        </w:rPr>
        <w:t>作者: Han Wei Tian, Chao Song, Dong Jie Wang, Qian Zhu, Tie Jun Cui, Wei Xiang Jiang</w:t>
        <w:br/>
      </w:r>
      <w:r>
        <w:rPr>
          <w:rFonts w:ascii="Times New Roman" w:hAnsi="Times New Roman" w:eastAsia="宋体"/>
          <w:sz w:val="21"/>
        </w:rPr>
        <w:t xml:space="preserve">时间: 2026 | </w:t>
      </w:r>
      <w:r>
        <w:t xml:space="preserve">链接: </w:t>
      </w:r>
      <w:hyperlink r:id="rId15">
        <w:r>
          <w:rPr>
            <w:rFonts w:ascii="Times New Roman" w:hAnsi="Times New Roman" w:eastAsia="宋体"/>
            <w:color w:val="0000FF"/>
            <w:sz w:val="21"/>
            <w:u w:val="single"/>
          </w:rPr>
          <w:t>https://doi.org/10.29026/oea.2026.250229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编程超表面由于其动态灵活地操纵电磁（EM）波的能力，在无线通信领域显示出非凡的潜力。然而，可编程超表面的大规模应用和灵活部署仍然面临着高通信容量要求和严格的能量约束的挑战。在这里，我们报告了一种环境能量驱动的时空编码超表面来解决这些问题。一方面，超表面可以通过动态控制反射电磁波的多个频率和空间传播方向来实现高效的空频复用操作。另一方面，超表面的共享孔径环境太阳能收集能力和低功耗特性使其能够自供电，无需依赖任何外部电源。为了展示这些显着的功能，使用可编程超表面构建了四通道无线通信系统原型。实验结果证实，四个不同的图像可以同时、独立、实时地传输到四个用户终端，并且每比特的能耗非常低。这种创新的超表面提供了一种简单有效的方法，可以在单个物理平台上集成环境能量收集、多维微波操纵和直接信息调制，这将在成本效益、增强容量、能源效率和环境友好方面推动无线通信。</w:t>
      </w:r>
    </w:p>
    <w:p>
      <w:pPr>
        <w:spacing w:before="120"/>
      </w:pPr>
      <w:r>
        <w:rPr>
          <w:rFonts w:ascii="Times New Roman" w:hAnsi="Times New Roman" w:eastAsia="宋体"/>
          <w:b/>
          <w:sz w:val="21"/>
        </w:rPr>
        <w:t>English Abstract:</w:t>
      </w:r>
    </w:p>
    <w:p>
      <w:r>
        <w:rPr>
          <w:rFonts w:ascii="Times New Roman" w:hAnsi="Times New Roman" w:eastAsia="宋体"/>
          <w:sz w:val="21"/>
        </w:rPr>
        <w:t>Programmable metasurfaces have shown exceptional potentials in wireless communications due to their capability to manipulate electromagnetic (EM) waves dynamically and flexibly. However, the large-scale application and flexible deployment of programmable metasurfaces still face challenges of high communication capacity requirements and stringent energy constraints. Here, we report an ambient-energy-driven space-time-coding metasurface to address these issues. On one hand, the metasurface can achieve efficient space-frequency-division multiplexing manipulations by dynamically controlling multiple frequencies and the spatial propagation directions of reflection EM waves. On the other hand, the shared-aperture ambient solar energy harvesting capability and low power consumption characteristic of the metasurface enable it to be self-powered without relying on any external power supply. To demonstrate these remarkable features, a four-channel wireless communication system prototype is built using the programmable metasurface. Experimental results confirm that four distinct images can be transmitted to four user terminals simultaneously, independently, and in real time with remarkably low energy consumption per bit. Such innovative metasurface provides a simple and effective approach for integrating ambient energy harvesting, multi-dimensional microwave manipulation, and direct information modulation on a single physical platform, which will advance the wireless communications in cost-effectiveness, enhanced capacity, energy efficiency, and environmental friendliness.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通过表面等离子体处理和溶液润湿性增强实现高密度 Micro-LED 的高质量 Ni 微凸块的化学镀</w:t>
      </w:r>
    </w:p>
    <w:p>
      <w:r>
        <w:rPr>
          <w:rFonts w:ascii="Times New Roman" w:hAnsi="Times New Roman" w:eastAsia="宋体"/>
          <w:b/>
          <w:color w:val="003264"/>
          <w:sz w:val="24"/>
        </w:rPr>
        <w:t>Electroless plating of high-quality Ni microbumps for high-density micro-LEDs realized via surface plasma treatment and solution wettability enhancement</w:t>
      </w:r>
    </w:p>
    <w:p>
      <w:r>
        <w:rPr>
          <w:rFonts w:ascii="Times New Roman" w:hAnsi="Times New Roman" w:eastAsia="宋体"/>
          <w:sz w:val="21"/>
        </w:rPr>
        <w:t>作者: Shuaishuai Wang, Zhihua Wang, Peiquan Zheng, Yijian Zhou, Chengwu Wu, Taifu Lang, Xin Lin, Xin Wu, Caihong Yan, Qun Yan, Kaixin Zhang, Jie Sun</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相移干涉波前的广义纹波抑制算法</w:t>
      </w:r>
    </w:p>
    <w:p>
      <w:r>
        <w:rPr>
          <w:rFonts w:ascii="Times New Roman" w:hAnsi="Times New Roman" w:eastAsia="宋体"/>
          <w:b/>
          <w:color w:val="003264"/>
          <w:sz w:val="24"/>
        </w:rPr>
        <w:t>Generalized ripple suppression algorithm for phase-shift interferometric wavefronts</w:t>
      </w:r>
    </w:p>
    <w:p>
      <w:r>
        <w:rPr>
          <w:rFonts w:ascii="Times New Roman" w:hAnsi="Times New Roman" w:eastAsia="宋体"/>
          <w:sz w:val="21"/>
        </w:rPr>
        <w:t>作者: Yuqing Liu, Donghui Zheng, Lei Chen, Zhe Zhang</w:t>
        <w:br/>
      </w:r>
      <w:r>
        <w:rPr>
          <w:rFonts w:ascii="Times New Roman" w:hAnsi="Times New Roman" w:eastAsia="宋体"/>
          <w:sz w:val="21"/>
        </w:rPr>
        <w:t xml:space="preserve">时间: 2026-06-01 | </w:t>
      </w:r>
      <w:r>
        <w:t xml:space="preserve">链接: </w:t>
      </w:r>
      <w:hyperlink r:id="rId17">
        <w:r>
          <w:rPr>
            <w:rFonts w:ascii="Times New Roman" w:hAnsi="Times New Roman" w:eastAsia="宋体"/>
            <w:color w:val="0000FF"/>
            <w:sz w:val="21"/>
            <w:u w:val="single"/>
          </w:rPr>
          <w:t>https://doi.org/10.1016/j.optlaseng.2026.109674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小透镜阵列积分场光谱仪(IFS)多级光谱重叠抑制的研究与设计</w:t>
      </w:r>
    </w:p>
    <w:p>
      <w:r>
        <w:rPr>
          <w:rFonts w:ascii="Times New Roman" w:hAnsi="Times New Roman" w:eastAsia="宋体"/>
          <w:b/>
          <w:color w:val="003264"/>
          <w:sz w:val="24"/>
        </w:rPr>
        <w:t>Research and Design of Multi-Order Spectral Overlap Suppression in a Lenslet Array Integral Field Spectrometer (IFS)</w:t>
      </w:r>
    </w:p>
    <w:p>
      <w:r>
        <w:rPr>
          <w:rFonts w:ascii="Times New Roman" w:hAnsi="Times New Roman" w:eastAsia="宋体"/>
          <w:sz w:val="21"/>
        </w:rPr>
        <w:t>作者: Jing Cui, Chao Wang, Yingchao Li, Qiang Fu, Xiangyu Li, Jianan Liu</w:t>
        <w:br/>
      </w:r>
      <w:r>
        <w:rPr>
          <w:rFonts w:ascii="Times New Roman" w:hAnsi="Times New Roman" w:eastAsia="宋体"/>
          <w:sz w:val="21"/>
        </w:rPr>
        <w:t xml:space="preserve">时间: 2026-02-01 | </w:t>
      </w:r>
      <w:r>
        <w:t xml:space="preserve">链接: </w:t>
      </w:r>
      <w:hyperlink r:id="rId18">
        <w:r>
          <w:rPr>
            <w:rFonts w:ascii="Times New Roman" w:hAnsi="Times New Roman" w:eastAsia="宋体"/>
            <w:color w:val="0000FF"/>
            <w:sz w:val="21"/>
            <w:u w:val="single"/>
          </w:rPr>
          <w:t>https://doi.org/10.1016/j.optcom.2026.132989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DFB-LD 与微环谐振器耦合生成可调谐带宽混沌信号</w:t>
      </w:r>
    </w:p>
    <w:p>
      <w:r>
        <w:rPr>
          <w:rFonts w:ascii="Times New Roman" w:hAnsi="Times New Roman" w:eastAsia="宋体"/>
          <w:b/>
          <w:color w:val="003264"/>
          <w:sz w:val="24"/>
        </w:rPr>
        <w:t>Generation of tunable bandwidth chaotic signals using a DFB-LD coupled with a microring resonator</w:t>
      </w:r>
    </w:p>
    <w:p>
      <w:r>
        <w:rPr>
          <w:rFonts w:ascii="Times New Roman" w:hAnsi="Times New Roman" w:eastAsia="宋体"/>
          <w:sz w:val="21"/>
        </w:rPr>
        <w:t>作者: Renhao Deng, Qiupin Wang, Ziyi Kang, Pu Ou, Yingke Xie, Dan Lu, Junqi Liu, Zhengmao Wu, Guangqiong Xia</w:t>
        <w:br/>
      </w:r>
      <w:r>
        <w:rPr>
          <w:rFonts w:ascii="Times New Roman" w:hAnsi="Times New Roman" w:eastAsia="宋体"/>
          <w:sz w:val="21"/>
        </w:rPr>
        <w:t xml:space="preserve">时间: 2026-02-01 | </w:t>
      </w:r>
      <w:r>
        <w:t xml:space="preserve">链接: </w:t>
      </w:r>
      <w:hyperlink r:id="rId45">
        <w:r>
          <w:rPr>
            <w:rFonts w:ascii="Times New Roman" w:hAnsi="Times New Roman" w:eastAsia="宋体"/>
            <w:color w:val="0000FF"/>
            <w:sz w:val="21"/>
            <w:u w:val="single"/>
          </w:rPr>
          <w:t>https://doi.org/10.1016/j.optcom.2026.132994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腔磁力力学中的磁振子压缩增强分数磁振子频率梳</w:t>
      </w:r>
    </w:p>
    <w:p>
      <w:r>
        <w:rPr>
          <w:rFonts w:ascii="Times New Roman" w:hAnsi="Times New Roman" w:eastAsia="宋体"/>
          <w:b/>
          <w:color w:val="003264"/>
          <w:sz w:val="24"/>
        </w:rPr>
        <w:t>Magnon-squeezing-enhanced fractional magnonic frequency combs in cavity magnomechanics</w:t>
      </w:r>
    </w:p>
    <w:p>
      <w:r>
        <w:rPr>
          <w:rFonts w:ascii="Times New Roman" w:hAnsi="Times New Roman" w:eastAsia="宋体"/>
          <w:sz w:val="21"/>
        </w:rPr>
        <w:t>作者: Lina Zhou, Hongyun Chen, Shuyao Lei, Caihua Nie, Pengshun Luo</w:t>
        <w:br/>
      </w:r>
      <w:r>
        <w:rPr>
          <w:rFonts w:ascii="Times New Roman" w:hAnsi="Times New Roman" w:eastAsia="宋体"/>
          <w:sz w:val="21"/>
        </w:rPr>
        <w:t xml:space="preserve">时间: 2026-02-01 | </w:t>
      </w:r>
      <w:r>
        <w:t xml:space="preserve">链接: </w:t>
      </w:r>
      <w:hyperlink r:id="rId46">
        <w:r>
          <w:rPr>
            <w:rFonts w:ascii="Times New Roman" w:hAnsi="Times New Roman" w:eastAsia="宋体"/>
            <w:color w:val="0000FF"/>
            <w:sz w:val="21"/>
            <w:u w:val="single"/>
          </w:rPr>
          <w:t>https://doi.org/10.1016/j.optcom.2026.132995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00:28 ---</w:t>
      </w:r>
    </w:p>
    <w:p>
      <w:pPr>
        <w:pStyle w:val="Heading2"/>
      </w:pPr>
      <w:r/>
      <w:r>
        <w:rPr>
          <w:rFonts w:ascii="Times New Roman" w:hAnsi="Times New Roman" w:eastAsia="宋体"/>
          <w:b/>
          <w:color w:val="000000"/>
          <w:sz w:val="24"/>
        </w:rPr>
        <w:t>近短波红外超宽带消色差超透镜的设计</w:t>
      </w:r>
    </w:p>
    <w:p>
      <w:r>
        <w:rPr>
          <w:rFonts w:ascii="Times New Roman" w:hAnsi="Times New Roman" w:eastAsia="宋体"/>
          <w:b/>
          <w:color w:val="003264"/>
          <w:sz w:val="24"/>
        </w:rPr>
        <w:t>Design of an ultra-broadband achromatic metalens from the near- to short-wave infrared</w:t>
      </w:r>
    </w:p>
    <w:p>
      <w:r>
        <w:rPr>
          <w:rFonts w:ascii="Times New Roman" w:hAnsi="Times New Roman" w:eastAsia="宋体"/>
          <w:sz w:val="21"/>
        </w:rPr>
        <w:t>作者: Yutong Xu, Tailei Wang, Yangyang Zou, Bin Wu, Yongnan Lu, Jiakun Zhang, Liu Zhang, Hua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https://doi.org/10.1364/oe.582012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透镜对于小型化和高度集成的光学系统至关重要，但其固有的色散限制了更广泛的应用。尽管最近的设计改进了消色差性能，但在近波和短波红外光谱范围内实现超宽带消色差仍然具有挑战性，特别是在协调加工可行性与结构稳定性时。针对这一挑战，本文提出了一种半嵌入式单元，它可以有效缓解性能和制造可行性之间的权衡。通过模拟和分析孔径为 62μm、焦距为 65μm 的超透镜，我们证明所提出的结构即使在入射角高达 23°（相当于 46° 视场）的倾斜照明下，也能在 1000–2400 nm 波长范围内实现消色差聚焦。在工作波长带内，超透镜的焦平面偏移最大限制为 4.5%。它的平均绝对聚焦效率为42.66%，半峰全宽（FWHM）接近衍射极限，平均相对聚焦效率为49.65%。此外，所提出的超透镜对材料特性和几何参数的变化表现出高鲁棒性，在折射率公差为±0.04、嵌入区域高度公差为±5%、暴露区域高度公差为±3.75%和边长公差为±4%的情况下保持稳定的性能。所提出的半嵌入式结构为开发超宽带超透镜提供了一种新颖且可靠的方法，具有高度集成成像和片上光子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Metalenses are crucial for miniaturized and highly integrated optical systems, yet their inherent chromatic dispersion restricts broader application. Although recent designs have improved achromatic performance, attaining ultra-broadband achromaticity across the near- and short-wave infrared spectra remains challenging, especially when reconciling processing feasibility with structural stability. In response to this challenge, a semi-embedded unit cell is proposed in this paper, which can effectively alleviate the trade-off between performance and fabrication feasibility. By simulating and analyzing a metalens with an aperture of 62µm and a focal length of 65 µm, we demonstrate that the proposed structure achieves achromatic focusing across the 1000–2400 nm wavelength range, even under oblique illumination with incident angles up to 23° (equivalent to a 46°field of view). Within the operating wavelength band, the focal plane shift of the metalens is limited to a maximum of 4.5%. It exhibits an average absolute focusing efficiency of 42.66%, a full width at half maximum (FWHM) close to the diffraction limit, and an average relative focusing efficiency of 49.65%. Additionally, the proposed metalens exhibits high robustness to variations in material properties and geometric parameters, maintaining stable performance under a refractive index tolerance of ±0.04, an embedded region height tolerance of ±5%, an exposed region height tolerance of ±3.75%, and a side length tolerance of ±4%. The proposed semi-embedded structure offers a novel and reliable approach for developing ultra-broadband metalenses, with strong potential for highly integrated imaging and on-chip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基于LAN-WDM混合集成的1.9Tbps接收光组件</w:t>
      </w:r>
    </w:p>
    <w:p>
      <w:r>
        <w:rPr>
          <w:rFonts w:ascii="Times New Roman" w:hAnsi="Times New Roman" w:eastAsia="宋体"/>
          <w:b/>
          <w:color w:val="003264"/>
          <w:sz w:val="24"/>
        </w:rPr>
        <w:t>1.9 Tbps receiver optical subassembly based on LAN-WDM hybrid integration</w:t>
      </w:r>
    </w:p>
    <w:p>
      <w:r>
        <w:rPr>
          <w:rFonts w:ascii="Times New Roman" w:hAnsi="Times New Roman" w:eastAsia="宋体"/>
          <w:sz w:val="21"/>
        </w:rPr>
        <w:t>作者: Song Huang, Yue Wang, Liangliang Wang, Jiashun Zhang, Yuanda Wu, Junming An, Yu Liu</w:t>
        <w:br/>
      </w:r>
      <w:r>
        <w:rPr>
          <w:rFonts w:ascii="Times New Roman" w:hAnsi="Times New Roman" w:eastAsia="宋体"/>
          <w:sz w:val="21"/>
        </w:rPr>
        <w:t xml:space="preserve">时间: 2026-01-22 | </w:t>
      </w:r>
      <w:r>
        <w:t xml:space="preserve">链接: </w:t>
      </w:r>
      <w:hyperlink r:id="rId20">
        <w:r>
          <w:rPr>
            <w:rFonts w:ascii="Times New Roman" w:hAnsi="Times New Roman" w:eastAsia="宋体"/>
            <w:color w:val="0000FF"/>
            <w:sz w:val="21"/>
            <w:u w:val="single"/>
          </w:rPr>
          <w:t>https://doi.org/10.1364/oe.578355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开发出了一种基于 O 波段阵列波导光栅 (AWG) 解复用器的低成本、混合集成 1.6-TbE 局域网波分复用 (LAN-WDM) 接收器光学组件 (ROSA)。 AWG 和光电探测器 (PD) 阵列之间的垂直耦合是通过以 41° 角度抛光 AWG 输出面来实现的，最大耦合效率为 88.4%。具有 16 个差分高频共面波导 (CPW) 的柔性印刷电路 (FPC) 板旨在提供射频 (RF) 信号输出并向跨阻放大器 (TIA) 和 PD 阵列供电。 ROSA 的所有通道均表现出优于 −7.3 dBm 的接收器灵敏度，并支持单通道 60 GBaud 四级脉冲幅度调制 (PAM-4) 信号的传输，从而实现 1.9 Tb/s 的聚合数据速率。</w:t>
      </w:r>
    </w:p>
    <w:p>
      <w:pPr>
        <w:spacing w:before="120"/>
      </w:pPr>
      <w:r>
        <w:rPr>
          <w:rFonts w:ascii="Times New Roman" w:hAnsi="Times New Roman" w:eastAsia="宋体"/>
          <w:b/>
          <w:sz w:val="21"/>
        </w:rPr>
        <w:t>English Abstract:</w:t>
      </w:r>
    </w:p>
    <w:p>
      <w:r>
        <w:rPr>
          <w:rFonts w:ascii="Times New Roman" w:hAnsi="Times New Roman" w:eastAsia="宋体"/>
          <w:sz w:val="21"/>
        </w:rPr>
        <w:t>A low-cost, hybrid-integrated 1.6-TbE local-area network wavelength-division multiplexing (LAN-WDM) receiver optical subassembly (ROSA) based on an O-band arrayed waveguide grating (AWG) demultiplexer has been developed. Vertical coupling between the AWG and the photodetector (PD) array is achieved by polishing the AWG output facet at an angle of 41°, resulting in a maximum coupling efficiency of 88.4%. A flexible printed circuit (FPC) board with 16 differential high-frequency coplanar waveguides (CPWs) is designed to deliver radio-frequency (RF) signal outputs and to supply power to the transimpedance amplifier (TIA) and PD arrays. All lanes of the ROSA exhibit receiver sensitivities better than −7.3 dBm and support the transmission of a single-channel 60-GBaud four-level pulse-amplitude modulation (PAM-4) signal, enabling an aggregate data rate of 1.9 Tb/s.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通过多尺度逆调制和仿生神经重建增强红外偏振成像</w:t>
      </w:r>
    </w:p>
    <w:p>
      <w:r>
        <w:rPr>
          <w:rFonts w:ascii="Times New Roman" w:hAnsi="Times New Roman" w:eastAsia="宋体"/>
          <w:b/>
          <w:color w:val="003264"/>
          <w:sz w:val="24"/>
        </w:rPr>
        <w:t>Infrared polarimetric imaging enhancement via multiscale inverse modulation and bio-inspired neural reconstruction</w:t>
      </w:r>
    </w:p>
    <w:p>
      <w:r>
        <w:rPr>
          <w:rFonts w:ascii="Times New Roman" w:hAnsi="Times New Roman" w:eastAsia="宋体"/>
          <w:sz w:val="21"/>
        </w:rPr>
        <w:t>作者: Hongli Jiang, Zhiguo Fan, Yunyou Hu, Cailing Zhao, Siwei Zhang</w:t>
        <w:br/>
      </w:r>
      <w:r>
        <w:rPr>
          <w:rFonts w:ascii="Times New Roman" w:hAnsi="Times New Roman" w:eastAsia="宋体"/>
          <w:sz w:val="21"/>
        </w:rPr>
        <w:t xml:space="preserve">时间: 2026-01-27 | </w:t>
      </w:r>
      <w:r>
        <w:t xml:space="preserve">链接: </w:t>
      </w:r>
      <w:hyperlink r:id="rId21">
        <w:r>
          <w:rPr>
            <w:rFonts w:ascii="Times New Roman" w:hAnsi="Times New Roman" w:eastAsia="宋体"/>
            <w:color w:val="0000FF"/>
            <w:sz w:val="21"/>
            <w:u w:val="single"/>
          </w:rPr>
          <w:t>https://doi.org/10.1364/oe.579951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偏振图像增强和重建对于目标识别、环境感知、弱目标检测等国防应用至关重要。然而，单模态红外偏振成像面临着关键挑战：偏振特征提取有限、背景抑制不足、重建质量不稳定。在2024年安徽现场实验中，传统的DoLP（线偏振度）模型在低偏振区域表现出较高的误检率。为了解决这个问题，我们提出了最大响应通道差异表示，将空间频率提高了高达 30%，以及具有动态加权的像素级逆调制，在遮挡下实现了高达 370% 的对比度增强。 NSST-MSD-PCNN 框架进一步将基于剪切波的几何灵敏度与自适应脉冲耦合神经网络相集成。 IPEG（红外偏振评估库）基准的验证以及在 DJI M300 RTK 无人机上的部署在主观和客观指标上均表现出卓越的性能，为复杂环境中稳健的红外偏振成像提供了工程就绪的解决方案。</w:t>
      </w:r>
    </w:p>
    <w:p>
      <w:pPr>
        <w:spacing w:before="120"/>
      </w:pPr>
      <w:r>
        <w:rPr>
          <w:rFonts w:ascii="Times New Roman" w:hAnsi="Times New Roman" w:eastAsia="宋体"/>
          <w:b/>
          <w:sz w:val="21"/>
        </w:rPr>
        <w:t>English Abstract:</w:t>
      </w:r>
    </w:p>
    <w:p>
      <w:r>
        <w:rPr>
          <w:rFonts w:ascii="Times New Roman" w:hAnsi="Times New Roman" w:eastAsia="宋体"/>
          <w:sz w:val="21"/>
        </w:rPr>
        <w:t>Infrared polarization image enhancement and reconstruction are crucial for national defense applications such as target recognition, environmental perception, and weak target detection. Single-modality infrared polarization imaging, however, faces key challenges: limited polarization feature extraction, insufficient background suppression, and unstable reconstruction quality. In the 2024 Anhui field experiment, conventional DoLP (Degree of Linear Polarization) models showed high false-detection rates in low-polarization regions. To address this, we propose a maximum response channel difference representation, improving spatial frequency by up to 30%, and a pixel-level inverse modulation with dynamic weighting, achieving up to 370% contrast enhancement under occlusion. An NSST-MSD-PCNN framework further integrates shearlet-based geometric sensitivity with adaptive pulse-coupled neural networks. Validation on the IPEG (Infrared Polarization Evaluation Gallery) benchmark and deployment on the DJI M300 RTK UAV demonstrate superior performance in both subjective and objective metrics, providing an engineering-ready solution for robust infrared polarization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7 芯 3 模光纤中使用概率整形 16-QAM 实现 101.47-b/s/Hz 频谱效率传输</w:t>
      </w:r>
    </w:p>
    <w:p>
      <w:r>
        <w:rPr>
          <w:rFonts w:ascii="Times New Roman" w:hAnsi="Times New Roman" w:eastAsia="宋体"/>
          <w:b/>
          <w:color w:val="003264"/>
          <w:sz w:val="24"/>
        </w:rPr>
        <w:t>101.47-b/s/Hz spectral efficiency transmission using probabilistic shaping 16-QAM in 7-core 3-mode fiber</w:t>
      </w:r>
    </w:p>
    <w:p>
      <w:r>
        <w:rPr>
          <w:rFonts w:ascii="Times New Roman" w:hAnsi="Times New Roman" w:eastAsia="宋体"/>
          <w:sz w:val="21"/>
        </w:rPr>
        <w:t>作者: Hao Guo, Darui Xu, Ting Li, Xuemei Du, Wenhua Ren, Zhongwei Tan, Yan Liu, Ting Feng, Qi Qin, Zhenyu Gu, Chenhui Guo, Xinkuo Yu, Meng Xiang, Gai Zhou, Hailin Yang, Jiajing Tu, Jianxin Ren, Huan Chang, Jiancheng Liu, Fengping Yan</w:t>
        <w:br/>
      </w:r>
      <w:r>
        <w:rPr>
          <w:rFonts w:ascii="Times New Roman" w:hAnsi="Times New Roman" w:eastAsia="宋体"/>
          <w:sz w:val="21"/>
        </w:rPr>
        <w:t xml:space="preserve">时间: 2026-01-22 | </w:t>
      </w:r>
      <w:r>
        <w:t xml:space="preserve">链接: </w:t>
      </w:r>
      <w:hyperlink r:id="rId22">
        <w:r>
          <w:rPr>
            <w:rFonts w:ascii="Times New Roman" w:hAnsi="Times New Roman" w:eastAsia="宋体"/>
            <w:color w:val="0000FF"/>
            <w:sz w:val="21"/>
            <w:u w:val="single"/>
          </w:rPr>
          <w:t>https://doi.org/10.1364/oe.578370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数据流量的指数级增长已导致传统单模光纤系统接近香农极限，这需要突破才能满足未来的通信需求。本文通过实验演示了第一个基于概率整形16正交幅度调制（PS-16QAM）的7芯3模光纤系统。传输符号采用麦克斯韦-玻尔兹曼概率分布来优化星座点能量分配，与传统的 16QAM 相比，降低了信号峰均功率比 (PAPR)。传输光纤采用渐变折射率分布和沟槽辅助结构来抑制芯间串扰。该系统集成了波分复用（WDM）、偏振复用（PDM）和空分复用（SDM）。实现了80.6公里正负差分群时延（DGD）补偿链路上126通道（7芯×3模式×3波长×2偏振）的并行传输。数据辅助的联合频偏估计和同步算法以及与最大似然相位恢复集成的多输入多输出最小均方（MIMO-LMS）均衡算法确保了可靠的信号恢复。在 25.5% 软判决前向纠错 (FEC) 阈值下，系统实现了 101.47 b/s/Hz 的最大频谱效率。实验验证了概率整形技术在多芯少模光纤系统中的可行性，为下一代超高容量光通信系统提供了关键的技术支撑。</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of global data traffic has caused conventional single-mode fiber systems to approach the Shannon limit, which will require breakthroughs to meet future communication demands. This paper experimentally demonstrates the first 7-core 3-mode optical fiber system based on probabilistic shaping 16-quadrature amplitude modulation (PS-16QAM). The transmitted symbols employed a Maxwell-Boltzmann probability distribution to optimize the constellation point energy allocation, reducing signal peak-to-average power ratio (PAPR) compared with conventional 16QAM. The transmission fiber employed a graded-index profile and trench-assisted structure to suppress inter-core crosstalk. The system integrated wavelength division multiplexing (WDM), polarization division multiplexing (PDM), and space division multiplexing (SDM). This achieved parallel transmission for 126 channels (7 cores × 3 modes × 3 wavelengths × 2 polarizations) over an 80.6-km positive-negative differential group delay (DGD) compensated link. A data-assisted joint frequency offset estimation and synchronization algorithm and a multiple-input multiple-output least mean squares (MIMO-LMS) equalization algorithm integrated with maximum likelihood phase recovery ensured reliable signal recovery. Under a 25.5% soft-decision forward error correction (FEC) threshold, the system achieved a maximum spectral efficiency of 101.47 b/s/Hz. Experiments validated the feasibility of probabilistic shaping techniques in multi-core few-mode fiber systems, providing crucial technical support for next-generation ultra-high-capacity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Na通量法生长的无意掺杂GaN微盘中3.28 eV光致发光峰的性质</w:t>
      </w:r>
    </w:p>
    <w:p>
      <w:r>
        <w:rPr>
          <w:rFonts w:ascii="Times New Roman" w:hAnsi="Times New Roman" w:eastAsia="宋体"/>
          <w:b/>
          <w:color w:val="003264"/>
          <w:sz w:val="24"/>
        </w:rPr>
        <w:t>Nature of the 3.28 eV photoluminescence peak in unintentionally doped GaN microdisk grown by Na flux method</w:t>
      </w:r>
    </w:p>
    <w:p>
      <w:r>
        <w:rPr>
          <w:rFonts w:ascii="Times New Roman" w:hAnsi="Times New Roman" w:eastAsia="宋体"/>
          <w:sz w:val="21"/>
        </w:rPr>
        <w:t>作者: Zhiwei Si, Tao Zhang, Xiaohui Peng, Shunan Zheng, Jianfeng Wang, Zongliang Liu, Ke Xu</w:t>
        <w:br/>
      </w:r>
      <w:r>
        <w:rPr>
          <w:rFonts w:ascii="Times New Roman" w:hAnsi="Times New Roman" w:eastAsia="宋体"/>
          <w:sz w:val="21"/>
        </w:rPr>
        <w:t xml:space="preserve">时间: 2026-01-26 | </w:t>
      </w:r>
      <w:r>
        <w:t xml:space="preserve">链接: </w:t>
      </w:r>
      <w:hyperlink r:id="rId23">
        <w:r>
          <w:rPr>
            <w:rFonts w:ascii="Times New Roman" w:hAnsi="Times New Roman" w:eastAsia="宋体"/>
            <w:color w:val="0000FF"/>
            <w:sz w:val="21"/>
            <w:u w:val="single"/>
          </w:rPr>
          <w:t>https://doi.org/10.1364/oe.586294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这种接近 3.28 eV 的紫外发光 (UVL) 峰是一种常见的缺陷诱导发光现象，一直是广泛研究的主题，因为其起源与生长过程中的杂质掺入有关，这对于 GaN 基光电和微电子器件中的材料质量控制至关重要。然而，UVL相关的转变机制存在争议。通过Na-flux法生长的具有c面和(101´1)面的GaN微盘，可以为揭示UVL相关机制提供新的视角。低温光致发光 (PL) 表明 c 面上的 UVL 比 (101−1) 面上的 UVL 更强。随着功率和温度的增加，c 平面中的 UVL 发生显着的蓝移。因此，UVL相关机制可能是DAP转变。在无意掺杂的 GaN 中，我们认为与该 DAP 缺陷相关的浅受主可能是与 Mg 相关的缺陷。 SIMS结果表明c面具有高浓度的Mg杂质，这与c面具有显着的UVL峰强度的PL结果一致。这也与UVL相关的浅受主是Mg Ga的结论一致。这项工作揭示了Na-flux GaN中紫外发光的起源，为通过Na-flux法生长的GaN晶体的光学特性提供了新的见解。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Ultraviolet luminescence (UVL) peak near 3.28 eV, as a common defect-induced luminescence phenomenon, has been a subject of extensive study as its origin is linked to the impurity incorporation during growth, which is crucial for material quality control in GaN-based optoelectronic and microelectronic devices. However, the UVL-related transition mechanism is controversial. GaN microdisks grown by Na-flux method with c-plane and (101¯1)-plane, can provide what we believe is a new perspective to reveal UVL-related mechanism. The low-temperature photoluminescence (PL) demonstrates the stronger UVL on the c-plane compared to the (101¯1)-plane. With increasing power and temperature, there is a significant blue shift of UVL in the c-plane. Therefore, the UVL-related mechanism may be the DAP transition. In unintentionally doped GaN, we suggest that the shallow acceptor associated with this DAP defect may be Mg-related defect. SIMS results show that c-plane has a high concentration of Mg impurities, which is consistent with the PL results that the c-plane has a significant UVL peak intensity. It is also consistent with the conclusion that the UVL-related shallow acceptor is Mg Ga . This work reveals the origin of ultraviolet luminescence in Na-flux GaN, providing new insights into the optical properties of GaN crystals grown by the Na-flux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高𝑄光学共振的特征值加速 LDOS 优化</w:t>
      </w:r>
    </w:p>
    <w:p>
      <w:r>
        <w:rPr>
          <w:rFonts w:ascii="Times New Roman" w:hAnsi="Times New Roman" w:eastAsia="宋体"/>
          <w:b/>
          <w:color w:val="003264"/>
          <w:sz w:val="24"/>
        </w:rPr>
        <w:t>Eigenvalue-accelerated LDOS optimization of high-𝑄 optical resonances</w:t>
      </w:r>
    </w:p>
    <w:p>
      <w:r>
        <w:rPr>
          <w:rFonts w:ascii="Times New Roman" w:hAnsi="Times New Roman" w:eastAsia="宋体"/>
          <w:sz w:val="21"/>
        </w:rPr>
        <w:t>作者: George Shaker, Beñat Martinez de Aguirre Jokisch, Pengning Chao, Steven Johnson</w:t>
        <w:br/>
      </w:r>
      <w:r>
        <w:rPr>
          <w:rFonts w:ascii="Times New Roman" w:hAnsi="Times New Roman" w:eastAsia="宋体"/>
          <w:sz w:val="21"/>
        </w:rPr>
        <w:t xml:space="preserve">时间: 2026-01-12 | </w:t>
      </w:r>
      <w:r>
        <w:t xml:space="preserve">链接: </w:t>
      </w:r>
      <w:hyperlink r:id="rId24">
        <w:r>
          <w:rPr>
            <w:rFonts w:ascii="Times New Roman" w:hAnsi="Times New Roman" w:eastAsia="宋体"/>
            <w:color w:val="0000FF"/>
            <w:sz w:val="21"/>
            <w:u w:val="single"/>
          </w:rPr>
          <w:t>https://doi.org/10.1364/oe.585517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我们展示了一种新方法，可以在高 Q$ 谐振腔的逆向设计（例如拓扑优化）中产生数量级的加速，以最大化局部态密度（LDOS），并且该方法也适用于其他谐振响应指标。关键思想是，一旦传统的 LDOS 优化识别出强共振，后续优化就可以利用快速移位反转本征解算器来确保 LDOS 保持以共振峰值为中心。我们证明，这消除了尖锐共振下的病态调节，否则会显着减慢 $Q \gg 100$ 的 LDOS（和类似）优化速度。我们的方法通过一维和二维介电系统中 $Q&gt;10^6$ 谐振腔的设计来证明。</w:t>
      </w:r>
    </w:p>
    <w:p>
      <w:pPr>
        <w:spacing w:before="120"/>
      </w:pPr>
      <w:r>
        <w:rPr>
          <w:rFonts w:ascii="Times New Roman" w:hAnsi="Times New Roman" w:eastAsia="宋体"/>
          <w:b/>
          <w:sz w:val="21"/>
        </w:rPr>
        <w:t>English Abstract:</w:t>
      </w:r>
    </w:p>
    <w:p>
      <w:r>
        <w:rPr>
          <w:rFonts w:ascii="Times New Roman" w:hAnsi="Times New Roman" w:eastAsia="宋体"/>
          <w:sz w:val="21"/>
        </w:rPr>
        <w:t>We demonstrate a new method that yields orders-of-magnitude acceleration in inverse design (e.g. topology optimization) of high-$Q$ resonant cavities to maximize the local density of states (LDOS), and which is also applicable to other resonant-response metrics. The key idea is that, once conventional LDOS optimization has identified a strong resonance, subsequent optimizations can exploit a fast shift-invert eigensolver to ensure that the LDOS remains centered at the resonance peak. We show that this eliminates ill-conditioning at sharp resonances that otherwise dramatically slows LDOS (and similar) optimization for $Q \gg 100$. Our method is demonstrated by design of $Q&gt;10^6$ resonant cavities in 1d and 2d dielectric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通过横向几何控制抑制多模 VCSEL 中的模式分配噪声</w:t>
      </w:r>
    </w:p>
    <w:p>
      <w:r>
        <w:rPr>
          <w:rFonts w:ascii="Times New Roman" w:hAnsi="Times New Roman" w:eastAsia="宋体"/>
          <w:b/>
          <w:color w:val="003264"/>
          <w:sz w:val="24"/>
        </w:rPr>
        <w:t>Suppressing mode partition noise in multimode VCSELs via lateral geometry control</w:t>
      </w:r>
    </w:p>
    <w:p>
      <w:r>
        <w:rPr>
          <w:rFonts w:ascii="Times New Roman" w:hAnsi="Times New Roman" w:eastAsia="宋体"/>
          <w:sz w:val="21"/>
        </w:rPr>
        <w:t>作者: Ting-Yu Wu, Yun-Cheng Yang, Taixian Zhang, Camel Shih, Chao-Hsin Wu</w:t>
        <w:br/>
      </w:r>
      <w:r>
        <w:rPr>
          <w:rFonts w:ascii="Times New Roman" w:hAnsi="Times New Roman" w:eastAsia="宋体"/>
          <w:sz w:val="21"/>
        </w:rPr>
        <w:t xml:space="preserve">时间: 2026-01-30 | </w:t>
      </w:r>
      <w:r>
        <w:t xml:space="preserve">链接: </w:t>
      </w:r>
      <w:hyperlink r:id="rId25">
        <w:r>
          <w:rPr>
            <w:rFonts w:ascii="Times New Roman" w:hAnsi="Times New Roman" w:eastAsia="宋体"/>
            <w:color w:val="0000FF"/>
            <w:sz w:val="21"/>
            <w:u w:val="single"/>
          </w:rPr>
          <w:t>https://doi.org/10.1364/oe.583350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这项研究提出了一种几何驱动的方法来抑制高速短距离链路多模垂直腔表面发射激光器 (VCSEL) 中的模式分配噪声 (MPN)。研究了三种具有不同横向几何形状的 VCSEL，它们都表现出相似的静态和小信号性能。孔径几何形状主要决定横向模态分布，其中不同模态组之间的竞争是驱动 MPN 的主要机制。在这些设计中，特意设计的不对称孔径将模态能量集中到主模组中，产生 0.387 nm 的均方根 (RMS) 谱宽和最低的低频相对强度噪声 (RIN)。该器件在背靠背情况下实现了 0.86 dB 的发射机色散眼图闭合四进制 (TDECQ)，在 100 m OM4 光纤传输后实现了 1.24 dB，相应的定时抖动为 6.65 ps 和 8.03 ps。结果证实，横向几何优化可有效抑制 MPN，而不会降低内在性能，从而实现更高利润的光学互连。</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geometry-driven approach to suppress mode partition noise (MPN) in multimode vertical-cavity surface-emitting lasers (VCSELs) for high-speed short-reach links. Three VCSELs with distinct lateral geometries were investigated, all exhibiting similar static and small-signal performance. The aperture geometry primarily determines the transverse modal distribution, where competition among different mode groups serves as the principal mechanism driving MPN. Among the designs, the intentionally engineered asymmetric aperture concentrates modal energy into a dominant mode group, yielding a root-mean-square (RMS) spectral width of 0.387 nm and the lowest low-frequency relative intensity noise (RIN). The device achieves a transmitter dispersion eye closure quaternary (TDECQ) of 0.86 dB in the back-to-back case and 1.24 dB after 100 m OM4 fiber transmission, with corresponding timing jitter of 6.65 ps and 8.03 ps. The results confirm that lateral-geometry optimization effectively suppresses MPN without degrading intrinsic performance, enabling higher-margin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在基于超透镜的光镊中冷却纳米粒子</w:t>
      </w:r>
    </w:p>
    <w:p>
      <w:r>
        <w:rPr>
          <w:rFonts w:ascii="Times New Roman" w:hAnsi="Times New Roman" w:eastAsia="宋体"/>
          <w:b/>
          <w:color w:val="003264"/>
          <w:sz w:val="24"/>
        </w:rPr>
        <w:t>Cooling a nanoparticle in metalens-based optical tweezers</w:t>
      </w:r>
    </w:p>
    <w:p>
      <w:r>
        <w:rPr>
          <w:rFonts w:ascii="Times New Roman" w:hAnsi="Times New Roman" w:eastAsia="宋体"/>
          <w:sz w:val="21"/>
        </w:rPr>
        <w:t>作者: Zhen Liu, Hualong Yin, Jinheng Li, Guoyao Li, Cuihong Li, Zhang-qi Yin</w:t>
        <w:br/>
      </w:r>
      <w:r>
        <w:rPr>
          <w:rFonts w:ascii="Times New Roman" w:hAnsi="Times New Roman" w:eastAsia="宋体"/>
          <w:sz w:val="21"/>
        </w:rPr>
        <w:t xml:space="preserve">时间: 2026-01-21 | </w:t>
      </w:r>
      <w:r>
        <w:t xml:space="preserve">链接: </w:t>
      </w:r>
      <w:hyperlink r:id="rId47">
        <w:r>
          <w:rPr>
            <w:rFonts w:ascii="Times New Roman" w:hAnsi="Times New Roman" w:eastAsia="宋体"/>
            <w:color w:val="0000FF"/>
            <w:sz w:val="21"/>
            <w:u w:val="single"/>
          </w:rPr>
          <w:t>https://doi.org/10.1364/oe.582674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高真空中纳米粒子的光学悬浮和冷却为超灵敏计量和传感提供了一个特殊的平台。然而，传统的光镊依赖于笨重的物镜，限制了其小型化和应用。在这里，我们设计并制造了数值孔径为 0.83、在真空中工作于 1064 nm、直径为 600 μm 的超透镜。超透镜可作为激光捕获物镜的紧凑替代品。使用基于超透镜的镊子，我们在 1.4 × 10 -6 mbar 的最小压力下捕获纳米粒子，并通过参数反馈将其质心运动冷却至约 100 mK。纳米颗粒已被稳定捕获 30 多天。我们的工作展示了使用基于超透镜的光镊在超高真空中稳定捕获和冷却纳米颗粒，为高精度小型化光机械传感带来了新的机会。</w:t>
      </w:r>
    </w:p>
    <w:p>
      <w:pPr>
        <w:spacing w:before="120"/>
      </w:pPr>
      <w:r>
        <w:rPr>
          <w:rFonts w:ascii="Times New Roman" w:hAnsi="Times New Roman" w:eastAsia="宋体"/>
          <w:b/>
          <w:sz w:val="21"/>
        </w:rPr>
        <w:t>English Abstract:</w:t>
      </w:r>
    </w:p>
    <w:p>
      <w:r>
        <w:rPr>
          <w:rFonts w:ascii="Times New Roman" w:hAnsi="Times New Roman" w:eastAsia="宋体"/>
          <w:sz w:val="21"/>
        </w:rPr>
        <w:t>Optical levitation and cooling of nanoparticles in high vacuum offer an exceptional platform for ultrasensitive metrology and sensing. However, conventional optical tweezers rely on bulky objective lenses, limiting their miniaturization and application. Here, we design and fabricate a metalens with a numerical aperture of 0.83, operating at 1064 nm in vacuum, and a diameter of 600 μ m. The metalens serves as a compact alternative to objective lenses for laser trapping. With the metalens-based tweezers, we trap a nanoparticle at a minimal pressure of 1.4 × 10 −6 mbar and cool its center-of-mass motion via parametric feedback to around 100 mK. The nanoparticle has been stably trapped for over 30 days. Our work demonstrates stable trapping and cooling of a nanoparticle in ultra-high vacuum using a metalens-based optical tweezers, enabling new opportunities in high-precision miniaturized optomechanical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用于检测非生物表面上的单种和双种细菌生物膜的多光谱荧光成像和紫外线 C 消毒</w:t>
      </w:r>
    </w:p>
    <w:p>
      <w:r>
        <w:rPr>
          <w:rFonts w:ascii="Times New Roman" w:hAnsi="Times New Roman" w:eastAsia="宋体"/>
          <w:b/>
          <w:color w:val="003264"/>
          <w:sz w:val="24"/>
        </w:rPr>
        <w:t>Multispectral fluorescence imaging to detect and ultraviolet C to disinfect single and dual-species bacterial biofilm on abiotic surfaces</w:t>
      </w:r>
    </w:p>
    <w:p>
      <w:r>
        <w:rPr>
          <w:rFonts w:ascii="Times New Roman" w:hAnsi="Times New Roman" w:eastAsia="宋体"/>
          <w:sz w:val="21"/>
        </w:rPr>
        <w:t>作者: Benjamin Hu, Mahsa Aliee, Seyedali Hosseinirad, Ashley Boomer, Insuck Baek, Moon S. Kim, Fartash Vasefi, Jitendra Patel, Hossein Kashani Zadeh</w:t>
        <w:br/>
      </w:r>
      <w:r>
        <w:rPr>
          <w:rFonts w:ascii="Times New Roman" w:hAnsi="Times New Roman" w:eastAsia="宋体"/>
          <w:sz w:val="21"/>
        </w:rPr>
        <w:t xml:space="preserve">时间: 2026-01-23 | </w:t>
      </w:r>
      <w:r>
        <w:t xml:space="preserve">链接: </w:t>
      </w:r>
      <w:hyperlink r:id="rId48">
        <w:r>
          <w:rPr>
            <w:rFonts w:ascii="Times New Roman" w:hAnsi="Times New Roman" w:eastAsia="宋体"/>
            <w:color w:val="0000FF"/>
            <w:sz w:val="21"/>
            <w:u w:val="single"/>
          </w:rPr>
          <w:t>https://doi.org/10.1364/oe.581002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由于生物膜持久存在于医疗设备或工业管道等各种表面，因此大约 65% 的微生物感染与生物膜有关。因此，它们的检测和灭活对公共卫生非常重要。许多检测方法，例如拭子，需要通过摩擦采样，这可能昂贵、耗时，并且需要训练有素的人员。这项研究建议使用先前开发的手持式多光谱荧光成像系统来原位实时检测和消毒生物膜。我们利用了污染和消毒检查 (CSI) 和消毒 (CSI-D+)，两者均配有各种摄像头和紫外线 LED 来对污染物进行成像和消毒。使用工业生物反应器在聚氯乙烯（PVC）和不锈钢（SS）试片上生长生物膜，包括单核细胞增生李斯特菌/铜绿假单胞菌或产志贺毒素大肠杆菌（STEC）/铜绿假单胞菌的双物种生物膜，以及单核细胞增生李斯特菌和STEC的单物种生物膜。使用 275、365 或 405 nm 照明与相机组合，视觉检测生物膜的形成。通过比较无菌肉汤和不同类型的生物膜的彩色数据图像分析，SS 上的准确度为 91%，PVC 试片上的准确度为 89%。 UVC 光显着减少了表面试样上单物种和双物种生物膜中的这些病原体。</w:t>
      </w:r>
    </w:p>
    <w:p>
      <w:pPr>
        <w:spacing w:before="120"/>
      </w:pPr>
      <w:r>
        <w:rPr>
          <w:rFonts w:ascii="Times New Roman" w:hAnsi="Times New Roman" w:eastAsia="宋体"/>
          <w:b/>
          <w:sz w:val="21"/>
        </w:rPr>
        <w:t>English Abstract:</w:t>
      </w:r>
    </w:p>
    <w:p>
      <w:r>
        <w:rPr>
          <w:rFonts w:ascii="Times New Roman" w:hAnsi="Times New Roman" w:eastAsia="宋体"/>
          <w:sz w:val="21"/>
        </w:rPr>
        <w:t>Biofilms, because of their persistence on various surfaces such as medical devices or industrial piping, are associated with approximately 65% of all microbial infections. Thus, their detection and inactivation are of great importance to public health. Many detection methods, such as swabbing, require sampling by rubbing, which can be expensive, time-consuming, and require highly trained personnel. This study proposes the use of previously developed, handheld multispectral fluorescence imaging systems to detect and disinfect biofilm in situ and in real-time. We utilized the contamination and sanitization inspection (CSI) and disinfection (CSI-D+), both of which feature various cameras and UV-emitting LEDs to image and disinfect contamination. Biofilms were grown on polyvinyl chloride (PVC) and stainless steel (SS) coupons using an industrial bioreactor, including dual-species biofilms of Listeria monocytogenes/Pseudomonas aeruginosa or Shiga toxin-producing Escherichia coli (STEC)/ Pseudomonas aeruginosa , as well as single-species biofilms of Listeria monocytogenes and STEC. Using 275, 365, or 405 nm illumination with combinations of cameras detected biofilm formation visually. Color data image analysis comparing sterile broth and different types of biofilm yielded accuracies of 91% on SS and 89% on PVC coupons. The UVC light significantly reduced these pathogens in single- and dual-species biofilms from surface coupons.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基于频域滤波的 Shack–Hartmann 超分辨率波前重建神经网络</w:t>
      </w:r>
    </w:p>
    <w:p>
      <w:r>
        <w:rPr>
          <w:rFonts w:ascii="Times New Roman" w:hAnsi="Times New Roman" w:eastAsia="宋体"/>
          <w:b/>
          <w:color w:val="003264"/>
          <w:sz w:val="24"/>
        </w:rPr>
        <w:t>Frequency-domain filtering-based neural network for Shack–Hartmann super-resolution wavefront reconstruction</w:t>
      </w:r>
    </w:p>
    <w:p>
      <w:r>
        <w:rPr>
          <w:rFonts w:ascii="Times New Roman" w:hAnsi="Times New Roman" w:eastAsia="宋体"/>
          <w:sz w:val="21"/>
        </w:rPr>
        <w:t>作者: Xu Hou, Fujia Du, Xiushan Pan, Chong Pei, Heng Zuo</w:t>
        <w:br/>
      </w:r>
      <w:r>
        <w:rPr>
          <w:rFonts w:ascii="Times New Roman" w:hAnsi="Times New Roman" w:eastAsia="宋体"/>
          <w:sz w:val="21"/>
        </w:rPr>
        <w:t xml:space="preserve">时间: 2026-01-22 | </w:t>
      </w:r>
      <w:r>
        <w:t xml:space="preserve">链接: </w:t>
      </w:r>
      <w:hyperlink r:id="rId49">
        <w:r>
          <w:rPr>
            <w:rFonts w:ascii="Times New Roman" w:hAnsi="Times New Roman" w:eastAsia="宋体"/>
            <w:color w:val="0000FF"/>
            <w:sz w:val="21"/>
            <w:u w:val="single"/>
          </w:rPr>
          <w:t>https://doi.org/10.1364/oe.578992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下一代望远镜的孔径不断增大，需要更高分辨率的波前传感。 Shack-Hartmann 波前传感器 (SHWFS) 是自适应光学的关键组件，其传感分辨率从根本上受到其子孔径密度的限制。为了克服这一限制，我们引入了一种基于频域滤波器的神经网络（FF-Net），用于超分辨率波前重建（SRWR）。受到 SHWFS 物理成像原理和卷积定理的启发，FF-Net 利用可学习的 Gabor 滤波器来提取不同频段的像差特征。与标准卷积核相比，这种方法能够更有效地从混叠的子孔径点中解耦特征，从而实现高精度重建。数值模拟表明 FF-Net 实现了最先进的 SRWR 性能。值得注意的是，在欠采样 SHWFS 的情况下，我们的方法优于采用四倍子孔径密度的传统方法的低阶重建精度，同时检索高阶模式。此外，其GPU加速推理时间低于1毫秒，满足大多数天文自适应光学系统的实时要求。 FF-Net 证明，基于物理的网络设计是在自适应光学领域开发更准确、稳健和可解释的深度学习解决方案的强大策略。</w:t>
      </w:r>
    </w:p>
    <w:p>
      <w:pPr>
        <w:spacing w:before="120"/>
      </w:pPr>
      <w:r>
        <w:rPr>
          <w:rFonts w:ascii="Times New Roman" w:hAnsi="Times New Roman" w:eastAsia="宋体"/>
          <w:b/>
          <w:sz w:val="21"/>
        </w:rPr>
        <w:t>English Abstract:</w:t>
      </w:r>
    </w:p>
    <w:p>
      <w:r>
        <w:rPr>
          <w:rFonts w:ascii="Times New Roman" w:hAnsi="Times New Roman" w:eastAsia="宋体"/>
          <w:sz w:val="21"/>
        </w:rPr>
        <w:t>The increasing aperture of next-generation telescopes demands higher-resolution wavefront sensing. The sensing resolution of the Shack-Hartmann wavefront sensor (SHWFS), a key component in adaptive optics, is fundamentally limited by its sub-aperture density. To overcome this limitation, we introduce a frequency-domain filter-based neural network (FF-Net) for super-resolution wavefront reconstruction (SRWR). Inspired by the physical imaging principles of the SHWFS and the convolution theorem, FF-Net utilizes learnable Gabor filters to extract aberration features across various frequency bands. This approach enables more effective feature decoupling from aliased sub-aperture spots compared to standard convolutional kernels, leading to high-precision reconstruction. Numerical simulations demonstrate that FF-Net achieves state-of-the-art SRWR performance. Notably, with an under-sampled SHWFS, our method outperforms the low-order reconstruction accuracy of the conventional method employing four times the sub-aperture density, while simultaneously retrieving higher-order modes. Furthermore, its GPU-accelerated inference time of under 1 ms meets the real-time requirements of most astronomical adaptive optics systems. FF-Net demonstrates that physics-informed network design is a powerful strategy for developing more accurate, robust, and interpretable deep learning solutions in adaptive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通过光子库扩展检测带宽以实现超快光学传感</w:t>
      </w:r>
    </w:p>
    <w:p>
      <w:r>
        <w:rPr>
          <w:rFonts w:ascii="Times New Roman" w:hAnsi="Times New Roman" w:eastAsia="宋体"/>
          <w:b/>
          <w:color w:val="003264"/>
          <w:sz w:val="24"/>
        </w:rPr>
        <w:t>Expanding detection bandwidth via a photonic reservoir for ultrafast optical sensing</w:t>
      </w:r>
    </w:p>
    <w:p>
      <w:r>
        <w:rPr>
          <w:rFonts w:ascii="Times New Roman" w:hAnsi="Times New Roman" w:eastAsia="宋体"/>
          <w:sz w:val="21"/>
        </w:rPr>
        <w:t>作者: Yuito Ito, Tomoaki Niiyama, Tetsuya Asai, Gouhei Tanaka, Atsushi Uchida, Satoshi Sunada</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https://doi.org/10.1364/oe.581652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超快光学和射频 (RF) 信号的检测对于从高速通信到高级传感等各种应用至关重要。然而，传统探测器从根本上受到其固有带宽的限制，限制了宽带信号的精确测量。在这里，我们证明神经形态光子处理方法可以克服这一限制，从而能够检测超出探测器带宽的宽带信号。关键思想在于光子存储网络内输入波形的时空编码，它重建了单个探测器无法访问的高频分量。我们通过实验证明了使用片上硅光子库可以检测高速光学相位信号，有效带宽扩展了八倍以上。这种方法为高速光学和射频信号处理提供了一个可扩展的集成平台，为超快光子学和下一代通信系统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The detection of ultrafast optical and radio-frequency (RF) signals is crucial for applications ranging from high-speed communications to advanced sensing. However, conventional detectors are fundamentally constrained by their intrinsic bandwidth, limiting accurate measurement of broadband signals. Here, we show that a neuromorphic photonic processing approach can overcome this limitation, enabling detection of broadband signals beyond the detector bandwidth. The key idea lies in the spatiotemporal encoding of input waveforms within a photonic reservoir network, which reconstructs high-frequency components otherwise inaccessible to individual detectors. We experimentally demonstrate the detection of high-speed optical phase signals with more than an eightfold effective bandwidth expansion using an on-chip silicon photonic reservoir. This approach provides a scalable and integrated platform for high-speed optical and RF signal processing, opening new opportunities in ultrafast photonics and next-generation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使用边缘检测自旋微分衍射网络进行全光学物体分类</w:t>
      </w:r>
    </w:p>
    <w:p>
      <w:r>
        <w:rPr>
          <w:rFonts w:ascii="Times New Roman" w:hAnsi="Times New Roman" w:eastAsia="宋体"/>
          <w:b/>
          <w:color w:val="003264"/>
          <w:sz w:val="24"/>
        </w:rPr>
        <w:t>All-optical object classification using an edge-detecting spin-differential diffractive network</w:t>
      </w:r>
    </w:p>
    <w:p>
      <w:r>
        <w:rPr>
          <w:rFonts w:ascii="Times New Roman" w:hAnsi="Times New Roman" w:eastAsia="宋体"/>
          <w:sz w:val="21"/>
        </w:rPr>
        <w:t>作者: Yetao Shu, Laixi Sun, Yuhai Li, Tong Fu, Yubin Zhang, Rong Wu, Wenhua Gu, Li Li, Fang Wang, Xiaodong Yuan, Junwei Zhang</w:t>
        <w:br/>
      </w:r>
      <w:r>
        <w:rPr>
          <w:rFonts w:ascii="Times New Roman" w:hAnsi="Times New Roman" w:eastAsia="宋体"/>
          <w:sz w:val="21"/>
        </w:rPr>
        <w:t xml:space="preserve">时间: 2026-01-26 | </w:t>
      </w:r>
      <w:r>
        <w:t xml:space="preserve">链接: </w:t>
      </w:r>
      <w:hyperlink r:id="rId51">
        <w:r>
          <w:rPr>
            <w:rFonts w:ascii="Times New Roman" w:hAnsi="Times New Roman" w:eastAsia="宋体"/>
            <w:color w:val="0000FF"/>
            <w:sz w:val="21"/>
            <w:u w:val="single"/>
          </w:rPr>
          <w:t>https://doi.org/10.1364/oe.579508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全光计算提供超高速、低功耗和并行处理能力，这对于克服摩尔定律的限制至关重要。然而，传统的单波长衍射深度神经网络（D 2 NN）在实现高精度光学边缘特征提取和分类任务之间的协同优化方面面临着重大挑战。在这里，提出了一种用于单波长全光学物体分类的边缘检测自旋微分衍射神经网络（ESD-DNN）。该网络架构通过 Pancharatnam-Berry 相位梯度超表面实现，以实现快速边缘特征提取，而分类推理则通过利用基于左手/右手圆偏振 (LCP/RCP) 组件的自旋微分机制来完成。通过衍射层的端到端优化，ESD-DNN 实现了边缘特征提取和分类的协同优化，显着提高了精度，同时降低了计算成本。数值验证表明，单层 ESD-DNN 的分类准确率达到 97.5% (MNIST) 和 87.5% (Fashion-MNIST)，分别超过传统单波长 D 2 NN 10.2% 和 5.2%。同时，与四层 D 2 NN 相比，它的计算效率提高了 5 倍，同时时间复杂度降低了 80%。值得注意的是，在中等湍流强度或热透镜效应等极端条件下，该网络仍保持 &gt;90% 的分类精度 (MNIST)，展示了其卓越的环境鲁棒性。这些发现为人工智能、卫星遥感、智能工业检测和空间光通信等领域的应用铺平了道路。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All-optical computing offers ultra-high speed, low-power consumption, and parallel processing capabilities, crucial for overcoming Moore's Law limitations. However, conventional single-wavelength diffractive deep neural networks (D 2 NN) face significant challenges in achieving synergistic optimization between high-precision optical edge-feature extraction and classification tasks. Here, an edge-detecting spin-differential diffractive neural network (ESD-DNN) is proposed for single-wavelength all-optical object classification. The network architecture is implemented through a Pancharatnam-Berry phase gradient metasurface to achieve rapid edge-feature extraction, while classification inference is accomplished by utilizing a spin-differential mechanism based on left-/right-handed circularly polarized (LCP/RCP) components. Through end-to-end optimization of the diffractive layers, the ESD-DNN achieves co-optimization of edge-feature extraction and classification, significantly improving accuracy while reducing computational costs. Numerical validations reveal that the single-layer ESD-DNN attains 97.5% (MNIST) and 87.5% (Fashion-MNIST) classification accuracy, surpassing traditional single-wavelength D 2 NN by 10.2% and 5.2%, respectively. Meanwhile, it achieves 5-fold higher computational efficiency while reducing time complexity by 80% compared to a four-layer D 2 NN. Remarkably, under extreme conditions such as moderate turbulence intensity or thermal lensing effects, the network maintains &gt;90% classification accuracy (MNIST), demonstrating its exceptional environmental robustness. These findings pave the way for applications in artificial intelligence, satellite remote sensing, intelligent industrial inspection, and space optical communications.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用于类脑电子学和光电子学的镓基半导体薄膜的诱导配合生长</w:t>
      </w:r>
    </w:p>
    <w:p>
      <w:r>
        <w:rPr>
          <w:rFonts w:ascii="Times New Roman" w:hAnsi="Times New Roman" w:eastAsia="宋体"/>
          <w:b/>
          <w:color w:val="003264"/>
          <w:sz w:val="24"/>
        </w:rPr>
        <w:t>Induced fit growth of Ga-based semiconductor thin films for brain-inspired electronics and optoelectronics</w:t>
      </w:r>
    </w:p>
    <w:p>
      <w:r>
        <w:rPr>
          <w:rFonts w:ascii="Times New Roman" w:hAnsi="Times New Roman" w:eastAsia="宋体"/>
          <w:sz w:val="21"/>
        </w:rPr>
        <w:t>作者: Zixu Sa, Kepeng Song, You Meng, Wenfeng Wu, Zhaocong Wang, Pengsheng Li, Jie Zhang, Zeqi Zang, Guangcan Wang, Mingxu Wang, Zhitai Jia, Yang Tan, Weifeng Li, SenPo Yip, Feng Chen, Johnny C. Ho, Zai-xing Yang</w:t>
        <w:br/>
      </w:r>
      <w:r>
        <w:rPr>
          <w:rFonts w:ascii="Times New Roman" w:hAnsi="Times New Roman" w:eastAsia="宋体"/>
          <w:sz w:val="21"/>
        </w:rPr>
        <w:t xml:space="preserve">时间: 2026-02-04 | </w:t>
      </w:r>
      <w:r>
        <w:t xml:space="preserve">链接: </w:t>
      </w:r>
      <w:hyperlink r:id="rId26">
        <w:r>
          <w:rPr>
            <w:rFonts w:ascii="Times New Roman" w:hAnsi="Times New Roman" w:eastAsia="宋体"/>
            <w:color w:val="0000FF"/>
            <w:sz w:val="21"/>
            <w:u w:val="single"/>
          </w:rPr>
          <w:t>https://doi.org/10.1038/s41377-025-02096-2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当前的晶体薄膜生产技术通常需要特定的生长基板，这对其在柔性电子和集成光电子中的使用提出了重大挑战。为了应对这些挑战，我们引入了一种称为“诱导拟合生长”的新方法，其灵感来自于分子生物学中的诱导拟合理论。该方法克服了当前技术的局限性，能够在任意基底上沉积厚度和形貌可控的 Ga 基半导体薄膜，包括 GaSb、GaSe、GaAs 和 GaAsSb。利用与标准半导体工艺兼容的低成本晶圆级气相沉积工艺，这些 Ga 基薄膜可以针对各种功能应用进行图案化。例如，图案化的Ga基薄膜在p沟道晶体管阵列（空穴迁移率为0.25 cm 2 V-1 s-1）、功能性突触器件和灵活的全向成像传感器（在低至5°的入射角下保持功能）中表现出广泛的适用性。总体而言，所提出的诱导配合生长方法有利于Ga基半导体薄膜的生长，具有更大的集成灵活性，增强了其先进的功能和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Current crystalline thin-film production techniques typically require specific growth substrates, posing significant challenges for their use in flexible electronics and integrated optoelectronics. In response to these challenges, we introduce a novel method called ‘induced fit growth’, inspired by the induced fit theory in molecular biology. This method overcomes the limitations of current techniques by enabling the deposition of Ga-based semiconductor films, including GaSb, GaSe, GaAs, and GaAsSb, with controllable thickness and morphology on arbitrary substrates. Utilizing a low-cost, wafer-scale vapor deposition process compatible with standard semiconductor procedures, these Ga-based films can be patterned for various functional applications. For example, the patterned Ga-based thin films exhibit broad applicability in p-channel transistor arrays (with hole mobility of 0.25 cm 2 V⁻ 1 s⁻ 1 ), functional synaptic devices, and flexible omnidirectional imaging sensors (maintaining functionality at incident angles as low as 5°). Overall, the proposed induced fit growth method facilitates the growth of Ga-based semiconductor films with greater integration flexibility, enhancing their advanced functionality and broad applicability.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06:29 ---</w:t>
      </w:r>
    </w:p>
    <w:p>
      <w:pPr>
        <w:pStyle w:val="Heading2"/>
      </w:pPr>
      <w:r/>
      <w:r>
        <w:rPr>
          <w:rFonts w:ascii="Times New Roman" w:hAnsi="Times New Roman" w:eastAsia="宋体"/>
          <w:b/>
          <w:color w:val="000000"/>
          <w:sz w:val="24"/>
        </w:rPr>
        <w:t>反射共焦显微镜引导的空间选择性多光子光热作用可精确闭合小鼠眼缘血管</w:t>
      </w:r>
    </w:p>
    <w:p>
      <w:r>
        <w:rPr>
          <w:rFonts w:ascii="Times New Roman" w:hAnsi="Times New Roman" w:eastAsia="宋体"/>
          <w:b/>
          <w:color w:val="003264"/>
          <w:sz w:val="24"/>
        </w:rPr>
        <w:t>Spatially selective multiphoton photothermolysis guided by reflectance confocal microscopy for precise vessel closure in the mouse eye limbus</w:t>
      </w:r>
    </w:p>
    <w:p>
      <w:r>
        <w:rPr>
          <w:rFonts w:ascii="Times New Roman" w:hAnsi="Times New Roman" w:eastAsia="宋体"/>
          <w:sz w:val="21"/>
        </w:rPr>
        <w:t>作者: Liwei Jiang, Zhenguo Wu, Jianhua Zhao, Jing Cui, Harvey Lui, Sonia N. Yeung, Joanne A. Matsubara, Haishan Zeng</w:t>
        <w:br/>
      </w:r>
      <w:r>
        <w:rPr>
          <w:rFonts w:ascii="Times New Roman" w:hAnsi="Times New Roman" w:eastAsia="宋体"/>
          <w:sz w:val="21"/>
        </w:rPr>
        <w:t xml:space="preserve">时间: 2026-01-14 | </w:t>
      </w:r>
      <w:r>
        <w:t xml:space="preserve">链接: </w:t>
      </w:r>
      <w:hyperlink r:id="rId52">
        <w:r>
          <w:rPr>
            <w:rFonts w:ascii="Times New Roman" w:hAnsi="Times New Roman" w:eastAsia="宋体"/>
            <w:color w:val="0000FF"/>
            <w:sz w:val="21"/>
            <w:u w:val="single"/>
          </w:rPr>
          <w:t>https://doi.org/10.1364/boe.585526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角膜新生血管（CNV）的特点是角膜异常血管生长，通常会损害视力。传统的 CNV 激光疗法缺乏精确性，并且存在附带损害的风险。我们开发了一种多光子光热解 (MPP) 方法，使用基于飞秒 (fs) 激光的双光子吸收，并由实时反射共焦显微镜引导。实施了两种 MPP 激光治疗配置：用于成像（785 nm CW）和治疗（830 nm fs）的双激光器，以及用于这两种功能的单 fs 激光器。我们证明，在小鼠眼角膜中，MPP 实现了选择性血管闭合，而没有附带组织损伤。结果还表明治疗效果是由两个光子吸收而不是一个光子吸收介导的，这凸显了 MPP 作为精确且安全的 CNV 治疗的潜力。</w:t>
      </w:r>
    </w:p>
    <w:p>
      <w:pPr>
        <w:spacing w:before="120"/>
      </w:pPr>
      <w:r>
        <w:rPr>
          <w:rFonts w:ascii="Times New Roman" w:hAnsi="Times New Roman" w:eastAsia="宋体"/>
          <w:b/>
          <w:sz w:val="21"/>
        </w:rPr>
        <w:t>English Abstract:</w:t>
      </w:r>
    </w:p>
    <w:p>
      <w:r>
        <w:rPr>
          <w:rFonts w:ascii="Times New Roman" w:hAnsi="Times New Roman" w:eastAsia="宋体"/>
          <w:sz w:val="21"/>
        </w:rPr>
        <w:t>Corneal neovascularization (CNV) is characterized by abnormal vessel growth into the cornea, often impairing vision. Conventional laser therapies for CNV lack precision and risk collateral damage. We developed a multiphoton photothermolysis (MPP) approach using femtosecond (fs) laser-based two-photon absorption guided by real-time reflectance confocal microscopy. Two MPP laser treatment configurations were implemented: dual lasers for imaging (785 nm CW) and treatment (830 nm fs), and a single fs laser for both functions. We demonstrated that in the mouse eye limbus, MPP achieved selective vessel closure without collateral tissue damage. Results also indicate therapeutic effects are mediated by two- rather than one-photon absorption, highlighting MPP’s potential as a precise and safe CNV treatment.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太赫兹频率的拓扑光子器件和电路</w:t>
      </w:r>
    </w:p>
    <w:p>
      <w:r>
        <w:rPr>
          <w:rFonts w:ascii="Times New Roman" w:hAnsi="Times New Roman" w:eastAsia="宋体"/>
          <w:b/>
          <w:color w:val="003264"/>
          <w:sz w:val="24"/>
        </w:rPr>
        <w:t>Topological Photonic Devices and Circuits at Terahertz Frequencies</w:t>
      </w:r>
    </w:p>
    <w:p>
      <w:r>
        <w:rPr>
          <w:rFonts w:ascii="Times New Roman" w:hAnsi="Times New Roman" w:eastAsia="宋体"/>
          <w:sz w:val="21"/>
        </w:rPr>
        <w:t>作者: Samane Kalhor, Srabani Kar, Ranjan Singh, Kaveh Delfanazari</w:t>
        <w:br/>
      </w:r>
      <w:r>
        <w:rPr>
          <w:rFonts w:ascii="Times New Roman" w:hAnsi="Times New Roman" w:eastAsia="宋体"/>
          <w:sz w:val="21"/>
        </w:rPr>
        <w:t xml:space="preserve">时间: 2026-02-04 | </w:t>
      </w:r>
      <w:r>
        <w:t xml:space="preserve">链接: </w:t>
      </w:r>
      <w:hyperlink r:id="rId53">
        <w:r>
          <w:rPr>
            <w:rFonts w:ascii="Times New Roman" w:hAnsi="Times New Roman" w:eastAsia="宋体"/>
            <w:color w:val="0000FF"/>
            <w:sz w:val="21"/>
            <w:u w:val="single"/>
          </w:rPr>
          <w:t>https://doi.org/10.1002/lpor.202503162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拓扑光子学已成为太赫兹 (THz) 科学和技术的变革范式，通过本质上对无序、缺陷和制造缺陷具有鲁棒性的模式提供对电磁波前所未有的控制。 3D 拓扑绝缘体 (TI) 以自旋极化狄拉克表面态为特征，为实现可调谐、低损耗太赫兹组件提供了强大的材料平台，其功能超越了传统光子系统。基于 TI 的设备在下一代成像、传感和大容量无线通信的核心光谱范围内运行，有望增强性能、稳定性和能效。本文介绍了由 TI 和拓扑设计原理实现的太赫兹光子器件和电路的最新进展。我们首先概述 3D TI 的基本电子和光学特性，并评估它们与太赫兹调制器、开关、探测器和发射器的集成。然后，我们讨论从传统的基于 TI 的光子学到完全拓扑光子平台的进展，强调支持单向、反向散射免疫光传输的结构的出现。最后，我们研究了先进的拓扑相，包括量子自旋霍尔、量子谷霍尔和高阶拓扑，如何解锁缺陷免疫传播、无反射接口和可重构太赫兹电路。总之，这些发展将拓扑光子材料和架构定位为可扩展、弹性和高性能太赫兹和量子光子系统的基础技术。</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photonics has emerged as a transformative paradigm for terahertz (THz) science and technology, offering unprecedented control over electromagnetic waves through modes that are inherently robust against disorder, defects, and fabrication imperfections. 3D topological insulators (TIs), characterized by spin‑polarized Dirac surface states, provide a powerful materials platform for realizing tunable, low‑loss THz components with functionalities that surpass those of conventional photonic systems. Operating across a spectral range central to next‑generation imaging, sensing, and high‑capacity wireless communications, TI‑based devices promise enhanced performance, stability, and energy efficiency. This paper covers recent advances in THz photonic devices and circuits enabled by TIs and topological design principles. We first outline the fundamental electronic and optical properties of 3D TIs and evaluate their integration into THz modulators, switches, detectors, and emitters. We then discuss the progression from traditional TI‑based photonics to fully topological photonic platforms, highlighting the emergence of structures that support unidirectional, backscattering‑immune light transport. Finally, we examine how advanced topological phases, including quantum spin Hall, quantum valley Hall, and higher‑order topologies, unlock defect‑immune propagation, reflectionless interfaces, and reconfigurable THz circuitry. Together, these developments position topological photonic materials and architectures as a foundational technology for scalable, resilient, and high‑performance THz and quantum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具有高效自旋允许发射的穆勒型双自由基 X 射线闪烁</w:t>
      </w:r>
    </w:p>
    <w:p>
      <w:r>
        <w:rPr>
          <w:rFonts w:ascii="Times New Roman" w:hAnsi="Times New Roman" w:eastAsia="宋体"/>
          <w:b/>
          <w:color w:val="003264"/>
          <w:sz w:val="24"/>
        </w:rPr>
        <w:t>A Müller‐Type Diradicaloid With Efficient Spin‐Allowed Emission for X‐Ray Scintillation</w:t>
      </w:r>
    </w:p>
    <w:p>
      <w:r>
        <w:rPr>
          <w:rFonts w:ascii="Times New Roman" w:hAnsi="Times New Roman" w:eastAsia="宋体"/>
          <w:sz w:val="21"/>
        </w:rPr>
        <w:t>作者: Zihao Zhu, Yixiao Yin, Alim Abdurahman, Qiming Peng, Wei Huang, Zhongfu An</w:t>
        <w:br/>
      </w:r>
      <w:r>
        <w:rPr>
          <w:rFonts w:ascii="Times New Roman" w:hAnsi="Times New Roman" w:eastAsia="宋体"/>
          <w:sz w:val="21"/>
        </w:rPr>
        <w:t xml:space="preserve">时间: 2026-02-04 | </w:t>
      </w:r>
      <w:r>
        <w:t xml:space="preserve">链接: </w:t>
      </w:r>
      <w:hyperlink r:id="rId54">
        <w:r>
          <w:rPr>
            <w:rFonts w:ascii="Times New Roman" w:hAnsi="Times New Roman" w:eastAsia="宋体"/>
            <w:color w:val="0000FF"/>
            <w:sz w:val="21"/>
            <w:u w:val="single"/>
          </w:rPr>
          <w:t>https://doi.org/10.1002/lpor.202503022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限的激子利用效率（主要是由于自旋禁阻三线态跃迁）仍然是有机光电子学的一个基本挑战。与传统的闭壳发光体不同，开壳双自由基通过实现单重态和三重激发态的自旋允许发射，本质上克服了这一限制。然而，由于竞争性非辐射衰变途径和结构不稳定性，在双自由基中实现高发光效率仍然具有挑战性。在此，我们报告了一种超稳定且高发光的穆勒型双自由基，TPT-CzPh，其光致发光量子产率（PLQY）达到创纪录的16.9%，比典型的穆勒碳氢化合物TTM-PhTTM提高了一个数量级。综合光谱和理论分析将增强的发射归因于合理设计的供体-受体框架，该框架能够实现有效的自旋允许跃迁，并通过最小化的结构重组抑制非辐射衰变。值得注意的是，TPT-CzPh 还表现出明显的 X 射线诱导闪烁，代表第一个用作无金属有机闪烁体的发光双自由基。这一双重成就不仅加深了对双自由基激发态动力学的理解，而且将开壳光物理学与辐射检测联系起来，为下一代高效光电材料铺平了道路。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Limited exciton utilization efficiency—primarily due to spin‐forbidden triplet transitions—remains a fundamental challenge in organic optoelectronics. Unlike conventional closed‐shell luminophores, open‐shell diradicaloids inherently overcome this limitation by enabling spin‐allowed emission from both singlet and triplet excited states. However, achieving high luminescence efficiency in diradicaloids remains challenging due to competing nonradiative decay pathways and structural instability. Herein, we report a super‐stable and highly luminescent Müller‐type diradicaloid, TPT‐CzPh, which achieves a record photoluminescence quantum yield (PLQY) of 16.9%—an order‐of‐magnitude improvement over the prototypical Müller hydrocarbon TTM‐PhTTM. Comprehensive spectroscopic and theoretical analyses attribute the enhanced emission to a rationally engineered donor–acceptor framework that enables efficient spin‐allowed transitions and suppresses nonradiative decay via minimized structural reorganization. Remarkably, TPT‐CzPh also exhibits pronounced X‐ray‐induced scintillation, representing the first luminescent diradicaloid functioning as a metal‐free organic scintillator. This dual achievement not only deepens understanding of excited‐state dynamics in diradicaloids but also bridges open‐shell photophysics with radiation detection, paving the way for next‐generation high‐efficiency optoelectronic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Anapoles 的特异点和强耦合增强了全电介质异二聚体超表面中的 Purcell 效应</w:t>
      </w:r>
    </w:p>
    <w:p>
      <w:r>
        <w:rPr>
          <w:rFonts w:ascii="Times New Roman" w:hAnsi="Times New Roman" w:eastAsia="宋体"/>
          <w:b/>
          <w:color w:val="003264"/>
          <w:sz w:val="24"/>
        </w:rPr>
        <w:t>Exceptional Point and Strong Coupling of Anapoles Enhance Purcell Effect in All‐Dielectric Heterodimer Metasurface</w:t>
      </w:r>
    </w:p>
    <w:p>
      <w:r>
        <w:rPr>
          <w:rFonts w:ascii="Times New Roman" w:hAnsi="Times New Roman" w:eastAsia="宋体"/>
          <w:sz w:val="21"/>
        </w:rPr>
        <w:t>作者: Monica Pradhan, Shubhanshi Sharma, Ranjan Singh, Shailendra K. Varshney</w:t>
        <w:br/>
      </w:r>
      <w:r>
        <w:rPr>
          <w:rFonts w:ascii="Times New Roman" w:hAnsi="Times New Roman" w:eastAsia="宋体"/>
          <w:sz w:val="21"/>
        </w:rPr>
        <w:t xml:space="preserve">时间: 2026-02-04 | </w:t>
      </w:r>
      <w:r>
        <w:t xml:space="preserve">链接: </w:t>
      </w:r>
      <w:hyperlink r:id="rId55">
        <w:r>
          <w:rPr>
            <w:rFonts w:ascii="Times New Roman" w:hAnsi="Times New Roman" w:eastAsia="宋体"/>
            <w:color w:val="0000FF"/>
            <w:sz w:val="21"/>
            <w:u w:val="single"/>
          </w:rPr>
          <w:t>https://doi.org/10.1002/lpor.202502853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介质米氏谐振器是非厄米系统的一个例子，其中纳米尺度的光物质相互作用支持散射态的连续体。众所周知，此类系统表现出辐射和吸收损耗，分别与频率和衰减率相关。为了利用这种非厄米系统的重要特性，这项工作提出了解硅异质二聚体超表面中的阿纳极介导的共振耦合。阿纳极-阿纳极相互作用在某些扰动下通过异常点转变呈现出强耦合现象。这种耦合导致拉比分裂为 48.438 meV (11.7 THz)。采用两级原子系统的概念对所提出的系统中的原子跃迁和共振模式进行比较分析，这展示了一个清晰的类比，抓住了强耦合的本质。该系统提供了对控制混合光学模式的相互作用动力学的更深入的了解，这是一个有前途的平台，可实现实质性的珀塞尔增强并减少阿纳极共振周围的寿命。因此，所提出的二聚体结构为开发对于下一代光子量子网络至关重要的光子发射器界面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Dielectric Mie resonators are an example of non‐Hermitian systems where the light‐matter interaction at the nanoscale supports the continuum of scattering states. It is well established that such systems exhibit radiative and absorptive losses, relating to the frequency and decay rate, respectively. To utilize the significant properties of such non‐Hermitian systems, this work proposes to understand the anapole‐mediated resonance coupling in a silicon hetero‐dimer metasurface. The anapole–anapole interaction presents a strong coupling phenomenon under certain perturbations through an exceptional point transition. This coupling results in a Rabi splitting of 48.438 meV (11.7 THz). The concept of a two‐level atomic system is employed to establish a comparative analysis between the atomic transitions and the resonant modes in the proposed system, which demonstrates a clear analogy that captures the essence of strong coupling. This system provides deeper insight into the interaction dynamics governing the hybridized optical modes, which is a promising platform for achieving substantial Purcell enhancement and yielding the reduction in lifetime around the anapole resonance. Consequently, the proposed dimer structure paves the way toward developing photon–emitter interfaces that are essential for next‐generation photonic quantum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06:29 ---</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2026-02-04 | </w:t>
      </w:r>
      <w:r>
        <w:t xml:space="preserve">链接: </w:t>
      </w:r>
      <w:hyperlink r:id="rId56">
        <w:r>
          <w:rPr>
            <w:rFonts w:ascii="Times New Roman" w:hAnsi="Times New Roman" w:eastAsia="宋体"/>
            <w:color w:val="0000FF"/>
            <w:sz w:val="21"/>
            <w:u w:val="single"/>
          </w:rPr>
          <w:t>https://doi.org/10.1021/phv013i003_2036987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2026-02-04 | </w:t>
      </w:r>
      <w:r>
        <w:t xml:space="preserve">链接: </w:t>
      </w:r>
      <w:hyperlink r:id="rId57">
        <w:r>
          <w:rPr>
            <w:rFonts w:ascii="Times New Roman" w:hAnsi="Times New Roman" w:eastAsia="宋体"/>
            <w:color w:val="0000FF"/>
            <w:sz w:val="21"/>
            <w:u w:val="single"/>
          </w:rPr>
          <w:t>https://doi.org/10.1021/phv013i003_2036986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103-x" TargetMode="External"/><Relationship Id="rId11" Type="http://schemas.openxmlformats.org/officeDocument/2006/relationships/hyperlink" Target="https://doi.org/10.1038/s41467-026-68928-w" TargetMode="External"/><Relationship Id="rId12" Type="http://schemas.openxmlformats.org/officeDocument/2006/relationships/hyperlink" Target="https://doi.org/10.1038/s41598-026-38223-1" TargetMode="External"/><Relationship Id="rId13" Type="http://schemas.openxmlformats.org/officeDocument/2006/relationships/hyperlink" Target="https://doi.org/10.1038/s41598-026-37869-1" TargetMode="External"/><Relationship Id="rId14" Type="http://schemas.openxmlformats.org/officeDocument/2006/relationships/hyperlink" Target="https://doi.org/10.29026/oea.2026.250323" TargetMode="External"/><Relationship Id="rId15" Type="http://schemas.openxmlformats.org/officeDocument/2006/relationships/hyperlink" Target="https://doi.org/10.29026/oea.2026.250229" TargetMode="External"/><Relationship Id="rId16" Type="http://schemas.openxmlformats.org/officeDocument/2006/relationships/hyperlink" Target="https://doi.org/10.1016/j.displa.2026.103370" TargetMode="External"/><Relationship Id="rId17" Type="http://schemas.openxmlformats.org/officeDocument/2006/relationships/hyperlink" Target="https://doi.org/10.1016/j.optlaseng.2026.109674" TargetMode="External"/><Relationship Id="rId18" Type="http://schemas.openxmlformats.org/officeDocument/2006/relationships/hyperlink" Target="https://doi.org/10.1016/j.optcom.2026.132989" TargetMode="External"/><Relationship Id="rId19" Type="http://schemas.openxmlformats.org/officeDocument/2006/relationships/hyperlink" Target="https://doi.org/10.1364/oe.582012" TargetMode="External"/><Relationship Id="rId20" Type="http://schemas.openxmlformats.org/officeDocument/2006/relationships/hyperlink" Target="https://doi.org/10.1364/oe.578355" TargetMode="External"/><Relationship Id="rId21" Type="http://schemas.openxmlformats.org/officeDocument/2006/relationships/hyperlink" Target="https://doi.org/10.1364/oe.579951" TargetMode="External"/><Relationship Id="rId22" Type="http://schemas.openxmlformats.org/officeDocument/2006/relationships/hyperlink" Target="https://doi.org/10.1364/oe.578370" TargetMode="External"/><Relationship Id="rId23" Type="http://schemas.openxmlformats.org/officeDocument/2006/relationships/hyperlink" Target="https://doi.org/10.1364/oe.586294" TargetMode="External"/><Relationship Id="rId24" Type="http://schemas.openxmlformats.org/officeDocument/2006/relationships/hyperlink" Target="https://doi.org/10.1364/oe.585517" TargetMode="External"/><Relationship Id="rId25" Type="http://schemas.openxmlformats.org/officeDocument/2006/relationships/hyperlink" Target="https://doi.org/10.1364/oe.583350" TargetMode="External"/><Relationship Id="rId26" Type="http://schemas.openxmlformats.org/officeDocument/2006/relationships/hyperlink" Target="https://doi.org/10.1038/s41377-025-02096-2" TargetMode="External"/><Relationship Id="rId27" Type="http://schemas.openxmlformats.org/officeDocument/2006/relationships/hyperlink" Target="https://doi.org/10.1038/s41467-026-68772-y" TargetMode="External"/><Relationship Id="rId28" Type="http://schemas.openxmlformats.org/officeDocument/2006/relationships/hyperlink" Target="https://doi.org/10.1038/s41598-026-38371-4" TargetMode="External"/><Relationship Id="rId29" Type="http://schemas.openxmlformats.org/officeDocument/2006/relationships/hyperlink" Target="https://doi.org/10.1038/s41598-026-38407-9" TargetMode="External"/><Relationship Id="rId30" Type="http://schemas.openxmlformats.org/officeDocument/2006/relationships/hyperlink" Target="https://doi.org/10.1038/s41598-026-38415-9" TargetMode="External"/><Relationship Id="rId31" Type="http://schemas.openxmlformats.org/officeDocument/2006/relationships/hyperlink" Target="https://doi.org/10.1038/s41598-026-38449-z" TargetMode="External"/><Relationship Id="rId32" Type="http://schemas.openxmlformats.org/officeDocument/2006/relationships/hyperlink" Target="https://doi.org/10.1038/s41598-026-39098-y" TargetMode="External"/><Relationship Id="rId33" Type="http://schemas.openxmlformats.org/officeDocument/2006/relationships/hyperlink" Target="https://doi.org/10.1038/s41598-026-38384-z" TargetMode="External"/><Relationship Id="rId34" Type="http://schemas.openxmlformats.org/officeDocument/2006/relationships/hyperlink" Target="https://doi.org/10.1038/s41598-026-36054-8" TargetMode="External"/><Relationship Id="rId35" Type="http://schemas.openxmlformats.org/officeDocument/2006/relationships/hyperlink" Target="https://doi.org/10.1038/s41598-026-38731-0" TargetMode="External"/><Relationship Id="rId36" Type="http://schemas.openxmlformats.org/officeDocument/2006/relationships/hyperlink" Target="https://doi.org/10.1038/s41598-026-38746-7" TargetMode="External"/><Relationship Id="rId37" Type="http://schemas.openxmlformats.org/officeDocument/2006/relationships/hyperlink" Target="https://doi.org/10.1038/s41598-026-37406-0" TargetMode="External"/><Relationship Id="rId38" Type="http://schemas.openxmlformats.org/officeDocument/2006/relationships/hyperlink" Target="https://doi.org/10.1038/s41598-026-38346-5" TargetMode="External"/><Relationship Id="rId39" Type="http://schemas.openxmlformats.org/officeDocument/2006/relationships/hyperlink" Target="https://doi.org/10.1038/s41598-026-38388-9" TargetMode="External"/><Relationship Id="rId40" Type="http://schemas.openxmlformats.org/officeDocument/2006/relationships/hyperlink" Target="https://doi.org/10.1038/s41598-026-38128-z" TargetMode="External"/><Relationship Id="rId41" Type="http://schemas.openxmlformats.org/officeDocument/2006/relationships/hyperlink" Target="https://doi.org/10.1038/s41598-025-31173-0" TargetMode="External"/><Relationship Id="rId42" Type="http://schemas.openxmlformats.org/officeDocument/2006/relationships/hyperlink" Target="https://doi.org/10.1038/s41598-026-38020-w" TargetMode="External"/><Relationship Id="rId43" Type="http://schemas.openxmlformats.org/officeDocument/2006/relationships/hyperlink" Target="https://doi.org/10.1038/s41598-026-38356-3" TargetMode="External"/><Relationship Id="rId44" Type="http://schemas.openxmlformats.org/officeDocument/2006/relationships/hyperlink" Target="https://doi.org/10.1038/s41598-026-38352-7" TargetMode="External"/><Relationship Id="rId45" Type="http://schemas.openxmlformats.org/officeDocument/2006/relationships/hyperlink" Target="https://doi.org/10.1016/j.optcom.2026.132994" TargetMode="External"/><Relationship Id="rId46" Type="http://schemas.openxmlformats.org/officeDocument/2006/relationships/hyperlink" Target="https://doi.org/10.1016/j.optcom.2026.132995" TargetMode="External"/><Relationship Id="rId47" Type="http://schemas.openxmlformats.org/officeDocument/2006/relationships/hyperlink" Target="https://doi.org/10.1364/oe.582674" TargetMode="External"/><Relationship Id="rId48" Type="http://schemas.openxmlformats.org/officeDocument/2006/relationships/hyperlink" Target="https://doi.org/10.1364/oe.581002" TargetMode="External"/><Relationship Id="rId49" Type="http://schemas.openxmlformats.org/officeDocument/2006/relationships/hyperlink" Target="https://doi.org/10.1364/oe.578992" TargetMode="External"/><Relationship Id="rId50" Type="http://schemas.openxmlformats.org/officeDocument/2006/relationships/hyperlink" Target="https://doi.org/10.1364/oe.581652" TargetMode="External"/><Relationship Id="rId51" Type="http://schemas.openxmlformats.org/officeDocument/2006/relationships/hyperlink" Target="https://doi.org/10.1364/oe.579508" TargetMode="External"/><Relationship Id="rId52" Type="http://schemas.openxmlformats.org/officeDocument/2006/relationships/hyperlink" Target="https://doi.org/10.1364/boe.585526" TargetMode="External"/><Relationship Id="rId53" Type="http://schemas.openxmlformats.org/officeDocument/2006/relationships/hyperlink" Target="https://doi.org/10.1002/lpor.202503162" TargetMode="External"/><Relationship Id="rId54" Type="http://schemas.openxmlformats.org/officeDocument/2006/relationships/hyperlink" Target="https://doi.org/10.1002/lpor.202503022" TargetMode="External"/><Relationship Id="rId55" Type="http://schemas.openxmlformats.org/officeDocument/2006/relationships/hyperlink" Target="https://doi.org/10.1002/lpor.202502853" TargetMode="External"/><Relationship Id="rId56" Type="http://schemas.openxmlformats.org/officeDocument/2006/relationships/hyperlink" Target="https://doi.org/10.1021/phv013i003_2036987" TargetMode="External"/><Relationship Id="rId57" Type="http://schemas.openxmlformats.org/officeDocument/2006/relationships/hyperlink" Target="https://doi.org/10.1021/phv013i003_20369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