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大型推理模型是自主越狱代理</w:t>
      </w:r>
    </w:p>
    <w:p>
      <w:r>
        <w:rPr>
          <w:rFonts w:ascii="Times New Roman" w:hAnsi="Times New Roman" w:eastAsia="宋体"/>
          <w:b/>
          <w:color w:val="003264"/>
          <w:sz w:val="24"/>
        </w:rPr>
        <w:t>Large reasoning models are autonomous jailbreak agents</w:t>
      </w:r>
    </w:p>
    <w:p>
      <w:r>
        <w:rPr>
          <w:rFonts w:ascii="Times New Roman" w:hAnsi="Times New Roman" w:eastAsia="宋体"/>
          <w:sz w:val="21"/>
        </w:rPr>
        <w:t>作者: Thilo Hagendorff, Erik Derner, Nuria Oliver</w:t>
        <w:br/>
      </w:r>
      <w:r>
        <w:rPr>
          <w:rFonts w:ascii="Times New Roman" w:hAnsi="Times New Roman" w:eastAsia="宋体"/>
          <w:sz w:val="21"/>
        </w:rPr>
        <w:t xml:space="preserve">时间: 2026-02-05 | </w:t>
      </w:r>
      <w:r>
        <w:t xml:space="preserve">链接: </w:t>
      </w:r>
      <w:hyperlink r:id="rId10">
        <w:r>
          <w:rPr>
            <w:rFonts w:ascii="Times New Roman" w:hAnsi="Times New Roman" w:eastAsia="宋体"/>
            <w:color w:val="0000FF"/>
            <w:sz w:val="21"/>
            <w:u w:val="single"/>
          </w:rPr>
          <w:t>https://doi.org/10.1038/s41467-026-69010-1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越狱——绕过人工智能模型中内置的安全机制——传统上需要复杂的技术程序或专门的人类专业知识。在这项研究中，我们证明了大型推理模型（LRM）的说服能力可以简化和扩展越狱，将其转变为非专家也可以进行的廉价活动。我们评估了四种 LRM（DeepSeek-R1、Gemini 2.5 Flash、Grok 3 Mini、Qwen3 235B）作为自主对手与九种广泛使用的目标模型进行多轮对话的能力。 LRM 通过系统提示接收指令，然后在没有进一步监督的情况下继续计划和执行越狱。我们对涵盖多个敏感领域的有害提示基准进行了广泛的实验。此设置在所有型号组合中的整体越狱成功率为 97.14%。我们的研究揭示了一种对齐回归，其中 LRM 可以系统地侵蚀其他模型的安全护栏，这突显了迫切需要进一步对齐前沿模型，不仅可以抵抗越狱尝试，还可以防止它们被选为越狱代理。</w:t>
      </w:r>
    </w:p>
    <w:p>
      <w:pPr>
        <w:spacing w:before="120"/>
      </w:pPr>
      <w:r>
        <w:rPr>
          <w:rFonts w:ascii="Times New Roman" w:hAnsi="Times New Roman" w:eastAsia="宋体"/>
          <w:b/>
          <w:sz w:val="21"/>
        </w:rPr>
        <w:t>English Abstract:</w:t>
      </w:r>
    </w:p>
    <w:p>
      <w:r>
        <w:rPr>
          <w:rFonts w:ascii="Times New Roman" w:hAnsi="Times New Roman" w:eastAsia="宋体"/>
          <w:sz w:val="21"/>
        </w:rPr>
        <w:t>Abstract Jailbreaking – bypassing built-in safety mechanisms in AI models – has traditionally required complex technical procedures or specialized human expertise. In this study, we show that the persuasive capabilities of large reasoning models (LRMs) simplify and scale jailbreaking, converting it into an inexpensive activity accessible to non-experts. We evaluated the capabilities of four LRMs (DeepSeek-R1, Gemini 2.5 Flash, Grok 3 Mini, Qwen3 235B) to act as autonomous adversaries conducting multi-turn conversations with nine widely used target models. LRMs received instructions via a system prompt, before proceeding to planning and executing jailbreaks with no further supervision. We performed extensive experiments with a benchmark of harmful prompts covering several sensitive domains. This setup yielded an overall jailbreak success rate across all model combinations of 97.14%. Our study reveals an alignment regression, in which LRMs can systematically erode the safety guardrails of other models, highlighting the urgent need to further align frontier models not only to resist jailbreak attempts, but also to prevent them from being co-opted into acting as jailbreak agents.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用于增强大规模发电的固体氧化物燃料电池系统的可扩展模块化设计</w:t>
      </w:r>
    </w:p>
    <w:p>
      <w:r>
        <w:rPr>
          <w:rFonts w:ascii="Times New Roman" w:hAnsi="Times New Roman" w:eastAsia="宋体"/>
          <w:b/>
          <w:color w:val="003264"/>
          <w:sz w:val="24"/>
        </w:rPr>
        <w:t>Scalable modular design of solid oxide fuel cell systems for enhanced large-scale power generation</w:t>
      </w:r>
    </w:p>
    <w:p>
      <w:r>
        <w:rPr>
          <w:rFonts w:ascii="Times New Roman" w:hAnsi="Times New Roman" w:eastAsia="宋体"/>
          <w:sz w:val="21"/>
        </w:rPr>
        <w:t>作者: Xinyi Wei, Arthur Waeber, Shivom Sharma, Hangyu Yu, Jan Van herle, François Maréchal</w:t>
        <w:br/>
      </w:r>
      <w:r>
        <w:rPr>
          <w:rFonts w:ascii="Times New Roman" w:hAnsi="Times New Roman" w:eastAsia="宋体"/>
          <w:sz w:val="21"/>
        </w:rPr>
        <w:t xml:space="preserve">时间: 2026-02-06 | </w:t>
      </w:r>
      <w:r>
        <w:t xml:space="preserve">链接: </w:t>
      </w:r>
      <w:hyperlink r:id="rId55">
        <w:r>
          <w:rPr>
            <w:rFonts w:ascii="Times New Roman" w:hAnsi="Times New Roman" w:eastAsia="宋体"/>
            <w:color w:val="0000FF"/>
            <w:sz w:val="21"/>
            <w:u w:val="single"/>
          </w:rPr>
          <w:t>https://doi.org/10.1038/s41467-026-69110-y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对可再生能源整合和可扩展发电的需求不断增长，凸显了对高效且具有成本效益的固体氧化物燃料电池系统的需求。在这项研究中，我们提出了一种模块化混合设计框架，该框架通过互连标准化组件模块来实现灵活的固体氧化物燃料电池规模化。我们引入了一种串并联配置，该配置战略性地利用阳极和阴极废气再循环来提高电效率和热效率。通过详细的案例研究，我们证明混合设计实现了 66.3% 的电力效率，同时减少了 59.9% 的外部用水量和 22% 的新鲜空气需求，优于传统的系统设计。我们进一步对四种规模化策略进行了技术经济分析，发现混合设计可提供最低的平准电力成本，为 0.155 美元/千瓦时。通过这项工作，我们强调了集中与分散、高技术准备水平和低技术准备水平技术以及规模经济与制造能力之间的关键权衡。我们相信，我们的研究结果强调了模块化和标准化系统为未来低碳能源基础设施提供可扩展、高效且经济可行的解决方案的潜力。</w:t>
      </w:r>
    </w:p>
    <w:p>
      <w:pPr>
        <w:spacing w:before="120"/>
      </w:pPr>
      <w:r>
        <w:rPr>
          <w:rFonts w:ascii="Times New Roman" w:hAnsi="Times New Roman" w:eastAsia="宋体"/>
          <w:b/>
          <w:sz w:val="21"/>
        </w:rPr>
        <w:t>English Abstract:</w:t>
      </w:r>
    </w:p>
    <w:p>
      <w:r>
        <w:rPr>
          <w:rFonts w:ascii="Times New Roman" w:hAnsi="Times New Roman" w:eastAsia="宋体"/>
          <w:sz w:val="21"/>
        </w:rPr>
        <w:t>Abstract The increasing demand for renewable energy integration and scalable power generation highlights the need for efficient and cost-effective solid oxide fuel cell systems. In this study, we present a modular hybrid design framework that enables flexible solid oxide fuel cell scale-up by interconnecting standardized component modules. We introduce a series-parallel configuration that strategically leverages anode and cathode off-gas recirculation to enhance both electrical and thermal efficiency. Through a detailed case study, we demonstrate that the hybrid design achieves 66.3% electrical efficiency while reducing external water use by 59.9% and fresh air demand by 22%, outperforming conventional system designs. We further conducted a techno-economic analysis across four scale-up strategies and found that the hybrid design delivers the lowest levelized cost of electricity at 0.155 $/kWh. Through this work, we have highlighted the critical trade-offs between centralization and decentralization, high- and low-technology readiness level technologies, and economies of scale versus manufacturing capacity. We believe our findings underscore the potential of modular and standardized systems to provide scalable, efficient, and economically viable solutions for future low-carbon energy infrastructures.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斑马鱼巨噬细胞将物理伤口信号转化为快速血管透化</w:t>
      </w:r>
    </w:p>
    <w:p>
      <w:r>
        <w:rPr>
          <w:rFonts w:ascii="Times New Roman" w:hAnsi="Times New Roman" w:eastAsia="宋体"/>
          <w:b/>
          <w:color w:val="003264"/>
          <w:sz w:val="24"/>
        </w:rPr>
        <w:t>Zebrafish macrophages convert physical wound signals into rapid vascular permeabilization</w:t>
      </w:r>
    </w:p>
    <w:p>
      <w:r>
        <w:rPr>
          <w:rFonts w:ascii="Times New Roman" w:hAnsi="Times New Roman" w:eastAsia="宋体"/>
          <w:sz w:val="21"/>
        </w:rPr>
        <w:t>作者: Zaza Gelashvili, Zhouyang Shen, Yanan Ma, Mark Jelcic, Philipp Niethammer</w:t>
        <w:br/>
      </w:r>
      <w:r>
        <w:rPr>
          <w:rFonts w:ascii="Times New Roman" w:hAnsi="Times New Roman" w:eastAsia="宋体"/>
          <w:sz w:val="21"/>
        </w:rPr>
        <w:t xml:space="preserve">时间: 2026-02-06 | </w:t>
      </w:r>
      <w:r>
        <w:t xml:space="preserve">链接: </w:t>
      </w:r>
      <w:hyperlink r:id="rId56">
        <w:r>
          <w:rPr>
            <w:rFonts w:ascii="Times New Roman" w:hAnsi="Times New Roman" w:eastAsia="宋体"/>
            <w:color w:val="0000FF"/>
            <w:sz w:val="21"/>
            <w:u w:val="single"/>
          </w:rPr>
          <w:t>https://doi.org/10.1038/s41467-026-68520-2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损伤部位附近的血管迅速扩张，变得具有渗透性，并将血清和白细胞释放到受伤组织中以支持愈合和再生。脉管系统如何在几秒到几分钟内感知远处的稳态组织扰动仍然不完全清楚。利用活体斑马鱼幼虫的高速成像，我们监测了血管对损伤的两种标志性反应：血管扩张和血清渗出。通过遗传、药理学和渗透扰动以及白细胞耗竭，我们发现 cPla 2 核膜机械转导途径通过血管周围巨噬细胞、5-脂氧合酶 (Alox5a) 和白三烯 A4 水解酶 (Lta4h) 将约 50 μm/s 渗透性伤口信号转化为快速血管通透作用。通过揭示以前未描述的核膜机械转导的生理功能，我们提供了对完整组织中伤口和血管的远程通信的实时见解。</w:t>
      </w:r>
    </w:p>
    <w:p>
      <w:pPr>
        <w:spacing w:before="120"/>
      </w:pPr>
      <w:r>
        <w:rPr>
          <w:rFonts w:ascii="Times New Roman" w:hAnsi="Times New Roman" w:eastAsia="宋体"/>
          <w:b/>
          <w:sz w:val="21"/>
        </w:rPr>
        <w:t>English Abstract:</w:t>
      </w:r>
    </w:p>
    <w:p>
      <w:r>
        <w:rPr>
          <w:rFonts w:ascii="Times New Roman" w:hAnsi="Times New Roman" w:eastAsia="宋体"/>
          <w:sz w:val="21"/>
        </w:rPr>
        <w:t>Abstract Blood vessels near injury sites rapidly dilate, become permeable, and release serum and leukocytes into the wounded tissue to support healing and regeneration. How the vasculature senses distant homeostatic tissue perturbations within seconds-to-minutes remains incompletely understood. Using high-speed imaging of live zebrafish larvae, we monitor two hallmark vascular responses to injury: vessel dilation and serum exudation. By genetic, pharmacologic, and osmotic perturbation along with leukocyte depletion, we show that the cPla 2 nuclear membrane mechanotransduction pathway converts a ~ 50 μm/s osmotic wound signal into rapid vessel-permeabilization via perivascular macrophages, 5-lipoxygenase (Alox5a), and leukotriene A4 hydrolase (Lta4h). By revealing a previously undescribed physiological function of nuclear membrane mechanotransduction, we provide real-time insights into the long-range communication of wounds and blood vessels in intact tissue.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作者更正：全固态电池所有组件的晶体结构和取向的操作显微成像</w:t>
      </w:r>
    </w:p>
    <w:p>
      <w:r>
        <w:rPr>
          <w:rFonts w:ascii="Times New Roman" w:hAnsi="Times New Roman" w:eastAsia="宋体"/>
          <w:b/>
          <w:color w:val="003264"/>
          <w:sz w:val="24"/>
        </w:rPr>
        <w:t>Author Correction: Operando microimaging of crystal structure and orientation in all components of all-solid-state-batteries</w:t>
      </w:r>
    </w:p>
    <w:p>
      <w:r>
        <w:rPr>
          <w:rFonts w:ascii="Times New Roman" w:hAnsi="Times New Roman" w:eastAsia="宋体"/>
          <w:sz w:val="21"/>
        </w:rPr>
        <w:t>作者: Quentin Jacquet, Jacopo Cele, Lara Casiez, Samuel Tardif, Asma Medjahed, Stephanie Pouget, Manfred Burghammer, Sandrine Lyonnard, Sami Oukassi</w:t>
        <w:br/>
      </w:r>
      <w:r>
        <w:rPr>
          <w:rFonts w:ascii="Times New Roman" w:hAnsi="Times New Roman" w:eastAsia="宋体"/>
          <w:sz w:val="21"/>
        </w:rPr>
        <w:t xml:space="preserve">时间: 2026-02-06 | </w:t>
      </w:r>
      <w:r>
        <w:t xml:space="preserve">链接: </w:t>
      </w:r>
      <w:hyperlink r:id="rId82">
        <w:r>
          <w:rPr>
            <w:rFonts w:ascii="Times New Roman" w:hAnsi="Times New Roman" w:eastAsia="宋体"/>
            <w:color w:val="0000FF"/>
            <w:sz w:val="21"/>
            <w:u w:val="single"/>
          </w:rPr>
          <w:t>https://doi.org/10.1038/s41467-026-69145-1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具有超低摩擦和高耐磨性的分层皮科特纤维水凝胶涂层</w:t>
      </w:r>
    </w:p>
    <w:p>
      <w:r>
        <w:rPr>
          <w:rFonts w:ascii="Times New Roman" w:hAnsi="Times New Roman" w:eastAsia="宋体"/>
          <w:b/>
          <w:color w:val="003264"/>
          <w:sz w:val="24"/>
        </w:rPr>
        <w:t>Hierarchical picot-fiber hydrogel coating with ultralow friction and high wear resistance</w:t>
      </w:r>
    </w:p>
    <w:p>
      <w:r>
        <w:rPr>
          <w:rFonts w:ascii="Times New Roman" w:hAnsi="Times New Roman" w:eastAsia="宋体"/>
          <w:sz w:val="21"/>
        </w:rPr>
        <w:t>作者: Wei Sun, Xiaoxiao Sun, Junsheng Zhang, Lin Wu, Juan Wang, Wei Wang, Yi Cao, Bin Xue</w:t>
        <w:br/>
      </w:r>
      <w:r>
        <w:rPr>
          <w:rFonts w:ascii="Times New Roman" w:hAnsi="Times New Roman" w:eastAsia="宋体"/>
          <w:sz w:val="21"/>
        </w:rPr>
        <w:t xml:space="preserve">时间: 2026-02-06 | </w:t>
      </w:r>
      <w:r>
        <w:t xml:space="preserve">链接: </w:t>
      </w:r>
      <w:hyperlink r:id="rId88">
        <w:r>
          <w:rPr>
            <w:rFonts w:ascii="Times New Roman" w:hAnsi="Times New Roman" w:eastAsia="宋体"/>
            <w:color w:val="0000FF"/>
            <w:sz w:val="21"/>
            <w:u w:val="single"/>
          </w:rPr>
          <w:t>https://doi.org/10.1038/s41467-026-69322-2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水凝胶涂层具有减少摩擦的潜力，但实现所需的耐久性具有挑战性。在这里，作者报告了一种具有分层结构的皮科特纤维水凝胶涂层，包括润滑的表面层和纤维增强的芯层。</w:t>
      </w:r>
    </w:p>
    <w:p>
      <w:pPr>
        <w:spacing w:before="120"/>
      </w:pPr>
      <w:r>
        <w:rPr>
          <w:rFonts w:ascii="Times New Roman" w:hAnsi="Times New Roman" w:eastAsia="宋体"/>
          <w:b/>
          <w:sz w:val="21"/>
        </w:rPr>
        <w:t>English Abstract:</w:t>
      </w:r>
    </w:p>
    <w:p>
      <w:r>
        <w:rPr>
          <w:rFonts w:ascii="Times New Roman" w:hAnsi="Times New Roman" w:eastAsia="宋体"/>
          <w:sz w:val="21"/>
        </w:rPr>
        <w:t>Hydrogel coatings have potential in friction reduction, but achieving the required durability is challenging. Here, the authors report a picot fibre hydrogel coating with a hierarchical structure, including a lubricious surface layer and fibre-reinforced core layer.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从光感应太赫兹磁振子到电荷的相干转移</w:t>
      </w:r>
    </w:p>
    <w:p>
      <w:r>
        <w:rPr>
          <w:rFonts w:ascii="Times New Roman" w:hAnsi="Times New Roman" w:eastAsia="宋体"/>
          <w:b/>
          <w:color w:val="003264"/>
          <w:sz w:val="24"/>
        </w:rPr>
        <w:t>Coherence transfer from optically induced THz magnons to charges</w:t>
      </w:r>
    </w:p>
    <w:p>
      <w:r>
        <w:rPr>
          <w:rFonts w:ascii="Times New Roman" w:hAnsi="Times New Roman" w:eastAsia="宋体"/>
          <w:sz w:val="21"/>
        </w:rPr>
        <w:t>作者: Moritz Cimander, Volker Wiechert, Julian Bär, Takuya Satoh, Jörg Bünemann, Götz S. Uhrig, Davide Bossini</w:t>
        <w:br/>
      </w:r>
      <w:r>
        <w:rPr>
          <w:rFonts w:ascii="Times New Roman" w:hAnsi="Times New Roman" w:eastAsia="宋体"/>
          <w:sz w:val="21"/>
        </w:rPr>
        <w:t xml:space="preserve">时间: 2026-02-06 | </w:t>
      </w:r>
      <w:r>
        <w:t xml:space="preserve">链接: </w:t>
      </w:r>
      <w:hyperlink r:id="rId96">
        <w:r>
          <w:rPr>
            <w:rFonts w:ascii="Times New Roman" w:hAnsi="Times New Roman" w:eastAsia="宋体"/>
            <w:color w:val="0000FF"/>
            <w:sz w:val="21"/>
            <w:u w:val="single"/>
          </w:rPr>
          <w:t>https://doi.org/10.1038/s41467-026-69261-y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数字经济、社会和政治越来越受到基于云的数据的影响。人工智能等变革性技术的进步对数据中心提出了前所未有的要求。这推动了人们对数据存储、操作和传输概念的强烈追求，这种概念甚至能够在太赫兹速率下运行，同时最大限度地减少能量耗散。集体自旋激发，即磁振子，已被提议作为节能的信息载体。一个关键的挑战涉及这种方法与普遍存在的 CMOS 技术的集成。此步骤需要一种将太赫兹相干磁振子转换为电荷信号的机制。在这里，我们通过光学响应演示了从光学驱动太赫兹磁振子到电荷的相干转移。我们确定了这种效应所需的条件，并制定了一个微观模型，无需对参数进行任何微调即可重现实验结果。这些发现为实现节能、高速信息技术提供了一条途径。</w:t>
      </w:r>
    </w:p>
    <w:p>
      <w:pPr>
        <w:spacing w:before="120"/>
      </w:pPr>
      <w:r>
        <w:rPr>
          <w:rFonts w:ascii="Times New Roman" w:hAnsi="Times New Roman" w:eastAsia="宋体"/>
          <w:b/>
          <w:sz w:val="21"/>
        </w:rPr>
        <w:t>English Abstract:</w:t>
      </w:r>
    </w:p>
    <w:p>
      <w:r>
        <w:rPr>
          <w:rFonts w:ascii="Times New Roman" w:hAnsi="Times New Roman" w:eastAsia="宋体"/>
          <w:sz w:val="21"/>
        </w:rPr>
        <w:t>Abstract The digital economy, society and politics are increasingly shaped by cloud-based data. The advancement of transformative technologies, such as artificial intelligence, is placing unprecedented demands on data centres. This has driven an intense pursuit of a concept for data storage, manipulation and transfer able to operate even at THz rates while minimizing energy dissipation. Collective spin excitations, namely magnons, have been proposed as energy-efficient information carriers. A critical challenge concerns the integration of this approach with the ubiquitous CMOS technology. This step requires a mechanism to convert THz coherent magnons into a charge signal. Here we demonstrate the coherence transfer from optically driven THz magnons to charges in terms of an optical response. We identify the conditions necessary for this effect and formulate a microscopic model reproducing the experimental results without any fine-tuning of the parameters. These findings offer a pathway toward an energy-efficient, high-speed information technology.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00:28 ---</w:t>
      </w:r>
    </w:p>
    <w:p>
      <w:pPr>
        <w:pStyle w:val="Heading2"/>
      </w:pPr>
      <w:r/>
      <w:r>
        <w:rPr>
          <w:rFonts w:ascii="Times New Roman" w:hAnsi="Times New Roman" w:eastAsia="宋体"/>
          <w:b/>
          <w:color w:val="000000"/>
          <w:sz w:val="24"/>
        </w:rPr>
        <w:t>超声处理和蛋白酶抑制剂对牛乳房组织匀浆中选定蛋白质的 Elisa 定量的影响</w:t>
      </w:r>
    </w:p>
    <w:p>
      <w:r>
        <w:rPr>
          <w:rFonts w:ascii="Times New Roman" w:hAnsi="Times New Roman" w:eastAsia="宋体"/>
          <w:b/>
          <w:color w:val="003264"/>
          <w:sz w:val="24"/>
        </w:rPr>
        <w:t>Effect of sonication and protease inhibitors on Elisa quantification of selected proteins in bovine udder tissue homogenates</w:t>
      </w:r>
    </w:p>
    <w:p>
      <w:r>
        <w:rPr>
          <w:rFonts w:ascii="Times New Roman" w:hAnsi="Times New Roman" w:eastAsia="宋体"/>
          <w:sz w:val="21"/>
        </w:rPr>
        <w:t>作者: Adrianna Szprynca, Michał Czopowicz, Magdalena Zalewska, Tomasz Sakowski, Jarosław Kaba, Emilia Bagnicka</w:t>
        <w:br/>
      </w:r>
      <w:r>
        <w:rPr>
          <w:rFonts w:ascii="Times New Roman" w:hAnsi="Times New Roman" w:eastAsia="宋体"/>
          <w:sz w:val="21"/>
        </w:rPr>
        <w:t xml:space="preserve">时间: 2026-02-05 | </w:t>
      </w:r>
      <w:r>
        <w:t xml:space="preserve">链接: </w:t>
      </w:r>
      <w:hyperlink r:id="rId11">
        <w:r>
          <w:rPr>
            <w:rFonts w:ascii="Times New Roman" w:hAnsi="Times New Roman" w:eastAsia="宋体"/>
            <w:color w:val="0000FF"/>
            <w:sz w:val="21"/>
            <w:u w:val="single"/>
          </w:rPr>
          <w:t>https://doi.org/10.1038/s41598-026-38653-x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制备 ELISA 样品的方案在单独使用机械匀浆 (MH) 或额外使用蛋白酶抑制剂 (PI) 和/或超声处理 (S) 方面有所不同。目前尚不清楚实验方案的类型是否会影响最终的蛋白质产量；因此，我们使用夹心 ELISA 评估了不同的制备方法及其组合如何影响乳房实质中的 α-酪蛋白 (CSN1)、乳铁蛋白 (LTF) 和碱性磷酸酶 (ALP) 浓度，并测试了乳房健康状态（凝固酶阳性葡萄球菌感染）是否影响方案功效。使用四种方案处理来自 22 头奶牛（11 头健康，11 头感染）的样本。 PI 和 S 降低了蛋白质浓度，MH + PI+S 的组合使所有三种蛋白质的值最低。与 CSN1 不同，ALP 对处理最敏感。受感染样本中 CSN1 水平较高，而乳铁蛋白和 ALP 不受感染影响。无论健康状况如何，所有制备方法都会影响蛋白质水平。单独使用 MH 可获得最高的蛋白质浓度。我们的研究结果强调需要仔细优化和标准化样品制备，以确保可靠且可重复的 ELISA 结果。</w:t>
      </w:r>
    </w:p>
    <w:p>
      <w:pPr>
        <w:spacing w:before="120"/>
      </w:pPr>
      <w:r>
        <w:rPr>
          <w:rFonts w:ascii="Times New Roman" w:hAnsi="Times New Roman" w:eastAsia="宋体"/>
          <w:b/>
          <w:sz w:val="21"/>
        </w:rPr>
        <w:t>English Abstract:</w:t>
      </w:r>
    </w:p>
    <w:p>
      <w:r>
        <w:rPr>
          <w:rFonts w:ascii="Times New Roman" w:hAnsi="Times New Roman" w:eastAsia="宋体"/>
          <w:sz w:val="21"/>
        </w:rPr>
        <w:t>The protocols for preparing ELISA samples vary in terms of the use of mechanical homogenization (MH) alone or the additional use of protease inhibitors (PI) and/or sonication (S). It is unclear whether the type of protocol can affect the final protein yield; thus, we evaluated how different preparation methods and their combination affect the alpha-casein (CSN1), lactoferrin (LTF), and alkaline phosphatase (ALP) concentrations in udder parenchyma using a sandwich ELISA, and tested whether the udder health state (coagulase-positive staphylococcal ​​infection) affects the protocol efficacy. Samples from 22 cows (11 healthy, 11 infected) were processed using the four protocols. PI and S reduced protein concentrations, with the combination of MH + PI+S giving the lowest ​​values for all three proteins. Unlike CSN1, ALP was the most sensitive to processing. CSN1 levels were higher in infected samples, while lactoferrin and ALP were not influenced by infection. All preparation methods affected the protein levels, irrespective of health state. The highest protein concentrations were obtained using MH alone. Our findings highlight the need for careful optimization and standardization of sample preparation to ensure reliable and reproducible ELISA results.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通过基于自适应小波的去噪和贝叶斯数字化方法实现稳健的随机电报信号表征的高性能免训练管道</w:t>
      </w:r>
    </w:p>
    <w:p>
      <w:r>
        <w:rPr>
          <w:rFonts w:ascii="Times New Roman" w:hAnsi="Times New Roman" w:eastAsia="宋体"/>
          <w:b/>
          <w:color w:val="003264"/>
          <w:sz w:val="24"/>
        </w:rPr>
        <w:t>A high-performance training-free pipeline for robust random telegraph signal characterization via adaptive wavelet-based denoising and Bayesian digitization methods</w:t>
      </w:r>
    </w:p>
    <w:p>
      <w:r>
        <w:rPr>
          <w:rFonts w:ascii="Times New Roman" w:hAnsi="Times New Roman" w:eastAsia="宋体"/>
          <w:sz w:val="21"/>
        </w:rPr>
        <w:t>作者: Tonghe Bai, Ayush Kapoor, Na Young Kim</w:t>
        <w:br/>
      </w:r>
      <w:r>
        <w:rPr>
          <w:rFonts w:ascii="Times New Roman" w:hAnsi="Times New Roman" w:eastAsia="宋体"/>
          <w:sz w:val="21"/>
        </w:rPr>
        <w:t xml:space="preserve">时间: 2026-02-05 | </w:t>
      </w:r>
      <w:r>
        <w:t xml:space="preserve">链接: </w:t>
      </w:r>
      <w:hyperlink r:id="rId12">
        <w:r>
          <w:rPr>
            <w:rFonts w:ascii="Times New Roman" w:hAnsi="Times New Roman" w:eastAsia="宋体"/>
            <w:color w:val="0000FF"/>
            <w:sz w:val="21"/>
            <w:u w:val="single"/>
          </w:rPr>
          <w:t>https://doi.org/10.1038/s41598-026-36656-2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随机电报信号 (RTS) 分析对于表征物理、化学和生物系统中有意义的时间波动越来越重要。最简单的 RTS 源于两个二元状态之间的离散随机切换事件，通过它们的转变幅度和每个状态的停留时间来量化。 RTS 的定量分析为半导体中的电荷捕获等微观过程提供了宝贵的见解。然而，当信号呈现多级结构或被背景白噪声或粉噪声破坏时，分析 RTS 就会变得相当复杂。为了应对这些挑战并支持高通量 RTS 表征，我们提出了一种模块化、免训练的信号处理管道，它将自适应双树复小波变换 (DTCWT) 去噪与轻量级贝叶斯数字化策略集成在一起。自适应 DTCWT 降噪器结合了分解级别和阈值的自主参数选择规则，无需手动调整即可优化白噪声抑制。作为这一阶段的补充，我们的贝叶斯数字化仪将 RTS 级别分配制定为概率潜在状态推理问题，结合了时间正则化而无需迭代优化，即使在残留的臭名昭著的背景粉红噪声下也能有效解决二进制陷阱状态。对具有已知地面事实的大型合成数据集进行的定量基准测试表明，RTS 重建精度、陷阱状态分辨率以及跨不同噪声状态和多陷阱场景的驻留时间估计得到了改善，同时比经典和神经基线实现了高达 83$$\times$$ 的加速。在没有真实数据的情况下对实验 RTS 数据进行定性验证，说明了在实际测量设置中进行实时或大规模分析的实际可用性和灵活性。总之，所提出的框架为自主 RTS 分析和系统基准测试建立了可扩展和可重复的基础，有可能支持未来向更复杂和特定于设备的 RTS 研究扩展。</w:t>
      </w:r>
    </w:p>
    <w:p>
      <w:pPr>
        <w:spacing w:before="120"/>
      </w:pPr>
      <w:r>
        <w:rPr>
          <w:rFonts w:ascii="Times New Roman" w:hAnsi="Times New Roman" w:eastAsia="宋体"/>
          <w:b/>
          <w:sz w:val="21"/>
        </w:rPr>
        <w:t>English Abstract:</w:t>
      </w:r>
    </w:p>
    <w:p>
      <w:r>
        <w:rPr>
          <w:rFonts w:ascii="Times New Roman" w:hAnsi="Times New Roman" w:eastAsia="宋体"/>
          <w:sz w:val="21"/>
        </w:rPr>
        <w:t>Random telegraph signal (RTS) analysis is increasingly important for characterizing meaningful temporal fluctuations in physical, chemical, and biological systems. The simplest RTS arises from discrete stochastic switching events between two binary states, quantified by their transition amplitude and dwell times in each state. Quantitative analysis of RTSs provides valuable insights into microscopic processes such as charge trapping in semiconductors. However, analyzing RTS becomes considerably complex when signals exhibit multi-level structures or are corrupted by background white or pink noise. To address these challenges and support high-throughput RTS characterization, we propose a modular, training-free signal processing pipeline that integrates adaptive dual-tree complex wavelet transform (DTCWT) denoising with a lightweight Bayesian digitization strategy. The adaptive DTCWT denoiser incorporates autonomous parameter selection rules for its decomposition level and thresholds, optimizing white noise suppression without manual tuning. Complementing this stage, our Bayesian digitizer formulates RTS level assignment as a probabilistic latent-state inference problem incorporating temporal regularization without iterative optimization, effectively resolving binary trap states even under residual notorious background pink noise. Quantitative benchmarking on large synthetic datasets with known ground truth demonstrates improved RTS reconstruction accuracy, trap-state resolution, and dwell-time estimation across diverse noise regimes and multi-trap scenarios, while achieving up to 83$$\times$$ speedups over classical and neural baselines. Qualitative validation on experimental RTS data when no ground truth is available illustrates practical usability and flexibility for real-time or large-scale analysis in real measurement settings. Together, the proposed framework establishes a scalable and reproducible foundation for autonomous RTS analysis and systematic benchmarking, with potential to support future extensions toward more complex and device-specific RTS studies.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对加纳青年中不同性别、年龄和教育水平的 COVID-19 相关变量与健康之间关系的网络分析</w:t>
      </w:r>
    </w:p>
    <w:p>
      <w:r>
        <w:rPr>
          <w:rFonts w:ascii="Times New Roman" w:hAnsi="Times New Roman" w:eastAsia="宋体"/>
          <w:b/>
          <w:color w:val="003264"/>
          <w:sz w:val="24"/>
        </w:rPr>
        <w:t>A network analysis of the associations between COVID-19-related variables and health across sex, age and educational levels among Ghanaian youths</w:t>
      </w:r>
    </w:p>
    <w:p>
      <w:r>
        <w:rPr>
          <w:rFonts w:ascii="Times New Roman" w:hAnsi="Times New Roman" w:eastAsia="宋体"/>
          <w:sz w:val="21"/>
        </w:rPr>
        <w:t>作者: Jiajia Ye, I-Hua Chen, Po-Ching Huang, Emma Sethina Adjaottor, Frimpong-Manso Addo, Ishmael Ronald Ahorsu, Mark D. Griffiths, Wanqing Lin, Daniel Kwasi Ahorsu, Chung Ying Lin</w:t>
        <w:br/>
      </w:r>
      <w:r>
        <w:rPr>
          <w:rFonts w:ascii="Times New Roman" w:hAnsi="Times New Roman" w:eastAsia="宋体"/>
          <w:sz w:val="21"/>
        </w:rPr>
        <w:t xml:space="preserve">时间: 2026-02-05 | </w:t>
      </w:r>
      <w:r>
        <w:t xml:space="preserve">链接: </w:t>
      </w:r>
      <w:hyperlink r:id="rId13">
        <w:r>
          <w:rPr>
            <w:rFonts w:ascii="Times New Roman" w:hAnsi="Times New Roman" w:eastAsia="宋体"/>
            <w:color w:val="0000FF"/>
            <w:sz w:val="21"/>
            <w:u w:val="single"/>
          </w:rPr>
          <w:t>https://doi.org/10.1038/s41598-026-37166-x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COVID-19 大流行对全球健康产生了深远影响，不仅影响身体健康，还加剧了心理健康问题。本研究调查了不同性别、年龄和教育水平的 COVID-19 相关变量与健康结果之间的关联。这项横断面调查研究于 2022 年 6 月至 8 月进行，涉及加纳 1,326 名 12 至 28 岁的参与者。参与者完成了心理测量测量，评估对 COVID-19 的恐惧、心理困扰、耻辱感、自我耻辱、预防行为、对 COVID-19 信息的相信、疫苗接种接受度和生活质量。网络分析表明，与 COVID-19 相关的压力与对 COVID-19 的恐惧、心理困扰和与 COVID-19 相关的自我耻辱呈正相关。对covid-19的恐惧与covid-19的预防性行为、covid-19相关的自我耻辱和相信covid-19信息呈正相关，而心理困扰与covid-19相关的自我耻辱呈正相关，但与身心生活质量呈负相关。身体生活质量与 COVID-19 相关的耻辱感和 COVID-19 疫苗接受程度呈负相关。这些网络结构因性别、年龄和教育水平而异。与 COVID-19 相关的压力在四个指数中具有最高的中心性。总之，本研究强调了加纳年轻人中与 COVID-19 相关的变量和健康因素的相互关联性。与 COVID-19 相关的压力似乎是心理健康的关键决定因素。与 COVID-19 大流行相关的压力是心理健康的关键决定因素。不同性别、年龄和教育水平之间网络结构的差异凸显了量身定制的健康干预措施的重要性。需要采用纵向研究设计并针对不同人群进行进一步的研究，以观察健康相关变量之间随时间的动态关联。</w:t>
      </w:r>
    </w:p>
    <w:p>
      <w:pPr>
        <w:spacing w:before="120"/>
      </w:pPr>
      <w:r>
        <w:rPr>
          <w:rFonts w:ascii="Times New Roman" w:hAnsi="Times New Roman" w:eastAsia="宋体"/>
          <w:b/>
          <w:sz w:val="21"/>
        </w:rPr>
        <w:t>English Abstract:</w:t>
      </w:r>
    </w:p>
    <w:p>
      <w:r>
        <w:rPr>
          <w:rFonts w:ascii="Times New Roman" w:hAnsi="Times New Roman" w:eastAsia="宋体"/>
          <w:sz w:val="21"/>
        </w:rPr>
        <w:t>The COVID-19 pandemic has had far-reaching impacts on global health, affecting not only physical well-being but also exacerbating mental health issues. The present study investigated the associations between COVID-19-related variables and health outcomes across different sex, age, and education levels. The cross-sectional survey study was conducted from June to August 2022, comprising 1,326 participants aged 12 to 28 years in Ghana. Participants completed psychometric measures assessing fear of COVID-19, psychological distress, perceived stigma, self-stigma, preventive behaviors, believing COVID-19 information, vaccination acceptance, and quality of life. Network analysis indicated that COVID-19-related stress was positively associated with fear of COVID-19, psychological distress, and COVID-19-related self-stigma. The fear of COVID-19 was positively associated with preventive COVID-19 behaviors, COVID-19-related self-stigma, and believing COVID-19 information, while psychological distress was positively associated with COVID-19-related self-stigma but negatively associated with both physical and mental quality of life. Physical quality of life was negatively associated with COVID-19-related perceived stigma and COVID-19 vaccine acceptance. These network structures varied across sex, age, and educational levels. COVID-19-related stress had the highest centrality across four indices. In sum, the present study highlighted the interconnectedness of COVID-19-related variables and health factors among young people in Ghana. COVID-19-related stress appeared to be a pivotal determinant of psychological well-being. Stress related to the COVID-19 pandemic served as a key determinant of psychological well-being. The differences in network structures across sex, age, and education levels highlighted the importance of tailored health interventions. Further research employing longitudinal study designs and targeting diverse populations are needed to observe the dynamic associations between health-related variables over time.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在心算任务中通过光电体积描记法和生物阻抗反应评估认知负荷</w:t>
      </w:r>
    </w:p>
    <w:p>
      <w:r>
        <w:rPr>
          <w:rFonts w:ascii="Times New Roman" w:hAnsi="Times New Roman" w:eastAsia="宋体"/>
          <w:b/>
          <w:color w:val="003264"/>
          <w:sz w:val="24"/>
        </w:rPr>
        <w:t>Assessment of cognitive load through photoplethysmography and bioimpedance responses during mental arithmetic tasks</w:t>
      </w:r>
    </w:p>
    <w:p>
      <w:r>
        <w:rPr>
          <w:rFonts w:ascii="Times New Roman" w:hAnsi="Times New Roman" w:eastAsia="宋体"/>
          <w:sz w:val="21"/>
        </w:rPr>
        <w:t>作者: Dang Nguyen Huynh, Thao Nguyen Tran, Khang Thanh Tran, Nguyen Khoa Le, Cao Dang Le, Huu-Xuan Mai, Quang-Linh Huynh, Trung-Hau Nguyen</w:t>
        <w:br/>
      </w:r>
      <w:r>
        <w:rPr>
          <w:rFonts w:ascii="Times New Roman" w:hAnsi="Times New Roman" w:eastAsia="宋体"/>
          <w:sz w:val="21"/>
        </w:rPr>
        <w:t xml:space="preserve">时间: 2026-02-05 | </w:t>
      </w:r>
      <w:r>
        <w:t xml:space="preserve">链接: </w:t>
      </w:r>
      <w:hyperlink r:id="rId14">
        <w:r>
          <w:rPr>
            <w:rFonts w:ascii="Times New Roman" w:hAnsi="Times New Roman" w:eastAsia="宋体"/>
            <w:color w:val="0000FF"/>
            <w:sz w:val="21"/>
            <w:u w:val="single"/>
          </w:rPr>
          <w:t>https://doi.org/10.1038/s41598-026-38782-3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准确评估认知负荷对于认知研究和人机交互至关重要。本研究研究了一种多模式方法，利用光电体积描记法 (PPG) 和阻抗体积描记法 (IPG) 产生的心血管信号对分级认知负荷水平进行分类。数据收集自 15 名健康成年人，他们执行难度逐渐增加的心算任务（休息、1 级、2 级和 3 级）。颈动脉 PPG 被用作脑灌注的整体指标，而额叶 IPG 则捕获局部血容量的局部变化。应用机器学习算法（包括决策树、随机森林和 XGBoost）来区分工作负载级别。在这些模型中，随机森林取得了最高的性能，在主题相关分类中达到了 96% 的准确率。独立于受试者的准确度较低（66%），反映了受试者间的巨大差异。 IPG 衍生的特征是对工作负荷歧视最有影响力的因素之一，凸显了局部神经血管反应对认知需求的作用。这些发现支持 PPG-IPG 融合作为一种无创且基于生理学的技术，用于持续监测认知负荷的潜力。</w:t>
      </w:r>
    </w:p>
    <w:p>
      <w:pPr>
        <w:spacing w:before="120"/>
      </w:pPr>
      <w:r>
        <w:rPr>
          <w:rFonts w:ascii="Times New Roman" w:hAnsi="Times New Roman" w:eastAsia="宋体"/>
          <w:b/>
          <w:sz w:val="21"/>
        </w:rPr>
        <w:t>English Abstract:</w:t>
      </w:r>
    </w:p>
    <w:p>
      <w:r>
        <w:rPr>
          <w:rFonts w:ascii="Times New Roman" w:hAnsi="Times New Roman" w:eastAsia="宋体"/>
          <w:sz w:val="21"/>
        </w:rPr>
        <w:t>Accurate assessment of cognitive load is vital in cognitive research and human–machine interaction. This study investigates a multimodal approach for classifying graded cognitive load levels using cardiovascular signals derived from photoplethysmography (PPG) and impedance plethysmography (IPG). Data were collected from 15 healthy adults performing mental arithmetic tasks of increasing difficulty (Rest, Level 1, Level 2, and Level 3). Carotid PPG was used as a global indicator of cerebral perfusion, while frontal IPG captured localized changes in regional blood volume. Machine learning algorithms, including Decision Trees, Random Forest, and XGBoost, were applied to discriminate between workload levels. Among these models, Random Forest achieved the highest performance, reaching 96% accuracy in subject-dependent classification. Subject-independent accuracy was lower (66%), reflecting substantial inter-subject variability. IPG-derived features were among the most influential contributors to workload discrimination, highlighting the role of localized neurovascular responses to cognitive demand. These findings support the potential of PPG–IPG fusion as a noninvasive and physiologically grounded technique for continuous monitoring of cognitive workload.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通过表面增强拉曼光谱和深度学习进行草药等离子人工检查</w:t>
      </w:r>
    </w:p>
    <w:p>
      <w:r>
        <w:rPr>
          <w:rFonts w:ascii="Times New Roman" w:hAnsi="Times New Roman" w:eastAsia="宋体"/>
          <w:b/>
          <w:color w:val="003264"/>
          <w:sz w:val="24"/>
        </w:rPr>
        <w:t>Plasmonic artificial inspector for herbal medicines via surface-enhanced Raman spectroscopy and deep learning</w:t>
      </w:r>
    </w:p>
    <w:p>
      <w:r>
        <w:rPr>
          <w:rFonts w:ascii="Times New Roman" w:hAnsi="Times New Roman" w:eastAsia="宋体"/>
          <w:sz w:val="21"/>
        </w:rPr>
        <w:t>作者: Hongdoo Kim, Jemin Lee, Sung Won Kim, Hyung Gyu Park</w:t>
        <w:br/>
      </w:r>
      <w:r>
        <w:rPr>
          <w:rFonts w:ascii="Times New Roman" w:hAnsi="Times New Roman" w:eastAsia="宋体"/>
          <w:sz w:val="21"/>
        </w:rPr>
        <w:t xml:space="preserve">时间: 2026-02-05 | </w:t>
      </w:r>
      <w:r>
        <w:t xml:space="preserve">链接: </w:t>
      </w:r>
      <w:hyperlink r:id="rId15">
        <w:r>
          <w:rPr>
            <w:rFonts w:ascii="Times New Roman" w:hAnsi="Times New Roman" w:eastAsia="宋体"/>
            <w:color w:val="0000FF"/>
            <w:sz w:val="21"/>
            <w:u w:val="single"/>
          </w:rPr>
          <w:t>https://doi.org/10.1038/s41598-026-38497-5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为了对草药 (HM) 进行安全监控，HM 检查员在接受市场供应之前进行感官检查。感官测试过程通常被认为是劳动密集型的，因此需要高效、可靠的辅助设备。在这里，我们提出了一种基于表面增强拉曼光谱 (SERS) 和深度学习 (DL) 之间协作的等离子体人工 HM 检查器。本质上，HM 样本的 SERS 光谱包含几个与样品中生物活性化合物相匹配的峰，产生所谓的 HM 指纹信息。此外，其快速、几秒的数据采集速度使 SERS-DL 分析能够适应感官检查的补充检查方法。关于这种新方法的准确性和可靠性，SERS 与 DL 的协同集成在 35 个外观相似或同一属的 HM 物种的省力区分中达到了约 95% 的准确率。我们基于 SERS-DL 的分析可能有助于感官 HM 检查，并帮助升级 HM 数据库以及图像和其他分析化学数据。</w:t>
      </w:r>
    </w:p>
    <w:p>
      <w:pPr>
        <w:spacing w:before="120"/>
      </w:pPr>
      <w:r>
        <w:rPr>
          <w:rFonts w:ascii="Times New Roman" w:hAnsi="Times New Roman" w:eastAsia="宋体"/>
          <w:b/>
          <w:sz w:val="21"/>
        </w:rPr>
        <w:t>English Abstract:</w:t>
      </w:r>
    </w:p>
    <w:p>
      <w:r>
        <w:rPr>
          <w:rFonts w:ascii="Times New Roman" w:hAnsi="Times New Roman" w:eastAsia="宋体"/>
          <w:sz w:val="21"/>
        </w:rPr>
        <w:t>For the safety monitoring of herbal medicines (HMs), HM inspectors carry out an organoleptic examination before acceptance for market supply. The organoleptic test processes are often regarded as labor-intensive, thus calling for efficient and reliable aids. Here, we propose a plasmonic artificial HM inspector based on a collaboration between surface-enhanced Raman spectroscopy (SERS) and deep learning (DL). Inherently, a SERS spectrum of an HM specimen contains several peaks that match bioactive compounds in the sample, yielding so-called fingerprint information of HM. Besides, its rapid, few-second data-acquisition speed lends the SERS-DL analysis adaptability to a complementary inspection method for organoleptic examination. Regarding the accuracy and reliability of this new method, the synergistic integration of SERS with DL attains ~95% accuracy in labor-saving differentiation of 35 HM species with similar appearances or of the same genus. Our SERS-DL-based analysis can potentially aid the organoleptic HM inspection and help upgrade the HM database, along with images and other analytical chemistry data.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成人屈光参差近视患者飞秒LASIK手术前后视网膜氧饱和度的变化</w:t>
      </w:r>
    </w:p>
    <w:p>
      <w:r>
        <w:rPr>
          <w:rFonts w:ascii="Times New Roman" w:hAnsi="Times New Roman" w:eastAsia="宋体"/>
          <w:b/>
          <w:color w:val="003264"/>
          <w:sz w:val="24"/>
        </w:rPr>
        <w:t>Changes in retinal oxygen saturation before and after femtosecond LASIK in adult myopic individuals with anisometropia</w:t>
      </w:r>
    </w:p>
    <w:p>
      <w:r>
        <w:rPr>
          <w:rFonts w:ascii="Times New Roman" w:hAnsi="Times New Roman" w:eastAsia="宋体"/>
          <w:sz w:val="21"/>
        </w:rPr>
        <w:t>作者: Shanshan Ge, Xiaoqi Ma, Xiuli Zhou, Yuehua Zhou</w:t>
        <w:br/>
      </w:r>
      <w:r>
        <w:rPr>
          <w:rFonts w:ascii="Times New Roman" w:hAnsi="Times New Roman" w:eastAsia="宋体"/>
          <w:sz w:val="21"/>
        </w:rPr>
        <w:t xml:space="preserve">时间: 2026-02-05 | </w:t>
      </w:r>
      <w:r>
        <w:t xml:space="preserve">链接: </w:t>
      </w:r>
      <w:hyperlink r:id="rId16">
        <w:r>
          <w:rPr>
            <w:rFonts w:ascii="Times New Roman" w:hAnsi="Times New Roman" w:eastAsia="宋体"/>
            <w:color w:val="0000FF"/>
            <w:sz w:val="21"/>
            <w:u w:val="single"/>
          </w:rPr>
          <w:t>https://doi.org/10.1038/s41598-026-37955-4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本研究旨在在考虑光学因素和个体差异后，探讨近视与视网膜血管氧饱和度之间的关系。这是一项前瞻性、观察性、单中心研究。患有屈光参差的成年人也被包括在内。所有受试者均接受飞秒辅助激光原位角膜磨镶术（FS-LASIK），手术前后均进行视力、眼压（IOP）、球镜当量（SE）、平均角膜曲率（K）、中央角膜厚度、视网膜血氧计检查。共有 196 名成年近视屈光参差患者入组。近视程度较低的眼睛术前的SE为− 3.89 ± 3.24 D，明显高于近视程度较高的眼睛的SE - 6.75 ± 3.10 D ( p &lt; 0.001)。近视程度较低的眼睛的视网膜动脉血氧饱和度（SaO 2 ）为94.08±1.61%，显着高于近视程度较高的眼睛的93.36±1.74%（p = 0.003）。 FS-LASIK 后，近视程度较低的眼睛 (93.29 ± 1.72%) 的 SaO 2 仍然显着高于近视程度较高的眼睛 (92.76 ± 1.83%) (p = 0.038)。多因素回归分析显示，术后SaO 2 与眼轴长度（AL）仍呈显着负相关（B=-0.252，P=0.009）。排除光学因素和个体差异后，SaO 2 仍与AL呈负相关。近视对SaO 2 产生光学放大作用。</w:t>
      </w:r>
    </w:p>
    <w:p>
      <w:pPr>
        <w:spacing w:before="120"/>
      </w:pPr>
      <w:r>
        <w:rPr>
          <w:rFonts w:ascii="Times New Roman" w:hAnsi="Times New Roman" w:eastAsia="宋体"/>
          <w:b/>
          <w:sz w:val="21"/>
        </w:rPr>
        <w:t>English Abstract:</w:t>
      </w:r>
    </w:p>
    <w:p>
      <w:r>
        <w:rPr>
          <w:rFonts w:ascii="Times New Roman" w:hAnsi="Times New Roman" w:eastAsia="宋体"/>
          <w:sz w:val="21"/>
        </w:rPr>
        <w:t>Abstract This study aimed to investigate the relationship between myopia and retinal vascular oxygen saturation, after accounting for optical factors and individual variations. This was a prospective, observational, single-center study. Adults with anisometropia were included. All the participants underwent femtosecond-assisted laser in situ keratomileusis (FS-LASIK), and before and after the surgery, all the patients underwent the examination of visual acuity, intraocular pressure (IOP), spherical equivalent (SE), average keratometry (K), central corneal thickness, and retinal oximeter. A total of 196 adult patients with myopic anisometropia were enrolled. The SE of the less myopic eyes before surgery was − 3.89 ± 3.24 D, which was significantly higher than that of the more myopic eyes − 6.75 ± 3.10 D ( p &lt; 0.001). The retinal arterial oxygen saturation (SaO 2 ) of the less myopic eyes was 94.08 ± 1.61%, which was significantly higher than that of the more myopic eyes 93.36 ± 1.74% ( p = 0.003). After FS-LASIK, the SaO 2 of the less myopic eyes (93.29 ± 1.72%) remained significantly higher than that of the more myopic eyes (92.76 ± 1.83%) ( p = 0.038). In the multivariate regression analysis, the postoperative SaO 2 was still significantly negatively correlated with axial length (AL) ( B = -0.252, P = 0.009). After excluding optical factors and individual variations, SaO 2 remains negatively correlated with AL. Myopia exerts an optical magnification effect on SaO 2 .</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使用双机器学习识别光伏装置对草地生产力的因果影响：内蒙古的案例研究</w:t>
      </w:r>
    </w:p>
    <w:p>
      <w:r>
        <w:rPr>
          <w:rFonts w:ascii="Times New Roman" w:hAnsi="Times New Roman" w:eastAsia="宋体"/>
          <w:b/>
          <w:color w:val="003264"/>
          <w:sz w:val="24"/>
        </w:rPr>
        <w:t>Identifying the causal effects of photovoltaic installations on grassland productivity using double machine learning: a case study in inner Mongolia</w:t>
      </w:r>
    </w:p>
    <w:p>
      <w:r>
        <w:rPr>
          <w:rFonts w:ascii="Times New Roman" w:hAnsi="Times New Roman" w:eastAsia="宋体"/>
          <w:sz w:val="21"/>
        </w:rPr>
        <w:t>作者: Zhangqi Yu, Zuopei Zhang, Runsong Yuan</w:t>
        <w:br/>
      </w:r>
      <w:r>
        <w:rPr>
          <w:rFonts w:ascii="Times New Roman" w:hAnsi="Times New Roman" w:eastAsia="宋体"/>
          <w:sz w:val="21"/>
        </w:rPr>
        <w:t xml:space="preserve">时间: 2026-02-05 | </w:t>
      </w:r>
      <w:r>
        <w:t xml:space="preserve">链接: </w:t>
      </w:r>
      <w:hyperlink r:id="rId17">
        <w:r>
          <w:rPr>
            <w:rFonts w:ascii="Times New Roman" w:hAnsi="Times New Roman" w:eastAsia="宋体"/>
            <w:color w:val="0000FF"/>
            <w:sz w:val="21"/>
            <w:u w:val="single"/>
          </w:rPr>
          <w:t>https://doi.org/10.1038/s41598-026-39023-3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全球能源转型和“双碳”目标的推动下，大规模光伏装置的快速部署深刻重塑了地表过程。这种转变在干旱和半干旱草原生态系统中尤为明显，光伏建设的潜在生态影响仍然至关重要且存在争议。然而，大多数现有研究主要依赖于相关性分析，无法准确识别光伏安装对生态系统生产力的真正因果影响。在本研究中，我们以中国内蒙古典型草原为研究对象，整合了MODIS净初级生产力（NPP）、气象、地形和人为因素等多源遥感数据集。在准实验框架内采用双机器学习（DML）方法来量化光伏建设的生态因果效应。结果表明，光伏安装对草地NPP的平均处理效果（ATE）为−0.00427（p&gt;0.05），表明总体影响在统计上不显着。然而，仍然存在显着的空间异质性：大约 62.1% 的光伏站点表现出积极的生态效应，而 37.9% 的光伏站点表现出负面的生态效应。基于 SHapley Additive exPlanations (SHAP) 的分析进一步表明，光伏引起的生态效应的空间变异性主要受环境因素的调节，例如距水体的距离、年平均温度、潜在蒸散量、土壤湿度和干旱指数。本研究证明了 DML 框架在识别因果生态干预措施方面的有效性和优势。研究结果为实施“生态优先、因地制宜”的光伏发展战略提供了科学依据，凸显了将生态基线评估与空间精准管理相结合，实现能源安全与生态系统保护协同发展的必要性。</w:t>
      </w:r>
    </w:p>
    <w:p>
      <w:pPr>
        <w:spacing w:before="120"/>
      </w:pPr>
      <w:r>
        <w:rPr>
          <w:rFonts w:ascii="Times New Roman" w:hAnsi="Times New Roman" w:eastAsia="宋体"/>
          <w:b/>
          <w:sz w:val="21"/>
        </w:rPr>
        <w:t>English Abstract:</w:t>
      </w:r>
    </w:p>
    <w:p>
      <w:r>
        <w:rPr>
          <w:rFonts w:ascii="Times New Roman" w:hAnsi="Times New Roman" w:eastAsia="宋体"/>
          <w:sz w:val="21"/>
        </w:rPr>
        <w:t>Driven by the global energy transition and the “dual-carbon” goals, the rapid deployment of large-scale photovoltaic (PV) installations has profoundly reshaped land surface processes. This transformation is particularly pronounced in arid and semi-arid grassland ecosystems, where the potential ecological impacts of PV construction remain both critical and controversial. However, most existing studies rely primarily on correlation analyses, which fail to accurately identify the true causal effects of PV installations on ecosystem productivity. In this study, we focus on typical grasslands in Inner Mongolia, China, integrating multi-source remote sensing datasets including MODIS net primary productivity (NPP), meteorological, topographic, and anthropogenic factors. A double machine learning (DML) approach is employed within a quasi-experimental framework to quantify the ecological causal effects of PV construction. The results reveal that the average treatment effect (ATE) of PV installation on grassland NPP is − 0.00427 (p &gt; 0.05), indicating a statistically insignificant overall impact. Nevertheless, substantial spatial heterogeneity exists: approximately 62.1% of PV sites exhibit positive ecological effects, whereas 37.9% show negative ones. SHapley Additive exPlanations (SHAP) based analysis further identifies that the spatial variability of PV-induced ecological effects is primarily regulated by environmental factors such as distance to water bodies, mean annual temperature, potential evapotranspiration, soil moisture, and drought index. This study demonstrates the effectiveness and advantages of the DML framework in identifying causal ecological interventions. The findings provide a scientific basis for implementing “ecology-prioritized, site-specific” PV development strategies and highlight the necessity of integrating ecological baseline assessments and spatially precise management to achieve a synergy between energy security and ecosystem conservation.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基于生物聚合物的多层胶囊，用于保护和控制释放荧光假单胞菌 T17-4 和贝莱斯芽孢杆菌 VRU1</w:t>
      </w:r>
    </w:p>
    <w:p>
      <w:r>
        <w:rPr>
          <w:rFonts w:ascii="Times New Roman" w:hAnsi="Times New Roman" w:eastAsia="宋体"/>
          <w:b/>
          <w:color w:val="003264"/>
          <w:sz w:val="24"/>
        </w:rPr>
        <w:t>Biopolymer-based multilayer capsules for protection and controlled release of Pseudomonas fluorescens T17-4 and Bacillus velezensis VRU1</w:t>
      </w:r>
    </w:p>
    <w:p>
      <w:r>
        <w:rPr>
          <w:rFonts w:ascii="Times New Roman" w:hAnsi="Times New Roman" w:eastAsia="宋体"/>
          <w:sz w:val="21"/>
        </w:rPr>
        <w:t>作者: Roohallah Saberi Riseh, Fariba Fathi</w:t>
        <w:br/>
      </w:r>
      <w:r>
        <w:rPr>
          <w:rFonts w:ascii="Times New Roman" w:hAnsi="Times New Roman" w:eastAsia="宋体"/>
          <w:sz w:val="21"/>
        </w:rPr>
        <w:t xml:space="preserve">时间: 2026-02-05 | </w:t>
      </w:r>
      <w:r>
        <w:t xml:space="preserve">链接: </w:t>
      </w:r>
      <w:hyperlink r:id="rId18">
        <w:r>
          <w:rPr>
            <w:rFonts w:ascii="Times New Roman" w:hAnsi="Times New Roman" w:eastAsia="宋体"/>
            <w:color w:val="0000FF"/>
            <w:sz w:val="21"/>
            <w:u w:val="single"/>
          </w:rPr>
          <w:t>https://doi.org/10.1038/s41598-026-38691-5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促进植物生长的根际细菌（PGPR）被广泛认为是可持续的农业投入品，因为它们可以提高养分的利用率，减少对化肥的依赖，并改善土壤和植物的健康。然而，它们的现场性能通常受到环境压力下活力和稳定性降低的限制。本研究旨在开发和比较双层和多层多糖-蛋白质封装系统，以改善 PGPR 的保护、长期稳定性和控制释放。使用海藻酸盐-乳清分离蛋白核心对荧光假单胞菌 T17-4 和贝莱斯芽孢杆菌 VRU1 进行封装，并连续外层采用杏胶和果胶，形成双层和多层胶囊。添加介孔二氧化硅纳米颗粒以进一步增强胶囊结构。多层封装系统的性能优于双层配方，显示出更高的封装效率（&gt; 90%）、改善的结构完整性、增强的长期稳定性（六个月后细菌活力超过 90%）以及更受控的释放曲线。这些发现表明，多层多糖-蛋白质封装是保护 PGPR 并确保其持续输送的有效策略，突显了其在可持续农业中开发强大的生物肥料的潜力。</w:t>
      </w:r>
    </w:p>
    <w:p>
      <w:pPr>
        <w:spacing w:before="120"/>
      </w:pPr>
      <w:r>
        <w:rPr>
          <w:rFonts w:ascii="Times New Roman" w:hAnsi="Times New Roman" w:eastAsia="宋体"/>
          <w:b/>
          <w:sz w:val="21"/>
        </w:rPr>
        <w:t>English Abstract:</w:t>
      </w:r>
    </w:p>
    <w:p>
      <w:r>
        <w:rPr>
          <w:rFonts w:ascii="Times New Roman" w:hAnsi="Times New Roman" w:eastAsia="宋体"/>
          <w:sz w:val="21"/>
        </w:rPr>
        <w:t>Plant growth-promoting rhizobacteria (PGPR) are widely recognized as sustainable agricultural inputs because they enhance nutrient availability, reduce reliance on chemical fertilizers, and improve soil and plant health. However, their field performance is often limited by reduced viability and stability under environmental stresses. This study aimed to develop and compare double-layer and multilayer polysaccharide–protein–based encapsulation systems to improve the protection, long-term stability, and controlled release of PGPR. Pseudomonas fluorescens T17-4 and Bacillus velezensis VRU1 were encapsulated using an alginate–whey protein isolate core, with successive outer layers of apricot gum and pectin to form double-layer and multilayer capsules. Mesoporous silica nanoparticles were added to further reinforce the capsule structure. The multilayer encapsulation system outperformed the double-layer formulation, showing higher encapsulation efficiency (&gt; 90%), improved structural integrity, enhanced long-term stability with over 90% bacterial viability after six months, and a more controlled release profile. These findings demonstrate that multilayer polysaccharide–protein encapsulation is an effective strategy for protecting PGPR and ensuring their sustained delivery, highlighting its potential for developing robust biofertilizers in sustainable agriculture.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生物合成和化学合成的氧化铜纳米粒子对苦艾青蒿素生物合成基因表达的差异影响</w:t>
      </w:r>
    </w:p>
    <w:p>
      <w:r>
        <w:rPr>
          <w:rFonts w:ascii="Times New Roman" w:hAnsi="Times New Roman" w:eastAsia="宋体"/>
          <w:b/>
          <w:color w:val="003264"/>
          <w:sz w:val="24"/>
        </w:rPr>
        <w:t>Differential effects of biologically and chemically synthesized copper oxide nanoparticles on artemisinin biosynthesis gene expression in Artemisia absinthium</w:t>
      </w:r>
    </w:p>
    <w:p>
      <w:r>
        <w:rPr>
          <w:rFonts w:ascii="Times New Roman" w:hAnsi="Times New Roman" w:eastAsia="宋体"/>
          <w:sz w:val="21"/>
        </w:rPr>
        <w:t>作者: Sepideh Mahjouri, Rana Madadi Rad, Saeed Jafarirad, Roshanak Tarrahi, Fatemeh Sabaghfartash, Aytak Kiani, Mohammad Firouzandeh Gharehatlou, Sepideh Entezar Faraj, Reyhaneh Bakhshi, Morteza Kosari-Nasab</w:t>
        <w:br/>
      </w:r>
      <w:r>
        <w:rPr>
          <w:rFonts w:ascii="Times New Roman" w:hAnsi="Times New Roman" w:eastAsia="宋体"/>
          <w:sz w:val="21"/>
        </w:rPr>
        <w:t xml:space="preserve">时间: 2026-02-05 | </w:t>
      </w:r>
      <w:r>
        <w:t xml:space="preserve">链接: </w:t>
      </w:r>
      <w:hyperlink r:id="rId19">
        <w:r>
          <w:rPr>
            <w:rFonts w:ascii="Times New Roman" w:hAnsi="Times New Roman" w:eastAsia="宋体"/>
            <w:color w:val="0000FF"/>
            <w:sz w:val="21"/>
            <w:u w:val="single"/>
          </w:rPr>
          <w:t>https://doi.org/10.1038/s41598-026-38581-w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青蒿素是由苦艾产生的有效抗疟化合物。由于其自然产量较低，研究增强青蒿素生物合成的新策略至关重要。这项工作研究了氧化铜纳米粒子（CuO NPs）对青蒿素生物合成中重要基因表达的影响。 CuO NPs 采用绿色微波辐射和传统湿化学方法合成。包括 XRD、DLS、FESEM、EDX 和 FTIR 在内的多种技术的应用证实了 CuO 纳米粒子的正确合成。在 MS 培养基中用 2 ppm 和 4 ppm 的 CuO NP 处理苦艾的节段，并使用 qRT-PCR 分析基因表达。结果显示关键生物合成基因显着增加，包括 FDS、ADS、CYP71AV1、DBR2 和 ALDH1。具体而言，在用 4 ppm 绿色合成 CuO NP（分别增加 2.03、2.00 和 1.83 倍）和 2 ppm 化学合成 CuO NP（增加 2.35、1.86 和 2.34 倍）处理的培养物中观察到与 ADS、CYP71AV1 和 DBR2 相关的几种转录物的高水平表达。分别），与对照相比。此外，RED1（一种将代谢流从青蒿素生产中转移出来的基因）仅略有增加。可以得出结论，CuO NPs，特别是那些用绿色方法合成的，可以被认为是有效的纳米引发剂，通过改变基因表达来增强青蒿素的生物合成。这项研究展示了如何利用纳米技术以可持续的方式增加药用植物的药物化合物产量。</w:t>
      </w:r>
    </w:p>
    <w:p>
      <w:pPr>
        <w:spacing w:before="120"/>
      </w:pPr>
      <w:r>
        <w:rPr>
          <w:rFonts w:ascii="Times New Roman" w:hAnsi="Times New Roman" w:eastAsia="宋体"/>
          <w:b/>
          <w:sz w:val="21"/>
        </w:rPr>
        <w:t>English Abstract:</w:t>
      </w:r>
    </w:p>
    <w:p>
      <w:r>
        <w:rPr>
          <w:rFonts w:ascii="Times New Roman" w:hAnsi="Times New Roman" w:eastAsia="宋体"/>
          <w:sz w:val="21"/>
        </w:rPr>
        <w:t>Artemisinin is an effective antimalarial compound produced by Artemisia absinthium. Due to its low natural yields, it is crucial to investigate novel strategies to enhance biosynthesis of artemisinin. The impact of copper oxide nanoparticles (CuO NPs) on the expression of important genes involved in the biosynthesis of artemisinin was examined in this work. CuO NPs were synthesized using both green microwave irradiation and conventional wet chemical methods. Application of a variety of techniques, including XRD, DLS, FESEM, EDX, and FTIR confirmed the proper synthesis of CuO NPs. Nodal segments of A. absinthium were treated with CuO NPs at 2 and 4 ppm in MS medium and gene expression was analyzed using qRT-PCR. The results showed significant increases in key biosynthetic genes, including FDS, ADS, CYP71AV1, DBR2, and ALDH1. Specifically, a high level of expression of several transcripts associated with ADS, CYP71AV1, and DBR2 was observed in the cultures treated with 4 ppm of green synthesized CuO NPs (with 2.03-, 2.00-, and 1.83-fold increases, respectively) and 2 ppm of chemically synthesized CuO NPs (with 2.35-, 1.86-, and 2.34-fold increases, respectively), in comparison with the control. Additionally, there was only a slight increase in RED1, a gene that redirects metabolic flow away from artemisinin production. It can be concluded that CuO NPs, particularly those synthesized with green method, can be considered as potent nano-elicitors, enhancing the biosynthesis of artemisinin by modifying gene expression. This study demonstrates how nanotechnology can be used to increase pharmaceutical compound production of medicinal plants in a sustainable manner.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阿尼西坦恢复 ADHD 小鼠前额皮质神经递质的兴奋抑制平衡</w:t>
      </w:r>
    </w:p>
    <w:p>
      <w:r>
        <w:rPr>
          <w:rFonts w:ascii="Times New Roman" w:hAnsi="Times New Roman" w:eastAsia="宋体"/>
          <w:b/>
          <w:color w:val="003264"/>
          <w:sz w:val="24"/>
        </w:rPr>
        <w:t>Aniracetam restores the excitation-inhibition balance of neurotransmitters in the prefrontal cortex of mice with ADHD</w:t>
      </w:r>
    </w:p>
    <w:p>
      <w:r>
        <w:rPr>
          <w:rFonts w:ascii="Times New Roman" w:hAnsi="Times New Roman" w:eastAsia="宋体"/>
          <w:sz w:val="21"/>
        </w:rPr>
        <w:t>作者: Jie Cui, Xiao-Li Sun, Shuo Shi, Hui Bai, Wei Zhang, Wan-Jun Bai</w:t>
        <w:br/>
      </w:r>
      <w:r>
        <w:rPr>
          <w:rFonts w:ascii="Times New Roman" w:hAnsi="Times New Roman" w:eastAsia="宋体"/>
          <w:sz w:val="21"/>
        </w:rPr>
        <w:t xml:space="preserve">时间: 2026-02-05 | </w:t>
      </w:r>
      <w:r>
        <w:t xml:space="preserve">链接: </w:t>
      </w:r>
      <w:hyperlink r:id="rId20">
        <w:r>
          <w:rPr>
            <w:rFonts w:ascii="Times New Roman" w:hAnsi="Times New Roman" w:eastAsia="宋体"/>
            <w:color w:val="0000FF"/>
            <w:sz w:val="21"/>
            <w:u w:val="single"/>
          </w:rPr>
          <w:t>https://doi.org/10.1038/s41598-026-38725-y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注意力缺陷/多动障碍（ADHD）是儿童时期最常见的神经发育障碍，也是学龄儿童中常见的慢性疾病。然而，ADHD 的药理学机制和病理生理学仍未完全阐明。跨膜α-氨基-3-羟基-5-甲基-4-异恶唑丙酸（AMPA）受体调节蛋白γ-8（TARP γ-8，也称为钙电压门控通道辅助亚基γ8）作为AMPA受体的辅助亚基发挥作用。先前的研究表明，缺乏 TARP γ-8 蛋白的小鼠可能表现出多动、冲动和记忆缺陷，这些都是 ADHD 的标志。在青少年 TARP γ-8 敲除 (KO) 小鼠中观察到，促智化合物阿尼西坦可有效减轻 ADHD 样症状，包括多动、冲动、焦虑、认知缺陷和记忆障碍。本研究使用 TARP γ-8 KO 小鼠作为 ADHD 模型，探讨了阿尼拉西坦的治疗潜力及其潜在分子机制。通过脑微透析结合液相色谱-串联质谱 (UPLC-MS/MS) 分析，我们确定了 TARP γ-8 KO 小鼠 ADHD 模型中神经递质代谢的扰动。采用实时定量 PCR (RT-qPCR) 来检测关键受体和转运蛋白基因表达的变化。结果表明，茴拉西坦可以通过调节谷氨酸受体、γ-氨基丁酸受体和单胺神经递质转运蛋白的表达来调节兴奋-抑制神经递质系统，从而缓解 ADHD 相关的行为缺陷。 TARP γ-8 缺陷 ADHD 模型中的这些发现支持进一步研究阿尼拉西坦作为 ADHD 潜在治疗干预措施，为 ADHD 的药理学管理提供新的分子靶点和理论框架。</w:t>
      </w:r>
    </w:p>
    <w:p>
      <w:pPr>
        <w:spacing w:before="120"/>
      </w:pPr>
      <w:r>
        <w:rPr>
          <w:rFonts w:ascii="Times New Roman" w:hAnsi="Times New Roman" w:eastAsia="宋体"/>
          <w:b/>
          <w:sz w:val="21"/>
        </w:rPr>
        <w:t>English Abstract:</w:t>
      </w:r>
    </w:p>
    <w:p>
      <w:r>
        <w:rPr>
          <w:rFonts w:ascii="Times New Roman" w:hAnsi="Times New Roman" w:eastAsia="宋体"/>
          <w:sz w:val="21"/>
        </w:rPr>
        <w:t>Attention-deficit/hyperactivity disorder (ADHD) is the most prevalent neurodevelopmental disorder in childhood and a common chronic condition among school-aged children. However, the pharmacological mechanisms and pathophysiology of ADHD remain incompletely elucidated. Transmembrane α-amino-3-hydroxy-5-methyl-4-isoxazolepropionic acid (AMPA) receptor regulatory protein γ-8 (TARP γ-8, also known as calcium voltage-gated channel auxiliary subunit γ8) functions as an auxiliary subunit of AMPA receptors. Previous studies suggest that mice lacking the TARP γ-8 protein may display hyperactivity, impulsivity, and memory deficits, which are hallmarks of ADHD. The nootropic compound aniracetam effectively mitigates ADHD-like symptoms, including hyperactivity, impulsivity, anxiety, cognitive deficits, and memory impairment, observed in adolescent TARP γ-8 knockout (KO) mice. This investigation explored the therapeutic potential of aniracetam and its underlying molecular mechanisms using TARP γ-8 KO mice as an ADHD model. Through cerebral microdialysis coupled with liquid chromatography-tandem mass spectrometry (UPLC-MS/MS) analysis, we identified perturbations in neurotransmitter metabolism in the ADHD model of TARP γ-8 KO mice. Real-time quantitative PCR (RT-qPCR) was employed to detect alterations in the expression of key receptor and transporter genes. The results indicate that aniracetam can alleviate ADHD-related behavioral deficits by modulating the excitatory-inhibitory neurotransmitter systems through the modulation of glutamate receptor, γ-Aminobutyric Acid receptor, and monoamine neurotransmitter transporter expression. These findings in a TARP γ-8-deficient ADHD model support further investigation into aniracetam as a potential therapeutic intervention for ADHD, providing novel molecular targets and a theoretical framework for the pharmacological management of ADHD.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具有无级臂长参数化和自适应力触发阻抗混合的上肢远程操作外骨骼</w:t>
      </w:r>
    </w:p>
    <w:p>
      <w:r>
        <w:rPr>
          <w:rFonts w:ascii="Times New Roman" w:hAnsi="Times New Roman" w:eastAsia="宋体"/>
          <w:b/>
          <w:color w:val="003264"/>
          <w:sz w:val="24"/>
        </w:rPr>
        <w:t>An upper-limb teleoperation exoskeleton with stepless arm-length parameterization and adaptive force-triggered impedance blending</w:t>
      </w:r>
    </w:p>
    <w:p>
      <w:r>
        <w:rPr>
          <w:rFonts w:ascii="Times New Roman" w:hAnsi="Times New Roman" w:eastAsia="宋体"/>
          <w:sz w:val="21"/>
        </w:rPr>
        <w:t>作者: Puyi Zeng, Yuqin Xu, Shaobin Zheng, Shisheng Zhang, Chi Zhu, Ruisen Huang, Yang Zhang</w:t>
        <w:br/>
      </w:r>
      <w:r>
        <w:rPr>
          <w:rFonts w:ascii="Times New Roman" w:hAnsi="Times New Roman" w:eastAsia="宋体"/>
          <w:sz w:val="21"/>
        </w:rPr>
        <w:t xml:space="preserve">时间: 2026-02-05 | </w:t>
      </w:r>
      <w:r>
        <w:t xml:space="preserve">链接: </w:t>
      </w:r>
      <w:hyperlink r:id="rId21">
        <w:r>
          <w:rPr>
            <w:rFonts w:ascii="Times New Roman" w:hAnsi="Times New Roman" w:eastAsia="宋体"/>
            <w:color w:val="0000FF"/>
            <w:sz w:val="21"/>
            <w:u w:val="single"/>
          </w:rPr>
          <w:t>https://doi.org/10.1038/s41598-026-37205-7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远程控制技术是深海勘探、核设施维护等高风险场景下保障人员安全的核心手段。然而，现有的外骨骼遥控操作存在臂长调整离散化、动态控制适应性不足、执行精度有限等缺点。本研究提出了一种可重复的单侧上肢外骨骼远程操作系统，采用 7 自由度主动驱动架构（肩部 3 个自由度、肘部 1 个自由度、腕部 3 个自由度）来匹配人类上肢的运动学特征。该系统集成了四个关键设计：低惯量、高反力关节（采用碳纤维和铝合金减轻重量）、适应74.8-105.7 mm上臂周长的人体工学对准机构、肩胸壁运动的六自由度被动补偿模块和数字自适应臂长调节机构（通过滑动变阻器实现URDF模型的无级调节和动态更新）。控制策略采用“主端位置阻抗控制和从端基于力的阻抗反馈”的混合方案，基于拉格朗日方程建模，引入自适应加权系数平衡轨迹跟踪和力反馈柔顺，并利用Lyapunov函数和拉萨尔不变原理验证全局渐近稳定性。实验以Franka Panda机器人为平台，基于Linux实时内核和ROS架构，通过500 Hz以太网传输关节位置数据。主从遥操作实现了空间八字轨迹的镜像再现，重力补偿有效抵消了载荷。消融实验表明，C3 组的峰值接触力下降至 7.41 N（较基线下降 68.8%）；臂长测量残差平方和为$$&lt;0.002\,\,{\rm mm}^2$$，多次佩戴后的偏差为$$\le 2.5$$ mm。实验证实，该系统克服了传统系统适应性和鲁棒性方面的缺陷，实现了高精度的主从同步和负载补偿。满足高危场景的远程操作需求，还可以为偏瘫患者提供康复训练平台，展现出广阔的应用前景。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Remote control technology is a core means of ensuring personnel safety in high-risk scenarios such as deep-sea exploration and nuclear facility maintenance. However, existing exoskeleton teleoperations suffer from drawbacks such as discretized arm length adjustment, insufficient dynamic control adaptability, and limited execution accuracy. This study proposes a reproducible unilateral upper limb exoskeleton teleoperation system, employing a 7-DOF active drive architecture (3 DOF for the shoulder, 1 DOF for the elbow, and 3 DOF for the wrist) to match the kinematic characteristics of the human upper limb. The system integrates four key designs: low-inertia, high-reaction joints (weight reduction using carbon fiber and aluminum alloy), an ergonomic alignment mechanism adapted to upper arm circumferences of 74.8–105.7 mm, a 6-DOF passive compensation module for scapulothoracic wall motion, and a digital adaptive arm length adjustment mechanism (achieving stepless adjustment and dynamic updating of the URDF model through a sliding rheostat). The control strategy adopts a hybrid scheme of “master-end position impedance control and slave-end force-based impedance feedback,” modeled based on the Lagrange equation, introducing adaptive weighted coefficient balance trajectory tracking and force feedback compliance, and verifying global asymptotic stability using Lyapunov functions and the LaSalle invariance principle. The experiment used the Franka Panda robot as a platform, based on a Linux real-time kernel and ROS architecture, with joint position data transmitted via 500 Hz Ethernet. Master-slave teleoperation achieved a mirrored reproduction of a spatial figure-eight trajectory, and gravity compensation effectively offset the load. Ablation experiments showed that the peak contact force in group C3 decreased to 7.41 N (a 68.8% reduction from baseline); the sum of squared residuals in arm length measurement was $$&lt;0.002\,\,{\rm mm}^2$$, and the deviation after multiple wearing cycles was $$\le 2.5$$ mm. The experiment confirmed that the system overcomes the adaptability and robustness deficiencies of traditional systems, achieving high-precision master-slave synchronization and load compensation. It meets the teleoperation needs of high-risk scenarios and can also provide a rehabilitation training platform for hemiplegic patients, demonstrating broad application prospects.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使用具有抗氧化潜力和生物相容性的江蓠环保合成金纳米颗粒</w:t>
      </w:r>
    </w:p>
    <w:p>
      <w:r>
        <w:rPr>
          <w:rFonts w:ascii="Times New Roman" w:hAnsi="Times New Roman" w:eastAsia="宋体"/>
          <w:b/>
          <w:color w:val="003264"/>
          <w:sz w:val="24"/>
        </w:rPr>
        <w:t>Eco-friendly synthesis of gold nanoparticles using Gracilaria gracilis with antioxidant potential and biocompatibility</w:t>
      </w:r>
    </w:p>
    <w:p>
      <w:r>
        <w:rPr>
          <w:rFonts w:ascii="Times New Roman" w:hAnsi="Times New Roman" w:eastAsia="宋体"/>
          <w:sz w:val="21"/>
        </w:rPr>
        <w:t>作者: Kimia Ramezani Moghadam, Sedigheh Gharbi, Aliakbar Haddad-Mashadrizeh, Mohammad Ehsan Taghavizadeh Yazdi</w:t>
        <w:br/>
      </w:r>
      <w:r>
        <w:rPr>
          <w:rFonts w:ascii="Times New Roman" w:hAnsi="Times New Roman" w:eastAsia="宋体"/>
          <w:sz w:val="21"/>
        </w:rPr>
        <w:t xml:space="preserve">时间: 2026-02-05 | </w:t>
      </w:r>
      <w:r>
        <w:t xml:space="preserve">链接: </w:t>
      </w:r>
      <w:hyperlink r:id="rId22">
        <w:r>
          <w:rPr>
            <w:rFonts w:ascii="Times New Roman" w:hAnsi="Times New Roman" w:eastAsia="宋体"/>
            <w:color w:val="0000FF"/>
            <w:sz w:val="21"/>
            <w:u w:val="single"/>
          </w:rPr>
          <w:t>https://doi.org/10.1038/s41598-026-38677-3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由于其独特的生物和物理化学特性，金纳米颗粒已成为药物输送系统有前途的材料。这项研究首次提出了利用红藻（Gracilaria gracilis）合成金纳米颗粒并进行生物应用，提供了一种经济高效且环保的方法。使用各种分析技术对生物合成的纳米粒子（NP）进行表征，包括透射电子显微镜（TEM）、场发射扫描电子显微镜（FESEM）、能量色散X射线分析（EDX）、紫外-可见光谱、粉末X射线衍射（PXRD）、傅里叶变换红外光谱（FTIR）和Zeta电位分析。紫外-可见光谱证实金纳米粒子的绿色合成成功。 FESEM 和 TEM 图像显示这些纳米颗粒呈球形形貌，平均尺寸为 10.49 nm，且分散均匀。 EDX分析进一步证实了高金含量。根据 XRD 数据计算，纳米颗粒的晶体尺寸约为 39.5 nm。通过 FTIR 分析验证了纳米颗粒表面存在生物活性化合物，这也与 Zeta 电位值的降低相关。使用 DPPH 测定评估抗氧化活性，揭示了剂量依赖性自由基清除作用。细胞毒性分析表明，生物合成的金纳米粒子对人成纤维细胞没有表现出明显的毒性。此外，这些纳米粒子表现出优异的生物相容性，表明它们作为生物医学、制药和食品工业的有效替代品的潜在适用性。</w:t>
      </w:r>
    </w:p>
    <w:p>
      <w:pPr>
        <w:spacing w:before="120"/>
      </w:pPr>
      <w:r>
        <w:rPr>
          <w:rFonts w:ascii="Times New Roman" w:hAnsi="Times New Roman" w:eastAsia="宋体"/>
          <w:b/>
          <w:sz w:val="21"/>
        </w:rPr>
        <w:t>English Abstract:</w:t>
      </w:r>
    </w:p>
    <w:p>
      <w:r>
        <w:rPr>
          <w:rFonts w:ascii="Times New Roman" w:hAnsi="Times New Roman" w:eastAsia="宋体"/>
          <w:sz w:val="21"/>
        </w:rPr>
        <w:t>Gold nanoparticles have emerged as promising materials for drug delivery systems due to their unique biological and physicochemical properties. This study presents the synthesis and biological application of gold nanoparticles using red algae (Gracilaria gracilis) for the first time, offering a cost-effective and eco-friendly method. The biosynthesized nanoparticles (NPs) were characterized using various analytical techniques, including Transmission electron microscopy (TEM), Field emission scanning electron microscopy (FESEM), Energy dispersive X-ray analysis (EDX), UV-Vis-spectroscopy, Powder X-ray diffraction (PXRD), Fourier-transform infrared spectroscopy (FTIR), and Zeta-potential analysis. The UV-Vis spectrum confirmed the successful green synthesis of gold NPs. FESEM and TEM images revealed the spherical morphology of these NPs with an average size of 10.49 nm, and they were uniformly dispersed. The high gold content was further confirmed by EDX analysis. The crystalline size of the nanoparticles, as calculated from XRD data, was about 39.5 nm. The presence of bioactive compounds on the nanoparticles’ surface was verified by FTIR analysis, which also correlated with a decrease in Zeta-potential values. The antioxidant activity was evaluated using the DPPH assay, which revealed dose-dependent radical scavenging effects. Cytotoxicity analysis demonstrated that the biosynthesized gold nanoparticles exhibited no significant toxicity toward human fibroblast cells. Furthermore, these nanoparticles showed excellent biocompatibility, indicating their potential applicability as effective alternatives in biomedical, pharmaceutical, and food industries.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通过田口和机器学习技术研究紫外线处理的纳米金刚石增强聚氨酯纳米复合材料的摩擦学性能</w:t>
      </w:r>
    </w:p>
    <w:p>
      <w:r>
        <w:rPr>
          <w:rFonts w:ascii="Times New Roman" w:hAnsi="Times New Roman" w:eastAsia="宋体"/>
          <w:b/>
          <w:color w:val="003264"/>
          <w:sz w:val="24"/>
        </w:rPr>
        <w:t>Tribological performance of UV treated nanodiamond reinforced polyurethane nanocomposites through Taguchi and machine learning technique</w:t>
      </w:r>
    </w:p>
    <w:p>
      <w:r>
        <w:rPr>
          <w:rFonts w:ascii="Times New Roman" w:hAnsi="Times New Roman" w:eastAsia="宋体"/>
          <w:sz w:val="21"/>
        </w:rPr>
        <w:t>作者: Markapudi Bhanu Prasad, Borhen Louhichi, P. S. Rama Sreekanth, A. Praveen Kumar, Joy Djuansjah, Santosh Kumar Sahu, It Ee Lee, Qamar Wali</w:t>
        <w:br/>
      </w:r>
      <w:r>
        <w:rPr>
          <w:rFonts w:ascii="Times New Roman" w:hAnsi="Times New Roman" w:eastAsia="宋体"/>
          <w:sz w:val="21"/>
        </w:rPr>
        <w:t xml:space="preserve">时间: 2026-02-05 | </w:t>
      </w:r>
      <w:r>
        <w:t xml:space="preserve">链接: </w:t>
      </w:r>
      <w:hyperlink r:id="rId23">
        <w:r>
          <w:rPr>
            <w:rFonts w:ascii="Times New Roman" w:hAnsi="Times New Roman" w:eastAsia="宋体"/>
            <w:color w:val="0000FF"/>
            <w:sz w:val="21"/>
            <w:u w:val="single"/>
          </w:rPr>
          <w:t>https://doi.org/10.1038/s41598-026-38403-z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当前工作的目的是研究纳米金刚石（ND）增强聚氨酯（PU）复合材料的摩擦学性能，并检查紫外线照射对这些性能的影响。使用田口设计和方差分析对实验进行了优化，同时应用机器学习 (ML) 技术来预测摩擦学性能。该研究使用田口实验设计 (DOE) 和 L27 正交阵列来评估滑动距离 (500–1500 m)、滑动速度 (100–300 rpm)、负载 (10–30 N)、成分（纯 PU、0.2 wt% ND、0.5 wt% ND）和紫外线照射时间（0、200、400 h）对磨损率和系数的影响摩擦力（COF）。结果表明，掺入 0.5 wt% ND 显着增强了 PU 性能，在 30 N 负载、0 h 紫外线照射和 300 rpm 的最佳条件下，将磨损率降低至 0.018 × 10^3 g/m，COF 达到 0.253。方差分析显示，成分和紫外线照射时间是影响最大的因素，分别对磨损率贡献 52.52% 和 35.46%，对 COF 贡献 22.18% 和 50.57%。机器学习模型，包括支持向量回归 (SVR)、线性回归和 XGBoost，用于性能预测，其中 XGBoost 提供最高的准确度（磨损率 R²/MSE = 0.99/0.000003，COF 0.98/0.00023）。研究结果凸显了开发增强型聚氨酯纳米复合材料的潜力，该复合材料具有更高的耐磨性，可在不同的摩擦学和环境条件下应用于汽车和航空航天等行业。</w:t>
      </w:r>
    </w:p>
    <w:p>
      <w:pPr>
        <w:spacing w:before="120"/>
      </w:pPr>
      <w:r>
        <w:rPr>
          <w:rFonts w:ascii="Times New Roman" w:hAnsi="Times New Roman" w:eastAsia="宋体"/>
          <w:b/>
          <w:sz w:val="21"/>
        </w:rPr>
        <w:t>English Abstract:</w:t>
      </w:r>
    </w:p>
    <w:p>
      <w:r>
        <w:rPr>
          <w:rFonts w:ascii="Times New Roman" w:hAnsi="Times New Roman" w:eastAsia="宋体"/>
          <w:sz w:val="21"/>
        </w:rPr>
        <w:t>The objective of the current work is to investigate the tribological properties of nanodiamond (ND) reinforced polyurethane (PU) composite and examine the impact of UV irradiation on these properties. The experiments were optimized using the Taguchi design and ANOVA, while machine learning (ML) techniques were applied to predict the tribological performance. The study uses the Taguchi design of experiments (DOE) with an L27 orthogonal array to assess the effects of sliding distance (500–1500 m), sliding speed (100–300 rpm), load (10–30 N), composition (pure PU, 0.2 wt% ND, 0.5 wt% ND), and UV irradiation time (0, 200, 400 h) on wear rate and coefficient of friction (COF). The results show that incorporating 0.5 wt% ND significantly enhances PU performance, reducing the wear rate to 0.018 × 10⁻³ g/m and achieving a COF of 0.253 under optimal conditions of 30 N load, 0 h of UV irradiation, and 300 rpm. ANOVA reveals that composition and UV irradiation time are the most influential factors, contributing 52.52% and 35.46% to wear rate, and 22.18% and 50.57% to COF, respectively. Machine learning models, including Support Vector Regression (SVR), linear regression, and XGBoost, were used for performance prediction, with XGBoost providing the highest accuracy (R²/MSE = 0.99/0.000003 for wear rate, 0.98/0.00023 for COF). The findings highlight the potential for developing enhanced polyurethane nanocomposites with improved wear resistance for applications in industries such as automotive and aerospace, under varying tribological and environmental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C-VBQ 评分和 CT-HU 作为短水平 ACDF 后笼子沉降风险预测的新方法</w:t>
      </w:r>
    </w:p>
    <w:p>
      <w:r>
        <w:rPr>
          <w:rFonts w:ascii="Times New Roman" w:hAnsi="Times New Roman" w:eastAsia="宋体"/>
          <w:b/>
          <w:color w:val="003264"/>
          <w:sz w:val="24"/>
        </w:rPr>
        <w:t>A novel method of C-VBQ score and CT-HU as risk predictors for cage subsidence after short level ACDF</w:t>
      </w:r>
    </w:p>
    <w:p>
      <w:r>
        <w:rPr>
          <w:rFonts w:ascii="Times New Roman" w:hAnsi="Times New Roman" w:eastAsia="宋体"/>
          <w:sz w:val="21"/>
        </w:rPr>
        <w:t>作者: Qiang Zhang, Zequn Zhang, Rongzhi Ma, Yuan Xue</w:t>
        <w:br/>
      </w:r>
      <w:r>
        <w:rPr>
          <w:rFonts w:ascii="Times New Roman" w:hAnsi="Times New Roman" w:eastAsia="宋体"/>
          <w:sz w:val="21"/>
        </w:rPr>
        <w:t xml:space="preserve">时间: 2026-02-05 | </w:t>
      </w:r>
      <w:r>
        <w:t xml:space="preserve">链接: </w:t>
      </w:r>
      <w:hyperlink r:id="rId24">
        <w:r>
          <w:rPr>
            <w:rFonts w:ascii="Times New Roman" w:hAnsi="Times New Roman" w:eastAsia="宋体"/>
            <w:color w:val="0000FF"/>
            <w:sz w:val="21"/>
            <w:u w:val="single"/>
          </w:rPr>
          <w:t>https://doi.org/10.1038/s41598-026-39159-2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我们使用一种新技术来测量短节段颈椎前路椎间盘切除融合术 (ACDF) 后的下沉情况，并采用钢板和螺钉固定。我们的目的是通过颈椎骨质量（C-VBQ）评分和CT-HU来评估融合器下沉。椎骨质量的定​​量评估通过两种互补的方法进行：C-VBQ 评分和 CT Hounsfield 单位测量，并使用 Pearson 分析建立它们的相关性。该研究方法结合了多种统计技术，从线性回归开始检查人口统计对 C-VBQ 值的影响。对于沉降风险评估，所有成像数据集均经过严格编译并进行多元回归分析，以确定重要的影响因素。随后通过 ROC 曲线分析验证了这些因素的预测有效性，为其临床效用提供了可靠的评估。本研究纳入112例接受短水平（≤2）ACDF的患者，发现29例（25.89%）患者出现笼下沉。与非沉降组 (2.70 ± 0.36, P &lt; 0.001) 相比，沉降组表现出显着更高的 C-VBQ 值 (3.10 ± 0.22)。多变量分析确定 C-VBQ 评分是 ACDF 后笼子沉降的唯一独立预测因子，预测准确度为 83.9%。 CT-HU值与C-VBQ评分呈显着负相关（P&lt;0.001）。单变量回归分析确定年龄是唯一与 C-VBQ 值显着相关的参数 (P &lt; 0.001)。 C-VBQ 和 CT-HU 之间的负相关表明其作为骨质量测量的有效性。重要的是，C-VBQ 被证明对于识别 1-2 级 ACDF 程序中的下陷风险具有临床价值。</w:t>
      </w:r>
    </w:p>
    <w:p>
      <w:pPr>
        <w:spacing w:before="120"/>
      </w:pPr>
      <w:r>
        <w:rPr>
          <w:rFonts w:ascii="Times New Roman" w:hAnsi="Times New Roman" w:eastAsia="宋体"/>
          <w:b/>
          <w:sz w:val="21"/>
        </w:rPr>
        <w:t>English Abstract:</w:t>
      </w:r>
    </w:p>
    <w:p>
      <w:r>
        <w:rPr>
          <w:rFonts w:ascii="Times New Roman" w:hAnsi="Times New Roman" w:eastAsia="宋体"/>
          <w:sz w:val="21"/>
        </w:rPr>
        <w:t>We used a novel technique to measure subsidence after short-level anterior cervical discectomy and fusion (ACDF) with plate and screw fixation. And we aimed to evaluate cage subsidence by using cervical vertebral bone quality (C-VBQ) score and CT-HU. Quantitative assessment of vertebral bone quality was performed through two complementary methods: C-VBQ scoring and CT Hounsfield unit measurements, with their correlation established using Pearson’s analysis. The research methodology incorporated multiple statistical techniques, beginning with linear regression to examine demographic influences on C-VBQ values. For subsidence risk evaluation, all imaging datasets were rigorously compiled and subjected to multivariate regression analysis to identify significant contributing factors. The predictive validity of these factors was subsequently verified through ROC curve analysis, providing a robust assessment of their clinical utility. 112 patients who underwent short-level (≤ 2) ACDF were enrolled in this study, and 29 patients (25.89%) with cage subsidence were found. The subsidence group demonstrated significantly higher C-VBQ values (3.10 ± 0.22) compared to the non-subsidence cohort (2.70 ± 0.36, P &lt; 0.001). Multivariate analysis identified the C-VBQ score as the sole independent predictor of cage subsidence following ACDF, achieving an 83.9% predictive accuracy. CT-HU value exhibited a significant inverse relationship with C-VBQ scores (P &lt; 0.001). Univariate regression analysis identified age as the only parameter significantly correlated with C-VBQ values (P &lt; 0.001). The inverse relationship between C-VBQ and CT-HU suggests its validity as a bone quality measure. Importantly, C-VBQ proved clinically valuable for identifying subsidence risk in 1–2 level ACDF procedures.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埃及大型污水处理厂中活性污泥和废物稳定池去除污染物和病原体的性能比较</w:t>
      </w:r>
    </w:p>
    <w:p>
      <w:r>
        <w:rPr>
          <w:rFonts w:ascii="Times New Roman" w:hAnsi="Times New Roman" w:eastAsia="宋体"/>
          <w:b/>
          <w:color w:val="003264"/>
          <w:sz w:val="24"/>
        </w:rPr>
        <w:t>Comparative performance of activated sludge and waste stabilization ponds for the removal of pollutants and pathogens in full-scale wastewater treatment plants in Egypt</w:t>
      </w:r>
    </w:p>
    <w:p>
      <w:r>
        <w:rPr>
          <w:rFonts w:ascii="Times New Roman" w:hAnsi="Times New Roman" w:eastAsia="宋体"/>
          <w:sz w:val="21"/>
        </w:rPr>
        <w:t>作者: Marwa A. Kamel, Neveen Magdy Rizk, Mahmoud Gad, Gamal K. Hassan, Aly Al-Sayed, Mariam E. Fawzy, Mohamed Azab El-Liethy, Ibrahim Ahmed Hamza</w:t>
        <w:br/>
      </w:r>
      <w:r>
        <w:rPr>
          <w:rFonts w:ascii="Times New Roman" w:hAnsi="Times New Roman" w:eastAsia="宋体"/>
          <w:sz w:val="21"/>
        </w:rPr>
        <w:t xml:space="preserve">时间: 2026-02-05 | </w:t>
      </w:r>
      <w:r>
        <w:t xml:space="preserve">链接: </w:t>
      </w:r>
      <w:hyperlink r:id="rId25">
        <w:r>
          <w:rPr>
            <w:rFonts w:ascii="Times New Roman" w:hAnsi="Times New Roman" w:eastAsia="宋体"/>
            <w:color w:val="0000FF"/>
            <w:sz w:val="21"/>
            <w:u w:val="single"/>
          </w:rPr>
          <w:t>https://doi.org/10.1038/s41598-026-35933-4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The discharge of inadequately treated wastewater poses serious public health and environmental risks worldwide.在这项研究中，评估了两个废水处理厂 (WWTP) 去除病原病毒和细菌、有机化合物和氮化合物、噬菌体和细菌指示剂的能力。 WWTP-A employs activated sludge treatment technology, whereas WWTP-B utilizes waste stabilization ponds (WSP). The removal rates of chemical oxygen demand (COD) and biological oxygen demand (BOD) were higher in WWTP-A than in WWTP-B, indicating the limited efficiency of the WSP system in treating heavily contaminated sewage. In WWTP-A, bacterial removal rates ranged between 3.9log10 for Listeria spp. and 6.2 log10 for Escherichia coli (E. coli), while in WWTP-B, removal ranged from 3.2 log10 for Pseudomonas aeruginosa to 5.3 log10 Fecal Streptococci. WWTP-A 的病毒去除率范围为 crAssphage 的 0.9 log10 到人腺病毒 (HAdV) 的 3 log10，而在 WWTP-B 中，病毒去除率范围为体细胞大肠杆菌噬菌体 (SOMCPH) 的 0.8 log10 和 crAssphage 的 3 log10。 CrAssphage exhibited significant influent–effluent reduction in both WWTP-A and WWTP-B (Wilcoxon test, p &lt; 0.05). In contrast, significant HAdV reduction was observed only in WWTP-A, SOMCPH only in WWTP-B, while RoV showed no significant reduction in either system. These findings highlight limitations in the ability of conventional treatment processes to consistently remove viral contaminants from treated effluent and underscore the need for improved management strategies to enhance effluent quality.</w:t>
      </w:r>
    </w:p>
    <w:p>
      <w:pPr>
        <w:spacing w:before="120"/>
      </w:pPr>
      <w:r>
        <w:rPr>
          <w:rFonts w:ascii="Times New Roman" w:hAnsi="Times New Roman" w:eastAsia="宋体"/>
          <w:b/>
          <w:sz w:val="21"/>
        </w:rPr>
        <w:t>English Abstract:</w:t>
      </w:r>
    </w:p>
    <w:p>
      <w:r>
        <w:rPr>
          <w:rFonts w:ascii="Times New Roman" w:hAnsi="Times New Roman" w:eastAsia="宋体"/>
          <w:sz w:val="21"/>
        </w:rPr>
        <w:t>The discharge of inadequately treated wastewater poses serious public health and environmental risks worldwide. In this study, the performance of two wastewater treatment plants (WWTPs) was evaluated for their ability to remove pathogenic viruses and bacteria, organic and nitrogen compounds, bacteriophages, and bacterial indicators. WWTP-A employs activated sludge treatment technology, whereas WWTP-B utilizes waste stabilization ponds (WSP). The removal rates of chemical oxygen demand (COD) and biological oxygen demand (BOD) were higher in WWTP-A than in WWTP-B, indicating the limited efficiency of the WSP system in treating heavily contaminated sewage. In WWTP-A, bacterial removal rates ranged between 3.9log10 for Listeria spp. and 6.2 log10 for Escherichia coli (E. coli), while in WWTP-B, removal ranged from 3.2 log10 for Pseudomonas aeruginosa to 5.3 log10 Fecal Streptococci. The viral reduction rate by WWTP-A ranged from 0.9 log10 for crAssphage to 3 log10 for human adenovirus (HAdV), whereas in WWTP-B, viral removal ranged between 0.8 log10 for somatic coliphages (SOMCPH) and 3 log10 for crAssphage. CrAssphage exhibited significant influent–effluent reduction in both WWTP-A and WWTP-B (Wilcoxon test, p &lt; 0.05). In contrast, significant HAdV reduction was observed only in WWTP-A, SOMCPH only in WWTP-B, while RoV showed no significant reduction in either system. These findings highlight limitations in the ability of conventional treatment processes to consistently remove viral contaminants from treated effluent and underscore the need for improved management strategies to enhance effluent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MnOx/石墨纳米结构电极的易溶胶-凝胶制造，用于可持续采出水处理</w:t>
      </w:r>
    </w:p>
    <w:p>
      <w:r>
        <w:rPr>
          <w:rFonts w:ascii="Times New Roman" w:hAnsi="Times New Roman" w:eastAsia="宋体"/>
          <w:b/>
          <w:color w:val="003264"/>
          <w:sz w:val="24"/>
        </w:rPr>
        <w:t>Facile sol–gel fabrication of MnOx/Graphite nanostructured electrodes for sustainable produced water treatment</w:t>
      </w:r>
    </w:p>
    <w:p>
      <w:r>
        <w:rPr>
          <w:rFonts w:ascii="Times New Roman" w:hAnsi="Times New Roman" w:eastAsia="宋体"/>
          <w:sz w:val="21"/>
        </w:rPr>
        <w:t>作者: Mohadese Ghasemi, Neda Afsham, Narges Fallah</w:t>
        <w:br/>
      </w:r>
      <w:r>
        <w:rPr>
          <w:rFonts w:ascii="Times New Roman" w:hAnsi="Times New Roman" w:eastAsia="宋体"/>
          <w:sz w:val="21"/>
        </w:rPr>
        <w:t xml:space="preserve">时间: 2026-02-05 | </w:t>
      </w:r>
      <w:r>
        <w:t xml:space="preserve">链接: </w:t>
      </w:r>
      <w:hyperlink r:id="rId26">
        <w:r>
          <w:rPr>
            <w:rFonts w:ascii="Times New Roman" w:hAnsi="Times New Roman" w:eastAsia="宋体"/>
            <w:color w:val="0000FF"/>
            <w:sz w:val="21"/>
            <w:u w:val="single"/>
          </w:rPr>
          <w:t>https://doi.org/10.1038/s41598-026-38450-6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使用溶胶-凝胶浸涂方法成功地将氧化锰薄膜沉积在石墨片上。随后，这些薄膜被用作阳极电极，用于在处理的抛光阶段对采出水（PW）进行电化学氧化。通过在石墨片上进行浸涂工艺，然后进行热处理和煅烧，优化影响氧化锰胶体合成的关键参数（包括前体浓度、提拉速度和煅烧温度）来制造电极。通过循环伏安法（CV）评估电极的电化学性能及其在PW电化学氧化过程中的化学需氧量（COD）去除效率。处理过程中不同制备条件下制备的电极电化学效率的比较表明，最佳条件为醋酸锰初始浓度为0.3 M，涂层层数为5，拉出速度为5.5 mm/min，在300 ℃下煅烧60 min，形成Mn2O3晶体结构。结果显示，比容量为 92.161 mF/cm2，120 分钟后在 30 mA/cm2 下 COD 去除率为 86.96%，预计使用寿命为 500 小时。使用 X 射线衍射 (XRD) 和扫描电子显微镜 (SEM) 对优化电极的结构和形态表征证实了 Mn2O3 纳米颗粒在石墨基底上的均匀沉积。研究结果表明，所提出的 MnOx 电极表现出高效率和稳定性，使其成为采出水电化学氧化以及电化学超级电容器应用的有希望的候选者。</w:t>
      </w:r>
    </w:p>
    <w:p>
      <w:pPr>
        <w:spacing w:before="120"/>
      </w:pPr>
      <w:r>
        <w:rPr>
          <w:rFonts w:ascii="Times New Roman" w:hAnsi="Times New Roman" w:eastAsia="宋体"/>
          <w:b/>
          <w:sz w:val="21"/>
        </w:rPr>
        <w:t>English Abstract:</w:t>
      </w:r>
    </w:p>
    <w:p>
      <w:r>
        <w:rPr>
          <w:rFonts w:ascii="Times New Roman" w:hAnsi="Times New Roman" w:eastAsia="宋体"/>
          <w:sz w:val="21"/>
        </w:rPr>
        <w:t>In this study, manganese oxide films were successfully deposited on Graphite sheets using a sol-gel dip-coating method. The films were subsequently employed as anode electrodes for the electrochemical oxidation of produced water (PW) in the polishing stage of the treatment. Electrodes were fabricated by optimizing key parameters affecting the synthesis of manganese oxide colloids, including precursor concentration, withdrawal speed, and calcination temperature, through a dip-coating process on Graphite sheets followed by thermal treatment and calcination. The electrochemical performance of the electrodes was evaluated through cyclic voltammetry (CV) and their chemical oxygen demand (COD) removal efficiency during the electrochemical oxidation of PW. A comparison of the electrochemical efficiencies of fabricated electrodes under different fabrication conditions in the treatment process showed that the optimal conditions included an initial manganese acetate concentration of 0.3 M, five coating layers, a withdrawal speed of 5.5 mm/min, and calcination at 300 °C for 60 min, which led to the formation of a crystal structure of Mn2O3. The results showed the specific capacity of 92.161 mF/cm2, 86.96% COD removal at 30 mA/cm2 after 120 min and an estimated lifetime of 500 h. The structural and morphological characterization of the optimized electrode using X-ray diffraction (XRD) and scanning electron microscopy (SEM) confirmed the uniform deposition of Mn2O3 nanoparticles on the Graphite substrate. The findings indicate that the proposed MnOx electrode exhibits both high efficiency and stability, making it a promising candidate for the electrochemical oxidation of produced water as well as for applications in electrochemical supercapacitors.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薄壁铝波导高精度感应钎焊双环比例控制</w:t>
      </w:r>
    </w:p>
    <w:p>
      <w:r>
        <w:rPr>
          <w:rFonts w:ascii="Times New Roman" w:hAnsi="Times New Roman" w:eastAsia="宋体"/>
          <w:b/>
          <w:color w:val="003264"/>
          <w:sz w:val="24"/>
        </w:rPr>
        <w:t>Dual-loop proportional control for high-precision induction brazing of thin-walled aluminum waveguides</w:t>
      </w:r>
    </w:p>
    <w:p>
      <w:r>
        <w:rPr>
          <w:rFonts w:ascii="Times New Roman" w:hAnsi="Times New Roman" w:eastAsia="宋体"/>
          <w:sz w:val="21"/>
        </w:rPr>
        <w:t>作者: Vadim Tynchenko, Dmitry Martysyuk, Sergei Kurashkin, Vladimir Nelyub, Aleksei Borodulin, Andrei Gantimurov, Ivan Malashin</w:t>
        <w:br/>
      </w:r>
      <w:r>
        <w:rPr>
          <w:rFonts w:ascii="Times New Roman" w:hAnsi="Times New Roman" w:eastAsia="宋体"/>
          <w:sz w:val="21"/>
        </w:rPr>
        <w:t xml:space="preserve">时间: 2026-02-05 | </w:t>
      </w:r>
      <w:r>
        <w:t xml:space="preserve">链接: </w:t>
      </w:r>
      <w:hyperlink r:id="rId27">
        <w:r>
          <w:rPr>
            <w:rFonts w:ascii="Times New Roman" w:hAnsi="Times New Roman" w:eastAsia="宋体"/>
            <w:color w:val="0000FF"/>
            <w:sz w:val="21"/>
            <w:u w:val="single"/>
          </w:rPr>
          <w:t>https://doi.org/10.1038/s41598-026-37593-w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一种用于薄壁铝波导组件的自动感应钎焊系统，将双环控制与实时位置反馈集成在一起。评估了两种比例控制策略：基线单回路加热速率控制器和增强型双回路配置，其中结合了基于热不对称的有源电感器重新对准。单回路系统在 20 Hz 下运行，平均绝对温度误差为 3.4 °C，成功率为 92%，但对工件 - 电感器间隙变化很敏感，导致在中等失准情况下元件间温度偏差超过 15 °C。为了解决这个问题，引入了辅助反馈回路来动态校正法兰与管的温差，从而提高整个钎焊区域的热均匀性。对四个几何类别的 120 个组件进行的全面验证表明，双环系统将平均温度误差降低至 2.1 °C，将峰值温差限制至 8 °C，并将良率提高至 97%。该控制架构具有功率环路和位置环路的独特带宽分离，最大限度地减少交叉耦合。模块化 C++ 软件环境将多源数据流（包括高温测量、机械臂运动学、功率指标和视频分析）与实时 KPI 跟踪和长期记录同步到基于 SQL 的历史记录。这些结果凸显了反馈驱动控制架构在精密热连接中的潜力，并提出了使用自适应或分数阶控制算法进行未来增强的途径。</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an automated induction brazing system for thin-walled aluminum waveguide assemblies, integrating dual-loop control with real-time positional feedback. Two proportional control strategies were evaluated: a baseline single-loop heating-rate controller and an enhanced dual-loop configuration incorporating active inductor realignment based on thermal asymmetry. The single-loop system, operating at 20 Hz, achieved an average absolute temperature error of 3.4 °C with a 92% success rate, but exhibited sensitivity to workpiece–inductor gap variations, leading to inter-element temperature deviations exceeding 15 °C under moderate misalignments. To address this, a secondary feedback loop was introduced to dynamically correct flange-to-tube temperature differentials, improving thermal uniformity across the brazing zone. Full-scale validation on 120 assemblies across four geometric classes demonstrated that the dual-loop system reduced average temperature error to 2.1 °C, limited peak temperature spread to 8 °C, and increased yield to 97%. The control architecture features distinct bandwidth separation for power and positional loops, minimizing cross-coupling. A modular C++ software environment synchronizes multi-source data streams—including pyrometry, manipulator kinematics, power metrics, and video analytics—with real-time KPI tracking and long-term logging to an SQL-based historian. These results highlight the potential of feedback-driven control architectures in precision thermal joining, and suggest pathways for future enhancements using adaptive or fractional-order control algorithms.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基于卫星的机器学习方法，用于估计巴西大城市的高分辨率日平均气温</w:t>
      </w:r>
    </w:p>
    <w:p>
      <w:r>
        <w:rPr>
          <w:rFonts w:ascii="Times New Roman" w:hAnsi="Times New Roman" w:eastAsia="宋体"/>
          <w:b/>
          <w:color w:val="003264"/>
          <w:sz w:val="24"/>
        </w:rPr>
        <w:t>A satellite based machine learning approach for estimating high resolution daily average air temperature in a megacity in Brazil</w:t>
      </w:r>
    </w:p>
    <w:p>
      <w:r>
        <w:rPr>
          <w:rFonts w:ascii="Times New Roman" w:hAnsi="Times New Roman" w:eastAsia="宋体"/>
          <w:sz w:val="21"/>
        </w:rPr>
        <w:t>作者: Aina Roca-Barceló, Rochelle Schneider, Monica Pirani, Alessandro Sebastianelli, Frédéric B. Piel, Paolo Vineis, Adelaide Cassia Nardocci, Daniela Fecht</w:t>
        <w:br/>
      </w:r>
      <w:r>
        <w:rPr>
          <w:rFonts w:ascii="Times New Roman" w:hAnsi="Times New Roman" w:eastAsia="宋体"/>
          <w:sz w:val="21"/>
        </w:rPr>
        <w:t xml:space="preserve">时间: 2026-02-05 | </w:t>
      </w:r>
      <w:r>
        <w:t xml:space="preserve">链接: </w:t>
      </w:r>
      <w:hyperlink r:id="rId28">
        <w:r>
          <w:rPr>
            <w:rFonts w:ascii="Times New Roman" w:hAnsi="Times New Roman" w:eastAsia="宋体"/>
            <w:color w:val="0000FF"/>
            <w:sz w:val="21"/>
            <w:u w:val="single"/>
          </w:rPr>
          <w:t>https://doi.org/10.1038/s41598-026-35689-x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空解析的环境温度数据对于环境流行病学至关重要，特别是在城市地区，那里的温度在短距离内可能急剧变化，影响人口暴露。此外，热量分布通常反映建筑环境模式，并可能与现有的社会和环境差异相关。然而，经常缺乏高空间分辨率的连续时间记录，特别是在低收入和中等收入国家。我们开发了一种基于树的通用机器学习方法，以巴西特大城市圣保罗为案例研究，以 500 × 500 m 分辨率估算日平均温度，以证明其在城市结构异构和温度监测站分布不均的高度城市化环境中的实用性。我们使用开放获取的遥感数据以及衍生产品和 43 个地面站的温度测量数据来训练随机森林模型。为了防止过度拟合并选择相关特征，我们采用了具有面向目标（空间）交叉验证的前向特征选择算法。使用网格搜索方法进行超参数调整。该模型通过十倍基于站点的交叉验证和外部保留数据集进行了验证。该模型表现出强大的性能（RMSERF = 0.80；R2RF = 0.95），但农村地区的准确性略有下降（R2rural = 0.91；R2urban = 0.95）。与传统的多线性方法（RMSEMLR = 1.02；R2MLR = 0.92）相比，随机森林模型表现优异，可能是因为它能够更好地捕捉微气候和数据源之间的复杂关系。这个 500 × 500 m 的每日温度数据集是南美洲首个此类数据集，可免费访问圣保罗管道和数据。该方法可通过适当的再培训和验证适用于其他地区，从而实现高分辨率暴露评估。</w:t>
      </w:r>
    </w:p>
    <w:p>
      <w:pPr>
        <w:spacing w:before="120"/>
      </w:pPr>
      <w:r>
        <w:rPr>
          <w:rFonts w:ascii="Times New Roman" w:hAnsi="Times New Roman" w:eastAsia="宋体"/>
          <w:b/>
          <w:sz w:val="21"/>
        </w:rPr>
        <w:t>English Abstract:</w:t>
      </w:r>
    </w:p>
    <w:p>
      <w:r>
        <w:rPr>
          <w:rFonts w:ascii="Times New Roman" w:hAnsi="Times New Roman" w:eastAsia="宋体"/>
          <w:sz w:val="21"/>
        </w:rPr>
        <w:t>Spatiotemporally resolved ambient temperature data are essential for environmental epidemiology, especially in urban areas where temperature can vary sharply over short distances, influencing population exposure. Additionally, heat distribution often reflects built environment patterns and may correlate with existing social and environmental disparities. Continuous temporal records at high spatial resolution are, however, often lacking, especially in low- and middle-income countries. We developed a generalizable tree-based machine learning approach to estimate daily mean temperatures at 500 × 500 m resolution using São Paulo, a megacity in Brazil, as a case study, to demonstrate its utility in highly urbanized settings with a heterogeneous urban fabric and unevenly distributed temperature monitoring stations. We trained a Random Forest model using open-access remote sensing data, along with derived products, and temperature measurements from 43 ground stations. To prevent overfitting and select relevant features, we employed a forward feature selection algorithm with target-oriented (spatial) cross-validation. Hyperparameter tuning was performed using grid search approach. The model was validated through ten-fold station-based cross-validation and an external hold-out dataset. The model demonstrated strong performance (RMSERF = 0.80; R2RF = 0.95), with slightly reduced accuracy in rural areas (R2rural = 0.91; R2urban = 0.95). Compared to traditional multilinear approaches (RMSEMLR = 1.02; R2MLR = 0.92), the Random Forest model outperformed, likely due to its ability to better capture microclimates and complex relationships between data sources. This 500 × 500 m daily temperature dataset is the first of its kind in South America, with the São Paulo pipeline and data freely accessible. The approach is adaptable to other regions with appropriate retraining and validation, enabling high-resolution exposure assessments.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通过沉浸式 VR 检查演讲者对观众引发的社会评价威胁的主观和生物行为反应</w:t>
      </w:r>
    </w:p>
    <w:p>
      <w:r>
        <w:rPr>
          <w:rFonts w:ascii="Times New Roman" w:hAnsi="Times New Roman" w:eastAsia="宋体"/>
          <w:b/>
          <w:color w:val="003264"/>
          <w:sz w:val="24"/>
        </w:rPr>
        <w:t>Examining speakers’ subjective and bio-behavioral responses to audience-induced social-evaluative threat via immersive VR</w:t>
      </w:r>
    </w:p>
    <w:p>
      <w:r>
        <w:rPr>
          <w:rFonts w:ascii="Times New Roman" w:hAnsi="Times New Roman" w:eastAsia="宋体"/>
          <w:sz w:val="21"/>
        </w:rPr>
        <w:t>作者: Sue Lim, Ralf Schmälzle, Gary Bente</w:t>
        <w:br/>
      </w:r>
      <w:r>
        <w:rPr>
          <w:rFonts w:ascii="Times New Roman" w:hAnsi="Times New Roman" w:eastAsia="宋体"/>
          <w:sz w:val="21"/>
        </w:rPr>
        <w:t xml:space="preserve">时间: 2026-02-06 | </w:t>
      </w:r>
      <w:r>
        <w:t xml:space="preserve">链接: </w:t>
      </w:r>
      <w:hyperlink r:id="rId29">
        <w:r>
          <w:rPr>
            <w:rFonts w:ascii="Times New Roman" w:hAnsi="Times New Roman" w:eastAsia="宋体"/>
            <w:color w:val="0000FF"/>
            <w:sz w:val="21"/>
            <w:u w:val="single"/>
          </w:rPr>
          <w:t>https://doi.org/10.1038/s41598-026-38915-8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公开演讲的成功取决于吸引听众，这涉及高风险的社交互动过程，这仍然是许多人焦虑和压力的重要来源。使用基于虚拟现实 (VR) 的实验范式，我们测试了发表科学演讲的演讲者如何感知和回应支持与不支持的观众。我们收集了行为（注视、副语言、动作表现力/开放性）、生理（心率、脑电图、呼吸频率、瞳孔扩张）和自我报告测量来评估观众效果。不支持的观众会引发更大的负面情绪、唤醒和焦虑，以及更高的感知认知和社交努力。从生理和行为上来说，向不支持的听众讲话会降低讲话速度。声学分析进一步表明，在不支持的情况下，情绪唤起程度更高，声音占主导地位。这些发现强调，虚拟现实与生理测量相结合是研究受众效应和社交沟通过程的有力方法，对增强社交智力和沟通技巧具有明显的影响。</w:t>
      </w:r>
    </w:p>
    <w:p>
      <w:pPr>
        <w:spacing w:before="120"/>
      </w:pPr>
      <w:r>
        <w:rPr>
          <w:rFonts w:ascii="Times New Roman" w:hAnsi="Times New Roman" w:eastAsia="宋体"/>
          <w:b/>
          <w:sz w:val="21"/>
        </w:rPr>
        <w:t>English Abstract:</w:t>
      </w:r>
    </w:p>
    <w:p>
      <w:r>
        <w:rPr>
          <w:rFonts w:ascii="Times New Roman" w:hAnsi="Times New Roman" w:eastAsia="宋体"/>
          <w:sz w:val="21"/>
        </w:rPr>
        <w:t>Success in public speaking hinges on engaging an audience, which involves a high-stakes social interaction process that remains a significant source of anxiety and stress for many. Using a virtual-reality (VR)-based experimental paradigm, we tested how speakers delivering scientific talks perceive and respond to supportive vs. unsupportive audiences. We collected behavioral (gaze, paralinguistics, motion expressiveness/openness), physiological (heart rate, electroencephalography, breathing rate, pupil dilation), and self-report measures to assess audience effects. The unsupportive audience elicited greater negative affect, arousal, and anxiety, and higher perceived cognitive and social effort. Physiologically and behaviorally, speaking to the unsupportive audience decreased the speaking rate. Acoustic analyses further indicated greater emotional arousal and vocal dominance in the unsupportive condition. These findings highlight VR combined with physiological measurement as a powerful approach for investigating audience effects and social-communication processes, with clear implications for augmenting social intelligence and communication skills.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棉T恤制造中物理碳核算的不确定性分析</w:t>
      </w:r>
    </w:p>
    <w:p>
      <w:r>
        <w:rPr>
          <w:rFonts w:ascii="Times New Roman" w:hAnsi="Times New Roman" w:eastAsia="宋体"/>
          <w:b/>
          <w:color w:val="003264"/>
          <w:sz w:val="24"/>
        </w:rPr>
        <w:t>Uncertainty analysis of physical-based carbon accounting in cotton T-shirt manufacturing</w:t>
      </w:r>
    </w:p>
    <w:p>
      <w:r>
        <w:rPr>
          <w:rFonts w:ascii="Times New Roman" w:hAnsi="Times New Roman" w:eastAsia="宋体"/>
          <w:sz w:val="21"/>
        </w:rPr>
        <w:t>作者: Emmanuel Olugbemi, Natanael Favero Bolson</w:t>
        <w:br/>
      </w:r>
      <w:r>
        <w:rPr>
          <w:rFonts w:ascii="Times New Roman" w:hAnsi="Times New Roman" w:eastAsia="宋体"/>
          <w:sz w:val="21"/>
        </w:rPr>
        <w:t xml:space="preserve">时间: 2026-02-06 | </w:t>
      </w:r>
      <w:r>
        <w:t xml:space="preserve">链接: </w:t>
      </w:r>
      <w:hyperlink r:id="rId30">
        <w:r>
          <w:rPr>
            <w:rFonts w:ascii="Times New Roman" w:hAnsi="Times New Roman" w:eastAsia="宋体"/>
            <w:color w:val="0000FF"/>
            <w:sz w:val="21"/>
            <w:u w:val="single"/>
          </w:rPr>
          <w:t>https://doi.org/10.1038/s41598-026-38773-4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纺织行业对全球温室气体排放做出了重大贡献，但该行业产品层面的碳核算仍然受到数据差距和方法不确定性的限制。这项研究量化了棉质 T 恤从摇篮到大门生产过程中基于流程的碳核算中的不确定性。我们使用谱系矩阵评估了二次活动数据和排放因子，涵盖五个数据质量指标：精度、完整性以及时间、地理和技术代表性。每件 T 恤从摇篮到大门的总碳足迹为 $${1.37}\,\hbox {kg}\,\hbox {CO}_{2}\hbox {e}$$，总体不确定性为 ±13.81%。在织造、染色和预缩等能源密集型工艺的推动下，织物生产是最大的排放源和不确定性来源，占总排放量的 60% 以上，占总不确定性的近 70%。纺纱是次要热点，而缝纫阶段的影响相对较小。结果显示，不同生产阶段的数据可靠性存在显着差异，并强调需要改进原始数据、更新排放因子和统一数据库，以加强纺织行业基于流程的碳核算的稳健性和可比性。</w:t>
      </w:r>
    </w:p>
    <w:p>
      <w:pPr>
        <w:spacing w:before="120"/>
      </w:pPr>
      <w:r>
        <w:rPr>
          <w:rFonts w:ascii="Times New Roman" w:hAnsi="Times New Roman" w:eastAsia="宋体"/>
          <w:b/>
          <w:sz w:val="21"/>
        </w:rPr>
        <w:t>English Abstract:</w:t>
      </w:r>
    </w:p>
    <w:p>
      <w:r>
        <w:rPr>
          <w:rFonts w:ascii="Times New Roman" w:hAnsi="Times New Roman" w:eastAsia="宋体"/>
          <w:sz w:val="21"/>
        </w:rPr>
        <w:t>Abstract The textile sector contributes significantly to global greenhouse gas emissions, yet product-level carbon accounting in this industry remains constrained by data gaps and methodological uncertainty. This study quantifies the uncertainty embedded in process-based carbon accounting for the cradle-to-gate production of a cotton T-shirt. We evaluated secondary activity data and emission factors using a pedigree matrix across five data quality indicators: precision, completeness, and temporal, geographical, and technological representativeness. The total cradle-to-gate carbon footprint was $${1.37}\,\hbox {kg}\,\hbox {CO}_{2}\hbox {e}$$ per T-shirt, with an overall uncertainty of ±13.81 %. Fabric production was the largest source of emissions and uncertainty, contributing over 60 % of total emissions and nearly 70 % of total uncertainty, driven by energy-intensive processes such as weaving, dyeing, and sanforising. Yarn spinning was a secondary hotspot, while the sewing stage had comparatively minor impacts. The results show significant variation in data reliability across production stages and highlight the need for improved primary data, updated emission factors, and harmonised databases to strengthen the robustness and comparability of process-based carbon accounting in the textile sector.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使用编码相位孔径进行单次非相干成像，具有扩展和工程视场</w:t>
      </w:r>
    </w:p>
    <w:p>
      <w:r>
        <w:rPr>
          <w:rFonts w:ascii="Times New Roman" w:hAnsi="Times New Roman" w:eastAsia="宋体"/>
          <w:b/>
          <w:color w:val="003264"/>
          <w:sz w:val="24"/>
        </w:rPr>
        <w:t>Single-shot incoherent imaging with extended and engineered field of view using coded phase apertures</w:t>
      </w:r>
    </w:p>
    <w:p>
      <w:r>
        <w:rPr>
          <w:rFonts w:ascii="Times New Roman" w:hAnsi="Times New Roman" w:eastAsia="宋体"/>
          <w:sz w:val="21"/>
        </w:rPr>
        <w:t>作者: Sai Deepika Sure, Jawahar Prabhakar Desai, Joseph Rosen</w:t>
        <w:br/>
      </w:r>
      <w:r>
        <w:rPr>
          <w:rFonts w:ascii="Times New Roman" w:hAnsi="Times New Roman" w:eastAsia="宋体"/>
          <w:sz w:val="21"/>
        </w:rPr>
        <w:t xml:space="preserve">时间: 2026-02-06 | </w:t>
      </w:r>
      <w:r>
        <w:t xml:space="preserve">链接: </w:t>
      </w:r>
      <w:hyperlink r:id="rId31">
        <w:r>
          <w:rPr>
            <w:rFonts w:ascii="Times New Roman" w:hAnsi="Times New Roman" w:eastAsia="宋体"/>
            <w:color w:val="0000FF"/>
            <w:sz w:val="21"/>
            <w:u w:val="single"/>
          </w:rPr>
          <w:t>https://doi.org/10.1038/s41598-025-33540-3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许多应用都需要光学系统的大视场，而由于相机传感器的尺寸有限，高放大倍率的光学系统通常会受到视场的限制。这项研究提出了一种在不影响放大倍率的情况下设计光学系统视场的新技术。在所提出的方法中，通过在成像系统中引入编码相位掩模（CPM），将物体响应模式记录在相机上。编码相位掩模是 N 个不同散射相位的复用，其中 N − 1 表示要带入视场的孤立物体区域的数量。每个散射阶段都会产生相机上独特的稀疏点图案的点扩散函数。随着编码相位掩模的引入，物体的图像被带到相机传感器的区域内，如果没有 CPM，该区域将保留在系统的固有视场之外。为了重建具有位于各自位置的 N 个对象的原始对象平面，零填充对象响应模式与系统的零填充和移位点扩散函数进行去卷积。本文介绍了 N = 2 和 N = 3 的模拟研究以及实验结果。</w:t>
      </w:r>
    </w:p>
    <w:p>
      <w:pPr>
        <w:spacing w:before="120"/>
      </w:pPr>
      <w:r>
        <w:rPr>
          <w:rFonts w:ascii="Times New Roman" w:hAnsi="Times New Roman" w:eastAsia="宋体"/>
          <w:b/>
          <w:sz w:val="21"/>
        </w:rPr>
        <w:t>English Abstract:</w:t>
      </w:r>
    </w:p>
    <w:p>
      <w:r>
        <w:rPr>
          <w:rFonts w:ascii="Times New Roman" w:hAnsi="Times New Roman" w:eastAsia="宋体"/>
          <w:sz w:val="21"/>
        </w:rPr>
        <w:t>A large field of view of an optical system is needed for many applications, and optical systems with high magnification often suffer from a limited field of view due to the limited size of the camera sensor. This study proposes a novel technique for engineering the field of view of an optical system without compromising the magnification. In the proposed method, an object response pattern is recorded on a camera by introducing a coded phase mask (CPM) in the imaging system. The coded phase mask is a multiplexing of N distinct scattering phases, where N − 1 represents the number of isolated object areas to be brought within the field of view. Each scattering phase yields a point spread function of a unique sparse dot pattern on the camera. With the introduction of a coded phase mask, the objects’ images are brought within the region of the camera sensor, which, without the CPM, would have remained outside the inherent field of view of the system. To reconstruct the original object plane with N objects at their respective locations, the zero-padded object response pattern is deconvolved with the system’s zero-padded and shifted point spread function. A simulation study followed by experimental results for N = 2 and N = 3 is presented in this article.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基于二硫代氨基甲酸盐离子液体功能化磁性氧化石墨烯的高效可持续纳米催化剂用于绿色合成1,4-二氢吡啶</w:t>
      </w:r>
    </w:p>
    <w:p>
      <w:r>
        <w:rPr>
          <w:rFonts w:ascii="Times New Roman" w:hAnsi="Times New Roman" w:eastAsia="宋体"/>
          <w:b/>
          <w:color w:val="003264"/>
          <w:sz w:val="24"/>
        </w:rPr>
        <w:t>Efficient and sustainable nanocatalyst based on dithiocarbamate ionic liquid functionalized magnetic graphene oxide for green synthesis of 1,4-dihydropyridins</w:t>
      </w:r>
    </w:p>
    <w:p>
      <w:r>
        <w:rPr>
          <w:rFonts w:ascii="Times New Roman" w:hAnsi="Times New Roman" w:eastAsia="宋体"/>
          <w:sz w:val="21"/>
        </w:rPr>
        <w:t>作者: Reza Ghorbannia, Robabeh Baharfar, Behrooz Maleki</w:t>
        <w:br/>
      </w:r>
      <w:r>
        <w:rPr>
          <w:rFonts w:ascii="Times New Roman" w:hAnsi="Times New Roman" w:eastAsia="宋体"/>
          <w:sz w:val="21"/>
        </w:rPr>
        <w:t xml:space="preserve">时间: 2026-02-06 | </w:t>
      </w:r>
      <w:r>
        <w:t xml:space="preserve">链接: </w:t>
      </w:r>
      <w:hyperlink r:id="rId32">
        <w:r>
          <w:rPr>
            <w:rFonts w:ascii="Times New Roman" w:hAnsi="Times New Roman" w:eastAsia="宋体"/>
            <w:color w:val="0000FF"/>
            <w:sz w:val="21"/>
            <w:u w:val="single"/>
          </w:rPr>
          <w:t>https://doi.org/10.1038/s41598-026-35422-8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同时实现高活性、耐用性和可回收性的催化系统的设计仍然是绿色和可持续化学的核心挑战。为了解决传统均相和非均相催化剂的固有局限性，我们报道了一种多功能纳米催化剂，包含负载在磁性氧化石墨烯（MGO-IL-DTC）上的二硫代氨基甲酸酯功能化离子液体。在这种结构中，磁性氧化石墨烯提供了高表面积和容易的磁恢复，离子液体创造了可调节的离子微环境，二硫代氨基甲酸酯部分引入了富电子配位位点。这些组分的协同相互作用提供了卓越的催化活性、卓越的稳定性和简单的可重复使用性。使用傅里叶变换红外光谱（FT-IR）、热重分析（TGA）、元素分析、振动样品磁强计（VSM）、扫描电子显微镜（SEM）、X射线衍射（XRD）、能谱（EDS）和EDS图谱确认了催化剂结构。该纳米催化剂在温和条件下有效促进了芳香醛、双甲酮、β-酮酯和乙酸铵在乙醇中合成1,4-二氢吡啶（1,4-DHP）衍生物，并在10-15分钟内获得了高产率（85-95%）。此外，催化剂可以磁力回收并重复使用至少五个连续循环，而不会明显损失活性。这些发现凸显了 MGO-IL-DTC 作为可持续催化应用的强大模块化平台，符合绿色化学原则。</w:t>
      </w:r>
    </w:p>
    <w:p>
      <w:pPr>
        <w:spacing w:before="120"/>
      </w:pPr>
      <w:r>
        <w:rPr>
          <w:rFonts w:ascii="Times New Roman" w:hAnsi="Times New Roman" w:eastAsia="宋体"/>
          <w:b/>
          <w:sz w:val="21"/>
        </w:rPr>
        <w:t>English Abstract:</w:t>
      </w:r>
    </w:p>
    <w:p>
      <w:r>
        <w:rPr>
          <w:rFonts w:ascii="Times New Roman" w:hAnsi="Times New Roman" w:eastAsia="宋体"/>
          <w:sz w:val="21"/>
        </w:rPr>
        <w:t>The design of catalytic systems that simultaneously achieve high activity, durability, and recyclability remains a central challenge in green and sustainable chemistry. To address the inherent limitations of conventional homogeneous and heterogeneous catalysts, we report a multifunctional nanocatalyst comprising dithiocarbamate-functionalized ionic liquids supported on magnetic graphene oxide (MGO-IL-DTC). In this architecture, magnetic graphene oxide provides a high surface area and facile magnetic recovery, ionic liquids create tunable ionic microenvironments, and dithiocarbamate moieties introduce electron-rich coordination sites. The synergistic interplay of these components affords superior catalytic activity, remarkable stability, and straightforward reusability. The catalyst structure was confirmed using Fourier transform infrared spectroscopy (FT-IR), thermogravimetric analysis (TGA), elemental analysis, vibrating sample magnetometer (VSM), scanning electron microscopy (SEM), X-ray diffraction (XRD), energy dispersive spectroscopy (EDS), and EDS mapping. The nanocatalyst efficiently promoted the synthesis of 1,4-dihydropyridine (1,4-DHP) derivatives from aromatic aldehydes, dimedone, β-ketoesters, and ammonium acetate in ethanol under mild conditions, affording high yields (85–95%) within 10–15 min. Moreover, the catalyst could be magnetically recovered and reused for at least five consecutive cycles without appreciable loss of activity. These findings highlight MGO-IL-DTC as a robust and modular platform for sustainable catalytic applications, aligning with the principles of green chemistry.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SimCardioNet 进行自动多类心电图分类的混合学习框架</w:t>
      </w:r>
    </w:p>
    <w:p>
      <w:r>
        <w:rPr>
          <w:rFonts w:ascii="Times New Roman" w:hAnsi="Times New Roman" w:eastAsia="宋体"/>
          <w:b/>
          <w:color w:val="003264"/>
          <w:sz w:val="24"/>
        </w:rPr>
        <w:t>A hybrid learning framework for automated multiclass electrocardiogram classification with SimCardioNet</w:t>
      </w:r>
    </w:p>
    <w:p>
      <w:r>
        <w:rPr>
          <w:rFonts w:ascii="Times New Roman" w:hAnsi="Times New Roman" w:eastAsia="宋体"/>
          <w:sz w:val="21"/>
        </w:rPr>
        <w:t>作者: Muhammad Dawood Majid, Muhammad Anwar, Syed Fakhar Bilal, Muzammil Hussain, Muhammad Zubair, Jabeen Sultana, Muhammad Asif Habib</w:t>
        <w:br/>
      </w:r>
      <w:r>
        <w:rPr>
          <w:rFonts w:ascii="Times New Roman" w:hAnsi="Times New Roman" w:eastAsia="宋体"/>
          <w:sz w:val="21"/>
        </w:rPr>
        <w:t xml:space="preserve">时间: 2026-02-06 | </w:t>
      </w:r>
      <w:r>
        <w:t xml:space="preserve">链接: </w:t>
      </w:r>
      <w:hyperlink r:id="rId33">
        <w:r>
          <w:rPr>
            <w:rFonts w:ascii="Times New Roman" w:hAnsi="Times New Roman" w:eastAsia="宋体"/>
            <w:color w:val="0000FF"/>
            <w:sz w:val="21"/>
            <w:u w:val="single"/>
          </w:rPr>
          <w:t>https://doi.org/10.1038/s41598-026-36932-1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心电图是诊断心血管疾病的基石；然而，准确的解释需要专业知识，并且常常受到数据稀缺和注释成本的阻碍。为了应对这些挑战，我们提出了 SimCardioNet，这是一种用于多类心电图图像分类的混合自监督和监督深度学习框架。 SimCardioNet 利用定制的多尺度卷积神经网络主干，通过残差连接和多头自注意力增强，并通过改进的 SimCLR 对比学习策略进行预训练，该策略集成了 InfoNCE 和余弦相似性相结合的混合损失。在自我监督的预训练之后，模型会通过渐进层解冻进行监督微调，以减轻过度拟合并保留有意义的表示。我们在三个不同的心电图图像数据集上评估 SimCardioNet：(1) 4 类巴基斯坦临床心电图数据集（数据集 I），(2) 用于分布外验证的外部 Kaggle 心电图数据集（数据集 II），以及 (3) 涵盖五个诊断超类的大规模 PTB-XL 基准（数据集 III）。在数据集 I 上，SimCardioNet 在 3 倍交叉验证下实现了 0.975 准确率、0.973 精度、0.973 召回率和 0.972 F1 分数。在数据集 II 上，该模型展示了完美的分类性能（准确率、精确度、召回率和 F1 分数均为 1.00），突出了强大的泛化能力。在 PTB-XL 数据集（数据集 III）上，SimCardioNet 达到 0.921 的准确度和 0.921 F1 分数，优于当前最先进的模型，包括双分支 CNN、熵增强 CNN 和 Bi-GRU 架构。消融研究证实了自我监督预训练、注意力机制和特定领域增强的关键贡献。 Grad-CAM 可视化进一步验证了该模型对临床相关心电图区域的关注。我们的结果强调了 SimCardioNet 有潜力减少对标记数据的依赖，同时提供可靠、可解释且临床可行的心电图分类，在资源有限的环境中尤其有价值。</w:t>
      </w:r>
    </w:p>
    <w:p>
      <w:pPr>
        <w:spacing w:before="120"/>
      </w:pPr>
      <w:r>
        <w:rPr>
          <w:rFonts w:ascii="Times New Roman" w:hAnsi="Times New Roman" w:eastAsia="宋体"/>
          <w:b/>
          <w:sz w:val="21"/>
        </w:rPr>
        <w:t>English Abstract:</w:t>
      </w:r>
    </w:p>
    <w:p>
      <w:r>
        <w:rPr>
          <w:rFonts w:ascii="Times New Roman" w:hAnsi="Times New Roman" w:eastAsia="宋体"/>
          <w:sz w:val="21"/>
        </w:rPr>
        <w:t>Electrocardiography is a cornerstone in the diagnosis of cardiovascular diseases; however, accurate interpretation demands expert knowledge and is often impeded by data scarcity and annotation costs. To address these challenges, we propose SimCardioNet, a hybrid self-supervised and supervised deep learning framework for multi-class electrocardiography image classification. SimCardioNet leverages a custom multi-scale convolutional neural network backbone enhanced with residual connections and multi-head self-attention, pretrained via a modified SimCLR contrastive learning strategy that integrates a hybrid loss combining InfoNCE and cosine similarity. Following self-supervised pretraining, the model undergoes supervised fine-tuning with progressive layer unfreezing to mitigate overfitting and preserve meaningful representations. We evaluate SimCardioNet across three distinct ECG image datasets: (1) a 4-class Pakistani clinical ECG dataset (Dataset I), (2) an external Kaggle electrocardiography dataset for out-of-distribution validation (Dataset II), and (3) the large-scale PTB-XL benchmark (Dataset III) covering five diagnostic superclasses. On Dataset I, SimCardioNet achieves 0.975 accuracy, 0.973 precision, 0.973 recall, and 0.972 F1-score under 3-fold cross-validation. On Dataset II, the model demonstrates perfect classification performance (1.00 accuracy, precision, recall, and F1-score), highlighting strong generalization. On the PTB-XL dataset (Dataset III), SimCardioNet attains 0.921 accuracy and 0.921 F1-score, outperforming current state-of-the-art models including dual-branch CNNs, entropy-enhanced CNNs, and Bi-GRU architectures. Ablation studies confirm the critical contributions of self-supervised pretraining, attention mechanisms, and domain-specific augmentations. Grad-CAM visualizations further validate the model’s focus on clinically relevant Electrocardiography regions. Our results underscore SimCardioNet’s potential to reduce reliance on labeled data while delivering robust, interpretable, and clinically viable Electrocardiography classification especially valuable in resource-constrained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 Lyapunov 稳定性分析的 COVID-19 模型的数值鲁棒性</w:t>
      </w:r>
    </w:p>
    <w:p>
      <w:r>
        <w:rPr>
          <w:rFonts w:ascii="Times New Roman" w:hAnsi="Times New Roman" w:eastAsia="宋体"/>
          <w:b/>
          <w:color w:val="003264"/>
          <w:sz w:val="24"/>
        </w:rPr>
        <w:t>Numerical robustness of COVID-19 model with Lyapunov stability analysis</w:t>
      </w:r>
    </w:p>
    <w:p>
      <w:r>
        <w:rPr>
          <w:rFonts w:ascii="Times New Roman" w:hAnsi="Times New Roman" w:eastAsia="宋体"/>
          <w:sz w:val="21"/>
        </w:rPr>
        <w:t>作者: Ambika Pandey, Surath Ghosh</w:t>
        <w:br/>
      </w:r>
      <w:r>
        <w:rPr>
          <w:rFonts w:ascii="Times New Roman" w:hAnsi="Times New Roman" w:eastAsia="宋体"/>
          <w:sz w:val="21"/>
        </w:rPr>
        <w:t xml:space="preserve">时间: 2026-02-06 | </w:t>
      </w:r>
      <w:r>
        <w:t xml:space="preserve">链接: </w:t>
      </w:r>
      <w:hyperlink r:id="rId34">
        <w:r>
          <w:rPr>
            <w:rFonts w:ascii="Times New Roman" w:hAnsi="Times New Roman" w:eastAsia="宋体"/>
            <w:color w:val="0000FF"/>
            <w:sz w:val="21"/>
            <w:u w:val="single"/>
          </w:rPr>
          <w:t>https://doi.org/10.1038/s41598-025-31506-z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在这项研究中，使用分数阶微积分描述了 COVID-19 大流行模型的三维非线性动态行为。该模型是通过使用 Caputo 算子提出的。实际上，考虑了 COVID-19 的三室分数阶模型，其中 A(t) 表示新报告病例，B(t) 表示严重感染，C(t) 表示每日死亡人数。该模型是使用分数阶Caputo导数$$(\eta \in (0,1])$$制定的，它结合了记忆效应，使我们能够捕获流行病动态中的延迟和长期持续性。数值实验表明，减少$$(\eta )$$可以增强记忆，可以抑制振荡或混乱的爆发。参数值和初始条件是从公开的COVID-19数据（约翰·霍普金斯CSSE数据库和中国国家卫生健康委员会）中获得的，确保生物我们研究了 COVID-19 大流行模型的存在性和唯一性，以及它提供解的唯一性的条件。此外，对于数值模拟，采用了 Toufik-Atangana 方法，因为它采用分段线性插值，可确保刚性、非线性分数阶系统的稳定性和准确性，同时保留了 Caputo 导数固有的记忆效应。分数流行病和生态模型的有效性使其特别适合捕获 COVID-19 的复杂动态，并表明该方法是创新且值得信赖的，因为它将分数建模与李亚普诺夫稳定性、分岔和混沌分析集成在一个框架内，并且可靠，因为它可靠地捕获了系统的稳定和不稳定动态，而没有数值分歧或不稳定性。鲁棒性凸显了该方案即使在系统表现出非线性或混沌行为时也能生成稳定且准确的 COVID-19 模型解决方案的能力。除了识别 COVID-19 模型的方向、稳定性和分叉之外，分叉分析和图形表示还可以更深入地了解建议的模型。</w:t>
      </w:r>
    </w:p>
    <w:p>
      <w:pPr>
        <w:spacing w:before="120"/>
      </w:pPr>
      <w:r>
        <w:rPr>
          <w:rFonts w:ascii="Times New Roman" w:hAnsi="Times New Roman" w:eastAsia="宋体"/>
          <w:b/>
          <w:sz w:val="21"/>
        </w:rPr>
        <w:t>English Abstract:</w:t>
      </w:r>
    </w:p>
    <w:p>
      <w:r>
        <w:rPr>
          <w:rFonts w:ascii="Times New Roman" w:hAnsi="Times New Roman" w:eastAsia="宋体"/>
          <w:sz w:val="21"/>
        </w:rPr>
        <w:t>In this research, a three-dimensional non-linear dynamical behavior of the COVID-19 pandemic model is described using fractional calculus. This model was presented by using the Caputo operators. Actually, a three-compartment fractional-order model of COVID-19 is considered, where A(t) denotes newly reported cases, B(t) represents severe infections, and C(t) represents daily deaths. The model is formulated using the Caputo derivative of fractional order $$(\eta \in (0,1])$$, which incorporates memory effects and allows us to capture delays and long-term persistence in epidemic dynamics. Numerical experiments show that reducing $$(\eta )$$ strengthens memory and can suppress oscillations or chaotic outbreaks. Parameter values and initial conditions are obtained from publicly available COVID-19 data (Johns Hopkins CSSE database and National Health Commission of China), ensuring biological relevance of the simulations. We investigated the existence and uniqueness of the COVID-19 pandemic model and the conditions under which it provides the uniqueness of the solution. We calculated the equilibrium points and exhibited the stability of the suggested model. Also, for numerical simulation, the Toufik-Atangana method is used. The Toufik–Atangana scheme is adopted because it employs piecewise linear interpolation that ensures stability and accuracy for stiff, nonlinear fractional-order systems, while preserving the memory effect inherent in the Caputo derivative. Its proven effectiveness in fractional epidemic and ecological models makes it particularly suitable for capturing the complex dynamics of COVID-19. The simulated results are analyzed and interpreted in detail, and show that the proposed approaches are innovative and trustworthy. The approach is innovative as it integrates fractional modeling with Lyapunov stability, bifurcation, and chaos analysis within a single framework, and trustworthy because it reliably captures both stable and unstable dynamics of the system without numerical divergence or instability. The approach is computationally efficient and straightforward to implement. In this work, numerical robustness highlights the ability of this scheme to generate stable and accurate solutions of the COVID-19 model even when the system shows nonlinear or chaotic behavior. Bifurcation analysis and graphic representations offer more insight into the suggested model, in addition to identifying the direction, stability, and bifurcation of the COVID-19 model.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发展中国家骨关节炎患者补充和替代药物的使用率及其满意度</w:t>
      </w:r>
    </w:p>
    <w:p>
      <w:r>
        <w:rPr>
          <w:rFonts w:ascii="Times New Roman" w:hAnsi="Times New Roman" w:eastAsia="宋体"/>
          <w:b/>
          <w:color w:val="003264"/>
          <w:sz w:val="24"/>
        </w:rPr>
        <w:t>Prevalence of complementary and alternative medicine use among osteoarthritis patients in a developing country and their level of satisfaction</w:t>
      </w:r>
    </w:p>
    <w:p>
      <w:r>
        <w:rPr>
          <w:rFonts w:ascii="Times New Roman" w:hAnsi="Times New Roman" w:eastAsia="宋体"/>
          <w:sz w:val="21"/>
        </w:rPr>
        <w:t>作者: Mohammed Jaber, Waad Hamza, Tareq Abu Asab, Dania Abuhalima, Ahmad Hanani, Mazen Abdallah, Mohammad M. Jaber, Sa’ed H. Zyoud</w:t>
        <w:br/>
      </w:r>
      <w:r>
        <w:rPr>
          <w:rFonts w:ascii="Times New Roman" w:hAnsi="Times New Roman" w:eastAsia="宋体"/>
          <w:sz w:val="21"/>
        </w:rPr>
        <w:t xml:space="preserve">时间: 2026-02-06 | </w:t>
      </w:r>
      <w:r>
        <w:t xml:space="preserve">链接: </w:t>
      </w:r>
      <w:hyperlink r:id="rId35">
        <w:r>
          <w:rPr>
            <w:rFonts w:ascii="Times New Roman" w:hAnsi="Times New Roman" w:eastAsia="宋体"/>
            <w:color w:val="0000FF"/>
            <w:sz w:val="21"/>
            <w:u w:val="single"/>
          </w:rPr>
          <w:t>https://doi.org/10.1038/s41598-026-37826-y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补充和替代医学（CAM）是指用于治疗疾病的非常规方法，并已获得包括巴勒斯坦在内的全球认可。人们对 CAM 及其各种治疗方式日益浓厚的兴趣，凸显了了解其在骨关节炎 (OA) 患者中的患病率、类型和相关患者满意度的必要性。在研究环境中的医院就诊的 OA 患者中进行了一项横断面研究。通过根据之前的区域研究改编并在综合文献综述的基础上制定的结构化调查问卷，对符合条件的参与者进行了面对面访谈。收集的数据包括社会人口特征、CAM 使用和满意度。在 399 名参与者中，252 名 (63.2%) 报告使用 CAM 进行 OA 管理。常用的疗法包括草药（49.9%）、膳食补充剂（26.6%）和各种形式的预言医学。大多数 CAM 用户对他们使用的疗法表示非常满意。巴勒斯坦北部 OA 患者普遍使用 CAM。这凸显了提高公众对 CAM 实践及其与传统治疗的潜在相互作用的认识的必要性。医疗保健提供者应随时了解 CAM 选项，以适当指导患者。需要进一步研究来建立关于 CAM 有效性和安全性的更有力证据。</w:t>
      </w:r>
    </w:p>
    <w:p>
      <w:pPr>
        <w:spacing w:before="120"/>
      </w:pPr>
      <w:r>
        <w:rPr>
          <w:rFonts w:ascii="Times New Roman" w:hAnsi="Times New Roman" w:eastAsia="宋体"/>
          <w:b/>
          <w:sz w:val="21"/>
        </w:rPr>
        <w:t>English Abstract:</w:t>
      </w:r>
    </w:p>
    <w:p>
      <w:r>
        <w:rPr>
          <w:rFonts w:ascii="Times New Roman" w:hAnsi="Times New Roman" w:eastAsia="宋体"/>
          <w:sz w:val="21"/>
        </w:rPr>
        <w:t>Complementary and alternative medicine (CAM) refers to nonconventional methods used to treat diseases and has been gaining global acceptance, including in Palestine. The growing interest in CAM and its various modalities highlights the need to understand its prevalence, types, and associated patient satisfaction among osteoarthritis (OA) patients. A cross-sectional study was conducted among OA patients attending hospitals in the study setting. Eligible participants were interviewed face-to-face via a structured questionnaire adapted from a previous regional study and developed on the basis of a comprehensive literature review. The data collected included sociodemographic characteristics, CAM use, and satisfaction levels. Of the 399 participants, 252 (63.2%) reported using CAM for OA management. Commonly used therapies include herbal medicine (49.9%), dietary supplements (26.6%), and various forms of prophetic medicine. Most CAM users reported a noticeable level of satisfaction with the therapies they used. CAM use is prevalent among OA patients in northern Palestine. This highlights the need to increase public awareness of CAM practices and their potential interactions with conventional treatments. Healthcare providers should stay informed about CAM options to guide patients appropriately. Further research is needed to establish stronger evidence regarding the efficacy and safety of CAM.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CDK2 抑制促进神经母细胞瘤中的神经元分化</w:t>
      </w:r>
    </w:p>
    <w:p>
      <w:r>
        <w:rPr>
          <w:rFonts w:ascii="Times New Roman" w:hAnsi="Times New Roman" w:eastAsia="宋体"/>
          <w:b/>
          <w:color w:val="003264"/>
          <w:sz w:val="24"/>
        </w:rPr>
        <w:t>CDK2 inhibition promotes neuronal differentiation in neuroblastoma</w:t>
      </w:r>
    </w:p>
    <w:p>
      <w:r>
        <w:rPr>
          <w:rFonts w:ascii="Times New Roman" w:hAnsi="Times New Roman" w:eastAsia="宋体"/>
          <w:sz w:val="21"/>
        </w:rPr>
        <w:t>作者: Mohammad Alzrigat, Loay Mahmoud, Ada Nursel Topçu, Marta Valenti, Lu Zhang, Puck Veen, Fabian John, Wesam Bazzar, Kaisa Lehti, Lars-Gunnar Larsson</w:t>
        <w:br/>
      </w:r>
      <w:r>
        <w:rPr>
          <w:rFonts w:ascii="Times New Roman" w:hAnsi="Times New Roman" w:eastAsia="宋体"/>
          <w:sz w:val="21"/>
        </w:rPr>
        <w:t xml:space="preserve">时间: 2026-02-06 | </w:t>
      </w:r>
      <w:r>
        <w:t xml:space="preserve">链接: </w:t>
      </w:r>
      <w:hyperlink r:id="rId36">
        <w:r>
          <w:rPr>
            <w:rFonts w:ascii="Times New Roman" w:hAnsi="Times New Roman" w:eastAsia="宋体"/>
            <w:color w:val="0000FF"/>
            <w:sz w:val="21"/>
            <w:u w:val="single"/>
          </w:rPr>
          <w:t>https://doi.org/10.1038/s41598-026-38123-4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神经母细胞瘤（NB）是一种由神经嵴衍生祖细胞产生的儿童肿瘤。细胞周期蛋白依赖性激酶 2 (CDK2) 被认为是 NB 特别是 MYCN 扩增肿瘤的有前途的治疗靶点。 CDK2 如何促进 NB 的发展尚不完全清楚。在这里，我们证明 NB 中的高 CDK2 表达与晚期和高风险疾病、MYCN 扩增、预后不良和未分化肿瘤相关。我们发现 CDK2 遗传或药理学抑制可诱导人 NB 细胞系中的神经元分化，这种效应通常在 MYCN 扩增亚型中更为突出。此外，我们将 CDK2 确立为 MYCN 靶基因，可调节 MYCN 扩增的 NB 中的 MYC 通路。值得注意的是，CDK2 的药理学抑制与 MYCN 抑制或全反式视黄酸 (ATRA) 分化疗法相结合可增强体外神经元分化。这些结果揭示了 CDK2 在 NB 中的重要功能，并强调单独抑制 CDK2 或与 MYC 抑制剂和类视黄醇联合抑制 CDK2 作为 NB 分化治疗的潜在策略。</w:t>
      </w:r>
    </w:p>
    <w:p>
      <w:pPr>
        <w:spacing w:before="120"/>
      </w:pPr>
      <w:r>
        <w:rPr>
          <w:rFonts w:ascii="Times New Roman" w:hAnsi="Times New Roman" w:eastAsia="宋体"/>
          <w:b/>
          <w:sz w:val="21"/>
        </w:rPr>
        <w:t>English Abstract:</w:t>
      </w:r>
    </w:p>
    <w:p>
      <w:r>
        <w:rPr>
          <w:rFonts w:ascii="Times New Roman" w:hAnsi="Times New Roman" w:eastAsia="宋体"/>
          <w:sz w:val="21"/>
        </w:rPr>
        <w:t>Neuroblastoma (NB) is a childhood tumor arising from neural crest-derived progenitor cells. Cyclin dependent kinase 2 (CDK2) has been suggested to be a promising therapeutic target in NB especially MYCN-amplified tumors. How CDK2 contributes to the development of NB is not fully understood. Here, we demonstrate that high CDK2 expression in NB correlates with advanced and high-risk disease, MYCN-amplification, poor prognosis, and undifferentiated tumors. We uncovered that CDK2 genetic or pharmacological inhibition induces neuronal differentiation in human NB cell lines, which effect is in general more prominent in the MYCN-amplified subtype. Further, we establish CDK2 as a MYCN target gene that modulate the MYC-pathway in MYCN-amplified NB. Notably, pharmacological inhibition of CDK2 in combination with MYCN inhibition or all-trans-retinoic acid (ATRA) differentiation therapy enhances neuronal differentiation in vitro. These results reveal an important function of CDK2 in NB and highlight CDK2 inhibition alone or in combination with MYC inhibitors and retinoids as a potential strategy for differentiation therapy in NB.</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孤子传播动力学：分岔、混沌以及对修正卡马萨-霍尔姆方程的定量见解</w:t>
      </w:r>
    </w:p>
    <w:p>
      <w:r>
        <w:rPr>
          <w:rFonts w:ascii="Times New Roman" w:hAnsi="Times New Roman" w:eastAsia="宋体"/>
          <w:b/>
          <w:color w:val="003264"/>
          <w:sz w:val="24"/>
        </w:rPr>
        <w:t>Dynamics of soliton propagation: bifurcation, chaos, and quantitative insights into the modified Camassa–Holm equation</w:t>
      </w:r>
    </w:p>
    <w:p>
      <w:r>
        <w:rPr>
          <w:rFonts w:ascii="Times New Roman" w:hAnsi="Times New Roman" w:eastAsia="宋体"/>
          <w:sz w:val="21"/>
        </w:rPr>
        <w:t>作者: Md. Nur Alam, Shams Forruque Ahmed, Hajar F. Ismael, Mitiku Daba Firdi, Irfan Anjum Badruddin, Syed Javed</w:t>
        <w:br/>
      </w:r>
      <w:r>
        <w:rPr>
          <w:rFonts w:ascii="Times New Roman" w:hAnsi="Times New Roman" w:eastAsia="宋体"/>
          <w:sz w:val="21"/>
        </w:rPr>
        <w:t xml:space="preserve">时间: 2026-02-06 | </w:t>
      </w:r>
      <w:r>
        <w:t xml:space="preserve">链接: </w:t>
      </w:r>
      <w:hyperlink r:id="rId37">
        <w:r>
          <w:rPr>
            <w:rFonts w:ascii="Times New Roman" w:hAnsi="Times New Roman" w:eastAsia="宋体"/>
            <w:color w:val="0000FF"/>
            <w:sz w:val="21"/>
            <w:u w:val="single"/>
          </w:rPr>
          <w:t>https://doi.org/10.1038/s41598-026-37010-2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修正的卡马萨-霍尔姆（MCH）方程是描述非线性波浪现象的重要数学模型，特别是在浅水动力学和相关物理系统中。尽管各种分析技术已应用于此类非线性方程，但在产生各种精确且结构丰富的解时出现了许多困难。本研究通过采用改进的 (G′/G) 展开 (MG′/GE) 方法来为 MCH 框架构建广泛的精确行波解，例如三角解、双曲解和有理解，从而解决了这一差距。已经发现许多波形，包括单奇异、双奇异、多重亮、多重暗、多重奇异和奇异孤子，都具有 MCH 框架的解决方案。这些波形在应用科学和工程中具有广泛的应用。由此产生的解决方案的结构特性和传播动力学可以通过 3D、轮廓、密度、2D 时间演化和 3D 旋转图等图形成功地描述。与其他现有方法（例如正弦余弦方法和 tanh 方法）相比，MG’/GE 方法更加准确且适应性更强。 MG’/GE 技术的耐用性和计算效率使其能够直接生成精确的结果。它对分数阶方程的扩展进一步凸显了它在非线性系统分析中的广泛应用。除了为未来许多科学领域的行波现象研究奠定基础之外，当前的研究还提出了经典和分数非线性演化方程（NLEE）的分析方案。</w:t>
      </w:r>
    </w:p>
    <w:p>
      <w:pPr>
        <w:spacing w:before="120"/>
      </w:pPr>
      <w:r>
        <w:rPr>
          <w:rFonts w:ascii="Times New Roman" w:hAnsi="Times New Roman" w:eastAsia="宋体"/>
          <w:b/>
          <w:sz w:val="21"/>
        </w:rPr>
        <w:t>English Abstract:</w:t>
      </w:r>
    </w:p>
    <w:p>
      <w:r>
        <w:rPr>
          <w:rFonts w:ascii="Times New Roman" w:hAnsi="Times New Roman" w:eastAsia="宋体"/>
          <w:sz w:val="21"/>
        </w:rPr>
        <w:t>Abstract The modified Camassa–Holm (MCH) equation is a significant mathematical model for describing nonlinear wave phenomena, especially in shallow water dynamics and related physical systems. Although various analytical techniques have been applied to such nonlinear equations, many difficulties have arisen in producing a wide variety of exact and structurally rich solutions. This study addresses this gap by employing the modified (G′/G)-expansion (MG′/GE) method to construct an extensive range of exact traveling wave solutions for the MCH framework, such as trigonometric, hyperbolic, and rational solutions. Numerous waveforms, including single singular, double singular, multiple bright, multiple dark, multiple singular, and singular solitons, have been found to have solutions for the MCH framework. These waveforms have numerous applications in applied sciences and engineering. The structural properties and propagation dynamics of the resulting solutions are successfully depicted by graphics such as 3D, contour, density, 2D time-evolution, and 3D revolving plots. Compared to other existing approaches, such as the sine–cosine method and the tanh method, the MG’/GE approach is substantially more accurate and adaptable. The MG’/GE technique’s durability and computing efficiency allow it to generate precise findings straightforwardly. Its broad variety of applications in nonlinear system analysis is further highlighted by its expansion to fractional-order equations. In addition to laying the foundation for future research on traveling wave phenomena in many scientific domains, the current study presents an analytical scheme for both classical and fractional nonlinear evolution equations (NLEEs).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2002 年至 2022 年重复横截面 HBSC 数据得出匈牙利青年心身症状的时间趋势</w:t>
      </w:r>
    </w:p>
    <w:p>
      <w:r>
        <w:rPr>
          <w:rFonts w:ascii="Times New Roman" w:hAnsi="Times New Roman" w:eastAsia="宋体"/>
          <w:b/>
          <w:color w:val="003264"/>
          <w:sz w:val="24"/>
        </w:rPr>
        <w:t>Time trends in psychosomatic symptoms among Hungarian youth using repeated cross sectional HBSC data from 2002 to 2022</w:t>
      </w:r>
    </w:p>
    <w:p>
      <w:r>
        <w:rPr>
          <w:rFonts w:ascii="Times New Roman" w:hAnsi="Times New Roman" w:eastAsia="宋体"/>
          <w:sz w:val="21"/>
        </w:rPr>
        <w:t>作者: Mária Klein, Dóra Várnai, Ágnes Németh, Zsolt Horváth, Gyöngyi Kökönyei</w:t>
        <w:br/>
      </w:r>
      <w:r>
        <w:rPr>
          <w:rFonts w:ascii="Times New Roman" w:hAnsi="Times New Roman" w:eastAsia="宋体"/>
          <w:sz w:val="21"/>
        </w:rPr>
        <w:t xml:space="preserve">时间: 2026-02-06 | </w:t>
      </w:r>
      <w:r>
        <w:t xml:space="preserve">链接: </w:t>
      </w:r>
      <w:hyperlink r:id="rId38">
        <w:r>
          <w:rPr>
            <w:rFonts w:ascii="Times New Roman" w:hAnsi="Times New Roman" w:eastAsia="宋体"/>
            <w:color w:val="0000FF"/>
            <w:sz w:val="21"/>
            <w:u w:val="single"/>
          </w:rPr>
          <w:t>https://doi.org/10.1038/s41598-026-38472-0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心身症状在青少年中越来越普遍。然而，匈牙利的较长时期趋势仍未得到充分探索。本研究使用 2002 年、2006 年、2010 年、2014 年、2018 年和 2022 年收集的匈牙利学龄儿童健康行为 (HBSC) 调查的全国代表性数据，探讨了学龄儿童心身症状的变化（N = 37,930；M 年龄 = 14.88 岁，SD 年龄 = 2.36 岁；男孩 = 49.3%）。通过描述性统计、逻辑回归分析和ANCOVA来评估2002年至2022年的趋势。女孩和年龄较大的青少年总体上报告了更多的症状，2022年显示男女所有症状类别的患病率最高。 2010 年至 2022 年间，报告多种健康主诉 (MHC)（不包括疲劳）的青少年比例变得更加普遍，女孩从 40.6% 增加到 65.6%，男孩从 30.2% 增加到 42%。在所有调查浪潮中，疲劳成为男女中最常见的症状，在 2022 年达到峰值，男孩中疲劳的比例为 47.5%，女孩中疲劳的比例为 67.6%。研究结果指出了一个轨迹——尤其是近年来——强调迫切需要采取有针对性的干预措施和政策行动来支持青少年健康。</w:t>
      </w:r>
    </w:p>
    <w:p>
      <w:pPr>
        <w:spacing w:before="120"/>
      </w:pPr>
      <w:r>
        <w:rPr>
          <w:rFonts w:ascii="Times New Roman" w:hAnsi="Times New Roman" w:eastAsia="宋体"/>
          <w:b/>
          <w:sz w:val="21"/>
        </w:rPr>
        <w:t>English Abstract:</w:t>
      </w:r>
    </w:p>
    <w:p>
      <w:r>
        <w:rPr>
          <w:rFonts w:ascii="Times New Roman" w:hAnsi="Times New Roman" w:eastAsia="宋体"/>
          <w:sz w:val="21"/>
        </w:rPr>
        <w:t>Abstract Psychosomatic symptoms have become increasingly prevalent among adolescents; however, trends covering a longer period remain underexplored in Hungary. This study examines changes in psychosomatic symptoms among school-aged children using nationally representative data from the Hungarian Health Behaviour in School-aged Children (HBSC) survey, collected in 2002, 2006, 2010, 2014, 2018, and 2022 (N = 37,930; M age = 14.88 years, SD age = 2.36 years; boys = 49.3%). Descriptive statistics, logistic regression analyses, and ANCOVAs were conducted to assess trends from 2002 to 2022. Girls and older adolescents reported more symptoms overall, with 2022 showing the highest prevalence across all symptom categories in both genders. The proportion of adolescents reporting multiple health complaints (MHC) (excluding fatigue) became considerably more common between 2010 and 2022, increasing from 40.6 to 65.6% among girls, and from 30.2 to 42% among boys. Fatigue emerged as the most reported frequent symptom across all survey waves among both genders, peaking in 2022 at 47.5% among boys and 67.6% among girls. The findings point to a trajectory—particularly in recent years—highlighting the urgent need for targeted interventions and policy actions to support adolescent health.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超参数优化可增强深度学习模型的性能，以早期检测韩国的入侵海龟</w:t>
      </w:r>
    </w:p>
    <w:p>
      <w:r>
        <w:rPr>
          <w:rFonts w:ascii="Times New Roman" w:hAnsi="Times New Roman" w:eastAsia="宋体"/>
          <w:b/>
          <w:color w:val="003264"/>
          <w:sz w:val="24"/>
        </w:rPr>
        <w:t>Hyperparameter optimization to enhance the performance of deep learning models for the early detection of invasive turtles in Korea</w:t>
      </w:r>
    </w:p>
    <w:p>
      <w:r>
        <w:rPr>
          <w:rFonts w:ascii="Times New Roman" w:hAnsi="Times New Roman" w:eastAsia="宋体"/>
          <w:sz w:val="21"/>
        </w:rPr>
        <w:t>作者: Jong-Won Baek, Jung-Il Kim, Min-Ho Mun, Chang-Bae Kim</w:t>
        <w:br/>
      </w:r>
      <w:r>
        <w:rPr>
          <w:rFonts w:ascii="Times New Roman" w:hAnsi="Times New Roman" w:eastAsia="宋体"/>
          <w:sz w:val="21"/>
        </w:rPr>
        <w:t xml:space="preserve">时间: 2026-02-06 | </w:t>
      </w:r>
      <w:r>
        <w:t xml:space="preserve">链接: </w:t>
      </w:r>
      <w:hyperlink r:id="rId39">
        <w:r>
          <w:rPr>
            <w:rFonts w:ascii="Times New Roman" w:hAnsi="Times New Roman" w:eastAsia="宋体"/>
            <w:color w:val="0000FF"/>
            <w:sz w:val="21"/>
            <w:u w:val="single"/>
          </w:rPr>
          <w:t>https://doi.org/10.1038/s41598-026-37636-2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入侵淡水龟是生物多样性丧失的主要驱动因素，这凸显了早期发现和管理的重要性。然而，对于专家来说，手动监控广泛的地理区域具有挑战性，因此需要支持工具。基于深度学习的目标检测模型在自动化野生动物监测任务方面表现出了高性能。此外，超参数优化，包括优化器选择和超参数调整，可以通过优化数据集的训练设置来进一步提高性能。在这项研究中，开发了一个优化模型，应用超参数优化从图像中检测和分类韩国的六种入侵海龟物种。将优化后的模型与使用默认优化器和超参数训练的默认模型进行比较。优化模型优于默认模型，如使用 0.5 的并集阈值（0.973 与 0.959）的固定交集以及 0.5 到 0.95 的阈值范围（0.841 与 0.815）对平均精度的评估所示。优化后模型的分类准确率达到92.7%，超过默认模型的分类准确率（89.9%）。这些发现强调了超参数优化的实用性，并表明所提出的方法可以支持入侵海龟的早期检测，从而加强入侵物种管理。</w:t>
      </w:r>
    </w:p>
    <w:p>
      <w:pPr>
        <w:spacing w:before="120"/>
      </w:pPr>
      <w:r>
        <w:rPr>
          <w:rFonts w:ascii="Times New Roman" w:hAnsi="Times New Roman" w:eastAsia="宋体"/>
          <w:b/>
          <w:sz w:val="21"/>
        </w:rPr>
        <w:t>English Abstract:</w:t>
      </w:r>
    </w:p>
    <w:p>
      <w:r>
        <w:rPr>
          <w:rFonts w:ascii="Times New Roman" w:hAnsi="Times New Roman" w:eastAsia="宋体"/>
          <w:sz w:val="21"/>
        </w:rPr>
        <w:t>Abstract Invasive freshwater turtles are major drivers of biodiversity loss, underscoring the importance of early detection and management. However, it is challenging for experts to manually monitor a broad geographic area, necessitating support tools. Deep learning-based object detection models have displayed high performance in automating wildlife monitoring tasks. Furthermore, hyperparameter optimization, including optimizer selection and hyperparameter tuning, might further enhance performance by optimizing training settings to the dataset. In this study, an optimized model was developed to apply hyperparameter optimization to detect and classify six invasive turtle species in Korea from images. The optimized model was compared to a default model trained using the default optimizer and hyperparameters. The optimized model outperformed the default model, as indicated by the evaluations of mean average precision using a fixed intersection over union threshold of 0.5 (0.973 vs. 0.959) and a range of thresholds ranging from 0.5 to 0.95 (0.841 vs. 0.815). The classification accuracy of the optimized model reached 92.7%, exceeding that of the default model (89.9%). These findings highlight the utility of hyperparameter optimization and suggest that the proposed approach can support the early detection of invasive turtles, thereby enhancing to invasive species management.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靶向苯唑西林酶 48 碳青霉烯酶的微生物组衍生肽可增强碳青霉烯类耐药肺炎克雷伯菌分离株中的美罗培南活性</w:t>
      </w:r>
    </w:p>
    <w:p>
      <w:r>
        <w:rPr>
          <w:rFonts w:ascii="Times New Roman" w:hAnsi="Times New Roman" w:eastAsia="宋体"/>
          <w:b/>
          <w:color w:val="003264"/>
          <w:sz w:val="24"/>
        </w:rPr>
        <w:t>Enhanced meropenem activity by a microbiome derived peptide targeting oxacillinase 48 carbapenemase in carbapenem resistant Klebsiella pneumoniae isolates</w:t>
      </w:r>
    </w:p>
    <w:p>
      <w:r>
        <w:rPr>
          <w:rFonts w:ascii="Times New Roman" w:hAnsi="Times New Roman" w:eastAsia="宋体"/>
          <w:sz w:val="21"/>
        </w:rPr>
        <w:t>作者: Solmaz Sadeghi, Mohammad Ali Faramarzi, Maryam Siroosi</w:t>
        <w:br/>
      </w:r>
      <w:r>
        <w:rPr>
          <w:rFonts w:ascii="Times New Roman" w:hAnsi="Times New Roman" w:eastAsia="宋体"/>
          <w:sz w:val="21"/>
        </w:rPr>
        <w:t xml:space="preserve">时间: 2026-02-06 | </w:t>
      </w:r>
      <w:r>
        <w:t xml:space="preserve">链接: </w:t>
      </w:r>
      <w:hyperlink r:id="rId40">
        <w:r>
          <w:rPr>
            <w:rFonts w:ascii="Times New Roman" w:hAnsi="Times New Roman" w:eastAsia="宋体"/>
            <w:color w:val="0000FF"/>
            <w:sz w:val="21"/>
            <w:u w:val="single"/>
          </w:rPr>
          <w:t>https://doi.org/10.1038/s41598-026-37644-2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耐碳青霉烯类肠杆菌，特别是那些产生苯唑西林酶 48 (OXA-48) 碳青霉烯酶 (blaOXA−48) 的肠杆菌，对全球健康构成严重威胁，特别是在其患病率非常高的中东地区。特异性 OXA-48 抑制剂的缺乏以及甚至对阿维巴坦的耐药性的出现凸显了对新治疗策略的迫切需要。本研究调查了肽 M104 作为美罗培南的辅助药物对抗多重耐药（包括美罗培南耐药）blaOXA−48 阳性肺炎克雷伯菌临床分离株。浓度为 125 µg/mL 的肽 M104 增强了美罗培南对所有 10 个测试的 blaOXA−48 阳性分离株的抗菌活性，并显着降低了所有 10 个临床分离株的美罗培南最低抑菌浓度 (MIC) 值至少两倍（p 值 &lt; 0.002）。在 blaOXA−48 阴性分离株中没有观察到这种增强，并且该肽没有表现出内在的抗菌活性。在强生物膜形成分离株中，M104 将美罗培南的最低生物膜抑制浓度 (MBIC) 降低两倍，尽管这种降低没有统计学意义 (p 值 = 0.06)，并且在降低最低生物膜根除浓度 (MBEC) 方面显示出有限的美罗培南增强作用。细胞毒性测定表明，200 µg/mL 的 M104 在 24 小时后不会降低 HDFa 细胞活力，并且该肽在此浓度下也没有表现出溶血活性。这些发现表明，肽 M104 是一种候选 OXA-48 抑制剂，能够增强美罗培南对抗碳青霉烯类耐药肺炎克雷伯菌感染的功效，同时表现出有限的细胞毒性且无溶血作用。需要使用大量临床分离株和体内研究进行进一步验证，以确认这些结果并支持肽 M104 作为 OXA-48 碳青霉烯酶的第一个肽抑制剂。</w:t>
      </w:r>
    </w:p>
    <w:p>
      <w:pPr>
        <w:spacing w:before="120"/>
      </w:pPr>
      <w:r>
        <w:rPr>
          <w:rFonts w:ascii="Times New Roman" w:hAnsi="Times New Roman" w:eastAsia="宋体"/>
          <w:b/>
          <w:sz w:val="21"/>
        </w:rPr>
        <w:t>English Abstract:</w:t>
      </w:r>
    </w:p>
    <w:p>
      <w:r>
        <w:rPr>
          <w:rFonts w:ascii="Times New Roman" w:hAnsi="Times New Roman" w:eastAsia="宋体"/>
          <w:sz w:val="21"/>
        </w:rPr>
        <w:t>Carbapenem-resistant Enterobacterales, particularly those producing oxacillinase 48 (OXA-48) carbapenemase (blaOXA−48), pose a critical global health threat, especially in the Middle East where its prevalence is remarkably high. The lack of specific OXA-48 inhibitors and the emergence of resistance even to avibactam highlight the urgent need for novel therapeutic strategies. This study investigated the peptide M104 as an adjunctive agent to meropenem against multidrug-resistant (including meropenem-resistant) blaOXA−48 positive Klebsiella pneumoniae clinical isolates. Peptide M104 at the concentration of 125 µg/mL enhanced meropenem’s antibacterial activity against all ten tested blaOXA−48 positive isolates and significantly reduced the meropenem minimum inhibitory concentration (MIC) values at least two-fold for all ten clinical isolates (p-value &lt; 0.002). This enhancement was not observed in blaOXA−48 negative isolates, and the peptide showed no intrinsic antibacterial activity. In strong biofilm-forming isolates, M104 reduced meropenem’s minimum biofilm inhibitory concentrations (MBIC) by two-fold, although this reduction was not statistically significant (p-value = 0.06), and showed limited meropenem enhancement in reducing minimum biofilm eradication concentration (MBEC). Cytotoxicity assays revealed that M104 at 200 µg/mL did not reduce HDFa cell viability after 24 h, and the peptide also showed no hemolytic activity at this concentration. These findings suggest peptide M104 is a candidate OXA-48 inhibitor, capable of enhancing meropenem’s efficacy against carbapenem-resistant K. pneumoniae infections, while showing limited cytotoxicity and no hemolytic effects. Further validation using a larger number of clinical isolates and in vivo studies is needed to confirm these results and support peptide M104 as the first peptide inhibitor of OXA-48 carbapenemase.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从电弧炉粉尘中回收的 ZnO 水热合成 ZnO 纳米粒子：形态控制和应用</w:t>
      </w:r>
    </w:p>
    <w:p>
      <w:r>
        <w:rPr>
          <w:rFonts w:ascii="Times New Roman" w:hAnsi="Times New Roman" w:eastAsia="宋体"/>
          <w:b/>
          <w:color w:val="003264"/>
          <w:sz w:val="24"/>
        </w:rPr>
        <w:t>Hydrothermal synthesis of ZnO nanoparticles from recycled ZnO obtained from electric Arc furnace dust: morphology control and applications</w:t>
      </w:r>
    </w:p>
    <w:p>
      <w:r>
        <w:rPr>
          <w:rFonts w:ascii="Times New Roman" w:hAnsi="Times New Roman" w:eastAsia="宋体"/>
          <w:sz w:val="21"/>
        </w:rPr>
        <w:t>作者: Sirunya Somla, Tanongsak Yingnakorn, Thanapon Chandakhiaw, Chaiyasit Longbutsri, Loeslakkhana Sriklang, Sakhob Khumkoa</w:t>
        <w:br/>
      </w:r>
      <w:r>
        <w:rPr>
          <w:rFonts w:ascii="Times New Roman" w:hAnsi="Times New Roman" w:eastAsia="宋体"/>
          <w:sz w:val="21"/>
        </w:rPr>
        <w:t xml:space="preserve">时间: 2026-02-06 | </w:t>
      </w:r>
      <w:r>
        <w:t xml:space="preserve">链接: </w:t>
      </w:r>
      <w:hyperlink r:id="rId41">
        <w:r>
          <w:rPr>
            <w:rFonts w:ascii="Times New Roman" w:hAnsi="Times New Roman" w:eastAsia="宋体"/>
            <w:color w:val="0000FF"/>
            <w:sz w:val="21"/>
            <w:u w:val="single"/>
          </w:rPr>
          <w:t>https://doi.org/10.1038/s41598-026-39138-7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本研究提出了一种可持续的、增值的方法，利用从工业电弧炉粉尘 (EAFD) 废物中回收的 ZnO 来合成高质量氧化锌纳米颗粒 (ZnO NP)。集成的两阶段工艺包括选择性酸浸以进行前体纯化，然后进行水热合成以进行形态控制。使用 2 M H2SO4 进行优化浸出，锌回收率高达 90% 以上，同时有效减少铅污染。随后，系统地改变了关键的水热参数，包括 pH (7-12)、温度 100-200 °C、反应时间 (1-24 小时) 和 NaOH 浓度 (0.5-6 M)。这种优化成功地生产了具有多种、可调形貌的 ZnO 纳米颗粒，包括纳米棒、纳米板和纳米颗粒。 XRD 证实了其高结晶度和相纯度（纤锌矿结构），紫外-可见光谱显示出强烈的紫外吸收，计算出的带隙为 3.34 eV。抗菌活性表明，纳米板形态对金黄色葡萄球菌和大肠杆菌产生了比纳米棒更大的抑制区。这些发现证明了将工业废物升级改造为高性能、形态可控的纳米材料的可行性，为可持续和环保生产铺平了道路。</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sustainable, value-added approach to synthesizing high-quality zinc oxide nanoparticles (ZnO NPs) by utilizing ZnO recovered from industrial electric arc furnace dust (EAFD) waste. The integrated two-stage process involved selective acid leaching for precursor purification, followed by hydrothermal synthesis for morphology control. Optimized leaching using 2 M H2SO4 achieved a high zinc recovery rate of over 90% while effectively minimizing lead contamination. Subsequently, key hydrothermal parameters—including pH (7–12), temperature 100–200 °C, reaction time (1–24 h), and NaOH concentration (0.5–6 M)—were systematically varied. This optimization successfully produced ZnO NPs with diverse, tunable morphologies, including nanorods, nanoplates, and nanogranules. XRD confirmed the high crystallinity and phase purity (wurtzite structure), and UV-Visible spectroscopy showed a strong UV absorption with a calculated band gap of 3.34 eV. The antibacterial activity revealed that the nanoplate morphology produced a larger inhibition zone than the nanorod against both Staphylococcus aureus and Escherichia coli. These findings demonstrate the viability of upcycling industrial waste into high-performance, morphology-controlled nanomaterials, paving the way for sustainable and environmentally friendly production.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纳米 PEEK 和 PEEK-氧化锆复合材料增强丙烯酸树脂义齿基托弯曲强度的体外比较评估</w:t>
      </w:r>
    </w:p>
    <w:p>
      <w:r>
        <w:rPr>
          <w:rFonts w:ascii="Times New Roman" w:hAnsi="Times New Roman" w:eastAsia="宋体"/>
          <w:b/>
          <w:color w:val="003264"/>
          <w:sz w:val="24"/>
        </w:rPr>
        <w:t>In vitro comparative evaluation of the flexural strength of acrylic denture bases reinforced with nano-PEEK and PEEK–zirconia composites</w:t>
      </w:r>
    </w:p>
    <w:p>
      <w:r>
        <w:rPr>
          <w:rFonts w:ascii="Times New Roman" w:hAnsi="Times New Roman" w:eastAsia="宋体"/>
          <w:sz w:val="21"/>
        </w:rPr>
        <w:t>作者: Sara Alrais, Ibrahim Alghoraibi, Alaa Salloum</w:t>
        <w:br/>
      </w:r>
      <w:r>
        <w:rPr>
          <w:rFonts w:ascii="Times New Roman" w:hAnsi="Times New Roman" w:eastAsia="宋体"/>
          <w:sz w:val="21"/>
        </w:rPr>
        <w:t xml:space="preserve">时间: 2026-02-06 | </w:t>
      </w:r>
      <w:r>
        <w:t xml:space="preserve">链接: </w:t>
      </w:r>
      <w:hyperlink r:id="rId57">
        <w:r>
          <w:rPr>
            <w:rFonts w:ascii="Times New Roman" w:hAnsi="Times New Roman" w:eastAsia="宋体"/>
            <w:color w:val="0000FF"/>
            <w:sz w:val="21"/>
            <w:u w:val="single"/>
          </w:rPr>
          <w:t>https://doi.org/10.1038/s41598-026-36102-3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聚甲基丙烯酸甲酯 (PMMA) 是最广泛使用的义齿基托材料，但在功能负载下表现出有限的抗断裂性。本研究研究了掺入氧化锆 (ZrO 2 ) 和聚醚醚酮 (PEEK) 纳米颗粒对 PMMA 结构和机械性能的影响。将 30 个矩形热固化 PMMA 样品（65 × 10 × 2.5 mm）分为三组： C 组（对照）：未改性 PMMA； P组：含有5% PEEK纳米粒子的PMMA； ZP组：具有2.5％ZrO 2 和2.5％PEEK纳米颗粒的混合物的PMMA。通过场发射扫描电子显微镜（FESEM）分析纳米颗粒形态，显示PEEK尺寸在26至100 nm之间，球形ZrO 2 平均直径为47 nm。仅对ZrO 2 进行能量色散X射线光谱测定(EDXS)。 FTIR 分析证实了混合复合材料中的界面结合。通过三点弯曲试验测量弯曲强度。 ZP组表现出最高的弯曲强度（平均值：139.78 MPa），显着优于P组和C组（p &lt; 0.05），P组和C组之间没有显着差异。ZrO 2 和PEEK纳米颗粒的协同添加显着改善了PMMA的机械和结构行为，为提高修复中义齿基托材料的耐久性和临床性能提供了一种有前途的策略。</w:t>
      </w:r>
    </w:p>
    <w:p>
      <w:pPr>
        <w:spacing w:before="120"/>
      </w:pPr>
      <w:r>
        <w:rPr>
          <w:rFonts w:ascii="Times New Roman" w:hAnsi="Times New Roman" w:eastAsia="宋体"/>
          <w:b/>
          <w:sz w:val="21"/>
        </w:rPr>
        <w:t>English Abstract:</w:t>
      </w:r>
    </w:p>
    <w:p>
      <w:r>
        <w:rPr>
          <w:rFonts w:ascii="Times New Roman" w:hAnsi="Times New Roman" w:eastAsia="宋体"/>
          <w:sz w:val="21"/>
        </w:rPr>
        <w:t>Abstract Poly(methyl methacrylate) (PMMA) is the most widely used denture base material but exhibits limited fracture resistance under functional loads. This study investigates the effect of incorporating zirconia (ZrO 2 ) and polyether ether ketone (PEEK) nanoparticles on the structural and mechanical properties of PMMA. Thirty rectangular heat-cured PMMA specimens (65 × 10 × 2.5 mm) were divided into three groups: Group C (control): unmodified PMMA; Group P: PMMA with 5% PEEK nanoparticles; and Group ZP: PMMA with a hybrid of 2.5% ZrO 2 and 2.5% PEEK nanoparticles. Nanoparticle morphology was analyzed by field emission scanning electron microscopy (FESEM), showing PEEK sizes between 26 and 100 nm and spherical ZrO 2 with a mean diameter of 47 nm. Energy-dispersive X-ray spectrometry (EDXS) was performed on ZrO 2 only. FTIR analysis confirmed interfacial bonding in the hybrid composite. Flexural strength was measured via a three-point bending test. The ZP group exhibited the highest flexural strength (mean: 139.78 MPa), significantly outperforming both P and C groups ( p &lt; 0.05), with no significant difference between P and C. The synergistic addition of ZrO 2 and PEEK nanoparticles significantly improved the mechanical and structural behavior of PMMA, offering a promising strategy to enhance durability and clinical performance of denture base materials in prosthodontics.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用于视频序列中暴力检测的轻量级卷积神经网络架构</w:t>
      </w:r>
    </w:p>
    <w:p>
      <w:r>
        <w:rPr>
          <w:rFonts w:ascii="Times New Roman" w:hAnsi="Times New Roman" w:eastAsia="宋体"/>
          <w:b/>
          <w:color w:val="003264"/>
          <w:sz w:val="24"/>
        </w:rPr>
        <w:t>A lightweight convolutional neural network architecture for violence detection in video sequences</w:t>
      </w:r>
    </w:p>
    <w:p>
      <w:r>
        <w:rPr>
          <w:rFonts w:ascii="Times New Roman" w:hAnsi="Times New Roman" w:eastAsia="宋体"/>
          <w:sz w:val="21"/>
        </w:rPr>
        <w:t>作者: Bhawana Tyagi, Richa Jain, Pankaj Jain, R. Naga Priyadarsini, Ashish Sharma</w:t>
        <w:br/>
      </w:r>
      <w:r>
        <w:rPr>
          <w:rFonts w:ascii="Times New Roman" w:hAnsi="Times New Roman" w:eastAsia="宋体"/>
          <w:sz w:val="21"/>
        </w:rPr>
        <w:t xml:space="preserve">时间: 2026-02-06 | </w:t>
      </w:r>
      <w:r>
        <w:t xml:space="preserve">链接: </w:t>
      </w:r>
      <w:hyperlink r:id="rId58">
        <w:r>
          <w:rPr>
            <w:rFonts w:ascii="Times New Roman" w:hAnsi="Times New Roman" w:eastAsia="宋体"/>
            <w:color w:val="0000FF"/>
            <w:sz w:val="21"/>
            <w:u w:val="single"/>
          </w:rPr>
          <w:t>https://doi.org/10.1038/s41598-026-37743-0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政治集会、音乐会和体育场馆等高密度公共环境中的暴力事件不断升级，需要开发计算高效、准确的实时暴力检测框架。从连续监控视频流中及时识别攻击性事件对于启动快速对策至关重要。然而，由于时空场景变化、照明不一致以及处理高维视频数据的密集计算成本，该任务本质上是复杂的。本研究引入了源自 MobileNetV2 的轻量级深度卷积神经网络 (CNN) 架构，通过深度可分离卷积和倒置残差瓶颈进行优化，以在不影响分类效果的情况下实现显着的参数减少。所提出的框架通过提取和预处理帧（224×224分辨率、归一化、增强）来处理视频流，以增强泛化并减轻过度拟合。该模型在两个基准数据集上进行了训练和评估：现实生活暴力情境数据集 (RLVSD) 和曲棍球比赛数据集 (HFD)，涵盖暴力和非暴力序列的平衡类别。实证评估表明性能优越，在 RLVSD 上达到 97% 的准确率，在 HFD 上达到 94% 的准确率，与传统的 CNN 架构相比，在精确度、召回率和 F1 分数方面都有相应的提高。计算分析证实了效率的显着提高，从而能够在资源受限的硬件上以实时帧速率进行推理。所提出的方法表明，优化的轻量级架构可以提供高精度的暴力检测，同时显着降低计算开销。这些特性使得该方法在现实世界的监控系统中具有高度的可部署性。未来的研究将侧重于通过 3D CNN 或基于 Transformer 的模型进行时间特征集成，以及对异构视频源的跨域适应性。</w:t>
      </w:r>
    </w:p>
    <w:p>
      <w:pPr>
        <w:spacing w:before="120"/>
      </w:pPr>
      <w:r>
        <w:rPr>
          <w:rFonts w:ascii="Times New Roman" w:hAnsi="Times New Roman" w:eastAsia="宋体"/>
          <w:b/>
          <w:sz w:val="21"/>
        </w:rPr>
        <w:t>English Abstract:</w:t>
      </w:r>
    </w:p>
    <w:p>
      <w:r>
        <w:rPr>
          <w:rFonts w:ascii="Times New Roman" w:hAnsi="Times New Roman" w:eastAsia="宋体"/>
          <w:sz w:val="21"/>
        </w:rPr>
        <w:t>Abstract The escalation of violent incidents in high-density public environments such as political assemblies, concerts, and sports arenas necessitates the development of computationally efficient and accurate real-time violence detection frameworks. Prompt identification of aggressive events from continuous surveillance video streams is critical for initiating rapid countermeasures. However, the task is inherently complex due to spatiotemporal scene variations, illumination inconsistencies, and the intensive computational cost of processing high-dimensional video data. This study introduces a lightweight deep convolutional neural network (CNN) architecture derived from MobileNetV2, optimized through depthwise separable convolutions and inverted residual bottlenecks to achieve significant parameter reduction without compromising classification efficacy. The proposed framework processes video streams by extracting and preprocessing frames (224 × 224 resolution, normalization, augmentation) to enhance generalization and mitigate overfitting. The model was trained and evaluated on two benchmark datasets: the Real-Life Violence Situations Dataset (RLVSD) and the Hockey Fight Dataset (HFD), encompassing balanced classes of violent and non-violent sequences. Empirical evaluation indicates superior performance, attaining 97% accuracy on RLVSD and 94% on HFD, with corresponding gains in precision, recall, and F1-score compared to conventional CNN architectures. Computational profiling confirms substantial efficiency improvements, enabling inference at real-time frame rates on resource-constrained hardware. The proposed methodology demonstrates that optimized lightweight architectures can deliver high-accuracy violence detection while significantly reducing computational overhead. These characteristics make the approach highly deployable in real-world surveillance systems. Future research will focus on temporal feature integration via 3D CNNs or transformer-based models and cross-domain adaptability to heterogeneous video sources.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通过多模态大语言模型探索师生互动：实证研究</w:t>
      </w:r>
    </w:p>
    <w:p>
      <w:r>
        <w:rPr>
          <w:rFonts w:ascii="Times New Roman" w:hAnsi="Times New Roman" w:eastAsia="宋体"/>
          <w:b/>
          <w:color w:val="003264"/>
          <w:sz w:val="24"/>
        </w:rPr>
        <w:t>Exploring teacher-student interaction through multimodal large language models: an empirical investigation</w:t>
      </w:r>
    </w:p>
    <w:p>
      <w:r>
        <w:rPr>
          <w:rFonts w:ascii="Times New Roman" w:hAnsi="Times New Roman" w:eastAsia="宋体"/>
          <w:sz w:val="21"/>
        </w:rPr>
        <w:t>作者: Guanyu Chen, Guangxin Han, Juan Niu, Juhou He</w:t>
        <w:br/>
      </w:r>
      <w:r>
        <w:rPr>
          <w:rFonts w:ascii="Times New Roman" w:hAnsi="Times New Roman" w:eastAsia="宋体"/>
          <w:sz w:val="21"/>
        </w:rPr>
        <w:t xml:space="preserve">时间: 2026-02-06 | </w:t>
      </w:r>
      <w:r>
        <w:t xml:space="preserve">链接: </w:t>
      </w:r>
      <w:hyperlink r:id="rId59">
        <w:r>
          <w:rPr>
            <w:rFonts w:ascii="Times New Roman" w:hAnsi="Times New Roman" w:eastAsia="宋体"/>
            <w:color w:val="0000FF"/>
            <w:sz w:val="21"/>
            <w:u w:val="single"/>
          </w:rPr>
          <w:t>https://doi.org/10.1038/s41598-026-38626-0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师生互动是课堂学习的核心，但传统的观察和机器学习方法往往效率低下且主观。本研究探讨了使用多模态大语言模型（MLLM）对课堂动态进行系统分析。我们对来自 30 个课堂视频的 2,380 张带注释的图像对 VisualGLM-6B 进行了微调，涵盖五种交互类型：引导、协作、提问、独立和展示。采用基于 LoRA 的微调与即时工程相结合来增强可解释性和特定领域的准确性。通过混淆矩阵、BERTScore 和专家比较来评估模型性能。经过微调的模型总体准确率达到 82%，在引导式、独立式和展示式交互中表现最佳，而协作和提问类型仍然具有挑战性。与专家注释相比，该模型提供了更加结构化和可解释的输出，尽管偶尔仍然存在错误分类和幻觉。这些发现证明了应用 MLLM 对师生互动进行高效、客观分析的可行性，并强调了未来的方向，例如合并音频输入和更大的数据集，以进一步推进教育研究方法。</w:t>
      </w:r>
    </w:p>
    <w:p>
      <w:pPr>
        <w:spacing w:before="120"/>
      </w:pPr>
      <w:r>
        <w:rPr>
          <w:rFonts w:ascii="Times New Roman" w:hAnsi="Times New Roman" w:eastAsia="宋体"/>
          <w:b/>
          <w:sz w:val="21"/>
        </w:rPr>
        <w:t>English Abstract:</w:t>
      </w:r>
    </w:p>
    <w:p>
      <w:r>
        <w:rPr>
          <w:rFonts w:ascii="Times New Roman" w:hAnsi="Times New Roman" w:eastAsia="宋体"/>
          <w:sz w:val="21"/>
        </w:rPr>
        <w:t>Teacher–student interaction is central to classroom learning, yet traditional observation and machine-learning approaches often remain inefficient and subjective. This study explores the use of multimodal large language models (MLLMs) for systematic analysis of classroom dynamics. We fine-tuned VisualGLM-6B on 2,380 annotated images from 30 classroom videos, covering five interaction types: guided, collaborative, questioning, independent, and exhibitive. LoRA-based fine-tuning combined with prompt engineering was employed to enhance interpretability and domain-specific accuracy. Model performance was assessed through confusion matrices, BERTScore, and expert comparisons. The fine-tuned model achieved 82% overall accuracy, performing best on guided, independent, and exhibitive interactions, while collaborative and questioning types remained challenging. Compared with expert annotation, the model provided more structured and interpretable outputs, though occasional misclassifications and hallucinations persisted. These findings demonstrate the feasibility of applying MLLMs for efficient, objective analysis of teacher–student interactions and highlight future directions such as incorporating audio inputs and larger datasets to further advance educational research methodologies.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有问题的互联网用户开发增强的感知处理来抵消冲突监控中的神经缺陷</w:t>
      </w:r>
    </w:p>
    <w:p>
      <w:r>
        <w:rPr>
          <w:rFonts w:ascii="Times New Roman" w:hAnsi="Times New Roman" w:eastAsia="宋体"/>
          <w:b/>
          <w:color w:val="003264"/>
          <w:sz w:val="24"/>
        </w:rPr>
        <w:t>Problematic internet users develop enhanced perceptual processing to offset neural deficits in conflict monitoring</w:t>
      </w:r>
    </w:p>
    <w:p>
      <w:r>
        <w:rPr>
          <w:rFonts w:ascii="Times New Roman" w:hAnsi="Times New Roman" w:eastAsia="宋体"/>
          <w:sz w:val="21"/>
        </w:rPr>
        <w:t>作者: Qiduo Lin, Chih-Mao Huang, Hoi Yan Mak, Bing Li, Hsu-Wen Huang</w:t>
        <w:br/>
      </w:r>
      <w:r>
        <w:rPr>
          <w:rFonts w:ascii="Times New Roman" w:hAnsi="Times New Roman" w:eastAsia="宋体"/>
          <w:sz w:val="21"/>
        </w:rPr>
        <w:t xml:space="preserve">时间: 2026-02-06 | </w:t>
      </w:r>
      <w:r>
        <w:t xml:space="preserve">链接: </w:t>
      </w:r>
      <w:hyperlink r:id="rId60">
        <w:r>
          <w:rPr>
            <w:rFonts w:ascii="Times New Roman" w:hAnsi="Times New Roman" w:eastAsia="宋体"/>
            <w:color w:val="0000FF"/>
            <w:sz w:val="21"/>
            <w:u w:val="single"/>
          </w:rPr>
          <w:t>https://doi.org/10.1038/s41598-026-38111-8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有问题的互联网使用（PIU）对大脑功能的影响已被广泛研究，但信息处理的潜在神经动力学仍不清楚。这项事件相关电位 (ERP) 研究采用了具有一致、中性和不一致条件的数值 Stroop 任务来检查 PIU 和正常对照个体在多级处理阶段的促进（一致 - 中性）和干扰（不一致 - 中性）效应。进行群体层面和个体层面的分析来表征不同的神经模式和变异性。尽管各组之间的行为表现具有可比性，但 ERP 结果却显示出差异。 PIU 组表现出 N450 干扰效应降低，这一发现与冲突监测受损相一致。值得注意的是，这种神经缺陷并没有损害行为表现，表明需要采用替代的信息处理策略。此外，ERP 促进效应与 PIU 严重程度呈正相关，表明 PIU 个体可能在整个处理阶段更严重地依赖物理刺激特征。这种注意力偏差与 N100 成分中观察到的早期知觉敏感性增强的模式一致。总的来说，这些发现表明，尽管冲突监控存在缺陷，PIU 患者仍可以利用补偿性注意力机制来维持表现。这项研究为 PIU 信息处理的神经结构提供了新颖的见解，强调了该人群中潜在的补偿策略。</w:t>
      </w:r>
    </w:p>
    <w:p>
      <w:pPr>
        <w:spacing w:before="120"/>
      </w:pPr>
      <w:r>
        <w:rPr>
          <w:rFonts w:ascii="Times New Roman" w:hAnsi="Times New Roman" w:eastAsia="宋体"/>
          <w:b/>
          <w:sz w:val="21"/>
        </w:rPr>
        <w:t>English Abstract:</w:t>
      </w:r>
    </w:p>
    <w:p>
      <w:r>
        <w:rPr>
          <w:rFonts w:ascii="Times New Roman" w:hAnsi="Times New Roman" w:eastAsia="宋体"/>
          <w:sz w:val="21"/>
        </w:rPr>
        <w:t>Problematic internet use (PIU) has been extensively studied for its impact on brain function, yet the underlying neural dynamics of information processing remain unclear. This event-related potential (ERP) study employed a numerical Stroop task with congruent, neutral, and incongruent conditions to examine facilitation (congruent–neutral) and interference (incongruent–neutral) effects across multilevel processing stages in individuals with PIU and normal controls. Both group-level and individual-level analyses were conducted to characterize distinct neural patterns and variability. Although behavioral performance was comparable between groups, ERP results revealed differences. The PIU group showed a reduced N450 interference effect, a finding consistent with impaired conflict monitoring. Notably, this neural deficit did not compromise behavioral performance, suggesting the engagement of alternative information processing strategies. Furthermore, ERP facilitation effects were positively correlated with PIU severity, indicate that individuals with PIU may rely more heavily on physical stimulus features across processing stages. This attentional bias aligns with a pattern of heightened early perceptual sensitivity observed in the N100 component. Collectively, these findings suggest that despite deficits in conflict monitoring, individuals with PIU may utilize compensatory attentional mechanisms to maintain performance. This study offers novel insights into the neural architecture of information processing in PIU, highlighting potential compensatory strategies within this population.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冬小麦叶片相关酵母菌群落及其对杀菌剂的敏感性</w:t>
      </w:r>
    </w:p>
    <w:p>
      <w:r>
        <w:rPr>
          <w:rFonts w:ascii="Times New Roman" w:hAnsi="Times New Roman" w:eastAsia="宋体"/>
          <w:b/>
          <w:color w:val="003264"/>
          <w:sz w:val="24"/>
        </w:rPr>
        <w:t>Yeast community associated with winter wheat leaves and its sensitivity to fungicides</w:t>
      </w:r>
    </w:p>
    <w:p>
      <w:r>
        <w:rPr>
          <w:rFonts w:ascii="Times New Roman" w:hAnsi="Times New Roman" w:eastAsia="宋体"/>
          <w:sz w:val="21"/>
        </w:rPr>
        <w:t>作者: Helena Randmäe, Regina Pütsepp, Lee Põllumaa, Kersti Kristjuhan, Kersti Lilleväli, Andres Mäe, Riinu Kiiker, Tiina Tamm, Arnold Kristjuhan</w:t>
        <w:br/>
      </w:r>
      <w:r>
        <w:rPr>
          <w:rFonts w:ascii="Times New Roman" w:hAnsi="Times New Roman" w:eastAsia="宋体"/>
          <w:sz w:val="21"/>
        </w:rPr>
        <w:t xml:space="preserve">时间: 2026-02-06 | </w:t>
      </w:r>
      <w:r>
        <w:t xml:space="preserve">链接: </w:t>
      </w:r>
      <w:hyperlink r:id="rId61">
        <w:r>
          <w:rPr>
            <w:rFonts w:ascii="Times New Roman" w:hAnsi="Times New Roman" w:eastAsia="宋体"/>
            <w:color w:val="0000FF"/>
            <w:sz w:val="21"/>
            <w:u w:val="single"/>
          </w:rPr>
          <w:t>https://doi.org/10.1038/s41598-026-38648-8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栖息在植物叶圈中的微生物群落在植物健康中发挥着重要作用，但它们对农用化学品的反应仍未得到充分研究。了解杀菌剂的作用对于制定可持续的疾病管理策略至关重要，该策略可在有效控制病原体的同时保留有益的微生物多样性。本研究旨在表征与冬小麦叶片相关的酵母菌群，并评估其对传统农业中使用的杀菌剂的敏感性。从 454 个分离株中总共鉴定出 34 个酵母菌种，其中 98% 属于担子菌门。 Sporobolomyces Roseus 是优势种，而 Vishniacozyma spp.巴布耶瓦红酵母 (Rhodotorula babjevae) 也很常见。在植被期内，三个物种的丰度呈现出时间变化。杀菌剂敏感性分析显示，非目标酵母比小麦发酵菌（引起小麦斑枯病的病原体）对常用杀菌剂（如甲氟康唑、脱硫丙硫菌唑、唑菌胺酯和嘧菌酯）更敏感。相比之下，芬吡沙胺表现出最低的脱靶效应，同时对小麦小麦保持高度活性。这些发现凸显了小麦叶际生态的复杂性以及杀菌剂使用潜在的意外后果。</w:t>
      </w:r>
    </w:p>
    <w:p>
      <w:pPr>
        <w:spacing w:before="120"/>
      </w:pPr>
      <w:r>
        <w:rPr>
          <w:rFonts w:ascii="Times New Roman" w:hAnsi="Times New Roman" w:eastAsia="宋体"/>
          <w:b/>
          <w:sz w:val="21"/>
        </w:rPr>
        <w:t>English Abstract:</w:t>
      </w:r>
    </w:p>
    <w:p>
      <w:r>
        <w:rPr>
          <w:rFonts w:ascii="Times New Roman" w:hAnsi="Times New Roman" w:eastAsia="宋体"/>
          <w:sz w:val="21"/>
        </w:rPr>
        <w:t>Microbial communities inhabiting the plant phyllosphere play an important role in plant health, yet their responses to agricultural chemicals remain understudied. Understanding the effect of fungicides is crucial for developing sustainable disease management strategies that preserve beneficial microbial diversity alongside effective pathogen control. This study aimed to characterise the yeast community associated with winter wheat leaves and to assess its sensitivity to fungicides used in conventional agriculture. A total of 34 yeast species were identified from 454 isolates, with 98% belonging to the phylum Basidiomycota. Sporobolomyces roseus was the dominant species, while Vishniacozyma spp. and Rhodotorula babjevae were also frequent. During the vegetation period, the abundance of three species exhibited temporal variation. Fungicide sensitivity profiling revealed that non-target yeasts were more sensitive than Zymoseptoria tritici, the pathogen responsible for septoria tritici blotch, to commonly applied fungicides such as mefentrifluconazole, prothioconazole-desthio, pyraclostrobin, and azoxystrobin. In contrast, fenpicoxamid exhibited the lowest off-target effect while remaining highly active against Z. tritici. These findings highlight the ecological complexity of the wheat phyllosphere and the potential unintended consequences of fungicide use.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UPLC-MS/MS 化学计量分析揭示索多玛苹果 (Calotropis procera (Aiton) W.T.) 的代谢特征和抗炎潜力</w:t>
      </w:r>
    </w:p>
    <w:p>
      <w:r>
        <w:rPr>
          <w:rFonts w:ascii="Times New Roman" w:hAnsi="Times New Roman" w:eastAsia="宋体"/>
          <w:b/>
          <w:color w:val="003264"/>
          <w:sz w:val="24"/>
        </w:rPr>
        <w:t>Unveiling the metabolic profile and anti-inflammatory potential of apple of Sodom (Calotropis procera (Aiton) W.T.) by UPLC–MS/MS chemometric analysis</w:t>
      </w:r>
    </w:p>
    <w:p>
      <w:r>
        <w:rPr>
          <w:rFonts w:ascii="Times New Roman" w:hAnsi="Times New Roman" w:eastAsia="宋体"/>
          <w:sz w:val="21"/>
        </w:rPr>
        <w:t>作者: Alaa A. El-Banna, Reham S. Ibrahim, Doaa A. Ghareeb, Sarah M. Nassief</w:t>
        <w:br/>
      </w:r>
      <w:r>
        <w:rPr>
          <w:rFonts w:ascii="Times New Roman" w:hAnsi="Times New Roman" w:eastAsia="宋体"/>
          <w:sz w:val="21"/>
        </w:rPr>
        <w:t xml:space="preserve">时间: 2026-02-06 | </w:t>
      </w:r>
      <w:r>
        <w:t xml:space="preserve">链接: </w:t>
      </w:r>
      <w:hyperlink r:id="rId62">
        <w:r>
          <w:rPr>
            <w:rFonts w:ascii="Times New Roman" w:hAnsi="Times New Roman" w:eastAsia="宋体"/>
            <w:color w:val="0000FF"/>
            <w:sz w:val="21"/>
            <w:u w:val="single"/>
          </w:rPr>
          <w:t>https://doi.org/10.1038/s41598-025-33542-1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Calotropis procera，通常被称为所多玛的苹果，是一种多年生灌木，以其生态作用和在传统医学中的广泛用途而闻名。本研究旨在利用超高效液相色谱-串联质谱 (UPLC-MS/MS) 和多元统计技术，探讨 C. procera 不同器官提取物（特别是茎、叶、花、果实和种子）之间的植物化学变异性。综合分析确定了 112 种不同的植物成分，并在不同器官的提取物中观察到独特的特征。该研究通过检查这些提取物对脂多糖 (LPS) 刺激的人白细胞中关键促炎细胞因子（TNF-α、IL-1β、IL-6 和 INF-γ）基因表达的影响，进一步评估了这些提取物的抗炎潜力。结果表明，花和果实提取物显着下调 IL-1β 表达至低于吡罗昔康的水平，表明其具有良好的炎症抑制功效。潜在结构正交投影 (OPLS) 系数图表明，二甲氧基肉桂酸甲酯、乙烯氧基丁醇、二苯甲酸丁二醇酯、焦特菌酸和乌尔索酮是造成这种功效的关键生物标志物。这项研究强调了C. procera 的药理学意义，为其传统医学应用提供了科学基础。这些发现强调了进一步研究其生物活性化合物的机制途径及其对开发新型抗炎疗法的意义的必要性。</w:t>
      </w:r>
    </w:p>
    <w:p>
      <w:pPr>
        <w:spacing w:before="120"/>
      </w:pPr>
      <w:r>
        <w:rPr>
          <w:rFonts w:ascii="Times New Roman" w:hAnsi="Times New Roman" w:eastAsia="宋体"/>
          <w:b/>
          <w:sz w:val="21"/>
        </w:rPr>
        <w:t>English Abstract:</w:t>
      </w:r>
    </w:p>
    <w:p>
      <w:r>
        <w:rPr>
          <w:rFonts w:ascii="Times New Roman" w:hAnsi="Times New Roman" w:eastAsia="宋体"/>
          <w:sz w:val="21"/>
        </w:rPr>
        <w:t>Abstract Calotropis procera , commonly referred to as the apple of Sodom, is a perennial shrub, notable for its ecological role and extensive use in traditional medicine. This study aims to explore the phytochemical variability among different organs’ extracts of C. procera , specifically stems, leaves, flowers, fruits, and seeds, using ultra-performance liquid chromatography-tandem mass spectrometry (UPLC–MS/MS) and multivariate statistical techniques. A comprehensive analysis identified 112 distinct phytoconstituents, with unique profiles observed across the various organs’ extracts. The study further assessed the anti-inflammatory potential of these extracts by examining their effects on the gene expression of key pro-inflammatory cytokines (TNF-α, IL-1β, IL-6, and INF-γ) in lipopolysaccharide (LPS)-stimulated human white blood cells. Results indicate that the extracts from flowers and fruits significantly downregulated IL-1β expression to levels lower than those exhibited by piroxicam, indicating their proficient inflammation inhibitory efficacy. Orthogonal Projection to Latent Structures (OPLS) coefficient plots unraveled that methyldimethoxycinnamate, vinyloxybutanol, butanediol dibenzoate, pyroterebic acid and ursenone are the key biomarkers accountable for this efficacy. This research underscores C. procera 's pharmacological significance, providing a scientific foundation for its traditional medicinal applications. The findings highlight the necessity for further investigations into the mechanistic pathways of its bioactive compounds and their implications for developing novel anti-inflammatory therapies.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利用双路径特征和熵注意力融合对热轧带钢表面缺陷进行高精度分类</w:t>
      </w:r>
    </w:p>
    <w:p>
      <w:r>
        <w:rPr>
          <w:rFonts w:ascii="Times New Roman" w:hAnsi="Times New Roman" w:eastAsia="宋体"/>
          <w:b/>
          <w:color w:val="003264"/>
          <w:sz w:val="24"/>
        </w:rPr>
        <w:t>High precision classification of hot rolled strip steel surface defects using dual path features and entropy attention fusion</w:t>
      </w:r>
    </w:p>
    <w:p>
      <w:r>
        <w:rPr>
          <w:rFonts w:ascii="Times New Roman" w:hAnsi="Times New Roman" w:eastAsia="宋体"/>
          <w:sz w:val="21"/>
        </w:rPr>
        <w:t>作者: Yuanlin Wang, Yiming Lu, Fenghua Zhu, Guangyue Du, Zheng Li</w:t>
        <w:br/>
      </w:r>
      <w:r>
        <w:rPr>
          <w:rFonts w:ascii="Times New Roman" w:hAnsi="Times New Roman" w:eastAsia="宋体"/>
          <w:sz w:val="21"/>
        </w:rPr>
        <w:t xml:space="preserve">时间: 2026-02-06 | </w:t>
      </w:r>
      <w:r>
        <w:t xml:space="preserve">链接: </w:t>
      </w:r>
      <w:hyperlink r:id="rId63">
        <w:r>
          <w:rPr>
            <w:rFonts w:ascii="Times New Roman" w:hAnsi="Times New Roman" w:eastAsia="宋体"/>
            <w:color w:val="0000FF"/>
            <w:sz w:val="21"/>
            <w:u w:val="single"/>
          </w:rPr>
          <w:t>https://doi.org/10.1038/s41598-025-31683-x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在工业热轧带钢表面缺陷检测的背景下，实时性能和分类精度的要求至关重要，我们提出了 EAF-DenseNet121——一种结合了边缘熵注意机制的轻量级增强模型。在 DenseNet121 架构之初，我们结合了一个可学习的基于 Sobel 的边缘提取分支，该分支旨在自适应地精确描绘缺陷轮廓。我们设计了熵注意力融合（EAF）模块来进一步完善模型的性能。该模块构建了一个四维张量，整合了主要特征图、边缘图及其相应的局部熵图。通过应用双路径通道和空间注意力，我们实现了信息的加权融合，从而丰富了特征表示。 EAF 模块取代了 DenseNet 框架中的三个关键卷积层——紧接在初始卷积之后以及第一和第二转换层之后。这种替换增强了特征表示，而附加参数的增加可以忽略不计，从而显着提高了缺陷识别和分类准确性。我们在 NEU-DET 数据集上获得的实验结果表明，增强模型的分类准确率达到 99.17%，比基线提高了 2.78%。此外，在GC10-DET数据集上，该模型实现了82.89%的分类准确率，进一步验证了其强大的泛化能力。</w:t>
      </w:r>
    </w:p>
    <w:p>
      <w:pPr>
        <w:spacing w:before="120"/>
      </w:pPr>
      <w:r>
        <w:rPr>
          <w:rFonts w:ascii="Times New Roman" w:hAnsi="Times New Roman" w:eastAsia="宋体"/>
          <w:b/>
          <w:sz w:val="21"/>
        </w:rPr>
        <w:t>English Abstract:</w:t>
      </w:r>
    </w:p>
    <w:p>
      <w:r>
        <w:rPr>
          <w:rFonts w:ascii="Times New Roman" w:hAnsi="Times New Roman" w:eastAsia="宋体"/>
          <w:sz w:val="21"/>
        </w:rPr>
        <w:t>In the context of industrial hot-rolled strip steel surface defect detection, where the demands for real-time performance and classification accuracy are paramount, we present EAF-DenseNet121–a lightweight, enhanced model that incorporates edge-entropy attention mechanisms. At the inception of the DenseNet121 architecture, we incorporate a learnable Sobel-based edge extraction branch, which is designed to adaptively delineate defect contours with precision. We have designed an Entropy-Attention Fusion (EAF) module to further refine the model’s performance. This module constructs a four-dimensional tensor, integrating the primary feature map, edge map, and their corresponding local entropy maps. By applying dual-path channel-wise and spatial attention, we achieve a weighted fusion of information, thereby enriching the feature representation. The EAF module replaces three pivotal convolutional layers within the DenseNet framework–immediately following the initial convolution and subsequent to the first and second Transition layers. This replacement enhances feature representation with a negligible increase in additional parameters, leading to a substantial improvement in defect recognition and classification accuracy. Our experimental results, obtained on the NEU-DET dataset, reveal that the enhanced model achieves a classification accuracy of 99.17%, representing an improvement of 2.78% over the baseline. Furthermore, on the GC10-DET dataset, the model achieves a classification accuracy of 82.89%, further validating its strong generalization capabilities.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评估工程高等教育中人工智能驱动的学习助手对学生参与、道德和政策的影响</w:t>
      </w:r>
    </w:p>
    <w:p>
      <w:r>
        <w:rPr>
          <w:rFonts w:ascii="Times New Roman" w:hAnsi="Times New Roman" w:eastAsia="宋体"/>
          <w:b/>
          <w:color w:val="003264"/>
          <w:sz w:val="24"/>
        </w:rPr>
        <w:t>Evaluating AI-powered learning assistants in engineering higher education with implications for student engagement, ethics, and policy</w:t>
      </w:r>
    </w:p>
    <w:p>
      <w:r>
        <w:rPr>
          <w:rFonts w:ascii="Times New Roman" w:hAnsi="Times New Roman" w:eastAsia="宋体"/>
          <w:sz w:val="21"/>
        </w:rPr>
        <w:t>作者: Ramteja Sajja, Yusuf Sermet, Brian Fodale, Ibrahim Demir</w:t>
        <w:br/>
      </w:r>
      <w:r>
        <w:rPr>
          <w:rFonts w:ascii="Times New Roman" w:hAnsi="Times New Roman" w:eastAsia="宋体"/>
          <w:sz w:val="21"/>
        </w:rPr>
        <w:t xml:space="preserve">时间: 2026-02-06 | </w:t>
      </w:r>
      <w:r>
        <w:t xml:space="preserve">链接: </w:t>
      </w:r>
      <w:hyperlink r:id="rId64">
        <w:r>
          <w:rPr>
            <w:rFonts w:ascii="Times New Roman" w:hAnsi="Times New Roman" w:eastAsia="宋体"/>
            <w:color w:val="0000FF"/>
            <w:sz w:val="21"/>
            <w:u w:val="single"/>
          </w:rPr>
          <w:t>https://doi.org/10.1038/s41598-026-39237-5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随着生成式人工智能越来越多地融入高等教育，了解学生如何使用这些技术对于负责任地采用这些技术至关重要。本研究评估了教育人工智能中心（Educational AI Hub），这是一个人工智能驱动的学习框架，在一所大型 R1 公立大学的本科土木和环境工程课程中实施。该研究采用混合方法设计，结合事前和事后调查、系统使用日志以及学生人工智能交互的定性分析，考察了对信任、道德、可用性和学习成果的看法。调查结果显示，学生们看重人工智能助手的易用性和舒适性，近一半的学生表示使用它比向教师或助教寻求帮助更容易。该工具对于完成作业和理解概念最有帮助，尽管对其教学质量的看法不一。道德不确定性，特别是围绕机构政策和学术诚信的不确定性，成为全面参与的主要障碍。总体而言，学生们将人工智能视为人类教学的补充而不是替代。该研究强调了可用性、道德透明度和教师指导在促进有意义的人工智能参与方面的重要性。共有 71 名学生参与了两门课程，产生了 600 多次 AI 互动和 100 份调查回复，提供了有关学习参与度的定量和情境见解。</w:t>
      </w:r>
    </w:p>
    <w:p>
      <w:pPr>
        <w:spacing w:before="120"/>
      </w:pPr>
      <w:r>
        <w:rPr>
          <w:rFonts w:ascii="Times New Roman" w:hAnsi="Times New Roman" w:eastAsia="宋体"/>
          <w:b/>
          <w:sz w:val="21"/>
        </w:rPr>
        <w:t>English Abstract:</w:t>
      </w:r>
    </w:p>
    <w:p>
      <w:r>
        <w:rPr>
          <w:rFonts w:ascii="Times New Roman" w:hAnsi="Times New Roman" w:eastAsia="宋体"/>
          <w:sz w:val="21"/>
        </w:rPr>
        <w:t>As generative AI becomes increasingly integrated into higher education, understanding how students engage with these technologies is essential for responsible adoption. This study evaluates the Educational AI Hub, an AI-powered learning framework, implemented in undergraduate civil and environmental engineering courses at a large R1 public university. Using a mixed-methods design combining pre- and post-surveys, system usage logs, and qualitative analysis of students’ AI interactions, the research examines perceptions of trust, ethics, usability, and learning outcomes. Findings show that students valued the AI assistant for its accessibility and comfort, with nearly half reporting greater ease using it than seeking help from instructors or teaching assistants. The tool was most helpful for completing homework and understanding concepts, though views on its instructional quality were mixed. Ethical uncertainty, particularly around institutional policy and academic integrity, emerged as a key barrier to full engagement. Overall, students regarded AI as a supplement rather than a replacement for human instruction. The study highlights the importance of usability, ethical transparency, and faculty guidance in promoting meaningful AI engagement. A total of 71 students participated across two courses, generating over 600 AI interactions and 100 survey responses that provided both quantitative and contextual insights into learning engagement.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预测性混合扫描到 BIM 方法可提高遗产建筑文档的完整性和准确性</w:t>
      </w:r>
    </w:p>
    <w:p>
      <w:r>
        <w:rPr>
          <w:rFonts w:ascii="Times New Roman" w:hAnsi="Times New Roman" w:eastAsia="宋体"/>
          <w:b/>
          <w:color w:val="003264"/>
          <w:sz w:val="24"/>
        </w:rPr>
        <w:t>Predictive hybrid scan-to-BIM method improves heritage building documentation completeness and accuracy</w:t>
      </w:r>
    </w:p>
    <w:p>
      <w:r>
        <w:rPr>
          <w:rFonts w:ascii="Times New Roman" w:hAnsi="Times New Roman" w:eastAsia="宋体"/>
          <w:sz w:val="21"/>
        </w:rPr>
        <w:t>作者: Rnin Salah, Nóra Géczy, Kitti Ajtayné Károlyfi</w:t>
        <w:br/>
      </w:r>
      <w:r>
        <w:rPr>
          <w:rFonts w:ascii="Times New Roman" w:hAnsi="Times New Roman" w:eastAsia="宋体"/>
          <w:sz w:val="21"/>
        </w:rPr>
        <w:t xml:space="preserve">时间: 2026-02-06 | </w:t>
      </w:r>
      <w:r>
        <w:t xml:space="preserve">链接: </w:t>
      </w:r>
      <w:hyperlink r:id="rId83">
        <w:r>
          <w:rPr>
            <w:rFonts w:ascii="Times New Roman" w:hAnsi="Times New Roman" w:eastAsia="宋体"/>
            <w:color w:val="0000FF"/>
            <w:sz w:val="21"/>
            <w:u w:val="single"/>
          </w:rPr>
          <w:t>https://doi.org/10.1038/s41598-026-38200-8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不完整的测量数据通常会损害建筑信息模型 (BIM) 的可靠性，特别是对于访问受限和几何形状复杂的结构。本研究展示了一种混合扫描到 BIM 工作流程，该工作流程集成了地面激光扫描 (TLS) 和无人机 (UAV) 摄影测量，在预测可行性概念的支持下，可提高文档的准确性和完整性。两阶段策略在教堂案例研究中得到了验证。第一阶段结合了 TLS 和地面摄影测量，由于严重遮挡和有限的扫描仪放置，仅实现了 54% 的覆盖率。这些结果导致了预测扫描可行性估计模型 (PSFEM) 的制定，该模型旨在将扫描仪范围、间隙角度和建筑物高度等特定地点的参数概括为未来调查的决策支持工具。在认识到第一阶段局限性的指导下，第二阶段纳入了无人机摄影测量和补充 TLS，将覆盖率提高到 96%。比较分析证实了准确性的一致性并提高了几何完整性。虽然 PSFEM 是根据第一阶段确定的局限性回顾性开发的，但其分析验证证明了预测规划在减少冗余现场访问和增强 BIM 可靠性方面的潜在价值。所提出的框架为在遗产和复杂建筑文档中应用预测混合工作流程提供了可转移的基础。该工作流程为扫描到 BIM 文档提供了一种实用且可扩展的方法，适用于遗产以及其他复杂建筑，可实现高精度和完整性，同时有效管理时间和资源。</w:t>
      </w:r>
    </w:p>
    <w:p>
      <w:pPr>
        <w:spacing w:before="120"/>
      </w:pPr>
      <w:r>
        <w:rPr>
          <w:rFonts w:ascii="Times New Roman" w:hAnsi="Times New Roman" w:eastAsia="宋体"/>
          <w:b/>
          <w:sz w:val="21"/>
        </w:rPr>
        <w:t>English Abstract:</w:t>
      </w:r>
    </w:p>
    <w:p>
      <w:r>
        <w:rPr>
          <w:rFonts w:ascii="Times New Roman" w:hAnsi="Times New Roman" w:eastAsia="宋体"/>
          <w:sz w:val="21"/>
        </w:rPr>
        <w:t>Abstract Incomplete survey data often undermines the reliability of Building Information Models (BIM), particularly for structures with restricted access and complex geometries. This study demonstrates a hybrid Scan-to-BIM workflow that integrates terrestrial laser scanning (TLS) and unmanned aerial vehicle (UAV) photogrammetry, supported by a predictive feasibility concept, to improve documentation accuracy and completeness. A two-phase strategy was validated on a chapel case study. Phase 1, combining TLS and ground-based photogrammetry, achieved only 54% coverage due to severe occlusions and limited scanner placement. These results led to the formulation of a Predictive Scan Feasibility Estimation Model (PSFEM), designed to generalize site-specific parameters such as scanner range, clearance angle, and building height into a decision-support tool for future surveys. Guided by the recognition of Phase 1 limitations, Phase 2 incorporated UAV photogrammetry and supplemental TLS, increasing coverage to 96%. Comparative analyses confirmed consistency in accuracy and improved geometric completeness. While the PSFEM was developed retrospectively based on the limitations identified in Phase 1, its analytical validation demonstrates the potential value of predictive planning for reducing redundant site visits and enhancing BIM reliability. The proposed framework provides a transferable basis for applying predictive hybrid workflows in both heritage and complex building documentation. This workflow offers a practical and scalable method for Scan-to-BIM documentation, applicable to heritage as well as other complex buildings, enabling high accuracy and completeness while effectively managing time and resources.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利用未染色胶原切片散射光的新型组织学观察方法</w:t>
      </w:r>
    </w:p>
    <w:p>
      <w:r>
        <w:rPr>
          <w:rFonts w:ascii="Times New Roman" w:hAnsi="Times New Roman" w:eastAsia="宋体"/>
          <w:b/>
          <w:color w:val="003264"/>
          <w:sz w:val="24"/>
        </w:rPr>
        <w:t>Novel histological observation method using the scattered light of unstained collagen sections</w:t>
      </w:r>
    </w:p>
    <w:p>
      <w:r>
        <w:rPr>
          <w:rFonts w:ascii="Times New Roman" w:hAnsi="Times New Roman" w:eastAsia="宋体"/>
          <w:sz w:val="21"/>
        </w:rPr>
        <w:t>作者: Marika Otaki, Mihoko Shimano, Yuta Asano, Tomoko Shindo, Nobuko Moritoki, Yushi Suzuki, Kento Takaya, Tatsuyuki Ishii, Imari Sato, Kazuo Kishi</w:t>
        <w:br/>
      </w:r>
      <w:r>
        <w:rPr>
          <w:rFonts w:ascii="Times New Roman" w:hAnsi="Times New Roman" w:eastAsia="宋体"/>
          <w:sz w:val="21"/>
        </w:rPr>
        <w:t xml:space="preserve">时间: 2026-02-06 | </w:t>
      </w:r>
      <w:r>
        <w:t xml:space="preserve">链接: </w:t>
      </w:r>
      <w:hyperlink r:id="rId84">
        <w:r>
          <w:rPr>
            <w:rFonts w:ascii="Times New Roman" w:hAnsi="Times New Roman" w:eastAsia="宋体"/>
            <w:color w:val="0000FF"/>
            <w:sz w:val="21"/>
            <w:u w:val="single"/>
          </w:rPr>
          <w:t>https://doi.org/10.1038/s41598-026-38504-9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胶原纤维是结缔组织（例如皮肤、骨骼和肌腱）的重要组成部分。它们的形态和排列对于理解组织功能和病理学至关重要。胶原纤维通常使用光学显微镜、电子显微镜以及二次谐波显微镜来观察。本研究介绍了一种新颖的显微成像技术，即散射角分辨生物成像 (SARB)，该技术利用未染色样本的散射特性。 SARB 基于传统光学显微镜，具有结构化照明模块，可将棋盘格图案投射到样品上。这样可以采集按散射角分开的图像，从而实现散射特性的可视化。我们将 SARB 和电子显微镜应用于小鼠皮肤的薄的、未染色的福尔马林固定、石蜡包埋 (FFPE) 切片。 SARB 成功识别了胶原纤维束的位置并揭示了其中的散射信息。重要的是，这些散射模式与胶原原纤维的方向相关，正如在透射电子显微镜图像中观察到的那样。使用未染色的 FFPE 切片简化了样品制备，具有实际优势。此外，SARB 还提供了使用传统光学显微镜通常难以获得的精细结构信息。这些发现表明，SARB 作为评估纤维化的无标记、形态敏感的成像方法具有强大的潜力。</w:t>
      </w:r>
    </w:p>
    <w:p>
      <w:pPr>
        <w:spacing w:before="120"/>
      </w:pPr>
      <w:r>
        <w:rPr>
          <w:rFonts w:ascii="Times New Roman" w:hAnsi="Times New Roman" w:eastAsia="宋体"/>
          <w:b/>
          <w:sz w:val="21"/>
        </w:rPr>
        <w:t>English Abstract:</w:t>
      </w:r>
    </w:p>
    <w:p>
      <w:r>
        <w:rPr>
          <w:rFonts w:ascii="Times New Roman" w:hAnsi="Times New Roman" w:eastAsia="宋体"/>
          <w:sz w:val="21"/>
        </w:rPr>
        <w:t>Collagen fibers are significant constituents of connective tissues such as the skin, bone, and tendons. Their morphology and alignment are essential for understanding tissue function and pathology. Collagen fibers are conventionally observed using optical and electron microscopy, and Second-harmonic generation microscopy. This study introduces a novel microscopic imaging technique, Scattering Angle-Resolved Bioimaging (SARB), which utilizes the scattering properties of unstained specimens. The SARB is based on a conventional optical microscope with a structured illumination module that projects a checker pattern onto the sample. This allows the acquisition of images separated by the scattering angle, enabling the visualization of the scattering characteristics. We applied SARB and electron microscopy to thin, unstained formalin-fixed, paraffin-embedded (FFPE) sections of mouse skin. SARB successfully identified the location of collagen fiber bundles and revealed the scattering information within them. Importantly, these scattering patterns correlated with the orientation of the collagen fibrils, as observed in Transmission Electron Microscopy images. The use of unstained FFPE sections simplifies sample preparation, offering a practical advantage. Additionally, SARB provides access to fine structural information that is often difficult to obtain using conventional optical microscopy. These findings suggest that SARB has strong potential as a label-free, morphology-sensitive imaging method for evaluating fibrosis.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考虑季节性变化的饮用水中三卤甲烷的风险评估</w:t>
      </w:r>
    </w:p>
    <w:p>
      <w:r>
        <w:rPr>
          <w:rFonts w:ascii="Times New Roman" w:hAnsi="Times New Roman" w:eastAsia="宋体"/>
          <w:b/>
          <w:color w:val="003264"/>
          <w:sz w:val="24"/>
        </w:rPr>
        <w:t>Risk assessment of trihalomethanes in drinking water with seasonal variation considerations</w:t>
      </w:r>
    </w:p>
    <w:p>
      <w:r>
        <w:rPr>
          <w:rFonts w:ascii="Times New Roman" w:hAnsi="Times New Roman" w:eastAsia="宋体"/>
          <w:sz w:val="21"/>
        </w:rPr>
        <w:t>作者: Gihan Hosny, Ashraf Elden, Samar Aborhyem</w:t>
        <w:br/>
      </w:r>
      <w:r>
        <w:rPr>
          <w:rFonts w:ascii="Times New Roman" w:hAnsi="Times New Roman" w:eastAsia="宋体"/>
          <w:sz w:val="21"/>
        </w:rPr>
        <w:t xml:space="preserve">时间: 2026-02-06 | </w:t>
      </w:r>
      <w:r>
        <w:t xml:space="preserve">链接: </w:t>
      </w:r>
      <w:hyperlink r:id="rId89">
        <w:r>
          <w:rPr>
            <w:rFonts w:ascii="Times New Roman" w:hAnsi="Times New Roman" w:eastAsia="宋体"/>
            <w:color w:val="0000FF"/>
            <w:sz w:val="21"/>
            <w:u w:val="single"/>
          </w:rPr>
          <w:t>https://doi.org/10.1038/s41598-025-30481-9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这项研究评估了亚历山大港七个地区夏季和冬季饮用水中三卤甲烷 (THM) 的浓度，并评估了相关的癌症风险。三卤甲烷是水氯化的副产品，因其潜在的致癌性而闻名。使用带有电子捕获检测器 (GC-ECD) 的气相色谱法分析了总共 35 个饮用水样品，以确定氯仿 (CF)、溴二氯甲烷 (BDCM)、二溴氯甲烷 (DBCM) 和溴仿 (BF) 的浓度。结果显示显着的季节性变化。 2 区夏季浓度最高（150 µg/L），7 区冬季浓度最高（196 µg/L）。危害指数 (HI) 计算表明，氯仿对非致癌风险的贡献最大，Region-7 冬季的 HI 为 0.5698，而 Region-2 夏季的 HI 为 0.4843。使用 USEPA 方法进行的致癌风险评估显示，终生癌症风险显着超过可接受的阈值 1 × 10−6，年平均总癌症风险为 67.027 × 10−6。这些结果凸显了亚历山大迫切需要采用先进的水处理方法，例如臭氧和紫外线消毒，优化氯剂量，并加强日常监测，以确保符合安全标准并保护公众健康，为亚历山大居民提供更安全的饮用水和更好的健康结果。</w:t>
      </w:r>
    </w:p>
    <w:p>
      <w:pPr>
        <w:spacing w:before="120"/>
      </w:pPr>
      <w:r>
        <w:rPr>
          <w:rFonts w:ascii="Times New Roman" w:hAnsi="Times New Roman" w:eastAsia="宋体"/>
          <w:b/>
          <w:sz w:val="21"/>
        </w:rPr>
        <w:t>English Abstract:</w:t>
      </w:r>
    </w:p>
    <w:p>
      <w:r>
        <w:rPr>
          <w:rFonts w:ascii="Times New Roman" w:hAnsi="Times New Roman" w:eastAsia="宋体"/>
          <w:sz w:val="21"/>
        </w:rPr>
        <w:t>This study evaluated the concentrations of trihalomethanes (THMs) in Alexandria’s drinking water across seven districts during summer and winter, and assessed the associated cancer risks. THMs, byproducts of water chlorination, are known for their potential carcinogenicity. A total of 35 drinking water samples were analyzed using gas chromatography with an electron capture detector (GC-ECD) to determine the concentrations of chloroform (CF), bromodichloromethane (BDCM), dibromochloromethane (DBCM), and bromoform (BF). The results revealed significant seasonal variations. Region-2 recorded the highest summer concentration (150 µg/L), while Region-7 had the highest winter concentration (196 µg/L). Hazard index (HI) calculations indicated that chloroform contributed the most to non-carcinogenic risks, with Region-7 recording an HI of 0.5698 in winter, while Region-2 showed a summer HI of 0.4843. Carcinogenic risk assessments using the USEPA methodology showed lifetime cancer risks significantly exceeding the acceptable threshold of 1 × 10−6, with an annual average total cancer risk of 67.027 × 10−6. These outcomes highlight the critical need for Alexandria to adopt advanced water treatment methods, such as ozonation and UV disinfection, optimize chlorine dosing, and strengthen routine monitoring to ensure compliance with safety standards and protect public health to safer drinking water and better health outcomes for Alexandria’s residents.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Janus纳米粒子功能化的细菌纳米纤维素膜：制备及其在鸡肉保鲜和安全中的应用</w:t>
      </w:r>
    </w:p>
    <w:p>
      <w:r>
        <w:rPr>
          <w:rFonts w:ascii="Times New Roman" w:hAnsi="Times New Roman" w:eastAsia="宋体"/>
          <w:b/>
          <w:color w:val="003264"/>
          <w:sz w:val="24"/>
        </w:rPr>
        <w:t>Bacterial nanocellulose films functionalized with Janus nanoparticles: Preparation and application in chicken meat preservation and safety</w:t>
      </w:r>
    </w:p>
    <w:p>
      <w:r>
        <w:rPr>
          <w:rFonts w:ascii="Times New Roman" w:hAnsi="Times New Roman" w:eastAsia="宋体"/>
          <w:sz w:val="21"/>
        </w:rPr>
        <w:t>作者: Negar Alizadeh, Mehran Moradi, Rahim Molaei, Roghayieh Razavi</w:t>
        <w:br/>
      </w:r>
      <w:r>
        <w:rPr>
          <w:rFonts w:ascii="Times New Roman" w:hAnsi="Times New Roman" w:eastAsia="宋体"/>
          <w:sz w:val="21"/>
        </w:rPr>
        <w:t xml:space="preserve">时间: 2026-02-06 | </w:t>
      </w:r>
      <w:r>
        <w:t xml:space="preserve">链接: </w:t>
      </w:r>
      <w:hyperlink r:id="rId97">
        <w:r>
          <w:rPr>
            <w:rFonts w:ascii="Times New Roman" w:hAnsi="Times New Roman" w:eastAsia="宋体"/>
            <w:color w:val="0000FF"/>
            <w:sz w:val="21"/>
            <w:u w:val="single"/>
          </w:rPr>
          <w:t>https://doi.org/10.1038/s41598-026-39029-x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Janus 纳米粒子 (JPs) 由疏水性碳点和羧甲基纤维素通过异位法制备，并以 0.01%、0.02% 和 0.03% 的浓度掺入细菌纳米纤维素 (BNC) 膜中。细胞毒性试验表明，JPs 仅在浓度高于 5 mg/mL 时才对人胃癌细胞产生毒性作用。傅里叶变换红外光谱证实了 JP 的成功合并，且不干扰 BNC 网络。 JPs的掺入降低了薄膜的拉伸强度和断裂伸长率，但以浓度依赖性方式提高了BNC的自由基清除活性。含有0.01％、0.02％和0.03％JP的BNC膜对鼠伤寒沙门氏菌的抑菌圈直径分别为17.1mm、20.7mm和27.5mm。应用于鸡胸肉后，所有处理过的样品均表现出对鼠伤寒沙门氏菌的抑制作用，如第 16 天没有检测到的水平所示。对于 BNC-JPs 样品，观察到嗜温细菌计数显着减少，在 JP 0.01%、0.02% 和 0.03% 时，减少了 3.2、4.6 和 5.6 log₁₀ CFU/g，分别。 BNC-JPs 处理的样品还具有较低的挥发性含氮化合物和脂质氧化水平。这些发现凸显了 BNC-JP 薄膜作为具有商业潜力的绿色活性食品包装材料的潜力。</w:t>
      </w:r>
    </w:p>
    <w:p>
      <w:pPr>
        <w:spacing w:before="120"/>
      </w:pPr>
      <w:r>
        <w:rPr>
          <w:rFonts w:ascii="Times New Roman" w:hAnsi="Times New Roman" w:eastAsia="宋体"/>
          <w:b/>
          <w:sz w:val="21"/>
        </w:rPr>
        <w:t>English Abstract:</w:t>
      </w:r>
    </w:p>
    <w:p>
      <w:r>
        <w:rPr>
          <w:rFonts w:ascii="Times New Roman" w:hAnsi="Times New Roman" w:eastAsia="宋体"/>
          <w:sz w:val="21"/>
        </w:rPr>
        <w:t>Janus nanoparticles (JPs) were prepared from hydrophobic carbon dots and carboxymethylcellulose via an ex-situ method, and incorporated into bacterial nanocellulose (BNC) films at concentrations of 0.01%, 0.02%, and 0.03%. Cytotoxicity test revealed a toxic effect of JPs on human gastric cancer cells only at concentrations above 5 mg/mL. Fourier transform infrared spectroscopy confirmed the successful incorporation of JPs without interfering with BNC network. JPs incorporation reduced the tensile strength and elongation at break of the films but improved the radical scavenging activity of BNC in a concentration-dependent manner. The diameters of inhibition zones for BNC films containing 0.01%, 0.02%, and 0.03% JPs against Salmonella Typhimurium were 17.1 mm, 20.7 mm, and 27.5 mm, respectively. Upon application to chicken breast meat, all treated samples exhibited an inhibitory effect on S. Typhimurium, as indicated by the absence of detectable levels on day 16. For BNC-JPs samples, a notable decrease in mesophilic bacterial counts was observed, representing reductions of 3.2, 4.6, and 5.6 log₁₀ CFU/g at JP 0.01%, 0.02%, and 0.03%, respectively. The BNC-JPs-treated samples also had lower volatile nitrogenous compounds and lipid oxidation levels. These findings highlight the potential of BNC-JPs films as green, active food packaging materials with commercial potential.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基于结构的建模揭示了 CYP153A6 对甲苯衍生物的新颖活性的分子基础</w:t>
      </w:r>
    </w:p>
    <w:p>
      <w:r>
        <w:rPr>
          <w:rFonts w:ascii="Times New Roman" w:hAnsi="Times New Roman" w:eastAsia="宋体"/>
          <w:b/>
          <w:color w:val="003264"/>
          <w:sz w:val="24"/>
        </w:rPr>
        <w:t>Structure-based modeling reveals molecular basis for CYP153A6’s novel activity toward toluene derivatives</w:t>
      </w:r>
    </w:p>
    <w:p>
      <w:r>
        <w:rPr>
          <w:rFonts w:ascii="Times New Roman" w:hAnsi="Times New Roman" w:eastAsia="宋体"/>
          <w:sz w:val="21"/>
        </w:rPr>
        <w:t>作者: Yao Wei, Silvia Donzella, Sara Foiadelli, Francesco Molinari, Uliano Guerrini, Ivano Eberini</w:t>
        <w:br/>
      </w:r>
      <w:r>
        <w:rPr>
          <w:rFonts w:ascii="Times New Roman" w:hAnsi="Times New Roman" w:eastAsia="宋体"/>
          <w:sz w:val="21"/>
        </w:rPr>
        <w:t xml:space="preserve">时间: 2026-02-06 | </w:t>
      </w:r>
      <w:r>
        <w:t xml:space="preserve">链接: </w:t>
      </w:r>
      <w:hyperlink r:id="rId98">
        <w:r>
          <w:rPr>
            <w:rFonts w:ascii="Times New Roman" w:hAnsi="Times New Roman" w:eastAsia="宋体"/>
            <w:color w:val="0000FF"/>
            <w:sz w:val="21"/>
            <w:u w:val="single"/>
          </w:rPr>
          <w:t>https://doi.org/10.1038/s41598-026-38986-7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来自分枝杆菌的 CYP153A6。菌株 HXN-1500 是一种单加氧酶，可催化各种烷烃中末端甲基的选择性羟基化。本研究探讨了 CYP153A6 对一组甲苯衍生物的活性以及潜在的分子识别。使用全细胞和无细胞提取物进行的 CYP153A6 活性的初步体内评估显示，具有非极性或弱极性取代基的甲苯衍生物可有效转化，而带有更多极性基团的衍生物则没有观察到可检测到的活性。建立并验证了 CYP153A6 3D 结构的同源模型，揭示了关键的结构特征和分子隧道。使用整体对接策略来确定最有效的对接设置。分子动力学模拟和结合自由能计算进一步证实了活性位点的疏水性。 QM/MM 计算支持了对氯甲苯和对硝基甲苯之间观察到的不同反应性。芳环上带有羟基或硝基的甲苯衍生物表现出降低的结合亲和力，在甲基和酶的血红素铁中心之间采用不利的方向和非生产性距离。这些计算结果与实验数据一致。总体而言，本研究为 CYP153A6 分子识别机制提供了有价值的见解，并为未来蛋白质工程扩展 CYP153A6 酶底物范围和/或提高产品产量奠定了坚实的基础。</w:t>
      </w:r>
    </w:p>
    <w:p>
      <w:pPr>
        <w:spacing w:before="120"/>
      </w:pPr>
      <w:r>
        <w:rPr>
          <w:rFonts w:ascii="Times New Roman" w:hAnsi="Times New Roman" w:eastAsia="宋体"/>
          <w:b/>
          <w:sz w:val="21"/>
        </w:rPr>
        <w:t>English Abstract:</w:t>
      </w:r>
    </w:p>
    <w:p>
      <w:r>
        <w:rPr>
          <w:rFonts w:ascii="Times New Roman" w:hAnsi="Times New Roman" w:eastAsia="宋体"/>
          <w:sz w:val="21"/>
        </w:rPr>
        <w:t>CYP153A6 from Mycobacterium sp. strain HXN-1500 is a monooxygenase that catalyzes the selective hydroxylation of terminal methyl groups in various alkanes. This study explored CYP153A6 activity towards a set of toluene derivatives, along with the underlying molecular recognition. Initial in vivo evaluation of CYP153A6 activity, conducted using both whole cells and cell-free extracts, showed efficient conversion of toluene derivatives with apolar or slightly polar substituents, while no detectable activity was observed for derivatives bearing more polar groups. A homology model of CYP153A6 3D structure was built and validated, revealing key structural features and molecular tunnels. An ensemble docking strategy was used to identify the most effective docking setup. Molecular dynamics simulations and binding free energy calculations further confirmed the hydrophobic nature of the active site. QM/MM calculations supported the different reactivity observed between p-chlorotoluene and p-nitrotoluene. Toluene derivatives bearing a hydroxyl or nitro group on the aromatic ring exhibit reduced binding affinity, adopting unfavorable orientations and non-productive distances between the methyl group and the enzyme’s heme iron center. These computational findings agree with experimental data. Overall, this study provides valuable insights into CYP153A6 molecular recognition mechanism and lay a strong foundation for future protein engineering to extend CYP153A6 enzyme substrate scope and/or enhance the product yield.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来自马来西亚多种族队列的服用达比加群的心房颤动患者的 ABCB1 和 CES1 的药物基因组学分析</w:t>
      </w:r>
    </w:p>
    <w:p>
      <w:r>
        <w:rPr>
          <w:rFonts w:ascii="Times New Roman" w:hAnsi="Times New Roman" w:eastAsia="宋体"/>
          <w:b/>
          <w:color w:val="003264"/>
          <w:sz w:val="24"/>
        </w:rPr>
        <w:t>Pharmacogenomic profiling of ABCB1 and CES1 in atrial fibrillation patients on dabigatran from a multiethnic Malaysian cohort</w:t>
      </w:r>
    </w:p>
    <w:p>
      <w:r>
        <w:rPr>
          <w:rFonts w:ascii="Times New Roman" w:hAnsi="Times New Roman" w:eastAsia="宋体"/>
          <w:sz w:val="21"/>
        </w:rPr>
        <w:t>作者: Shirley Siang Ning Tan, Edmund Ui-Hang Sim, Timothy Adrian Jinam, Melissa Siaw Han Lim, Cassandra Sheau Mei Chee, Lawrence Anchah, Saiful Shakirin Rosli, Beatrice Bangie Desmond Sateng, Jerry Gerunsin, Lee Len Tiong, Alan Yean Yip Fong</w:t>
        <w:br/>
      </w:r>
      <w:r>
        <w:rPr>
          <w:rFonts w:ascii="Times New Roman" w:hAnsi="Times New Roman" w:eastAsia="宋体"/>
          <w:sz w:val="21"/>
        </w:rPr>
        <w:t xml:space="preserve">时间: 2026-02-06 | </w:t>
      </w:r>
      <w:r>
        <w:t xml:space="preserve">链接: </w:t>
      </w:r>
      <w:hyperlink r:id="rId99">
        <w:r>
          <w:rPr>
            <w:rFonts w:ascii="Times New Roman" w:hAnsi="Times New Roman" w:eastAsia="宋体"/>
            <w:color w:val="0000FF"/>
            <w:sz w:val="21"/>
            <w:u w:val="single"/>
          </w:rPr>
          <w:t>https://doi.org/10.1038/s41598-026-38856-2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由于其疗效和安全性，直接口服抗凝剂 (DOAC) 是治疗房颤 (AF) 的首选药物，但反应的变异性引起了人们对固定剂量方案的担忧。本研究在马来西亚多种族队列中调查了 ABCB1 和 CES1 基因多态性与达比加群谷药物水平 (DL)、凝血时间 (CT) 和临床结果之间的关联。使用 Illumina MiSeq 平台对总共 180 名达比加群 AF 患者的 ABCB1 和 CES1 基因的全长进行了测序。分别通过 LC-MS/MS 和粘弹性测定 (Clotpro®) 测量达比加群的谷浓度和凝血时间。对患者进行为期一年的随访，以评估主要不良心脑血管事件（MACCE）。平均达比加群水平为 34.7 ± 45.4 ng/ml（CV：130%），凝血时间为 374.6 ± 207.9 s（CV：55.5%）。谷值水平与凝血时间显着相关（r = 0.663，p &lt; 0.001）。 ABCB1 和 CES1 中的多个非编码变体显示出与药物水平 (35 个 SNP) 和/或凝血时间 (32 个 SNP) 的名义关联（未经调整的 p &lt; 0.05），尽管在错误发现率校正后没有一个保持统计学显着性。共有 17 个 SNP 重叠，并且与两者相关。总体而言，这些发现表明非编码调控变异可能导致达比加群药代动力学和药效学的个体间变异，但结果是探索性的，需要在更大的队列中复制。这项研究强调了人群特异性药物基因组学研究对于未来个性化抗凝策略研究的重要性。</w:t>
      </w:r>
    </w:p>
    <w:p>
      <w:pPr>
        <w:spacing w:before="120"/>
      </w:pPr>
      <w:r>
        <w:rPr>
          <w:rFonts w:ascii="Times New Roman" w:hAnsi="Times New Roman" w:eastAsia="宋体"/>
          <w:b/>
          <w:sz w:val="21"/>
        </w:rPr>
        <w:t>English Abstract:</w:t>
      </w:r>
    </w:p>
    <w:p>
      <w:r>
        <w:rPr>
          <w:rFonts w:ascii="Times New Roman" w:hAnsi="Times New Roman" w:eastAsia="宋体"/>
          <w:sz w:val="21"/>
        </w:rPr>
        <w:t>Direct oral anticoagulants (DOACs) are preferred for atrial fibrillation (AF) due to their efficacy and safety, though response variabilities raises concerns about fixed-dose regimens. This study investigates the association between ABCB1 and CES1 genetic polymorphisms with Dabigatran trough drug levels (DL), clotting time (CT), and clinical outcomes in a multiethnic Malaysian cohort. A total of 180 AF patients in Dabigatran were sequenced across the entire length of ABCB1 and CES1 genes using the Illumina MiSeq platform. Trough Dabigatran levels and clotting time were measured by LC-MS/MS and viscoelastic assay (Clotpro®), respectively. Patients were followed up for one year to assess major adverse cardiovascular and cerebrovascular events (MACCE). The mean dabigatran level was 34.7 ± 45.4 ng/ml (CV: 130%), and clotting time was 374.6 ± 207.9 s (CV: 55.5%). Trough levels were significantly correlated with clotting time (r = 0.663, p &lt; 0.001). Multiple non-coding variants in ABCB1 and CES1 showed nominal associations (unadjusted p &lt; 0.05) with drug level (35 SNPs) and/or clotting time (32 SNPs), although none remained statistically significant after false discovery rate correction. A total of 17 SNPs overlapped, and were associated with both. Overall, these findings suggest that non-coding regulatory variation may contribute to inter-individual variability in dabigatran pharmacokinetics and pharmacodynamics, but the results are exploratory and require replication in larger cohorts. This study highlights the importance of population-specific pharmacogenomic research for future investigations on personalized anticoagulation strategies.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00:29 ---</w:t>
      </w:r>
    </w:p>
    <w:p>
      <w:pPr>
        <w:pStyle w:val="Heading2"/>
      </w:pPr>
      <w:r/>
      <w:r>
        <w:rPr>
          <w:rFonts w:ascii="Times New Roman" w:hAnsi="Times New Roman" w:eastAsia="宋体"/>
          <w:b/>
          <w:color w:val="000000"/>
          <w:sz w:val="24"/>
        </w:rPr>
        <w:t>通过同轴红外-蓝色混合激光在铝/铜焊接接头中实现卓越的强度-韧性协同作用</w:t>
      </w:r>
    </w:p>
    <w:p>
      <w:r>
        <w:rPr>
          <w:rFonts w:ascii="Times New Roman" w:hAnsi="Times New Roman" w:eastAsia="宋体"/>
          <w:b/>
          <w:color w:val="003264"/>
          <w:sz w:val="24"/>
        </w:rPr>
        <w:t>Achieving exceptional strength-toughness synergy in aluminum/copper welded joint by coaxial infrared-blue hybrid laser</w:t>
      </w:r>
    </w:p>
    <w:p>
      <w:r>
        <w:rPr>
          <w:rFonts w:ascii="Times New Roman" w:hAnsi="Times New Roman" w:eastAsia="宋体"/>
          <w:sz w:val="21"/>
        </w:rPr>
        <w:t>作者: Tian Li, Mingjun Zhang, Wang Zeng, Longzhou Dai, Bo Cheng, Ying Niu, Qiang Guo, Kaiming Wang, Heqing Li, Xiang Wu, Xiaochun Liu, Rong Huang</w:t>
        <w:br/>
      </w:r>
      <w:r>
        <w:rPr>
          <w:rFonts w:ascii="Times New Roman" w:hAnsi="Times New Roman" w:eastAsia="宋体"/>
          <w:sz w:val="21"/>
        </w:rPr>
        <w:t xml:space="preserve">时间: 2026-06-01 | </w:t>
      </w:r>
      <w:r>
        <w:t xml:space="preserve">链接: </w:t>
      </w:r>
      <w:hyperlink r:id="rId42">
        <w:r>
          <w:rPr>
            <w:rFonts w:ascii="Times New Roman" w:hAnsi="Times New Roman" w:eastAsia="宋体"/>
            <w:color w:val="0000FF"/>
            <w:sz w:val="21"/>
            <w:u w:val="single"/>
          </w:rPr>
          <w:t>https://doi.org/10.1016/j.optlastec.2026.114739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空气中双光纤光阱的可控双稳态</w:t>
      </w:r>
    </w:p>
    <w:p>
      <w:r>
        <w:rPr>
          <w:rFonts w:ascii="Times New Roman" w:hAnsi="Times New Roman" w:eastAsia="宋体"/>
          <w:b/>
          <w:color w:val="003264"/>
          <w:sz w:val="24"/>
        </w:rPr>
        <w:t>Controllable bistability in dual-fiber optical trap in air</w:t>
      </w:r>
    </w:p>
    <w:p>
      <w:r>
        <w:rPr>
          <w:rFonts w:ascii="Times New Roman" w:hAnsi="Times New Roman" w:eastAsia="宋体"/>
          <w:sz w:val="21"/>
        </w:rPr>
        <w:t>作者: Aoxi Chen, Xinlin Chen, Siyuan Rao, Hui An, Yingying Song, Tengfang Kuang, Wei Xiong, Xiang Han, Zhongqi Tan, Guangzong Xiao, Hui Luo</w:t>
        <w:br/>
      </w:r>
      <w:r>
        <w:rPr>
          <w:rFonts w:ascii="Times New Roman" w:hAnsi="Times New Roman" w:eastAsia="宋体"/>
          <w:sz w:val="21"/>
        </w:rPr>
        <w:t xml:space="preserve">时间: 2026-06-01 | </w:t>
      </w:r>
      <w:r>
        <w:t xml:space="preserve">链接: </w:t>
      </w:r>
      <w:hyperlink r:id="rId43">
        <w:r>
          <w:rPr>
            <w:rFonts w:ascii="Times New Roman" w:hAnsi="Times New Roman" w:eastAsia="宋体"/>
            <w:color w:val="0000FF"/>
            <w:sz w:val="21"/>
            <w:u w:val="single"/>
          </w:rPr>
          <w:t>https://doi.org/10.1016/j.optlastec.2026.114869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钇铝石榴石光化学机械抛光中紫外诱导高效化学反应速率和加工效率的机理</w:t>
      </w:r>
    </w:p>
    <w:p>
      <w:r>
        <w:rPr>
          <w:rFonts w:ascii="Times New Roman" w:hAnsi="Times New Roman" w:eastAsia="宋体"/>
          <w:b/>
          <w:color w:val="003264"/>
          <w:sz w:val="24"/>
        </w:rPr>
        <w:t>The mechanism of UV-induced efficient chemical reaction rate and processing efficiency in photochemical mechanical polishing of yttrium aluminum garnet</w:t>
      </w:r>
    </w:p>
    <w:p>
      <w:r>
        <w:rPr>
          <w:rFonts w:ascii="Times New Roman" w:hAnsi="Times New Roman" w:eastAsia="宋体"/>
          <w:sz w:val="21"/>
        </w:rPr>
        <w:t>作者: Xingchen Guo, Zhigang Dong, Renke Kang, Shang Gao</w:t>
        <w:br/>
      </w:r>
      <w:r>
        <w:rPr>
          <w:rFonts w:ascii="Times New Roman" w:hAnsi="Times New Roman" w:eastAsia="宋体"/>
          <w:sz w:val="21"/>
        </w:rPr>
        <w:t xml:space="preserve">时间: 2026-06-01 | </w:t>
      </w:r>
      <w:r>
        <w:t xml:space="preserve">链接: </w:t>
      </w:r>
      <w:hyperlink r:id="rId44">
        <w:r>
          <w:rPr>
            <w:rFonts w:ascii="Times New Roman" w:hAnsi="Times New Roman" w:eastAsia="宋体"/>
            <w:color w:val="0000FF"/>
            <w:sz w:val="21"/>
            <w:u w:val="single"/>
          </w:rPr>
          <w:t>https://doi.org/10.1016/j.optlastec.2026.114898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化学微流体辅助激光诱导等离子体微钻孔2.5D C/SiC复合材料性能评价</w:t>
      </w:r>
    </w:p>
    <w:p>
      <w:r>
        <w:rPr>
          <w:rFonts w:ascii="Times New Roman" w:hAnsi="Times New Roman" w:eastAsia="宋体"/>
          <w:b/>
          <w:color w:val="003264"/>
          <w:sz w:val="24"/>
        </w:rPr>
        <w:t>Performance evaluation of 2.5D C/SiC composite by chemical micro fluid assisted laser induced plasma micro-drilling</w:t>
      </w:r>
    </w:p>
    <w:p>
      <w:r>
        <w:rPr>
          <w:rFonts w:ascii="Times New Roman" w:hAnsi="Times New Roman" w:eastAsia="宋体"/>
          <w:sz w:val="21"/>
        </w:rPr>
        <w:t>作者: Junwei Yan, Jingyuan Xu, Bo Hao, Yi Xu, Li Zhang</w:t>
        <w:br/>
      </w:r>
      <w:r>
        <w:rPr>
          <w:rFonts w:ascii="Times New Roman" w:hAnsi="Times New Roman" w:eastAsia="宋体"/>
          <w:sz w:val="21"/>
        </w:rPr>
        <w:t xml:space="preserve">时间: 2026-06-01 | </w:t>
      </w:r>
      <w:r>
        <w:t xml:space="preserve">链接: </w:t>
      </w:r>
      <w:hyperlink r:id="rId45">
        <w:r>
          <w:rPr>
            <w:rFonts w:ascii="Times New Roman" w:hAnsi="Times New Roman" w:eastAsia="宋体"/>
            <w:color w:val="0000FF"/>
            <w:sz w:val="21"/>
            <w:u w:val="single"/>
          </w:rPr>
          <w:t>https://doi.org/10.1016/j.optlastec.2026.114897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基于瓣移键控结构光束的集成光学无线定位和多用户通信</w:t>
      </w:r>
    </w:p>
    <w:p>
      <w:r>
        <w:rPr>
          <w:rFonts w:ascii="Times New Roman" w:hAnsi="Times New Roman" w:eastAsia="宋体"/>
          <w:b/>
          <w:color w:val="003264"/>
          <w:sz w:val="24"/>
        </w:rPr>
        <w:t>Integrated optical wireless positioning and multi-user communication based on petal-shift keying structured beams</w:t>
      </w:r>
    </w:p>
    <w:p>
      <w:r>
        <w:rPr>
          <w:rFonts w:ascii="Times New Roman" w:hAnsi="Times New Roman" w:eastAsia="宋体"/>
          <w:sz w:val="21"/>
        </w:rPr>
        <w:t>作者: Haoyu Huang, Meixia Ma, You Wu, Syed Agha Hassnain Mohsan, Dongmei Deng, Qian Li, H.Y. Fu</w:t>
        <w:br/>
      </w:r>
      <w:r>
        <w:rPr>
          <w:rFonts w:ascii="Times New Roman" w:hAnsi="Times New Roman" w:eastAsia="宋体"/>
          <w:sz w:val="21"/>
        </w:rPr>
        <w:t xml:space="preserve">时间: 2026-06-01 | </w:t>
      </w:r>
      <w:r>
        <w:t xml:space="preserve">链接: </w:t>
      </w:r>
      <w:hyperlink r:id="rId68">
        <w:r>
          <w:rPr>
            <w:rFonts w:ascii="Times New Roman" w:hAnsi="Times New Roman" w:eastAsia="宋体"/>
            <w:color w:val="0000FF"/>
            <w:sz w:val="21"/>
            <w:u w:val="single"/>
          </w:rPr>
          <w:t>https://doi.org/10.1016/j.optlastec.2026.114861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工艺参数对皮秒激光表面织构激光熔覆WC-Ni复合涂层尺寸和形貌的影响</w:t>
      </w:r>
    </w:p>
    <w:p>
      <w:r>
        <w:rPr>
          <w:rFonts w:ascii="Times New Roman" w:hAnsi="Times New Roman" w:eastAsia="宋体"/>
          <w:b/>
          <w:color w:val="003264"/>
          <w:sz w:val="24"/>
        </w:rPr>
        <w:t>Effect of process parameters on the dimension and morphology of laser cladded WC-Ni composite coatings prepared by picosecond laser surface texturing</w:t>
      </w:r>
    </w:p>
    <w:p>
      <w:r>
        <w:rPr>
          <w:rFonts w:ascii="Times New Roman" w:hAnsi="Times New Roman" w:eastAsia="宋体"/>
          <w:sz w:val="21"/>
        </w:rPr>
        <w:t>作者: Guangpei Lin, Guangyuan Yu, Zhaobing Cai, Le Gu, Zhen Dong, Peng Zhang, Qiwei Wang, Jun Wang, Xingchen Yan, Bingwen Lu</w:t>
        <w:br/>
      </w:r>
      <w:r>
        <w:rPr>
          <w:rFonts w:ascii="Times New Roman" w:hAnsi="Times New Roman" w:eastAsia="宋体"/>
          <w:sz w:val="21"/>
        </w:rPr>
        <w:t xml:space="preserve">时间: 2026-06-01 | </w:t>
      </w:r>
      <w:r>
        <w:t xml:space="preserve">链接: </w:t>
      </w:r>
      <w:hyperlink r:id="rId69">
        <w:r>
          <w:rPr>
            <w:rFonts w:ascii="Times New Roman" w:hAnsi="Times New Roman" w:eastAsia="宋体"/>
            <w:color w:val="0000FF"/>
            <w:sz w:val="21"/>
            <w:u w:val="single"/>
          </w:rPr>
          <w:t>https://doi.org/10.1016/j.optlastec.2026.114874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一种新型的基于楔块的激光光机系统二维运动控制逆运动学算法</w:t>
      </w:r>
    </w:p>
    <w:p>
      <w:r>
        <w:rPr>
          <w:rFonts w:ascii="Times New Roman" w:hAnsi="Times New Roman" w:eastAsia="宋体"/>
          <w:b/>
          <w:color w:val="003264"/>
          <w:sz w:val="24"/>
        </w:rPr>
        <w:t>A novel wedges-based laser optomechanical system 2D motion control inverse kinematic algorithm</w:t>
      </w:r>
    </w:p>
    <w:p>
      <w:r>
        <w:rPr>
          <w:rFonts w:ascii="Times New Roman" w:hAnsi="Times New Roman" w:eastAsia="宋体"/>
          <w:sz w:val="21"/>
        </w:rPr>
        <w:t>作者: Muyang Ye, Zhennan Tian, Boyan Jiang, Lefeng Ye, Xiaoling Liu, Yongjie Zhao, Gongyu Liu, Haohua Xiu, Hao Nan Li</w:t>
        <w:br/>
      </w:r>
      <w:r>
        <w:rPr>
          <w:rFonts w:ascii="Times New Roman" w:hAnsi="Times New Roman" w:eastAsia="宋体"/>
          <w:sz w:val="21"/>
        </w:rPr>
        <w:t xml:space="preserve">时间: 2026-06-01 | </w:t>
      </w:r>
      <w:r>
        <w:t xml:space="preserve">链接: </w:t>
      </w:r>
      <w:hyperlink r:id="rId85">
        <w:r>
          <w:rPr>
            <w:rFonts w:ascii="Times New Roman" w:hAnsi="Times New Roman" w:eastAsia="宋体"/>
            <w:color w:val="0000FF"/>
            <w:sz w:val="21"/>
            <w:u w:val="single"/>
          </w:rPr>
          <w:t>https://doi.org/10.1016/j.optlastec.2026.114875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飞秒激光辐照下Invar 36合金的烧蚀特性及材料去除机制</w:t>
      </w:r>
    </w:p>
    <w:p>
      <w:r>
        <w:rPr>
          <w:rFonts w:ascii="Times New Roman" w:hAnsi="Times New Roman" w:eastAsia="宋体"/>
          <w:b/>
          <w:color w:val="003264"/>
          <w:sz w:val="24"/>
        </w:rPr>
        <w:t>Ablation characteristics and material removal mechanism of Invar 36 alloy under femtosecond laser irradiation</w:t>
      </w:r>
    </w:p>
    <w:p>
      <w:r>
        <w:rPr>
          <w:rFonts w:ascii="Times New Roman" w:hAnsi="Times New Roman" w:eastAsia="宋体"/>
          <w:sz w:val="21"/>
        </w:rPr>
        <w:t>作者: Zhenda Wang, Xiaohong Lu, Yuhang Tian, Hao Wang, Steven Y. Liang</w:t>
        <w:br/>
      </w:r>
      <w:r>
        <w:rPr>
          <w:rFonts w:ascii="Times New Roman" w:hAnsi="Times New Roman" w:eastAsia="宋体"/>
          <w:sz w:val="21"/>
        </w:rPr>
        <w:t xml:space="preserve">时间: 2026-06-01 | </w:t>
      </w:r>
      <w:r>
        <w:t xml:space="preserve">链接: </w:t>
      </w:r>
      <w:hyperlink r:id="rId86">
        <w:r>
          <w:rPr>
            <w:rFonts w:ascii="Times New Roman" w:hAnsi="Times New Roman" w:eastAsia="宋体"/>
            <w:color w:val="0000FF"/>
            <w:sz w:val="21"/>
            <w:u w:val="single"/>
          </w:rPr>
          <w:t>https://doi.org/10.1016/j.optlastec.2026.114878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用于U2G自由空间光通信的具有混合开关技术的光纤阵列波束形成和调制方案</w:t>
      </w:r>
    </w:p>
    <w:p>
      <w:r>
        <w:rPr>
          <w:rFonts w:ascii="Times New Roman" w:hAnsi="Times New Roman" w:eastAsia="宋体"/>
          <w:b/>
          <w:color w:val="003264"/>
          <w:sz w:val="24"/>
        </w:rPr>
        <w:t>Fiber-array beamforming and modulation scheme with hybrid switching techniques for U2G-free space optical communication</w:t>
      </w:r>
    </w:p>
    <w:p>
      <w:r>
        <w:rPr>
          <w:rFonts w:ascii="Times New Roman" w:hAnsi="Times New Roman" w:eastAsia="宋体"/>
          <w:sz w:val="21"/>
        </w:rPr>
        <w:t>作者: Tanzeel Ur Rahman, Guijun Li, Farman Ali, Adnan Daud Khan, Akhtar Rehman, Zhengbiao Ouyang, Haleem Afsar, Ali Alshamrani, Mardeni Roslee</w:t>
        <w:br/>
      </w:r>
      <w:r>
        <w:rPr>
          <w:rFonts w:ascii="Times New Roman" w:hAnsi="Times New Roman" w:eastAsia="宋体"/>
          <w:sz w:val="21"/>
        </w:rPr>
        <w:t xml:space="preserve">时间: 2026-06-01 | </w:t>
      </w:r>
      <w:r>
        <w:t xml:space="preserve">链接: </w:t>
      </w:r>
      <w:hyperlink r:id="rId100">
        <w:r>
          <w:rPr>
            <w:rFonts w:ascii="Times New Roman" w:hAnsi="Times New Roman" w:eastAsia="宋体"/>
            <w:color w:val="0000FF"/>
            <w:sz w:val="21"/>
            <w:u w:val="single"/>
          </w:rPr>
          <w:t>https://doi.org/10.1016/j.optlastec.2026.114787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 CS-PMAA 功能的气球形 Mach-Zehnder 光纤传感器，用于水中痕量 Cr(VI) 检测</w:t>
      </w:r>
    </w:p>
    <w:p>
      <w:r>
        <w:rPr>
          <w:rFonts w:ascii="Times New Roman" w:hAnsi="Times New Roman" w:eastAsia="宋体"/>
          <w:b/>
          <w:color w:val="003264"/>
          <w:sz w:val="24"/>
        </w:rPr>
        <w:t>Balloon-Shaped Mach-Zehnder fiber sensor functionalized with CS-PMAA for trace Cr(VI) detection in water</w:t>
      </w:r>
    </w:p>
    <w:p>
      <w:r>
        <w:rPr>
          <w:rFonts w:ascii="Times New Roman" w:hAnsi="Times New Roman" w:eastAsia="宋体"/>
          <w:sz w:val="21"/>
        </w:rPr>
        <w:t>作者: Jingkun Shi, Wenlong Yang, Yuanyuan Ren, Yu Wang, Liuyang Zhang, Shuang Yu, Rui Pan, Dong Yan, Wenjie Zhao</w:t>
        <w:br/>
      </w:r>
      <w:r>
        <w:rPr>
          <w:rFonts w:ascii="Times New Roman" w:hAnsi="Times New Roman" w:eastAsia="宋体"/>
          <w:sz w:val="21"/>
        </w:rPr>
        <w:t xml:space="preserve">时间: 2026-06-01 | </w:t>
      </w:r>
      <w:r>
        <w:t xml:space="preserve">链接: </w:t>
      </w:r>
      <w:hyperlink r:id="rId101">
        <w:r>
          <w:rPr>
            <w:rFonts w:ascii="Times New Roman" w:hAnsi="Times New Roman" w:eastAsia="宋体"/>
            <w:color w:val="0000FF"/>
            <w:sz w:val="21"/>
            <w:u w:val="single"/>
          </w:rPr>
          <w:t>https://doi.org/10.1016/j.optlastec.2026.114905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00:29 ---</w:t>
      </w:r>
    </w:p>
    <w:p>
      <w:pPr>
        <w:pStyle w:val="Heading2"/>
      </w:pPr>
      <w:r/>
      <w:r>
        <w:rPr>
          <w:rFonts w:ascii="Times New Roman" w:hAnsi="Times New Roman" w:eastAsia="宋体"/>
          <w:b/>
          <w:color w:val="000000"/>
          <w:sz w:val="24"/>
        </w:rPr>
        <w:t>基于超振荡照明的相差超分辨率显微镜</w:t>
      </w:r>
    </w:p>
    <w:p>
      <w:r>
        <w:rPr>
          <w:rFonts w:ascii="Times New Roman" w:hAnsi="Times New Roman" w:eastAsia="宋体"/>
          <w:b/>
          <w:color w:val="003264"/>
          <w:sz w:val="24"/>
        </w:rPr>
        <w:t>Phase-contrast super-resolution microscopy based on super-oscillation illumination</w:t>
      </w:r>
    </w:p>
    <w:p>
      <w:r>
        <w:rPr>
          <w:rFonts w:ascii="Times New Roman" w:hAnsi="Times New Roman" w:eastAsia="宋体"/>
          <w:sz w:val="21"/>
        </w:rPr>
        <w:t>作者: Yurong Li, Yi Zhou, Shikai Wu, Zhen Li, Jinsheng Zhang, Zhongquan Wen, Zhihai Zhang, Jing Xiang, Zhengguo Shang, GaoFeng Liang, Yin She, Gang Chen</w:t>
        <w:br/>
      </w:r>
      <w:r>
        <w:rPr>
          <w:rFonts w:ascii="Times New Roman" w:hAnsi="Times New Roman" w:eastAsia="宋体"/>
          <w:sz w:val="21"/>
        </w:rPr>
        <w:t xml:space="preserve">时间: 2026-06-01 | </w:t>
      </w:r>
      <w:r>
        <w:t xml:space="preserve">链接: </w:t>
      </w:r>
      <w:hyperlink r:id="rId46">
        <w:r>
          <w:rPr>
            <w:rFonts w:ascii="Times New Roman" w:hAnsi="Times New Roman" w:eastAsia="宋体"/>
            <w:color w:val="0000FF"/>
            <w:sz w:val="21"/>
            <w:u w:val="single"/>
          </w:rPr>
          <w:t>https://doi.org/10.1016/j.optlaseng.2026.109675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全无机钙钛矿 CsPbBr₃ 辅助马赫曾德尔干涉仪 (MZI) 光纤传感器，用于高灵敏度紫外光和蓝光检测</w:t>
      </w:r>
    </w:p>
    <w:p>
      <w:r>
        <w:rPr>
          <w:rFonts w:ascii="Times New Roman" w:hAnsi="Times New Roman" w:eastAsia="宋体"/>
          <w:b/>
          <w:color w:val="003264"/>
          <w:sz w:val="24"/>
        </w:rPr>
        <w:t>All-inorganic perovskite CsPbBr₃-assisted Mach-Zehnder Interferometer (MZI) optical fiber sensor for highly sensitive ultraviolet and blue light detection</w:t>
      </w:r>
    </w:p>
    <w:p>
      <w:r>
        <w:rPr>
          <w:rFonts w:ascii="Times New Roman" w:hAnsi="Times New Roman" w:eastAsia="宋体"/>
          <w:sz w:val="21"/>
        </w:rPr>
        <w:t>作者: Guanghui Jing, Tingting Wu, Jian Wen, Pengju Cao, Wei Liu, Yulin Wang, Mengying Lu, Su Sheng, Chao Jiang</w:t>
        <w:br/>
      </w:r>
      <w:r>
        <w:rPr>
          <w:rFonts w:ascii="Times New Roman" w:hAnsi="Times New Roman" w:eastAsia="宋体"/>
          <w:sz w:val="21"/>
        </w:rPr>
        <w:t xml:space="preserve">时间: 2026-06-01 | </w:t>
      </w:r>
      <w:r>
        <w:t xml:space="preserve">链接: </w:t>
      </w:r>
      <w:hyperlink r:id="rId47">
        <w:r>
          <w:rPr>
            <w:rFonts w:ascii="Times New Roman" w:hAnsi="Times New Roman" w:eastAsia="宋体"/>
            <w:color w:val="0000FF"/>
            <w:sz w:val="21"/>
            <w:u w:val="single"/>
          </w:rPr>
          <w:t>https://doi.org/10.1016/j.optlaseng.2026.109676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Z 扫描方法对血红蛋白进行非线性浓度依赖性研究”的撤回通知 [Optics and Lasers in Engineering 190C, (2025)/108978]</w:t>
      </w:r>
    </w:p>
    <w:p>
      <w:r>
        <w:rPr>
          <w:rFonts w:ascii="Times New Roman" w:hAnsi="Times New Roman" w:eastAsia="宋体"/>
          <w:b/>
          <w:color w:val="003264"/>
          <w:sz w:val="24"/>
        </w:rPr>
        <w:t>Retraction notice to “The nonlinear concentration-dependent study of hemoglobin using the Z-scan approach” [Optics and Lasers in Engineering 190C, (2025)/108978]</w:t>
      </w:r>
    </w:p>
    <w:p>
      <w:r>
        <w:rPr>
          <w:rFonts w:ascii="Times New Roman" w:hAnsi="Times New Roman" w:eastAsia="宋体"/>
          <w:sz w:val="21"/>
        </w:rPr>
        <w:t>作者: Haider Ansari</w:t>
        <w:br/>
      </w:r>
      <w:r>
        <w:rPr>
          <w:rFonts w:ascii="Times New Roman" w:hAnsi="Times New Roman" w:eastAsia="宋体"/>
          <w:sz w:val="21"/>
        </w:rPr>
        <w:t xml:space="preserve">时间: 2026-02-01 | </w:t>
      </w:r>
      <w:r>
        <w:t xml:space="preserve">链接: </w:t>
      </w:r>
      <w:hyperlink r:id="rId90">
        <w:r>
          <w:rPr>
            <w:rFonts w:ascii="Times New Roman" w:hAnsi="Times New Roman" w:eastAsia="宋体"/>
            <w:color w:val="0000FF"/>
            <w:sz w:val="21"/>
            <w:u w:val="single"/>
          </w:rPr>
          <w:t>https://doi.org/10.1016/j.optlaseng.2026.109656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利用手性元原子实现任意线偏振转换和波前调制</w:t>
      </w:r>
    </w:p>
    <w:p>
      <w:r>
        <w:rPr>
          <w:rFonts w:ascii="Times New Roman" w:hAnsi="Times New Roman" w:eastAsia="宋体"/>
          <w:b/>
          <w:color w:val="003264"/>
          <w:sz w:val="24"/>
        </w:rPr>
        <w:t>Realization of arbitrary linear polarization conversion and wavefront modulation using chiral meta-atoms</w:t>
      </w:r>
    </w:p>
    <w:p>
      <w:r>
        <w:rPr>
          <w:rFonts w:ascii="Times New Roman" w:hAnsi="Times New Roman" w:eastAsia="宋体"/>
          <w:sz w:val="21"/>
        </w:rPr>
        <w:t>作者: Yijun Fu, Zhengyong Song</w:t>
        <w:br/>
      </w:r>
      <w:r>
        <w:rPr>
          <w:rFonts w:ascii="Times New Roman" w:hAnsi="Times New Roman" w:eastAsia="宋体"/>
          <w:sz w:val="21"/>
        </w:rPr>
        <w:t xml:space="preserve">时间: 2026-06-01 | </w:t>
      </w:r>
      <w:r>
        <w:t xml:space="preserve">链接: </w:t>
      </w:r>
      <w:hyperlink r:id="rId102">
        <w:r>
          <w:rPr>
            <w:rFonts w:ascii="Times New Roman" w:hAnsi="Times New Roman" w:eastAsia="宋体"/>
            <w:color w:val="0000FF"/>
            <w:sz w:val="21"/>
            <w:u w:val="single"/>
          </w:rPr>
          <w:t>https://doi.org/10.1016/j.optlaseng.2026.109673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00:29 ---</w:t>
      </w:r>
    </w:p>
    <w:p>
      <w:pPr>
        <w:pStyle w:val="Heading2"/>
      </w:pPr>
      <w:r/>
      <w:r>
        <w:rPr>
          <w:rFonts w:ascii="Times New Roman" w:hAnsi="Times New Roman" w:eastAsia="宋体"/>
          <w:b/>
          <w:color w:val="000000"/>
          <w:sz w:val="24"/>
        </w:rPr>
        <w:t>长程湍流下红外图像增强的两阶段框架</w:t>
      </w:r>
    </w:p>
    <w:p>
      <w:r>
        <w:rPr>
          <w:rFonts w:ascii="Times New Roman" w:hAnsi="Times New Roman" w:eastAsia="宋体"/>
          <w:b/>
          <w:color w:val="003264"/>
          <w:sz w:val="24"/>
        </w:rPr>
        <w:t>A Two-Stage Framework for Infrared Image Enhancement under Long-Range Turbulence</w:t>
      </w:r>
    </w:p>
    <w:p>
      <w:r>
        <w:rPr>
          <w:rFonts w:ascii="Times New Roman" w:hAnsi="Times New Roman" w:eastAsia="宋体"/>
          <w:sz w:val="21"/>
        </w:rPr>
        <w:t>作者: Ruofan Cai, Feng Zhou, Weining Chen, Hongyan Wang, Yuchen Ge, Qingsheng Xie, Yaohong Chen</w:t>
        <w:br/>
      </w:r>
      <w:r>
        <w:rPr>
          <w:rFonts w:ascii="Times New Roman" w:hAnsi="Times New Roman" w:eastAsia="宋体"/>
          <w:sz w:val="21"/>
        </w:rPr>
        <w:t xml:space="preserve">时间: 2026-02-01 | </w:t>
      </w:r>
      <w:r>
        <w:t xml:space="preserve">链接: </w:t>
      </w:r>
      <w:hyperlink r:id="rId48">
        <w:r>
          <w:rPr>
            <w:rFonts w:ascii="Times New Roman" w:hAnsi="Times New Roman" w:eastAsia="宋体"/>
            <w:color w:val="0000FF"/>
            <w:sz w:val="21"/>
            <w:u w:val="single"/>
          </w:rPr>
          <w:t>https://doi.org/10.1016/j.optcom.2026.132988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通过基于分数的生成模型的精确似然评估，识别速率自适应 PCS-MQAM 光传输系统中的相位不敏感整形分布</w:t>
      </w:r>
    </w:p>
    <w:p>
      <w:r>
        <w:rPr>
          <w:rFonts w:ascii="Times New Roman" w:hAnsi="Times New Roman" w:eastAsia="宋体"/>
          <w:b/>
          <w:color w:val="003264"/>
          <w:sz w:val="24"/>
        </w:rPr>
        <w:t>Phase-insensitive shaping distribution identification in rate-adaptive PCS-MQAM optical transmission systems via exact likelihood evaluation with score-based generative models</w:t>
      </w:r>
    </w:p>
    <w:p>
      <w:r>
        <w:rPr>
          <w:rFonts w:ascii="Times New Roman" w:hAnsi="Times New Roman" w:eastAsia="宋体"/>
          <w:sz w:val="21"/>
        </w:rPr>
        <w:t>作者: Yiwen Zhang, Wenhui Ma, Yamin Huang, Xuezhi Hong</w:t>
        <w:br/>
      </w:r>
      <w:r>
        <w:rPr>
          <w:rFonts w:ascii="Times New Roman" w:hAnsi="Times New Roman" w:eastAsia="宋体"/>
          <w:sz w:val="21"/>
        </w:rPr>
        <w:t xml:space="preserve">时间: 2026-02-01 | </w:t>
      </w:r>
      <w:r>
        <w:t xml:space="preserve">链接: </w:t>
      </w:r>
      <w:hyperlink r:id="rId70">
        <w:r>
          <w:rPr>
            <w:rFonts w:ascii="Times New Roman" w:hAnsi="Times New Roman" w:eastAsia="宋体"/>
            <w:color w:val="0000FF"/>
            <w:sz w:val="21"/>
            <w:u w:val="single"/>
          </w:rPr>
          <w:t>https://doi.org/10.1016/j.optcom.2026.133001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通过非互易古斯-汉兴放大的 Weyl 半金属界面中的光束位移打破互易性</w:t>
      </w:r>
    </w:p>
    <w:p>
      <w:r>
        <w:rPr>
          <w:rFonts w:ascii="Times New Roman" w:hAnsi="Times New Roman" w:eastAsia="宋体"/>
          <w:b/>
          <w:color w:val="003264"/>
          <w:sz w:val="24"/>
        </w:rPr>
        <w:t>Breaking reciprocity via beam shifts in Weyl Semimetal Interfaces with nonreciprocal Goos-Hänchen amplification</w:t>
      </w:r>
    </w:p>
    <w:p>
      <w:r>
        <w:rPr>
          <w:rFonts w:ascii="Times New Roman" w:hAnsi="Times New Roman" w:eastAsia="宋体"/>
          <w:sz w:val="21"/>
        </w:rPr>
        <w:t>作者: Yuliang Zhi, Xin Cui, Fenglin Xian, Shixin Pei, Gaige Zheng</w:t>
        <w:br/>
      </w:r>
      <w:r>
        <w:rPr>
          <w:rFonts w:ascii="Times New Roman" w:hAnsi="Times New Roman" w:eastAsia="宋体"/>
          <w:sz w:val="21"/>
        </w:rPr>
        <w:t xml:space="preserve">时间: 2026-02-01 | </w:t>
      </w:r>
      <w:r>
        <w:t xml:space="preserve">链接: </w:t>
      </w:r>
      <w:hyperlink r:id="rId71">
        <w:r>
          <w:rPr>
            <w:rFonts w:ascii="Times New Roman" w:hAnsi="Times New Roman" w:eastAsia="宋体"/>
            <w:color w:val="0000FF"/>
            <w:sz w:val="21"/>
            <w:u w:val="single"/>
          </w:rPr>
          <w:t>https://doi.org/10.1016/j.optcom.2026.133002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00:29 ---</w:t>
      </w:r>
    </w:p>
    <w:p>
      <w:pPr>
        <w:pStyle w:val="Heading2"/>
      </w:pPr>
      <w:r/>
      <w:r>
        <w:rPr>
          <w:rFonts w:ascii="Times New Roman" w:hAnsi="Times New Roman" w:eastAsia="宋体"/>
          <w:b/>
          <w:color w:val="000000"/>
          <w:sz w:val="24"/>
        </w:rPr>
        <w:t>高速极化扰动下连续可变量子密钥分配的自适应符号CMA</w:t>
      </w:r>
    </w:p>
    <w:p>
      <w:r>
        <w:rPr>
          <w:rFonts w:ascii="Times New Roman" w:hAnsi="Times New Roman" w:eastAsia="宋体"/>
          <w:b/>
          <w:color w:val="003264"/>
          <w:sz w:val="24"/>
        </w:rPr>
        <w:t>Adaptive-sign CMA for continuous-variable quantum key distribution under high-speed polarization disturbances</w:t>
      </w:r>
    </w:p>
    <w:p>
      <w:r>
        <w:rPr>
          <w:rFonts w:ascii="Times New Roman" w:hAnsi="Times New Roman" w:eastAsia="宋体"/>
          <w:sz w:val="21"/>
        </w:rPr>
        <w:t>作者: Si Qiu, Yan Tian, Shaobo Ren, Zehong Wang, Shuaishuai Liu, Jiaxiang Song, Zhenguo Lu, Yongmin Li</w:t>
        <w:br/>
      </w:r>
      <w:r>
        <w:rPr>
          <w:rFonts w:ascii="Times New Roman" w:hAnsi="Times New Roman" w:eastAsia="宋体"/>
          <w:sz w:val="21"/>
        </w:rPr>
        <w:t xml:space="preserve">时间: 2026-01-28 | </w:t>
      </w:r>
      <w:r>
        <w:t xml:space="preserve">链接: </w:t>
      </w:r>
      <w:hyperlink r:id="rId49">
        <w:r>
          <w:rPr>
            <w:rFonts w:ascii="Times New Roman" w:hAnsi="Times New Roman" w:eastAsia="宋体"/>
            <w:color w:val="0000FF"/>
            <w:sz w:val="21"/>
            <w:u w:val="single"/>
          </w:rPr>
          <w:t>https://doi.org/10.1364/oe.586369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长距离单模光纤中的偏振干扰对经典通信和量子通信都是有害的。在这里，我们提出了一种自适应符号常模算法（AS-CMA），使用误差驱动的自适应步长和基于符号的权重更新，共同提高了性能，同时降低了传统 CMA 的计算复杂度。我们在连续变量量子密钥分配系统上验证了该算法。仿真结果表明，在10Mrad/s的偏振扰动下，采用AS-CMA方法实现的密钥速率在25km单模光纤上仅下降了12.9%。即使在极端的 43 Mrad/s 闪电瞬变下，也能保持稳健的偏振恢复和正密钥率。我们的结果为 CV-QKD 系统中的偏振恢复提供了一种高效、低复杂度的解决方案。</w:t>
      </w:r>
    </w:p>
    <w:p>
      <w:pPr>
        <w:spacing w:before="120"/>
      </w:pPr>
      <w:r>
        <w:rPr>
          <w:rFonts w:ascii="Times New Roman" w:hAnsi="Times New Roman" w:eastAsia="宋体"/>
          <w:b/>
          <w:sz w:val="21"/>
        </w:rPr>
        <w:t>English Abstract:</w:t>
      </w:r>
    </w:p>
    <w:p>
      <w:r>
        <w:rPr>
          <w:rFonts w:ascii="Times New Roman" w:hAnsi="Times New Roman" w:eastAsia="宋体"/>
          <w:sz w:val="21"/>
        </w:rPr>
        <w:t>Polarization disturbance in long distance single-mode fiber is detrimental to both the classical and quantum communications. Here we proposes an adaptive-sign constant modulus algorithm (AS-CMA) using an error-driven adaptive step size and a sign-based weight update, which jointly enhances the performance while reducing the computational complexity of the conventional CMA. We validate the algorithm on a continuous-variable quantum key distribution system. Simulation results show that under 10 Mrad/s polarization disturbance, the secret key rate achieved using AS-CMA method only decreases by 12.9% at 25 km single-mode fiber. Robust polarization recovery and positive secret key rate can be maintained even under extreme 43 Mrad/s lightning transients. Our results provides an efficient, low-complexity solution for polarization recovery in CV-QKD system.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使用相关光子实现光纤干涉仪相位稳定的基于 FPGA 的自适应控制</w:t>
      </w:r>
    </w:p>
    <w:p>
      <w:r>
        <w:rPr>
          <w:rFonts w:ascii="Times New Roman" w:hAnsi="Times New Roman" w:eastAsia="宋体"/>
          <w:b/>
          <w:color w:val="003264"/>
          <w:sz w:val="24"/>
        </w:rPr>
        <w:t>FPGA-based adaptive control for phase stabilization in fiber-optic interferometers using correlated photons</w:t>
      </w:r>
    </w:p>
    <w:p>
      <w:r>
        <w:rPr>
          <w:rFonts w:ascii="Times New Roman" w:hAnsi="Times New Roman" w:eastAsia="宋体"/>
          <w:sz w:val="21"/>
        </w:rPr>
        <w:t>作者: P. M. Berto, F. Campodónico, A. A. Matoso, S. Vergara, P. A. Coelho, G. Lima, S. Pádua, J. Cariñe</w:t>
        <w:br/>
      </w:r>
      <w:r>
        <w:rPr>
          <w:rFonts w:ascii="Times New Roman" w:hAnsi="Times New Roman" w:eastAsia="宋体"/>
          <w:sz w:val="21"/>
        </w:rPr>
        <w:t xml:space="preserve">时间: 2026-01-23 | </w:t>
      </w:r>
      <w:r>
        <w:t xml:space="preserve">链接: </w:t>
      </w:r>
      <w:hyperlink r:id="rId50">
        <w:r>
          <w:rPr>
            <w:rFonts w:ascii="Times New Roman" w:hAnsi="Times New Roman" w:eastAsia="宋体"/>
            <w:color w:val="0000FF"/>
            <w:sz w:val="21"/>
            <w:u w:val="single"/>
          </w:rPr>
          <w:t>https://doi.org/10.1364/oe.582533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时间仓编码的光子对可通过光纤实现稳健、抗退相干的传输，以实现长距离量子通信，其中相位噪声对稳定运行构成了关键限制。在这里，我们在全数字 FPGA 平台上实现了自适应扰动观察算法，该平台以 1 Hz 的实时反馈运行。控制信号源自相关光子对的符合计数。这种自适应方法将上升时间减少了 70%，重合噪声减少了 30%，从而使能见度改善持续超过 600 秒。这些结果为量子和光子系统中的长期相位稳定提供了有效的解决方案。</w:t>
      </w:r>
    </w:p>
    <w:p>
      <w:pPr>
        <w:spacing w:before="120"/>
      </w:pPr>
      <w:r>
        <w:rPr>
          <w:rFonts w:ascii="Times New Roman" w:hAnsi="Times New Roman" w:eastAsia="宋体"/>
          <w:b/>
          <w:sz w:val="21"/>
        </w:rPr>
        <w:t>English Abstract:</w:t>
      </w:r>
    </w:p>
    <w:p>
      <w:r>
        <w:rPr>
          <w:rFonts w:ascii="Times New Roman" w:hAnsi="Times New Roman" w:eastAsia="宋体"/>
          <w:sz w:val="21"/>
        </w:rPr>
        <w:t>Time-bin encoded photon pairs enable robust, decoherence-resistant transmission through optical fibers for long-distance quantum communication, where phase noise poses a critical limitation to stable operation. Here, we implement an adaptive perturbation-and-observe algorithm on a fully digital FPGA platform operating with real-time feedback at 1 Hz. The control signal is derived from the coincidence counts of correlated photon pairs. This adaptive approach reduces the rise time by 70 % and the coincidence noise by 30 %, resulting in visibility improvements sustained for more than 600 s. These results provide an efficient solution for long-term phase stabilization in quantum and photonic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通过光学探针在水溶液中进行双稳态微球质量传感</w:t>
      </w:r>
    </w:p>
    <w:p>
      <w:r>
        <w:rPr>
          <w:rFonts w:ascii="Times New Roman" w:hAnsi="Times New Roman" w:eastAsia="宋体"/>
          <w:b/>
          <w:color w:val="003264"/>
          <w:sz w:val="24"/>
        </w:rPr>
        <w:t>Bistability-enabled microspheres mass sensing via optical probe in aqueous solution</w:t>
      </w:r>
    </w:p>
    <w:p>
      <w:r>
        <w:rPr>
          <w:rFonts w:ascii="Times New Roman" w:hAnsi="Times New Roman" w:eastAsia="宋体"/>
          <w:sz w:val="21"/>
        </w:rPr>
        <w:t>作者: Jian Wu, Wenfeng Fan, Qi Zheng, Lihong Duan, Jin Li, Wei Quan</w:t>
        <w:br/>
      </w:r>
      <w:r>
        <w:rPr>
          <w:rFonts w:ascii="Times New Roman" w:hAnsi="Times New Roman" w:eastAsia="宋体"/>
          <w:sz w:val="21"/>
        </w:rPr>
        <w:t xml:space="preserve">时间: 2026-02-03 | </w:t>
      </w:r>
      <w:r>
        <w:t xml:space="preserve">链接: </w:t>
      </w:r>
      <w:hyperlink r:id="rId51">
        <w:r>
          <w:rPr>
            <w:rFonts w:ascii="Times New Roman" w:hAnsi="Times New Roman" w:eastAsia="宋体"/>
            <w:color w:val="0000FF"/>
            <w:sz w:val="21"/>
            <w:u w:val="single"/>
          </w:rPr>
          <w:t>https://doi.org/10.1364/oe.586569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镊由于其非侵入性操作和全光学感知机制，在微粒性质表征和动力学研究中具有独特的优势。在本文中，我们证明了干物镜光镊引起的球差在重力作用下为水介质中的介电粒子产生了两个稳定的平衡位置。捕获双稳态可以作为一种全光学、非接触式方法，用于半定量估计单个微球质量，相对测量误差约为 16%。通过抵消光力湮灭，抑制了双稳态，最大逃逸速度从152 µm/s提升到650 µm/s，验证了双稳态捕获势阱指令的可行性，为水光镊的动态分析提供了新方法。</w:t>
      </w:r>
    </w:p>
    <w:p>
      <w:pPr>
        <w:spacing w:before="120"/>
      </w:pPr>
      <w:r>
        <w:rPr>
          <w:rFonts w:ascii="Times New Roman" w:hAnsi="Times New Roman" w:eastAsia="宋体"/>
          <w:b/>
          <w:sz w:val="21"/>
        </w:rPr>
        <w:t>English Abstract:</w:t>
      </w:r>
    </w:p>
    <w:p>
      <w:r>
        <w:rPr>
          <w:rFonts w:ascii="Times New Roman" w:hAnsi="Times New Roman" w:eastAsia="宋体"/>
          <w:sz w:val="21"/>
        </w:rPr>
        <w:t>Optical tweezers possess unique advantages in microparticle properties characterization and dynamics research owing to their non-invasive manipulation and all-optical perception mechanism. In this paper, we demonstrate that the spherical aberration induced by dry-objective optical tweezers generates two stable equilibrium positions for dielectric particles in aqueous media under gravitational effects. The trapping bistability can serve as an all-optical, non-contact methodology for semi-quantitative estimation of single microsphere masses with a relative measurement error of approximately 16%. By counteracting the annihilation of optical forces, we suppress the bistability and the maximum escape velocity has been promoted from 152 µm/s to 650 µm/s, which validated the feasibility of bistability trapping potential well command, and provided a new approach for the dynamic analysis of aqueous optical tweezers.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燧石玻璃包层晶体 YAG 芯单模光纤</w:t>
      </w:r>
    </w:p>
    <w:p>
      <w:r>
        <w:rPr>
          <w:rFonts w:ascii="Times New Roman" w:hAnsi="Times New Roman" w:eastAsia="宋体"/>
          <w:b/>
          <w:color w:val="003264"/>
          <w:sz w:val="24"/>
        </w:rPr>
        <w:t>Flint-glass-clad crystalline YAG-core single-mode fiber</w:t>
      </w:r>
    </w:p>
    <w:p>
      <w:r>
        <w:rPr>
          <w:rFonts w:ascii="Times New Roman" w:hAnsi="Times New Roman" w:eastAsia="宋体"/>
          <w:sz w:val="21"/>
        </w:rPr>
        <w:t>作者: Dong-Yo Jheng, Kuang-Yu Hsu, Yin-Wen Lee, Ya-Qin Xu, Mu-Han Yang, Shih-Chang Wang, Teng-I Yang, Sheng-Lung Huang</w:t>
        <w:br/>
      </w:r>
      <w:r>
        <w:rPr>
          <w:rFonts w:ascii="Times New Roman" w:hAnsi="Times New Roman" w:eastAsia="宋体"/>
          <w:sz w:val="21"/>
        </w:rPr>
        <w:t xml:space="preserve">时间: 2026-01-23 | </w:t>
      </w:r>
      <w:r>
        <w:t xml:space="preserve">链接: </w:t>
      </w:r>
      <w:hyperlink r:id="rId52">
        <w:r>
          <w:rPr>
            <w:rFonts w:ascii="Times New Roman" w:hAnsi="Times New Roman" w:eastAsia="宋体"/>
            <w:color w:val="0000FF"/>
            <w:sz w:val="21"/>
            <w:u w:val="single"/>
          </w:rPr>
          <w:t>https://doi.org/10.1364/oe.585007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从单模石英光纤出现以来，它们的波导特性和高表面积与体积比的结合实现了从超低阈值激光操作到高功率双包层阶跃折射率和微结构光纤激光器操作的各种激光进步。在保持横模质量的情况下，可以使用晶体芯进一步提高激光亮度。在这里，我们报告了具有宽单模波长范围的镧致密火石玻璃包层晶体 YAG 芯光纤的实现。镧致密火石玻璃的折射率为 1.8 至 1.9，具体取决于实际玻璃成分和热处理条件。通过使用共拉激光加热基座生长方法的缓慢处理和精确控制，可以对玻璃包层YAG芯光纤进行设计以微调光纤V数，从而确保最低阶模。利用玻璃和晶体 YAG 纤芯色散曲线相互定位的独特特性，纤芯波导的截止波长可在 950 nm 至 1380 nm 范围内调谐，并在 1.5 µm 至 3 µm 波长范围内进行单模操作。单模玻璃包层晶体光纤在人眼安全波长范围内的激光和医疗用途中具有很高的潜力。</w:t>
      </w:r>
    </w:p>
    <w:p>
      <w:pPr>
        <w:spacing w:before="120"/>
      </w:pPr>
      <w:r>
        <w:rPr>
          <w:rFonts w:ascii="Times New Roman" w:hAnsi="Times New Roman" w:eastAsia="宋体"/>
          <w:b/>
          <w:sz w:val="21"/>
        </w:rPr>
        <w:t>English Abstract:</w:t>
      </w:r>
    </w:p>
    <w:p>
      <w:r>
        <w:rPr>
          <w:rFonts w:ascii="Times New Roman" w:hAnsi="Times New Roman" w:eastAsia="宋体"/>
          <w:sz w:val="21"/>
        </w:rPr>
        <w:t>Since the advent of single-mode silica fibers, their combination of waveguiding properties and high surface-area-to-volume ratio has enabled various laser advancements ranging from ultra-low-threshold laser operation to high-power double-clad step-index and micro-structured fiber laser operation. Laser brightness can be further scaled up with a crystalline core, provided that the transverse mode quality is maintained. Here, we report the realization of lanthanum-dense-flint-glass-clad crystalline-YAG core fiber with a broad single-mode wavelength range. Lanthanum-dense flint glasses have indexes of refraction from 1.8 to 1.9, depending on the actual glass composition and thermal treatment conditions. With the slow treatment and precision control using the co-drawing laser-heated pedestal growth method, the glass-clad YAG-core fiber can be engineered to fine-tune the fiber V number, thus ensuring the lowest order mode. Utilizing the unique specifics of the mutual positioning of the dispersion curves of the glass and the crystalline YAG core, the cut-off wavelength of the core waveguiding can be tuned from 950 nm to 1380 nm with single-mode operation in the wavelength range from 1.5 µm to 3 µm. The single-mode glass-clad crystalline fibers have high potential for lasers and medical uses in the eye-safe wavelength ranges.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SC-PointLSTM：线阵推扫式激光引信点云目标识别框架</w:t>
      </w:r>
    </w:p>
    <w:p>
      <w:r>
        <w:rPr>
          <w:rFonts w:ascii="Times New Roman" w:hAnsi="Times New Roman" w:eastAsia="宋体"/>
          <w:b/>
          <w:color w:val="003264"/>
          <w:sz w:val="24"/>
        </w:rPr>
        <w:t>SC-PointLSTM: point cloud target recognition framework for linear array push-broom laser fuze</w:t>
      </w:r>
    </w:p>
    <w:p>
      <w:r>
        <w:rPr>
          <w:rFonts w:ascii="Times New Roman" w:hAnsi="Times New Roman" w:eastAsia="宋体"/>
          <w:sz w:val="21"/>
        </w:rPr>
        <w:t>作者: Zhen Zheng, Bingting Zha, Chenyoushi Xu, Haodong Liu, He Zhang</w:t>
        <w:br/>
      </w:r>
      <w:r>
        <w:rPr>
          <w:rFonts w:ascii="Times New Roman" w:hAnsi="Times New Roman" w:eastAsia="宋体"/>
          <w:sz w:val="21"/>
        </w:rPr>
        <w:t xml:space="preserve">时间: 2026-01-26 | </w:t>
      </w:r>
      <w:r>
        <w:t xml:space="preserve">链接: </w:t>
      </w:r>
      <w:hyperlink r:id="rId53">
        <w:r>
          <w:rPr>
            <w:rFonts w:ascii="Times New Roman" w:hAnsi="Times New Roman" w:eastAsia="宋体"/>
            <w:color w:val="0000FF"/>
            <w:sz w:val="21"/>
            <w:u w:val="single"/>
          </w:rPr>
          <w:t>https://doi.org/10.1364/oe.585956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激光探测和点云处理是测量、自动驾驶和国防技术的关键要素，特别是高精度目标识别和环境传感。为了满足激光成像引信目标识别速度和精度的严格要求，本文提出了一种新的尝试方法，称为SC-PointLSTM框架，这是一种专为线阵推扫式激光引信设计的创新、快速目标识别算法。 SC-PointLSTM 集成了用于高效稀疏点云处理的增强型 PointNet 和用于时间特征融合的双层长短期记忆 (LSTM)，解决了实时动态环境固有的计算挑战。这种方法支持并行处理，从线性推扫式传感器生成线性 3D 点云，并有效融合先前获取的时间戳序列，从而在推扫式扫描过程结束时实现实时、准确的目标识别。 SC-PointLSTM 框架的稳健性和效率在模拟数据集和现实世界目标上进行了评估。结果显示出具有竞争力的结果，F 分数超过 0.8，平均识别时间约为 32 毫秒。 SC-PointLSTM 框架为动态环境中的高速目标识别和实时激光检测提供了强大且可扩展的解决方案。</w:t>
      </w:r>
    </w:p>
    <w:p>
      <w:pPr>
        <w:spacing w:before="120"/>
      </w:pPr>
      <w:r>
        <w:rPr>
          <w:rFonts w:ascii="Times New Roman" w:hAnsi="Times New Roman" w:eastAsia="宋体"/>
          <w:b/>
          <w:sz w:val="21"/>
        </w:rPr>
        <w:t>English Abstract:</w:t>
      </w:r>
    </w:p>
    <w:p>
      <w:r>
        <w:rPr>
          <w:rFonts w:ascii="Times New Roman" w:hAnsi="Times New Roman" w:eastAsia="宋体"/>
          <w:sz w:val="21"/>
        </w:rPr>
        <w:t>Laser detection and point cloud processing are key elements of measurement, autonomous driving, and defense technology, particularly for high-precision target recognition and environmental sensing. To meet strict requirements for speed and accuracy in target recognition for laser imaging fuzes, this paper presents a new attempted approach named the SC-PointLSTM framework, which is an innovative, rapid target recognition algorithm designed for linear array push-broom laser fuzes. SC-PointLSTM integrates an enhanced PointNet for efficient sparse point cloud processing with a double-layer long short-term memory (LSTM) for temporal feature fusion, addressing the computational challenges inherent to real-time dynamic environments. This approach enables parallel processing to generate linear 3D point clouds from linear push-broom sensors and effectively fuses previously acquired timestamp sequences, resulting in real-time, accurate target recognition at the end of the push-broom scanning process. The robustness and efficiency of the SC-PointLSTM framework were evaluated on both simulated datasets and real-world targets. The results demonstrated competitive results, achieving an F score exceeding 0.8, with an average recognition time of approximately 32 ms. The SC-PointLSTM framework provides a robust and scalable solution for high-speed target recognition in dynamic environments and real-time laser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用于增强全保偏 NALM 光纤振荡器自启动的非线性相位不对称的定量建模</w:t>
      </w:r>
    </w:p>
    <w:p>
      <w:r>
        <w:rPr>
          <w:rFonts w:ascii="Times New Roman" w:hAnsi="Times New Roman" w:eastAsia="宋体"/>
          <w:b/>
          <w:color w:val="003264"/>
          <w:sz w:val="24"/>
        </w:rPr>
        <w:t>Quantitative modeling of nonlinear phase asymmetry for enhanced self-starting in all-PM NALM fiber oscillators</w:t>
      </w:r>
    </w:p>
    <w:p>
      <w:r>
        <w:rPr>
          <w:rFonts w:ascii="Times New Roman" w:hAnsi="Times New Roman" w:eastAsia="宋体"/>
          <w:sz w:val="21"/>
        </w:rPr>
        <w:t>作者: Enqi Zhang, Xingyuan Long, Jiayu He, Yibo Ma, Haizhe Zhong, Chunyu Guo, Peiguang Yan, Zhongqun Zhan, Hui Zhang, Jinzhang Wang</w:t>
        <w:br/>
      </w:r>
      <w:r>
        <w:rPr>
          <w:rFonts w:ascii="Times New Roman" w:hAnsi="Times New Roman" w:eastAsia="宋体"/>
          <w:sz w:val="21"/>
        </w:rPr>
        <w:t xml:space="preserve">时间: 2026-01-30 | </w:t>
      </w:r>
      <w:r>
        <w:t xml:space="preserve">链接: </w:t>
      </w:r>
      <w:hyperlink r:id="rId72">
        <w:r>
          <w:rPr>
            <w:rFonts w:ascii="Times New Roman" w:hAnsi="Times New Roman" w:eastAsia="宋体"/>
            <w:color w:val="0000FF"/>
            <w:sz w:val="21"/>
            <w:u w:val="single"/>
          </w:rPr>
          <w:t>https://doi.org/10.1364/oe.585055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我们报告了一个用于预测和优化超快全保偏（PM）非线性放大环路镜（NALM）光纤振荡器自启动性能的定量框架，其中可靠启动仍然是一个关键挑战。通过将非线性相位不对称因子引入到分析定义的品质因数 (FoM) 中，功率分配比、不可逆相位偏差和结构不对称对小信号传输的耦合效应被统一到单个预测模型中。 FoM 可以准确识别最佳启动条件及其随环路不对称性增加的演变。为了通过实验验证该理论，将短段保偏高非线性光纤 (HNLF) 不对称地插入环路内部，以可控地增强非线性相位不平衡。随着 HNLF 长度从 0 增加到 0.97 m，泵浦阈值从 920 mW 降低到 273 mW，与 FoM 预测的趋势非常一致。数值模拟进一步重现测量的光谱和时间特性，并能够定量提取不对称因子，完成模型验证。因此，这种基于 FoM 的方法为设计稳健、低阈值和环境稳定的 PM-NALM 光纤振荡器提供了第一个经过实验验证的定量指南。</w:t>
      </w:r>
    </w:p>
    <w:p>
      <w:pPr>
        <w:spacing w:before="120"/>
      </w:pPr>
      <w:r>
        <w:rPr>
          <w:rFonts w:ascii="Times New Roman" w:hAnsi="Times New Roman" w:eastAsia="宋体"/>
          <w:b/>
          <w:sz w:val="21"/>
        </w:rPr>
        <w:t>English Abstract:</w:t>
      </w:r>
    </w:p>
    <w:p>
      <w:r>
        <w:rPr>
          <w:rFonts w:ascii="Times New Roman" w:hAnsi="Times New Roman" w:eastAsia="宋体"/>
          <w:sz w:val="21"/>
        </w:rPr>
        <w:t>We report a quantitative framework for predicting and optimizing the self-starting performance of ultrafast all-polarization-maintaining (PM) nonlinear amplifying loop mirror (NALM) fiber oscillators, where reliable startup remains a key challenge. By introducing a nonlinear phase-asymmetry factor into an analytically defined figure of merit (FoM), the coupled effects of power splitting ratio, nonreciprocal phase bias, and structural asymmetry on small-signal transmission are unified into a single predictive model. The FoM accurately identifies the optimal startup condition and its evolution with increased loop asymmetry. To experimentally validate the theory, short segments of PM highly nonlinear fiber (HNLF) were inserted asymmetrically inside the loop to controllably enhance the nonlinear phase imbalance. As the HNLF length increases from 0 to 0.97 m, the pump threshold is reduced from 920 mW to 273 mW, in excellent agreement with the FoM-predicted trend. Numerical simulations further reproduce the measured spectral and temporal characteristics and enable quantitative extraction of the asymmetry factor, completing the model validation. This FoM-based approach thus provides the first experimentally verified quantitative guideline for designing robust, low-threshold, and environmentally stable PM-NALM fiber oscillators.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刚度优化的进动运动控制，用于高梯度曲面的顺应阀盖抛光</w:t>
      </w:r>
    </w:p>
    <w:p>
      <w:r>
        <w:rPr>
          <w:rFonts w:ascii="Times New Roman" w:hAnsi="Times New Roman" w:eastAsia="宋体"/>
          <w:b/>
          <w:color w:val="003264"/>
          <w:sz w:val="24"/>
        </w:rPr>
        <w:t>Stiffness-optimized precession motion control for compliant bonnet polishing of high-gradient curved surfaces</w:t>
      </w:r>
    </w:p>
    <w:p>
      <w:r>
        <w:rPr>
          <w:rFonts w:ascii="Times New Roman" w:hAnsi="Times New Roman" w:eastAsia="宋体"/>
          <w:sz w:val="21"/>
        </w:rPr>
        <w:t>作者: Pengli Lei, Bo Zhong, Xiaoping Zheng, Fei Fan, Wenhui Deng, Baojian Ji, Ming Wang, Chengshuo Liu, Qiao Xu</w:t>
        <w:br/>
      </w:r>
      <w:r>
        <w:rPr>
          <w:rFonts w:ascii="Times New Roman" w:hAnsi="Times New Roman" w:eastAsia="宋体"/>
          <w:sz w:val="21"/>
        </w:rPr>
        <w:t xml:space="preserve">时间: 2026-01-26 | </w:t>
      </w:r>
      <w:r>
        <w:t xml:space="preserve">链接: </w:t>
      </w:r>
      <w:hyperlink r:id="rId73">
        <w:r>
          <w:rPr>
            <w:rFonts w:ascii="Times New Roman" w:hAnsi="Times New Roman" w:eastAsia="宋体"/>
            <w:color w:val="0000FF"/>
            <w:sz w:val="21"/>
            <w:u w:val="single"/>
          </w:rPr>
          <w:t>https://doi.org/10.1364/oe.586388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阀盖抛光高梯度曲面运动控制算法面临刀具轨迹无法到达、大倾角动态响应不足等挑战，严重限制了阀盖抛光对复杂曲面几何形状的适应性和加工精度。为了解决这些问题，本文提出了一种我们认为是基于刚度优化解决方案的高梯度表面阀盖抛光的新型进动运动控制方法。利用多体系统理论，建立了加工点处工件法向量、主轴向量和机床回转轴角度之间的映射关系。通过最小化 B 轴倾斜角作为刚度最佳条件，开发了阀盖工具的约束主轴矢量模型，并通过逆运动学解导出相应的 A/B 轴角度。此外，提出了一种基于轴速度约束的主轴矢量均匀化分配算法，以实现A、B旋转轴之间的同步动态响应。通过将刚度优化和轴动态响应集成为关节约束，本研究开发了一种用于高梯度表面阀盖抛光的优化进动运动控制算法。可实现的加工梯度从20°增加到35°以上，可实现大孔径高梯度光学表面的高精度保形抛光，形状保持率高达91.5%。这一进步显着增强了抛光技术的工程适用性。</w:t>
      </w:r>
    </w:p>
    <w:p>
      <w:pPr>
        <w:spacing w:before="120"/>
      </w:pPr>
      <w:r>
        <w:rPr>
          <w:rFonts w:ascii="Times New Roman" w:hAnsi="Times New Roman" w:eastAsia="宋体"/>
          <w:b/>
          <w:sz w:val="21"/>
        </w:rPr>
        <w:t>English Abstract:</w:t>
      </w:r>
    </w:p>
    <w:p>
      <w:r>
        <w:rPr>
          <w:rFonts w:ascii="Times New Roman" w:hAnsi="Times New Roman" w:eastAsia="宋体"/>
          <w:sz w:val="21"/>
        </w:rPr>
        <w:t>Conventional motion control algorithms in bonnet polishing of high-gradient curved surfaces face challenges such as unreachable tool trajectories and insufficient dynamic response at large tilt angles, significantly limiting the adaptability and machining accuracy of bonnet polishing for complex surface geometries. To address these issues, this paper proposes a what we believe to be novel precession motion control method for high-gradient surface bonnet polishing based on stiffness-optimal solutions. Using multi-body system theory, a mapping relationship among the workpiece normal vector at the machining point, the spindle vector, and the rotary axis angles of the machine tool is established. By minimizing the B-axis tilt angle as the stiffness-optimal condition, a constrained spindle vector model for the bonnet tool is developed, and the corresponding A/B-axis angles are derived through inverse kinematic solutions. Furthermore, a spindle vector homogenization distribution algorithm based on axis velocity constraints is proposed to achieve synchronized dynamic response between the A and B rotary axes. By integrating stiffness optimization and axis dynamic response as joint constraints, this study develops an optimized precession motion control algorithm for high-gradient surface bonnet polishing. The achievable machining gradient is increased from 20° to over 35°, enabling high-precision conformal polishing of large-aperture high-gradient optical surfaces with a form preservation rate of 91.5%. This advancement significantly enhances the engineering applicability of the polishing technology.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阶梯啁啾周期性极化铌酸锂波导中的宽带量子光子源</w:t>
      </w:r>
    </w:p>
    <w:p>
      <w:r>
        <w:rPr>
          <w:rFonts w:ascii="Times New Roman" w:hAnsi="Times New Roman" w:eastAsia="宋体"/>
          <w:b/>
          <w:color w:val="003264"/>
          <w:sz w:val="24"/>
        </w:rPr>
        <w:t>Broadband quantum photon source in a step-chirped periodically poled lithium niobate waveguide</w:t>
      </w:r>
    </w:p>
    <w:p>
      <w:r>
        <w:rPr>
          <w:rFonts w:ascii="Times New Roman" w:hAnsi="Times New Roman" w:eastAsia="宋体"/>
          <w:sz w:val="21"/>
        </w:rPr>
        <w:t>作者: Xiao-Xu Fang, Guoliang Shentu, He Lu</w:t>
        <w:br/>
      </w:r>
      <w:r>
        <w:rPr>
          <w:rFonts w:ascii="Times New Roman" w:hAnsi="Times New Roman" w:eastAsia="宋体"/>
          <w:sz w:val="21"/>
        </w:rPr>
        <w:t xml:space="preserve">时间: 2026-01-26 | </w:t>
      </w:r>
      <w:r>
        <w:t xml:space="preserve">链接: </w:t>
      </w:r>
      <w:hyperlink r:id="rId74">
        <w:r>
          <w:rPr>
            <w:rFonts w:ascii="Times New Roman" w:hAnsi="Times New Roman" w:eastAsia="宋体"/>
            <w:color w:val="0000FF"/>
            <w:sz w:val="21"/>
            <w:u w:val="single"/>
          </w:rPr>
          <w:t>https://doi.org/10.1364/oe.582490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宽带非线性光学器件在经典光学和量子光学中都发挥着至关重要的作用。在这里，我们在绝缘体上的铌酸锂上设计并制造了一个 6.82 毫米长的步进啁啾周期性极化铌酸锂 (CPPLN) 波导，它能够在宽带宽上实现二次谐波生成 (SHG) 和自发参量下变频 (SPDC) 的准相位匹配。 SHG在1510 nm-1620 nm的一次谐波波长范围内实现了91%/W/cm 2 的平均效率，为在宽泵浦波长范围内实现SPDC铺平了道路。对于 SPDC，通过将泵浦波长调谐到 775 nm、780 nm 和 785 nm，我们实现了宽带光子对生成，最大全带宽和亮度分别高达 99 THz (846 nm) 和 21 MHz/mW/nm。我们的研究结果提供了一种有效且易于实验的方法来生成宽带光子对，这对于推进量子计量学的应用具有重大前景。</w:t>
      </w:r>
    </w:p>
    <w:p>
      <w:pPr>
        <w:spacing w:before="120"/>
      </w:pPr>
      <w:r>
        <w:rPr>
          <w:rFonts w:ascii="Times New Roman" w:hAnsi="Times New Roman" w:eastAsia="宋体"/>
          <w:b/>
          <w:sz w:val="21"/>
        </w:rPr>
        <w:t>English Abstract:</w:t>
      </w:r>
    </w:p>
    <w:p>
      <w:r>
        <w:rPr>
          <w:rFonts w:ascii="Times New Roman" w:hAnsi="Times New Roman" w:eastAsia="宋体"/>
          <w:sz w:val="21"/>
        </w:rPr>
        <w:t>Broadband nonlinear optical devices play a critical role in both classical and quantum optics. Here, we design and fabricate a 6.82-mm-long step-chirped periodically poled lithium niobate (CPPLN) waveguide on lithium niobate on insulator, which enables quasi-phase matching over a broad bandwidth for second-harmonic generation (SHG) and spontaneous parametric down-conversion (SPDC). The SHG achieves an average efficiency of 91%/W/cm 2 over the first-harmonic wavelength range of 1510 nm–1620 nm, paving the way for realizing SPDC across a wide range of pump wavelengths. For SPDC, by tuning the pump wavelength to 775 nm, 780 nm, and 785 nm, we achieve broadband photon-pair generation with a maximum full bandwidth and brightness up to 99 THz (846 nm) and 21 MHz/mW/nm, respectively. Our findings provide an efficient and experiment-friendly approach for generating broadband photon pairs, which holds significant promise for advancing applications in quantum metrology.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用于基于液体透镜的衍射光谱成像的高效混合像差空间校准 3D 网络</w:t>
      </w:r>
    </w:p>
    <w:p>
      <w:r>
        <w:rPr>
          <w:rFonts w:ascii="Times New Roman" w:hAnsi="Times New Roman" w:eastAsia="宋体"/>
          <w:b/>
          <w:color w:val="003264"/>
          <w:sz w:val="24"/>
        </w:rPr>
        <w:t>Efficient hybrid aberration spatial-calibrated 3D network for liquid-lens-based diffractive spectral imaging</w:t>
      </w:r>
    </w:p>
    <w:p>
      <w:r>
        <w:rPr>
          <w:rFonts w:ascii="Times New Roman" w:hAnsi="Times New Roman" w:eastAsia="宋体"/>
          <w:sz w:val="21"/>
        </w:rPr>
        <w:t>作者: Chenxi Li, Hao Fan, Bo Gao, Yuwei Chen, JianQin Qin, Xuming Zhang, Guancheng Shen, Weixing Yu</w:t>
        <w:br/>
      </w:r>
      <w:r>
        <w:rPr>
          <w:rFonts w:ascii="Times New Roman" w:hAnsi="Times New Roman" w:eastAsia="宋体"/>
          <w:sz w:val="21"/>
        </w:rPr>
        <w:t xml:space="preserve">时间: 2026-01-26 | </w:t>
      </w:r>
      <w:r>
        <w:t xml:space="preserve">链接: </w:t>
      </w:r>
      <w:hyperlink r:id="rId75">
        <w:r>
          <w:rPr>
            <w:rFonts w:ascii="Times New Roman" w:hAnsi="Times New Roman" w:eastAsia="宋体"/>
            <w:color w:val="0000FF"/>
            <w:sz w:val="21"/>
            <w:u w:val="single"/>
          </w:rPr>
          <w:t>https://doi.org/10.1364/oe.582270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基于液体透镜的衍射计算光谱成像是小型化光谱成像最有前途的方法之一，但它由于像差和空间变化的共存而导致图像质量下降。为了应对这一挑战，我们提出了一种高精度、高效的混合像差空间校准 3D (HASC3D) 网络，用于基于液体透镜的衍射光谱成像。所提出的HASC3D网络将混合像差空间校准模块与3D卷积增强的U-Net架构集成在一起，显着提高了光谱图像的重建质量。定制的成像系统由衍射透镜和可调液体透镜组成，可在 510-590 nm 波长范围内进行九通道多光谱重建，光谱分辨率为 10 nm。重建的多光谱图像的峰值信噪比（PSNR）为24.67 dB，结构相似指数（SSIM）为0.67，较传统重建算法有明显的改进。凭借其强大的校正能力和卓越的成像性能，所提出的HASC3D算法为紧凑、便携式和高性能光谱成像技术提供了一条有前途的途径。</w:t>
      </w:r>
    </w:p>
    <w:p>
      <w:pPr>
        <w:spacing w:before="120"/>
      </w:pPr>
      <w:r>
        <w:rPr>
          <w:rFonts w:ascii="Times New Roman" w:hAnsi="Times New Roman" w:eastAsia="宋体"/>
          <w:b/>
          <w:sz w:val="21"/>
        </w:rPr>
        <w:t>English Abstract:</w:t>
      </w:r>
    </w:p>
    <w:p>
      <w:r>
        <w:rPr>
          <w:rFonts w:ascii="Times New Roman" w:hAnsi="Times New Roman" w:eastAsia="宋体"/>
          <w:sz w:val="21"/>
        </w:rPr>
        <w:t>Liquid-lens-based diffractive computational spectral imaging represents one of the most promising approaches for miniaturized spectral imaging, while it suffers from image degradation caused by the coexistence of aberrations and spatial variations. To address this challenge, we propose a highly accurate and efficient hybrid aberration spatial-calibrated 3D (HASC3D) network for liquid-lens-based diffractive spectral imaging. The proposed HASC3D network integrates a hybrid aberration-spatial calibration module with a 3D convolution-enhanced U-Net architecture, significantly improving the reconstruction quality of spectral images. The custom-built imaging system, composed of a diffractive lens and a tunable liquid lens, enables nine-channel multispectral reconstruction over the 510–590 nm wavelength range with 10 nm spectral resolution. The reconstructed multispectral images achieved a peak signal-to-noise ratio (PSNR) of 24.67 dB and a structural similarity index (SSIM) of 0.67, demonstrating a clear improvement over the conventional reconstruction algorithm. With its strong correction capability and superior imaging performance, the proposed HASC3D algorithm provides a promising pathway for compact, portable, and high-performance spectral imaging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通过导数光谱分析使用级联 TFBG 进行分布式折射率传感</w:t>
      </w:r>
    </w:p>
    <w:p>
      <w:r>
        <w:rPr>
          <w:rFonts w:ascii="Times New Roman" w:hAnsi="Times New Roman" w:eastAsia="宋体"/>
          <w:b/>
          <w:color w:val="003264"/>
          <w:sz w:val="24"/>
        </w:rPr>
        <w:t>Distributed refractive index sensing with cascaded TFBGs via derivative spectrum analysis</w:t>
      </w:r>
    </w:p>
    <w:p>
      <w:r>
        <w:rPr>
          <w:rFonts w:ascii="Times New Roman" w:hAnsi="Times New Roman" w:eastAsia="宋体"/>
          <w:sz w:val="21"/>
        </w:rPr>
        <w:t>作者: Jieqing Zheng, Xuehao Hu, Karima Chah, Christophe Caucheteur</w:t>
        <w:br/>
      </w:r>
      <w:r>
        <w:rPr>
          <w:rFonts w:ascii="Times New Roman" w:hAnsi="Times New Roman" w:eastAsia="宋体"/>
          <w:sz w:val="21"/>
        </w:rPr>
        <w:t xml:space="preserve">时间: 2026-02-05 | </w:t>
      </w:r>
      <w:r>
        <w:t xml:space="preserve">链接: </w:t>
      </w:r>
      <w:hyperlink r:id="rId76">
        <w:r>
          <w:rPr>
            <w:rFonts w:ascii="Times New Roman" w:hAnsi="Times New Roman" w:eastAsia="宋体"/>
            <w:color w:val="0000FF"/>
            <w:sz w:val="21"/>
            <w:u w:val="single"/>
          </w:rPr>
          <w:t>https://doi.org/10.1364/oe.585807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倾斜光纤布拉格光栅 (TFBG) 是高度灵敏的折射探头，但其宽包层模光谱长期以来一直被认为与波分复用不兼容。因此，尽管 TFBG 折射率传感器具有固有的优势，但通常仅限于单点操作。在这里，我们首次证明多个裸露、未涂层的 TFBG（刻有不同的光栅周期和倾斜角）可以在单模光纤内级联，并在 80 nm 带宽上独立询问。尽管包层模式光谱强烈重叠，但我们表明一阶导数光谱分析隔离了每个截止模式的局部斜率，有效抑制了通常由上游光栅引起的包络畸变。这可实现可靠且解耦的多点折射率传感，其灵敏度为 52-58 nm/RIU，与水介质中的固有 TFBG 性能完全一致，并在级联后保持稳定。导数方法将解调精度提高高达 65%，并保持线性度 (R 2 = 0.94-0.98)，同时将串扰保持在 0.03 nm 以下。这些结果推翻了人们长期以来对 TFBG 折光仪无法复用的看法，为基于 TFBG 阵列的紧凑、低成本和可扩展的准分布式化学和生物传感网络铺平了道路。</w:t>
      </w:r>
    </w:p>
    <w:p>
      <w:pPr>
        <w:spacing w:before="120"/>
      </w:pPr>
      <w:r>
        <w:rPr>
          <w:rFonts w:ascii="Times New Roman" w:hAnsi="Times New Roman" w:eastAsia="宋体"/>
          <w:b/>
          <w:sz w:val="21"/>
        </w:rPr>
        <w:t>English Abstract:</w:t>
      </w:r>
    </w:p>
    <w:p>
      <w:r>
        <w:rPr>
          <w:rFonts w:ascii="Times New Roman" w:hAnsi="Times New Roman" w:eastAsia="宋体"/>
          <w:sz w:val="21"/>
        </w:rPr>
        <w:t>Tilted fiber Bragg gratings (TFBGs) are highly sensitive refractometric probes, but their broad cladding-mode spectra have long been considered incompatible with wavelength-division multiplexing. As a result, TFBG refractive-index sensors are generally restricted to single-point operation, despite their inherent advantages. Here, we demonstrate for the first time that multiple bare, uncoated TFBGs (inscribed with distinct grating periods and tilt angles) can be cascaded within a single-mode fiber and independently interrogated over an 80-nm bandwidth. Although the cladding-mode spectra strongly overlap, we show that first-order derivative spectrum analysis isolates the local slope of each cut-off mode, effectively suppressing the envelope distortions typically induced by upstream gratings. This enables reliable and decoupled multipoint refractive-index sensing, with sensitivities of 52-58 nm/RIU that are fully consistent with intrinsic TFBG performance in aqueous media and remain stable after cascading. The derivative method enhances the demodulation accuracy by up to 65% and preserves linearity (R 2 = 0.94-0.98) while maintaining cross-talk below 0.03 nm. These results overturn the longstanding belief that TFBG refractometers cannot be multiplexed, paving the way for compact, low-cost, and scalable quasi-distributed chemical and biological sensing networks based on TFBG arrays.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全远心多摄像头显微FPP：Scheimpflug校准和基于重投影的多视点融合</w:t>
      </w:r>
    </w:p>
    <w:p>
      <w:r>
        <w:rPr>
          <w:rFonts w:ascii="Times New Roman" w:hAnsi="Times New Roman" w:eastAsia="宋体"/>
          <w:b/>
          <w:color w:val="003264"/>
          <w:sz w:val="24"/>
        </w:rPr>
        <w:t>All-telecentric multi-camera microscopic FPP: Scheimpflug calibration and reprojection-based multi-view fusion</w:t>
      </w:r>
    </w:p>
    <w:p>
      <w:r>
        <w:rPr>
          <w:rFonts w:ascii="Times New Roman" w:hAnsi="Times New Roman" w:eastAsia="宋体"/>
          <w:sz w:val="21"/>
        </w:rPr>
        <w:t>作者: Chenfan Zhang, Dongchen Zhu, Jun Liu, Lei Wang, Jiamao Li</w:t>
        <w:br/>
      </w:r>
      <w:r>
        <w:rPr>
          <w:rFonts w:ascii="Times New Roman" w:hAnsi="Times New Roman" w:eastAsia="宋体"/>
          <w:sz w:val="21"/>
        </w:rPr>
        <w:t xml:space="preserve">时间: 2026-01-26 | </w:t>
      </w:r>
      <w:r>
        <w:t xml:space="preserve">链接: </w:t>
      </w:r>
      <w:hyperlink r:id="rId77">
        <w:r>
          <w:rPr>
            <w:rFonts w:ascii="Times New Roman" w:hAnsi="Times New Roman" w:eastAsia="宋体"/>
            <w:color w:val="0000FF"/>
            <w:sz w:val="21"/>
            <w:u w:val="single"/>
          </w:rPr>
          <w:t>https://doi.org/10.1364/oe.584669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显微条纹投影轮廓术（MFPP）是在微观尺度上恢复 3D 结构的关键技术。然而，传统的单视图设置在复杂样本上表现不佳，其中自遮挡和镜面饱和会影响测量的完整性和准确性。本文介绍了一种全远心多相机 MFPP 系统，包括一个垂直远心投影仪和四个以 90 ∘ 间隔排列的倾斜 Scheimpflug 远心相机。为了校准系统，我们引入了一个管道，1）拟合来自多姿势图像的完整投影矩阵，2）将其分解为内在和外在参数，3）执行束调整联合校准，以在公共参考坐标系中对齐所有设备。这种方法减轻了过早分离内在因素和外在因素的方法中典型的病态条件和尺度漂移。对于重建，我们使用相位一致重投影建立跨视图对应，并通过自适应失配抑制执行调制加权融合。该策略保留了高质量的观测结果，抑制了冗余引起的偏差，并在保持边界保真度的同时填补了可见性空白。对标准目标和复杂样本的实验显示出相对于单视图和传统多视图基线更高的完整性和一致性，证明全远心设计与所提出的校准和融合方法相结合能够实现精确且稳健的显微 3D 测量。</w:t>
      </w:r>
    </w:p>
    <w:p>
      <w:pPr>
        <w:spacing w:before="120"/>
      </w:pPr>
      <w:r>
        <w:rPr>
          <w:rFonts w:ascii="Times New Roman" w:hAnsi="Times New Roman" w:eastAsia="宋体"/>
          <w:b/>
          <w:sz w:val="21"/>
        </w:rPr>
        <w:t>English Abstract:</w:t>
      </w:r>
    </w:p>
    <w:p>
      <w:r>
        <w:rPr>
          <w:rFonts w:ascii="Times New Roman" w:hAnsi="Times New Roman" w:eastAsia="宋体"/>
          <w:sz w:val="21"/>
        </w:rPr>
        <w:t>Microscopic fringe projection profilometry (MFPP) is a key technique for recovering 3D structure at the microscopic scale. However, conventional single-view setups perform poorly on complex specimens, where self-occlusion and specular saturation compromise measurement completeness and accuracy. This article presents an all-telecentric multi-camera MFPP system comprising a vertical telecentric projector and four oblique Scheimpflug telecentric cameras arranged at 90 ∘ intervals. To calibrate the system, we introduce a pipeline that 1) fits the full projection matrix from multi-pose images, 2) decomposes it into intrinsic and extrinsic parameters, and 3) performs bundle-adjusted joint calibration to align all devices in a common reference coordinate frame. This approach mitigates the ill-conditioning and scale drift typical of methods that separate intrinsics and extrinsics prematurely. For reconstruction, we establish cross-view correspondences using phase-consistent reprojection and perform modulation-weighted fusion with adaptive mismatch rejection. This strategy preserves high-quality observations, suppresses redundancy-induced bias, and fills visibility gaps while maintaining boundary fidelity. Experiments on standard targets and complex specimens show higher completeness and consistency relative to single-view and conventional multi-view baselines, demonstrating that an all-telecentric design coupled with the proposed calibration and fusion methods enables accurate and robust microscopic 3D measurement.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基于模型的 WSS 频谱整形技术，考虑插入损耗和纹波损失</w:t>
      </w:r>
    </w:p>
    <w:p>
      <w:r>
        <w:rPr>
          <w:rFonts w:ascii="Times New Roman" w:hAnsi="Times New Roman" w:eastAsia="宋体"/>
          <w:b/>
          <w:color w:val="003264"/>
          <w:sz w:val="24"/>
        </w:rPr>
        <w:t>Model-based spectral shaping technique for WSSs with insertion loss and ripple penalties consideration</w:t>
      </w:r>
    </w:p>
    <w:p>
      <w:r>
        <w:rPr>
          <w:rFonts w:ascii="Times New Roman" w:hAnsi="Times New Roman" w:eastAsia="宋体"/>
          <w:sz w:val="21"/>
        </w:rPr>
        <w:t>作者: Yuzhe Li, Zihe Zhang, Xiao Zhang, Chen Liu, Liangjia Zong</w:t>
        <w:br/>
      </w:r>
      <w:r>
        <w:rPr>
          <w:rFonts w:ascii="Times New Roman" w:hAnsi="Times New Roman" w:eastAsia="宋体"/>
          <w:sz w:val="21"/>
        </w:rPr>
        <w:t xml:space="preserve">时间: 2026-02-05 | </w:t>
      </w:r>
      <w:r>
        <w:t xml:space="preserve">链接: </w:t>
      </w:r>
      <w:hyperlink r:id="rId87">
        <w:r>
          <w:rPr>
            <w:rFonts w:ascii="Times New Roman" w:hAnsi="Times New Roman" w:eastAsia="宋体"/>
            <w:color w:val="0000FF"/>
            <w:sz w:val="21"/>
            <w:u w:val="single"/>
          </w:rPr>
          <w:t>https://doi.org/10.1364/oe.586954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级联波长选择开关（WSS）引入的带宽窄化效应已成为限制通信系统性能的关键因素，特别是在采用更高波特率和先进调制格式的未来系统中。作为一种广泛采用的解决方案，通过 WSS 的衰减控制进行频谱整形可增强信道带宽。然而，由于相邻切片之间的光强度重叠以​​及缺乏适合光谱整形过程的物理模型，确定跨通道切片的最佳衰减曲线仍然具有挑战性。此外，WSS 频谱整形期间带宽增强与相应的插入损耗 (IL) 和纹波损失之间的关系尚未得到系统研究。为了解决这些问题，我们提出了一种新颖的 WSS 滤波模型，并将其集成到梯度下降算法中，以便在给定的 IL 和纹波惩罚约束下迭代确定最佳衰减曲线。此外，我们还通过仿真和实验量化了频谱整形过程中带宽增强、IL惩罚和纹波惩罚之间的权衡关系。这些结果显示出密切的一致性，确定了一种普遍实用且有利的策略，该策略可以牺牲 0.5 dB 的 IL 和 0.3 dB 的纹波来增强带宽。此外，在这组约束下，实验结果验证了我们的方法在 0.5 dB 和 3 dB 带宽上分别实现了 1.9 GHz 和 0.76 GHz 的平均增强。这些发现有助于优化 WSS 中的频谱整形，并为实际系统设计提供有价值的指导。</w:t>
      </w:r>
    </w:p>
    <w:p>
      <w:pPr>
        <w:spacing w:before="120"/>
      </w:pPr>
      <w:r>
        <w:rPr>
          <w:rFonts w:ascii="Times New Roman" w:hAnsi="Times New Roman" w:eastAsia="宋体"/>
          <w:b/>
          <w:sz w:val="21"/>
        </w:rPr>
        <w:t>English Abstract:</w:t>
      </w:r>
    </w:p>
    <w:p>
      <w:r>
        <w:rPr>
          <w:rFonts w:ascii="Times New Roman" w:hAnsi="Times New Roman" w:eastAsia="宋体"/>
          <w:sz w:val="21"/>
        </w:rPr>
        <w:t>The bandwidth narrowing effect introduced by cascaded wavelength-selective switches (WSSs) has emerged as a critical factor limiting communication system performance, particularly in future systems employing higher baud rates and advanced modulation formats. As a widely adopted solution, spectral shaping through the attenuation control of WSSs enhances channel bandwidth. However, determining the optimal attenuation profile across channel slices remains challenging due to the optical intensity overlap between neighboring slices and the absence of a suitable physical model for the spectral shaping process. Furthermore, the relationship between bandwidth enhancement and the corresponding insertion loss (IL) and ripple penalties during WSS spectral shaping has not been systematically investigated. To address these issues, what we believe to be a novel WSS filtering model is proposed and integrated into a gradient descent algorithm to iteratively determine the optimal attenuation profile under given constraints on IL and ripple penalties. In addition, we have quantified the trade-off relationship among bandwidth enhancement, IL penalty, and ripple penalty during the spectral shaping process through simulations and experiments. These results show close agreement, identifying a generally practical and advantageous strategy that trades off 0.5 dB of IL and 0.3 dB of ripple for bandwidth enhancement. Furthermore, under this set of constraints, experimental results validate that our approach achieves a mean enhancement of 1.9 GHz and 0.76 GHz in 0.5-dB and 3-dB bandwidths, respectively. These findings contribute to optimizing spectral shaping in WSSs and provide valuable guidance for practical system design.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APL Photonics</w:t>
      </w:r>
    </w:p>
    <w:p>
      <w:pPr>
        <w:jc w:val="center"/>
      </w:pPr>
      <w:r>
        <w:t>--- 更新: 00:30 ---</w:t>
      </w:r>
    </w:p>
    <w:p>
      <w:pPr>
        <w:pStyle w:val="Heading2"/>
      </w:pPr>
      <w:r/>
      <w:r>
        <w:rPr>
          <w:rFonts w:ascii="Times New Roman" w:hAnsi="Times New Roman" w:eastAsia="宋体"/>
          <w:b/>
          <w:color w:val="000000"/>
          <w:sz w:val="24"/>
        </w:rPr>
        <w:t>面向量子存储器的高效宽带光学延迟线</w:t>
      </w:r>
    </w:p>
    <w:p>
      <w:r>
        <w:rPr>
          <w:rFonts w:ascii="Times New Roman" w:hAnsi="Times New Roman" w:eastAsia="宋体"/>
          <w:b/>
          <w:color w:val="003264"/>
          <w:sz w:val="24"/>
        </w:rPr>
        <w:t>Highly efficient and broadband optical delay line toward a quantum memory</w:t>
      </w:r>
    </w:p>
    <w:p>
      <w:r>
        <w:rPr>
          <w:rFonts w:ascii="Times New Roman" w:hAnsi="Times New Roman" w:eastAsia="宋体"/>
          <w:sz w:val="21"/>
        </w:rPr>
        <w:t>作者: Yu Guo, Anindya Banerji, Jia Boon Chin, Arya Chowdhury, Alexander Ling</w:t>
        <w:br/>
      </w:r>
      <w:r>
        <w:rPr>
          <w:rFonts w:ascii="Times New Roman" w:hAnsi="Times New Roman" w:eastAsia="宋体"/>
          <w:sz w:val="21"/>
        </w:rPr>
        <w:t xml:space="preserve">时间: 2026-02-05 | </w:t>
      </w:r>
      <w:r>
        <w:t xml:space="preserve">链接: </w:t>
      </w:r>
      <w:hyperlink r:id="rId54">
        <w:r>
          <w:rPr>
            <w:rFonts w:ascii="Times New Roman" w:hAnsi="Times New Roman" w:eastAsia="宋体"/>
            <w:color w:val="0000FF"/>
            <w:sz w:val="21"/>
            <w:u w:val="single"/>
          </w:rPr>
          <w:t>https://doi.org/10.1063/5.0305471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一种利用嵌套多通道单元架构的高效自由空间光学延迟线。该设计支持低损耗的扩展光路，并辅以定制宽带介电涂层，可在宽光谱带宽内提供高反射率。该单元的特点是使用偏振纠缠光子对，信号光子通过延迟线，空闲光子用作定时参考。对纠缠对进行的量子态断层扫描显示，在单次传输延迟高达 687 ns 后，纠缠保持保真度达到 99.6(9)%，同时光子检索效率达到 95.390(5)%。延迟是可控的，可以设置在 1.8 至 687 ns 之间，增量为 ∼12.6 ns。这些结果使该延迟线成为可扩展量子网络的全光量子存储器和同步模块的有力候选者。</w:t>
      </w:r>
    </w:p>
    <w:p>
      <w:pPr>
        <w:spacing w:before="120"/>
      </w:pPr>
      <w:r>
        <w:rPr>
          <w:rFonts w:ascii="Times New Roman" w:hAnsi="Times New Roman" w:eastAsia="宋体"/>
          <w:b/>
          <w:sz w:val="21"/>
        </w:rPr>
        <w:t>English Abstract:</w:t>
      </w:r>
    </w:p>
    <w:p>
      <w:r>
        <w:rPr>
          <w:rFonts w:ascii="Times New Roman" w:hAnsi="Times New Roman" w:eastAsia="宋体"/>
          <w:sz w:val="21"/>
        </w:rPr>
        <w:t>We demonstrate a high-efficiency, free space optical delay line utilizing a nested multipass cell architecture. This design supports extended optical paths with low loss, aided by custom broadband dielectric coatings that provide high reflectivity across a wide spectral bandwidth. The cell is characterized using polarization-entangled photon pairs, with signal photons routed through the delay line and idler photons used as a timing reference. Quantum state tomography performed on the entangled pairs reveals entanglement preservation with fidelity of 99.6(9)% following a single-transit delay of up to 687 ns, accompanied by a photon retrieval efficiency of 95.390(5)%. The delay is controllable and can be set between 1.8 and 687 ns in ∼12.6 ns increments. These results position this delay line as a strong candidate for all-optical quantum memories and synchronization modules for scalable quantum networks.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Machine Intelligence</w:t>
      </w:r>
    </w:p>
    <w:p>
      <w:pPr>
        <w:jc w:val="center"/>
      </w:pPr>
      <w:r>
        <w:t>--- 更新: 06:28 ---</w:t>
      </w:r>
    </w:p>
    <w:p>
      <w:pPr>
        <w:pStyle w:val="Heading2"/>
      </w:pPr>
      <w:r/>
      <w:r>
        <w:rPr>
          <w:rFonts w:ascii="Times New Roman" w:hAnsi="Times New Roman" w:eastAsia="宋体"/>
          <w:b/>
          <w:color w:val="000000"/>
          <w:sz w:val="24"/>
        </w:rPr>
        <w:t>使用图转换器识别空间单细胞级相互作用</w:t>
      </w:r>
    </w:p>
    <w:p>
      <w:r>
        <w:rPr>
          <w:rFonts w:ascii="Times New Roman" w:hAnsi="Times New Roman" w:eastAsia="宋体"/>
          <w:b/>
          <w:color w:val="003264"/>
          <w:sz w:val="24"/>
        </w:rPr>
        <w:t>Identifying spatial single-cell-level interactions with graph transformer</w:t>
      </w:r>
    </w:p>
    <w:p>
      <w:r>
        <w:rPr>
          <w:rFonts w:ascii="Times New Roman" w:hAnsi="Times New Roman" w:eastAsia="宋体"/>
          <w:sz w:val="21"/>
        </w:rPr>
        <w:t>作者: Xiangzheng Cheng, Suoqin Jin</w:t>
        <w:br/>
      </w:r>
      <w:r>
        <w:rPr>
          <w:rFonts w:ascii="Times New Roman" w:hAnsi="Times New Roman" w:eastAsia="宋体"/>
          <w:sz w:val="21"/>
        </w:rPr>
        <w:t xml:space="preserve">时间: 2026-02-06 | </w:t>
      </w:r>
      <w:r>
        <w:t xml:space="preserve">链接: </w:t>
      </w:r>
      <w:hyperlink r:id="rId65">
        <w:r>
          <w:rPr>
            <w:rFonts w:ascii="Times New Roman" w:hAnsi="Times New Roman" w:eastAsia="宋体"/>
            <w:color w:val="0000FF"/>
            <w:sz w:val="21"/>
            <w:u w:val="single"/>
          </w:rPr>
          <w:t>https://doi.org/10.1038/s42256-026-01191-2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从基于成像的空间转录组学中识别细胞间相互作用受到有限的基因组的影响。一种新的基于自监督图转换器的方法可以解决空间单细胞水平的相互作用，而不需要已知的配体-受体对。</w:t>
      </w:r>
    </w:p>
    <w:p>
      <w:pPr>
        <w:spacing w:before="120"/>
      </w:pPr>
      <w:r>
        <w:rPr>
          <w:rFonts w:ascii="Times New Roman" w:hAnsi="Times New Roman" w:eastAsia="宋体"/>
          <w:b/>
          <w:sz w:val="21"/>
        </w:rPr>
        <w:t>English Abstract:</w:t>
      </w:r>
    </w:p>
    <w:p>
      <w:r>
        <w:rPr>
          <w:rFonts w:ascii="Times New Roman" w:hAnsi="Times New Roman" w:eastAsia="宋体"/>
          <w:sz w:val="21"/>
        </w:rPr>
        <w:t>Identifying cell–cell interactions from imaging-based spatial transcriptomics suffers from limited gene panels. A new self-supervised graph transformer-based method can resolve spatial single-cell-level interactions without requiring known ligand–receptor pairs.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Biomedical Engineering</w:t>
      </w:r>
    </w:p>
    <w:p>
      <w:pPr>
        <w:jc w:val="center"/>
      </w:pPr>
      <w:r>
        <w:t>--- 更新: 06:28 ---</w:t>
      </w:r>
    </w:p>
    <w:p>
      <w:pPr>
        <w:pStyle w:val="Heading2"/>
      </w:pPr>
      <w:r/>
      <w:r>
        <w:rPr>
          <w:rFonts w:ascii="Times New Roman" w:hAnsi="Times New Roman" w:eastAsia="宋体"/>
          <w:b/>
          <w:color w:val="000000"/>
          <w:sz w:val="24"/>
        </w:rPr>
        <w:t>从卫生系统规模的数据中学习神经影像模型</w:t>
      </w:r>
    </w:p>
    <w:p>
      <w:r>
        <w:rPr>
          <w:rFonts w:ascii="Times New Roman" w:hAnsi="Times New Roman" w:eastAsia="宋体"/>
          <w:b/>
          <w:color w:val="003264"/>
          <w:sz w:val="24"/>
        </w:rPr>
        <w:t>Learning neuroimaging models from health system-scale data</w:t>
      </w:r>
    </w:p>
    <w:p>
      <w:r>
        <w:rPr>
          <w:rFonts w:ascii="Times New Roman" w:hAnsi="Times New Roman" w:eastAsia="宋体"/>
          <w:sz w:val="21"/>
        </w:rPr>
        <w:t>作者: Yiwei Lyu, Samir Harake, Asadur Chowdury, Soumyanil Banerjee, Rachel Gologorsky, Shixuan Liu, Anna-Katharina Meissner, Akshay Rao, Chenhui Zhao, Akhil Kondepudi, Cheng Jiang, Xinhai Hou, Rushikesh S. Joshi, Volker Neuschmelting, Ashok Srinivasan, Dawn Kleindorfer, Brian Athey, Vikas Gulani, Aditya Pandey, Honglak Lee, Todd Hollon</w:t>
        <w:br/>
      </w:r>
      <w:r>
        <w:rPr>
          <w:rFonts w:ascii="Times New Roman" w:hAnsi="Times New Roman" w:eastAsia="宋体"/>
          <w:sz w:val="21"/>
        </w:rPr>
        <w:t xml:space="preserve">时间: 2026-02-06 | </w:t>
      </w:r>
      <w:r>
        <w:t xml:space="preserve">链接: </w:t>
      </w:r>
      <w:hyperlink r:id="rId66">
        <w:r>
          <w:rPr>
            <w:rFonts w:ascii="Times New Roman" w:hAnsi="Times New Roman" w:eastAsia="宋体"/>
            <w:color w:val="0000FF"/>
            <w:sz w:val="21"/>
            <w:u w:val="single"/>
          </w:rPr>
          <w:t>https://doi.org/10.1038/s41551-025-01608-0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Prima 是一种基于临床磁共振成像的神经影像人工智能基础模型，可提供准确且可解释的诊断、放射科医生的工作清单优先级以及在不同群体中具有公平表现的临床转诊建议​​。</w:t>
      </w:r>
    </w:p>
    <w:p>
      <w:pPr>
        <w:spacing w:before="120"/>
      </w:pPr>
      <w:r>
        <w:rPr>
          <w:rFonts w:ascii="Times New Roman" w:hAnsi="Times New Roman" w:eastAsia="宋体"/>
          <w:b/>
          <w:sz w:val="21"/>
        </w:rPr>
        <w:t>English Abstract:</w:t>
      </w:r>
    </w:p>
    <w:p>
      <w:r>
        <w:rPr>
          <w:rFonts w:ascii="Times New Roman" w:hAnsi="Times New Roman" w:eastAsia="宋体"/>
          <w:sz w:val="21"/>
        </w:rPr>
        <w:t>Prima is an AI foundation model for neuroimaging based on clinical magnetic resonance imaging that offers accurate and explainable diagnostics, worklist priority for radiologists and clinical referral recommendations with equitable performance on diverse groups.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Nature Photonics</w:t>
      </w:r>
    </w:p>
    <w:p>
      <w:pPr>
        <w:jc w:val="center"/>
      </w:pPr>
      <w:r>
        <w:t>--- 更新: 06:28 ---</w:t>
      </w:r>
    </w:p>
    <w:p>
      <w:pPr>
        <w:pStyle w:val="Heading2"/>
      </w:pPr>
      <w:r/>
      <w:r>
        <w:rPr>
          <w:rFonts w:ascii="Times New Roman" w:hAnsi="Times New Roman" w:eastAsia="宋体"/>
          <w:b/>
          <w:color w:val="000000"/>
          <w:sz w:val="24"/>
        </w:rPr>
        <w:t>超宽带受激拉曼散射光谱和成像</w:t>
      </w:r>
    </w:p>
    <w:p>
      <w:r>
        <w:rPr>
          <w:rFonts w:ascii="Times New Roman" w:hAnsi="Times New Roman" w:eastAsia="宋体"/>
          <w:b/>
          <w:color w:val="003264"/>
          <w:sz w:val="24"/>
        </w:rPr>
        <w:t>Super-broadband stimulated Raman scattering spectroscopy and imaging</w:t>
      </w:r>
    </w:p>
    <w:p>
      <w:r>
        <w:rPr>
          <w:rFonts w:ascii="Times New Roman" w:hAnsi="Times New Roman" w:eastAsia="宋体"/>
          <w:sz w:val="21"/>
        </w:rPr>
        <w:t>作者: Jin Guo, Mingzhen Wang, Qiaozhi Yu, Haojie Zhang, Jiakai Wang, Qian Zhang, Yafeng Qi, Zhuowen Wang, Jinxin Liu, He Sun, Jing Ren, Xiuqin Zhang, Wenhao Yu, Xiang Yu, Wenzhe Si, Hanqing Xiong</w:t>
        <w:br/>
      </w:r>
      <w:r>
        <w:rPr>
          <w:rFonts w:ascii="Times New Roman" w:hAnsi="Times New Roman" w:eastAsia="宋体"/>
          <w:sz w:val="21"/>
        </w:rPr>
        <w:t xml:space="preserve">时间: 2026-02-06 | </w:t>
      </w:r>
      <w:r>
        <w:t xml:space="preserve">链接: </w:t>
      </w:r>
      <w:hyperlink r:id="rId67">
        <w:r>
          <w:rPr>
            <w:rFonts w:ascii="Times New Roman" w:hAnsi="Times New Roman" w:eastAsia="宋体"/>
            <w:color w:val="0000FF"/>
            <w:sz w:val="21"/>
            <w:u w:val="single"/>
          </w:rPr>
          <w:t>https://doi.org/10.1038/s41566-025-01841-8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基于双波段激光诱导量子干涉的受激拉曼散射方法能够对生物组织进行超宽带和快速高光谱拉曼成像，并检测人血清中多达 11 种关键生物标志物。</w:t>
      </w:r>
    </w:p>
    <w:p>
      <w:pPr>
        <w:spacing w:before="120"/>
      </w:pPr>
      <w:r>
        <w:rPr>
          <w:rFonts w:ascii="Times New Roman" w:hAnsi="Times New Roman" w:eastAsia="宋体"/>
          <w:b/>
          <w:sz w:val="21"/>
        </w:rPr>
        <w:t>English Abstract:</w:t>
      </w:r>
    </w:p>
    <w:p>
      <w:r>
        <w:rPr>
          <w:rFonts w:ascii="Times New Roman" w:hAnsi="Times New Roman" w:eastAsia="宋体"/>
          <w:sz w:val="21"/>
        </w:rPr>
        <w:t>A stimulated Raman scattering method based on dual-band laser-induced quantum interference enables ultra broadband and rapid hyperspectral Raman imaging of biological tissue and the detection of up to 11 key biomarkers in human serum.</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06:29 ---</w:t>
      </w:r>
    </w:p>
    <w:p>
      <w:pPr>
        <w:pStyle w:val="Heading2"/>
      </w:pPr>
      <w:r/>
      <w:r>
        <w:rPr>
          <w:rFonts w:ascii="Times New Roman" w:hAnsi="Times New Roman" w:eastAsia="宋体"/>
          <w:b/>
          <w:color w:val="000000"/>
          <w:sz w:val="24"/>
        </w:rPr>
        <w:t>浓度、块度、聚集和簇压实对颗粒介质光学特性的影响</w:t>
      </w:r>
    </w:p>
    <w:p>
      <w:r>
        <w:rPr>
          <w:rFonts w:ascii="Times New Roman" w:hAnsi="Times New Roman" w:eastAsia="宋体"/>
          <w:b/>
          <w:color w:val="003264"/>
          <w:sz w:val="24"/>
        </w:rPr>
        <w:t>Effect of concentration, lumpiness, aggregation, and cluster compaction on optical properties of particulate media</w:t>
      </w:r>
    </w:p>
    <w:p>
      <w:r>
        <w:rPr>
          <w:rFonts w:ascii="Times New Roman" w:hAnsi="Times New Roman" w:eastAsia="宋体"/>
          <w:sz w:val="21"/>
        </w:rPr>
        <w:t>作者: William E. Vargas</w:t>
        <w:br/>
      </w:r>
      <w:r>
        <w:rPr>
          <w:rFonts w:ascii="Times New Roman" w:hAnsi="Times New Roman" w:eastAsia="宋体"/>
          <w:sz w:val="21"/>
        </w:rPr>
        <w:t xml:space="preserve">时间: 2026-01-12 | </w:t>
      </w:r>
      <w:r>
        <w:t xml:space="preserve">链接: </w:t>
      </w:r>
      <w:hyperlink r:id="rId78">
        <w:r>
          <w:rPr>
            <w:rFonts w:ascii="Times New Roman" w:hAnsi="Times New Roman" w:eastAsia="宋体"/>
            <w:color w:val="0000FF"/>
            <w:sz w:val="21"/>
            <w:u w:val="single"/>
          </w:rPr>
          <w:t>https://doi.org/10.1364/optcon.582538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四通量辐射传输模型用于评估平面平行颗粒材料的漫反射率和透射率光谱。外部参数（包括散射和吸收截面、前向散射比和平均路径长度参数）是利用用于独立散射的 Lorenz-Mie 理论和用于近场相关散射评估的过渡矩阵方法来计算的。该形式应用于水性聚合物基质中的亚微米级球形二氧化钛颜料，以评估其在波长 0.3 至 1.5 μm 范围内的反射率和透射率光谱。改变颗粒浓度、块度、每个簇的颗粒数量以及簇压实度来量化相关散射的影响。我们认为，引入了一种新颖的方案，根据不形成聚集体的颗粒所占的体积分数和与作为聚集体一部分的颗粒相对应的另一部分，以及样品的块度和簇的压实度来对样品的形态进行建模。对紫外线、可见光和近红外线中的特定波长进行更详细的分析，以将由于相关散射与传播通量引起的反射率和透射率的变化关联起来。</w:t>
      </w:r>
    </w:p>
    <w:p>
      <w:pPr>
        <w:spacing w:before="120"/>
      </w:pPr>
      <w:r>
        <w:rPr>
          <w:rFonts w:ascii="Times New Roman" w:hAnsi="Times New Roman" w:eastAsia="宋体"/>
          <w:b/>
          <w:sz w:val="21"/>
        </w:rPr>
        <w:t>English Abstract:</w:t>
      </w:r>
    </w:p>
    <w:p>
      <w:r>
        <w:rPr>
          <w:rFonts w:ascii="Times New Roman" w:hAnsi="Times New Roman" w:eastAsia="宋体"/>
          <w:sz w:val="21"/>
        </w:rPr>
        <w:t>A four-flux radiative transfer model is used to evaluate diffuse reflectance and transmittance spectra of plane-parallel particulate materials. External parameters, including scattering and absorption cross sections, forward scattering ratios, and average path length parameters, are calculated utilizing Lorenz-Mie theory for independent scattering and a transition matrix approach for near-field dependent scattering evaluations. The formalism is applied to sub-micron-sized spherical titanium dioxide pigments in an aqueous-polymer matrix to evaluate their reflectance and transmittance spectra in the range of 0.3 to 1.5 μm in wavelength. The particle concentration, the degree of lumpiness, the number of particles per cluster, and the cluster compaction are varied to quantify the effect of dependent scattering. What we believe to be a novel scheme is introduced to model the morphology of samples in terms of a volume fraction occupied by particles that do not form aggregates and another fraction corresponding to particles that are part of aggregates, as well as the lumpiness of the sample and compaction of the clusters. A more detailed analysis is carried out for specific wavelengths in the ultraviolet, visible, and near infrared to correlate the variation of reflectance and transmittance due to dependent scattering with the propagating fluxes.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06:29 ---</w:t>
      </w:r>
    </w:p>
    <w:p>
      <w:pPr>
        <w:pStyle w:val="Heading2"/>
      </w:pPr>
      <w:r/>
      <w:r>
        <w:rPr>
          <w:rFonts w:ascii="Times New Roman" w:hAnsi="Times New Roman" w:eastAsia="宋体"/>
          <w:b/>
          <w:color w:val="000000"/>
          <w:sz w:val="24"/>
        </w:rPr>
        <w:t>前沿编辑：从编辑部到研究实验室</w:t>
      </w:r>
    </w:p>
    <w:p>
      <w:r>
        <w:rPr>
          <w:rFonts w:ascii="Times New Roman" w:hAnsi="Times New Roman" w:eastAsia="宋体"/>
          <w:b/>
          <w:color w:val="003264"/>
          <w:sz w:val="24"/>
        </w:rPr>
        <w:t>Editors at the frontier: from the editorial desk to the research lab</w:t>
      </w:r>
    </w:p>
    <w:p>
      <w:r>
        <w:rPr>
          <w:rFonts w:ascii="Times New Roman" w:hAnsi="Times New Roman" w:eastAsia="宋体"/>
          <w:sz w:val="21"/>
        </w:rPr>
        <w:t>作者: Siqiu Guo, Fei Ding</w:t>
        <w:br/>
      </w:r>
      <w:r>
        <w:rPr>
          <w:rFonts w:ascii="Times New Roman" w:hAnsi="Times New Roman" w:eastAsia="宋体"/>
          <w:sz w:val="21"/>
        </w:rPr>
        <w:t xml:space="preserve">时间: 2026-02-06 | </w:t>
      </w:r>
      <w:r>
        <w:t xml:space="preserve">链接: </w:t>
      </w:r>
      <w:hyperlink r:id="rId79">
        <w:r>
          <w:rPr>
            <w:rFonts w:ascii="Times New Roman" w:hAnsi="Times New Roman" w:eastAsia="宋体"/>
            <w:color w:val="0000FF"/>
            <w:sz w:val="21"/>
            <w:u w:val="single"/>
          </w:rPr>
          <w:t>https://doi.org/10.1038/s41377-026-02191-y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基于等离子体纳米腔的二维材料层呼吸振动的通用检测</w:t>
      </w:r>
    </w:p>
    <w:p>
      <w:r>
        <w:rPr>
          <w:rFonts w:ascii="Times New Roman" w:hAnsi="Times New Roman" w:eastAsia="宋体"/>
          <w:b/>
          <w:color w:val="003264"/>
          <w:sz w:val="24"/>
        </w:rPr>
        <w:t>Plasmonic nanocavity-enabled universal detection of layer-breathing vibrations in two-dimensional materials</w:t>
      </w:r>
    </w:p>
    <w:p>
      <w:r>
        <w:rPr>
          <w:rFonts w:ascii="Times New Roman" w:hAnsi="Times New Roman" w:eastAsia="宋体"/>
          <w:sz w:val="21"/>
        </w:rPr>
        <w:t>作者: Heng Wu, Miao-Ling Lin, Sen Yan, Lin-Shang Chen, Zhong-Jie Wang, Yi-Fei Zhang, Ti-Ying Zhu, Zheng-Yu Su, Jun Wang, Xue-Lu Liu, Zhong-Ming Wei, Yan-Meng Shi, Xiang Wang, Bin Ren, Ping-Heng Tan</w:t>
        <w:br/>
      </w:r>
      <w:r>
        <w:rPr>
          <w:rFonts w:ascii="Times New Roman" w:hAnsi="Times New Roman" w:eastAsia="宋体"/>
          <w:sz w:val="21"/>
        </w:rPr>
        <w:t xml:space="preserve">时间: 2026-02-06 | </w:t>
      </w:r>
      <w:r>
        <w:t xml:space="preserve">链接: </w:t>
      </w:r>
      <w:hyperlink r:id="rId80">
        <w:r>
          <w:rPr>
            <w:rFonts w:ascii="Times New Roman" w:hAnsi="Times New Roman" w:eastAsia="宋体"/>
            <w:color w:val="0000FF"/>
            <w:sz w:val="21"/>
            <w:u w:val="single"/>
          </w:rPr>
          <w:t>https://doi.org/10.1038/s41377-026-02203-x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传统拉曼光谱在检测二维材料中固有的弱电子声子耦合或拉曼不活动的层间层呼吸（LB）振动方面面临着固有的局限性，阻碍了对界面耦合和堆积动力学的深入了解。在这里，我们展示了一种通用的等离子体增强拉曼光谱策略，使用金或银纳米腔来强烈增强和检测多层石墨烯、六方氮化硼及其范德华异质结构中的LB模式。等离子体纳米腔甚至改变了 LB 振动的线偏振和圆偏振选择规则。通过开发电场调制的层间键极化率模型，我们定量解释了观察到的强度分布，并揭示了局域等离子体场增强和界面极化率调制的协同作用。该模型成功描述了不同材料系统和纳米腔几何结构中等离激元增强的 LB 振动的行为。这项工作不仅克服了传统的检测障碍，而且还提供了探测层间相互作用的定量框架，为研究隐藏的界面声子和推进层状量子材料的表征提供了一个多功能平台。</w:t>
      </w:r>
    </w:p>
    <w:p>
      <w:pPr>
        <w:spacing w:before="120"/>
      </w:pPr>
      <w:r>
        <w:rPr>
          <w:rFonts w:ascii="Times New Roman" w:hAnsi="Times New Roman" w:eastAsia="宋体"/>
          <w:b/>
          <w:sz w:val="21"/>
        </w:rPr>
        <w:t>English Abstract:</w:t>
      </w:r>
    </w:p>
    <w:p>
      <w:r>
        <w:rPr>
          <w:rFonts w:ascii="Times New Roman" w:hAnsi="Times New Roman" w:eastAsia="宋体"/>
          <w:sz w:val="21"/>
        </w:rPr>
        <w:t>Abstract Conventional Raman spectroscopy faces inherent limitations in detecting interlayer layer-breathing (LB) vibrations with inherently weak electron-phonon coupling or Raman inactivity in two-dimensional materials, hindering insights into interfacial coupling and stacking dynamics. Here, we demonstrate a universal plasmon-enhanced Raman spectroscopy strategy using gold or silver nanocavities to strongly enhance and detect LB modes in multilayer graphene, hBN, and their van der Waals heterostructures. Plasmonic nanocavities even modify the linear and circular polarization selection rules of the LB vibrations. By developing an electric-field-modulated interlayer bond polarizability model, we quantitatively explain the observed intensity profiles and reveal the synergistic roles of localized plasmonic field enhancement and interfacial polarizability modulation. This model successfully describes the behavior of plasmon-enhanced LB vibrations across different material systems and nanocavity geometries. This work not only overcomes traditional detection barriers but also provides a quantitative framework for probing interlayer interactions, offering a versatile platform for investigating hidden interfacial phonons and advancing the characterization of layered quantum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纳米光子双色孤子压缩产生的双光周期脉冲</w:t>
      </w:r>
    </w:p>
    <w:p>
      <w:r>
        <w:rPr>
          <w:rFonts w:ascii="Times New Roman" w:hAnsi="Times New Roman" w:eastAsia="宋体"/>
          <w:b/>
          <w:color w:val="003264"/>
          <w:sz w:val="24"/>
        </w:rPr>
        <w:t>Two-optical-cycle pulses from nanophotonic two-color soliton compression</w:t>
      </w:r>
    </w:p>
    <w:p>
      <w:r>
        <w:rPr>
          <w:rFonts w:ascii="Times New Roman" w:hAnsi="Times New Roman" w:eastAsia="宋体"/>
          <w:sz w:val="21"/>
        </w:rPr>
        <w:t>作者: Robert M. Gray, Ryoto Sekine, Maximilian Shen, Thomas Zacharias, James Williams, Selina Zhou, Rahul Chawlani, Luis Ledezma, Nicolas Englebert, Alireza Marandi</w:t>
        <w:br/>
      </w:r>
      <w:r>
        <w:rPr>
          <w:rFonts w:ascii="Times New Roman" w:hAnsi="Times New Roman" w:eastAsia="宋体"/>
          <w:sz w:val="21"/>
        </w:rPr>
        <w:t xml:space="preserve">时间: 2026-02-06 | </w:t>
      </w:r>
      <w:r>
        <w:t xml:space="preserve">链接: </w:t>
      </w:r>
      <w:hyperlink r:id="rId81">
        <w:r>
          <w:rPr>
            <w:rFonts w:ascii="Times New Roman" w:hAnsi="Times New Roman" w:eastAsia="宋体"/>
            <w:color w:val="0000FF"/>
            <w:sz w:val="21"/>
            <w:u w:val="single"/>
          </w:rPr>
          <w:t>https://doi.org/10.1038/s41377-026-02187-8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少周期和单周期光脉冲及其相关的超宽带光谱对于超快科学技术的进步至关重要。此外，由不同光谱带中可独立操作的超短脉冲组成的多色波形在脉冲合成和阿秒科学方面具有独特的优势。然而，超短脉冲的生成和控制需要体积庞大且昂贵的桌面光学系统，并且迄今为止超出了集成光子学的能力范围。在这里，我们打破了这些限制，并在铌酸锂纳米光子学中使用二次双色孤子动力学演示了双光周期脉冲压缩。通过利用色散工程和接近相位匹配的操作，我们实现了极端压缩、节能操作以及泵浦到二次谐波的强大转换。我们通过实验证明仅使用 ∼3 pJ 的输入能量即可生成 ∼13 fs 的 2 µm 脉冲。我们进一步说明了所演示的方案如何轻松扩展到具有子周期控制的片上单周期脉冲合成。我们的结果为实现纳米光子电路中的单周期超快系统提供了一条途径。</w:t>
      </w:r>
    </w:p>
    <w:p>
      <w:pPr>
        <w:spacing w:before="120"/>
      </w:pPr>
      <w:r>
        <w:rPr>
          <w:rFonts w:ascii="Times New Roman" w:hAnsi="Times New Roman" w:eastAsia="宋体"/>
          <w:b/>
          <w:sz w:val="21"/>
        </w:rPr>
        <w:t>English Abstract:</w:t>
      </w:r>
    </w:p>
    <w:p>
      <w:r>
        <w:rPr>
          <w:rFonts w:ascii="Times New Roman" w:hAnsi="Times New Roman" w:eastAsia="宋体"/>
          <w:sz w:val="21"/>
        </w:rPr>
        <w:t>Abstract Few- and single-cycle optical pulses and their associated ultra-broadband spectra have been crucial in the progress of ultrafast science and technology. Moreover, multi-color waveforms composed of independently manipulable ultrashort pulses in distinct spectral bands offer unique advantages in pulse synthesis and attosecond science. However, the generation and control of ultrashort pulses has required bulky and expensive optical systems at the tabletop scale and has so far been beyond the reach of integrated photonics. Here, we break these limitations and demonstrate two-optical-cycle pulse compression using quadratic two-color soliton dynamics in lithium niobate nanophotonics. By leveraging dispersion engineering and operation near phase matching, we achieve extreme compression, energy-efficient operation, and strong conversion of pump to the second harmonic. We experimentally demonstrate generation of ∼13 fs pulses at 2 µm using only ∼3 pJ of input energy. We further illustrate how the demonstrated scheme can be readily extended to on-chip single-cycle pulse synthesis with sub-cycle control. Our results provide a path towards realization of single-cycle ultrafast systems in nanophotonic circuits.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Photonics Research</w:t>
      </w:r>
    </w:p>
    <w:p>
      <w:pPr>
        <w:jc w:val="center"/>
      </w:pPr>
      <w:r>
        <w:t>--- 更新: 11:28 ---</w:t>
      </w:r>
    </w:p>
    <w:p>
      <w:pPr>
        <w:pStyle w:val="Heading2"/>
      </w:pPr>
      <w:r/>
      <w:r>
        <w:rPr>
          <w:rFonts w:ascii="Times New Roman" w:hAnsi="Times New Roman" w:eastAsia="宋体"/>
          <w:b/>
          <w:color w:val="000000"/>
          <w:sz w:val="24"/>
        </w:rPr>
        <w:t>使用全息光镊定量表征细胞间的机械相互作用</w:t>
      </w:r>
    </w:p>
    <w:p>
      <w:r>
        <w:rPr>
          <w:rFonts w:ascii="Times New Roman" w:hAnsi="Times New Roman" w:eastAsia="宋体"/>
          <w:b/>
          <w:color w:val="003264"/>
          <w:sz w:val="24"/>
        </w:rPr>
        <w:t>Quantitative characterization of cell-to-cell mechanical interactions using holographic optical tweezers</w:t>
      </w:r>
    </w:p>
    <w:p>
      <w:r>
        <w:rPr>
          <w:rFonts w:ascii="Times New Roman" w:hAnsi="Times New Roman" w:eastAsia="宋体"/>
          <w:sz w:val="21"/>
        </w:rPr>
        <w:t>作者: Qiang Zhang, Xing Li, Yuan Zhou, Wenyu Gao, Manman Li, Shaohui Yan, Chen Bai, Xianghua Yu, Xiaohao Xu, Baoli Yao</w:t>
        <w:br/>
      </w:r>
      <w:r>
        <w:rPr>
          <w:rFonts w:ascii="Times New Roman" w:hAnsi="Times New Roman" w:eastAsia="宋体"/>
          <w:sz w:val="21"/>
        </w:rPr>
        <w:t xml:space="preserve">时间: 2026-01-28 | </w:t>
      </w:r>
      <w:r>
        <w:t xml:space="preserve">链接: </w:t>
      </w:r>
      <w:hyperlink r:id="rId91">
        <w:r>
          <w:rPr>
            <w:rFonts w:ascii="Times New Roman" w:hAnsi="Times New Roman" w:eastAsia="宋体"/>
            <w:color w:val="0000FF"/>
            <w:sz w:val="21"/>
            <w:u w:val="single"/>
          </w:rPr>
          <w:t>https://doi.org/10.1364/prj.576337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细胞间的机械相互作用是生理和病理过程的基础，但其精确量化在技术上仍然具有挑战性。在这项研究中，我们提出了一种高精度细胞力学测量平台，利用全息光镊（HOT）动态探测细胞结合和分离过程中的机械响应。该系统通过将纳米级位移跟踪与光学力场重建相结合，能够动态探测细胞结合和分离过程中的机械响应，实现亚皮牛顿力灵敏度（沿 x 轴为 0.44±0.17 pN）。此外，集成形态成像可以生成精确的力-变形曲线，从而通过标准化应力松弛和蠕变柔量测定对细胞粘弹性特性进行定量分析。这种非侵入性和高保真度的方法为表征动态细胞间机械相互作用提供了强大的工具。</w:t>
      </w:r>
    </w:p>
    <w:p>
      <w:pPr>
        <w:spacing w:before="120"/>
      </w:pPr>
      <w:r>
        <w:rPr>
          <w:rFonts w:ascii="Times New Roman" w:hAnsi="Times New Roman" w:eastAsia="宋体"/>
          <w:b/>
          <w:sz w:val="21"/>
        </w:rPr>
        <w:t>English Abstract:</w:t>
      </w:r>
    </w:p>
    <w:p>
      <w:r>
        <w:rPr>
          <w:rFonts w:ascii="Times New Roman" w:hAnsi="Times New Roman" w:eastAsia="宋体"/>
          <w:sz w:val="21"/>
        </w:rPr>
        <w:t>Cell-to-cell mechanical interactions are fundamental to physiological and pathological processes, yet their precise quantification remains technically challenging. In this study, we present a high-precision cellular mechanics measurement platform utilizing holographic optical tweezers (HOT) to dynamically probe mechanical responses during cell binding and separation. This system enables dynamic probing of mechanical responses during cell binding and separation by combining nanometer-scale displacement tracking with optical force field reconstruction, achieving sub-piconewton force sensitivity (0.44±0.17 pN along the x -axis). Additionally, integrated morphological imaging allows for the generation of accurate force–deformation curves, enabling quantitative analysis of cellular viscoelastic properties through standardized stress relaxation and creep compliance assays. This non-invasive and high-fidelity approach provides a powerful tool for characterizing dynamic cell-to-cell mechanical interactions.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通过自注入锁定到不对称模式分裂微环谐振器的 1064 nm 超低噪声激光</w:t>
      </w:r>
    </w:p>
    <w:p>
      <w:r>
        <w:rPr>
          <w:rFonts w:ascii="Times New Roman" w:hAnsi="Times New Roman" w:eastAsia="宋体"/>
          <w:b/>
          <w:color w:val="003264"/>
          <w:sz w:val="24"/>
        </w:rPr>
        <w:t>Ultra-low-noise laser at 1064 nm through self-injection locking to an asymmetric-mode-splitting microring resonator</w:t>
      </w:r>
    </w:p>
    <w:p>
      <w:r>
        <w:rPr>
          <w:rFonts w:ascii="Times New Roman" w:hAnsi="Times New Roman" w:eastAsia="宋体"/>
          <w:sz w:val="21"/>
        </w:rPr>
        <w:t>作者: Hongfei Zhang, Yilin Wu, Sigang Yang, Hongwei Chen, Minghua Chen</w:t>
        <w:br/>
      </w:r>
      <w:r>
        <w:rPr>
          <w:rFonts w:ascii="Times New Roman" w:hAnsi="Times New Roman" w:eastAsia="宋体"/>
          <w:sz w:val="21"/>
        </w:rPr>
        <w:t xml:space="preserve">时间: 2026-01-27 | </w:t>
      </w:r>
      <w:r>
        <w:t xml:space="preserve">链接: </w:t>
      </w:r>
      <w:hyperlink r:id="rId92">
        <w:r>
          <w:rPr>
            <w:rFonts w:ascii="Times New Roman" w:hAnsi="Times New Roman" w:eastAsia="宋体"/>
            <w:color w:val="0000FF"/>
            <w:sz w:val="21"/>
            <w:u w:val="single"/>
          </w:rPr>
          <w:t>https://doi.org/10.1364/prj.577422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1μm波段的低噪声激光器在现代光子系统中发挥着至关重要的作用，但与通信波段的激光器相比，它们的芯片级实现仍处于早期阶段，尚有巨大的未开发潜力。这里，通过使用锁定到 Si 3 N 4 基微环谐振器（MRR）的半导体激光器自注入，演示了发射 1064 nm 的低噪声混合集成激光器。 MRR 的特点是嵌入有损缺陷以引起不对称模式分裂，从而实现 5.1×10 6 的增强负载 Q。自注入锁定激光器的光纤耦合输出功率为 14.79 dBm，并实现了 26.8 Hz 的本征线宽和 2.3 kHz 的 1/ π 积分线宽，代表了迄今为止报道的集成 1 μm 激光器的最窄本征线宽。演示的激光器为高分辨率光谱测量、绿光生成和量子传感开辟了新的机遇。</w:t>
      </w:r>
    </w:p>
    <w:p>
      <w:pPr>
        <w:spacing w:before="120"/>
      </w:pPr>
      <w:r>
        <w:rPr>
          <w:rFonts w:ascii="Times New Roman" w:hAnsi="Times New Roman" w:eastAsia="宋体"/>
          <w:b/>
          <w:sz w:val="21"/>
        </w:rPr>
        <w:t>English Abstract:</w:t>
      </w:r>
    </w:p>
    <w:p>
      <w:r>
        <w:rPr>
          <w:rFonts w:ascii="Times New Roman" w:hAnsi="Times New Roman" w:eastAsia="宋体"/>
          <w:sz w:val="21"/>
        </w:rPr>
        <w:t>Low-noise lasers in the 1-μm band play a crucial role in modern photonic systems, yet their chip-scale implementation remains at an early stage compared to lasers operating at the communication band, leaving significant untapped potential for exploration. Here, a low-noise hybrid integrated laser emitting at 1064 nm is demonstrated, through using a semiconductor laser self-injection locked to a Si 3 N 4 -based microring resonator (MRR). The MRR distinguishes itself by embedding a lossy defect to cause asymmetric mode splitting, achieving an enhanced loaded Q of 5.1×10 6 . The self-injection locked laser presents a fiber-coupled output power of 14.79 dBm and achieves an intrinsic linewidth of 26.8 Hz and a 1/ π -integral linewidth of 2.3 kHz, representing the narrowest intrinsic linewidth reported to date for integrated 1-μm lasers. The demonstrated laser opens up new opportunities in high-resolution spectroscopy measurement, green light generation, and quantum 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消色差实验室全视野透射X射线显微镜</w:t>
      </w:r>
    </w:p>
    <w:p>
      <w:r>
        <w:rPr>
          <w:rFonts w:ascii="Times New Roman" w:hAnsi="Times New Roman" w:eastAsia="宋体"/>
          <w:b/>
          <w:color w:val="003264"/>
          <w:sz w:val="24"/>
        </w:rPr>
        <w:t>Achromatic laboratory full-field transmission X-ray microscope</w:t>
      </w:r>
    </w:p>
    <w:p>
      <w:r>
        <w:rPr>
          <w:rFonts w:ascii="Times New Roman" w:hAnsi="Times New Roman" w:eastAsia="宋体"/>
          <w:sz w:val="21"/>
        </w:rPr>
        <w:t>作者: Di Qu, Shuai Zhao, Peng Qi, Anna Bergamaschi, Mano Raj Dhanalakshmi Veeraraj, Roberto Dinapoli, Julian Heymes, Joan Vila-Comamala, Christian David</w:t>
        <w:br/>
      </w:r>
      <w:r>
        <w:rPr>
          <w:rFonts w:ascii="Times New Roman" w:hAnsi="Times New Roman" w:eastAsia="宋体"/>
          <w:sz w:val="21"/>
        </w:rPr>
        <w:t xml:space="preserve">时间: 2026-01-27 | </w:t>
      </w:r>
      <w:r>
        <w:t xml:space="preserve">链接: </w:t>
      </w:r>
      <w:hyperlink r:id="rId93">
        <w:r>
          <w:rPr>
            <w:rFonts w:ascii="Times New Roman" w:hAnsi="Times New Roman" w:eastAsia="宋体"/>
            <w:color w:val="0000FF"/>
            <w:sz w:val="21"/>
            <w:u w:val="single"/>
          </w:rPr>
          <w:t>https://doi.org/10.1364/prj.573807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 X 射线管源上实施全视场透射 X 射线显微镜 (TXM) 会因透镜色差而导致图像模糊，并且由于实验室源固有的低通量而导致曝光时间长。在这里，我们展示了第一个实验室全视场 TXM 系统，该系统结合了定制的单毛细管光学器件、消色差 X 射线透镜和 MÖNCH 混合硅像素探测器来应对这些挑战。利用当前的光学器件，该 TXM 系统使用 10 keV 左右的 X 射线能量，展示了低至 480 nm 的空间分辨率。尽管 MÖNCH 探测器的像素间距较大，但通过利用电荷共享的插值方法可以实现高空间分辨率成像。此外，MÖNCH 探测器的能量分辨能力可以获取元素信息。这款实验室 X 射线显微镜的概念弥补了使用 X 射线进行结构和元素表征之间的差距，为材料科学、环境科学和生物学领域的研究提供了新的机会。</w:t>
      </w:r>
    </w:p>
    <w:p>
      <w:pPr>
        <w:spacing w:before="120"/>
      </w:pPr>
      <w:r>
        <w:rPr>
          <w:rFonts w:ascii="Times New Roman" w:hAnsi="Times New Roman" w:eastAsia="宋体"/>
          <w:b/>
          <w:sz w:val="21"/>
        </w:rPr>
        <w:t>English Abstract:</w:t>
      </w:r>
    </w:p>
    <w:p>
      <w:r>
        <w:rPr>
          <w:rFonts w:ascii="Times New Roman" w:hAnsi="Times New Roman" w:eastAsia="宋体"/>
          <w:sz w:val="21"/>
        </w:rPr>
        <w:t>The implementation of full-field transmission X-ray microscopy (TXM) at X-ray tube sources suffers from image blurring due to the chromatic aberration of the lenses and from long exposure times due to the inherent low flux of laboratory sources. Here, we demonstrate the first laboratory full-field TXM system, which combines tailored monocapillary optics, an achromatic X-ray lens, and the MÖNCH hybrid silicon pixel detector to address these challenges. With current optics, this TXM system demonstrates a spatial resolution down to 480 nm using X-ray energies around 10 keV. Despite the large pixel pitch of the MÖNCH detector, high spatial resolution imaging can be achieved by using interpolation methods leveraging charge sharing. In addition, the energy resolving power of the MÖNCH detector allows for the acquisition of elemental information. Bridging the gap between structural and elemental characterizations using X-rays, the concept of this laboratory X-ray microscope provides new opportunities for research in the fields of material science, environmental science, and biology.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通过光学微腔中的特殊点对进行拓扑切换</w:t>
      </w:r>
    </w:p>
    <w:p>
      <w:r>
        <w:rPr>
          <w:rFonts w:ascii="Times New Roman" w:hAnsi="Times New Roman" w:eastAsia="宋体"/>
          <w:b/>
          <w:color w:val="003264"/>
          <w:sz w:val="24"/>
        </w:rPr>
        <w:t>Topological switching via exceptional point pairs in optical microcavities</w:t>
      </w:r>
    </w:p>
    <w:p>
      <w:r>
        <w:rPr>
          <w:rFonts w:ascii="Times New Roman" w:hAnsi="Times New Roman" w:eastAsia="宋体"/>
          <w:sz w:val="21"/>
        </w:rPr>
        <w:t>作者: Kyu-Won Park, KyeongRo Kim, Jinuk Kim, Muhan Choi, Kabgyun Jeong</w:t>
        <w:br/>
      </w:r>
      <w:r>
        <w:rPr>
          <w:rFonts w:ascii="Times New Roman" w:hAnsi="Times New Roman" w:eastAsia="宋体"/>
          <w:sz w:val="21"/>
        </w:rPr>
        <w:t xml:space="preserve">时间: 2026-01-27 | </w:t>
      </w:r>
      <w:r>
        <w:t xml:space="preserve">链接: </w:t>
      </w:r>
      <w:hyperlink r:id="rId94">
        <w:r>
          <w:rPr>
            <w:rFonts w:ascii="Times New Roman" w:hAnsi="Times New Roman" w:eastAsia="宋体"/>
            <w:color w:val="0000FF"/>
            <w:sz w:val="21"/>
            <w:u w:val="single"/>
          </w:rPr>
          <w:t>https://doi.org/10.1364/prj.569511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我们提出了一种使用异常点 (EP) 对来确定性控制光学微腔中的品质因数 ( Q ) 和模式转换的拓扑方法。超辐射模式和次辐射模式之间的转变由两层黎曼曲面上的编织组拓扑控制，从而实现路径鲁棒的 Q 调谐，而不依赖于增益损失平衡、非线性或非绝热环绕。全波模拟表明，在 k r ≈3 的归一化频率下，Q 值增强了六倍以上，k r 越大，预期增益越高。该方法仅需要弱椭圆变形和工程内部损耗曲线，从而保持与标准光子平台的兼容性。该 EP 对框架为可重构微型激光器、传感器和集成光子器件提供了可扩展且容错制造的策略。</w:t>
      </w:r>
    </w:p>
    <w:p>
      <w:pPr>
        <w:spacing w:before="120"/>
      </w:pPr>
      <w:r>
        <w:rPr>
          <w:rFonts w:ascii="Times New Roman" w:hAnsi="Times New Roman" w:eastAsia="宋体"/>
          <w:b/>
          <w:sz w:val="21"/>
        </w:rPr>
        <w:t>English Abstract:</w:t>
      </w:r>
    </w:p>
    <w:p>
      <w:r>
        <w:rPr>
          <w:rFonts w:ascii="Times New Roman" w:hAnsi="Times New Roman" w:eastAsia="宋体"/>
          <w:sz w:val="21"/>
        </w:rPr>
        <w:t>We present a topological method for deterministic control of the quality factor ( Q ) and mode conversion in optical microcavities using an exceptional-point (EP) pair. The transition between super- and subradiant modes is governed by braid-group topology on a two-sheet Riemann surface, enabling path-robust Q -tuning without relying on gain-loss balance, nonlinearity, or non-adiabatic encircling. Full-wave simulations demonstrate more than sixfold Q enhancement at a normalized frequency of k r ≈3, with higher gains expected at larger k r . The approach requires only a weak elliptical deformation and an engineered internal loss profile, maintaining compatibility with standard photonic platforms. This EP-pair framework offers a scalable and fabrication-tolerant strategy for reconfigurable microlasers, sensors, and integrated 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通过振动 MMF 单光子激光雷达中基于 TRSCE 的散斑抑制实现低信噪比下的鲁棒无人机跟踪</w:t>
      </w:r>
    </w:p>
    <w:p>
      <w:r>
        <w:rPr>
          <w:rFonts w:ascii="Times New Roman" w:hAnsi="Times New Roman" w:eastAsia="宋体"/>
          <w:b/>
          <w:color w:val="003264"/>
          <w:sz w:val="24"/>
        </w:rPr>
        <w:t>Robust UAV tracking under low-SNR via TRSCE-based speckle suppression in vibrating-MMF single-photon LiDAR</w:t>
      </w:r>
    </w:p>
    <w:p>
      <w:r>
        <w:rPr>
          <w:rFonts w:ascii="Times New Roman" w:hAnsi="Times New Roman" w:eastAsia="宋体"/>
          <w:sz w:val="21"/>
        </w:rPr>
        <w:t>作者: Dongfang Guo, Jianfeng Sun, Xin Zhou, Yinbo Zhang, Shengwen Yin, Sining Lin, Yanchen Qu</w:t>
        <w:br/>
      </w:r>
      <w:r>
        <w:rPr>
          <w:rFonts w:ascii="Times New Roman" w:hAnsi="Times New Roman" w:eastAsia="宋体"/>
          <w:sz w:val="21"/>
        </w:rPr>
        <w:t xml:space="preserve">时间: 2026-01-30 | </w:t>
      </w:r>
      <w:r>
        <w:t xml:space="preserve">链接: </w:t>
      </w:r>
      <w:hyperlink r:id="rId95">
        <w:r>
          <w:rPr>
            <w:rFonts w:ascii="Times New Roman" w:hAnsi="Times New Roman" w:eastAsia="宋体"/>
            <w:color w:val="0000FF"/>
            <w:sz w:val="21"/>
            <w:u w:val="single"/>
          </w:rPr>
          <w:t>https://doi.org/10.1364/prj.575696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无人机的大规模部署，远距离、高精度的探测与跟踪面临着严峻的挑战。虽然基于Gm-APD的单光子激光雷达系统在超低信噪比和弱回波条件下表现出出色的灵敏度，但采用多模光纤（MMF）耦合实现高能量输出往往会引入强散斑噪声，从而显着降低回波光子的稳定性和成像质量，从而降低目标跟踪的精度。本研究提出了一种将MMF振动与时域RANSAC与空间一致性增强（TRSCE）重建算法相结合的散斑抑制方法，该算法结合了时间RANSAC和空间邻域结构一致性。此外，还提出了一种改进的MeanShift-Kalman算法来实现低信噪比下无人机的鲁棒跟踪。蒙特卡罗模拟表明，在平均单像素回波光子数为 0.4481 和信噪比为 −6.85 dB 的情况下，目标区域内的散斑对比度从 0.7592 显着下降到 0.0748，相当于下降了 73.2%。在弱太阳光照和光雾条件下进行的现场实验中，所提出的Gm-APD单光子激光雷达系统展示了对200 m距离的无人机目标的强大跟踪能力。在信噪比约为 -4.53 dB 的情况下，每个目标像素的平均信号返回为 1.0859 个光子，背景噪声水平为 3.0829 个光子，系统实现的平均跟踪误差为 0.6572 像素（约 6.44 厘米），帧间模型相似度为 0.9764。与公开报道的散斑抑制方法相比，所提出的方法将跟踪误差降低了约 45.3%。此外，在强太阳光照下，在300 m范围内，平均信号光子数为0.8769，每像素背景噪声为4.0611光子，该系统实现了平均跟踪误差为0.6975像素（约9.66 cm），与基于空间相关的算法相比，精度提高了43.2%。最后，通过集成相控阵雷达，该系统将无人机的有效探测和跟踪距离延长至10公里，超越了现有激光雷达的能力。所提出的散斑抑制和鲁棒跟踪框架显着增强了激光雷达在复杂空域环境下运行的跟踪稳定性，为未来低空防御和空域安全应用提供了可行的理论基础和工程解决方案。</w:t>
      </w:r>
    </w:p>
    <w:p>
      <w:pPr>
        <w:spacing w:before="120"/>
      </w:pPr>
      <w:r>
        <w:rPr>
          <w:rFonts w:ascii="Times New Roman" w:hAnsi="Times New Roman" w:eastAsia="宋体"/>
          <w:b/>
          <w:sz w:val="21"/>
        </w:rPr>
        <w:t>English Abstract:</w:t>
      </w:r>
    </w:p>
    <w:p>
      <w:r>
        <w:rPr>
          <w:rFonts w:ascii="Times New Roman" w:hAnsi="Times New Roman" w:eastAsia="宋体"/>
          <w:sz w:val="21"/>
        </w:rPr>
        <w:t>With the large-scale deployment of unmanned aerial vehicles (UAVs), long-range, high-precision detection and tracking face severe challenges. Although Gm-APD-based single-photon LiDAR systems exhibit outstanding sensitivity under ultra-low SNR and weak echo conditions, the employment of multimode fiber (MMF) coupling to achieve high energy output tends to introduce strong speckle noise, which significantly degrades echo photons’ stability and imaging quality, thereby reducing the accuracy of target tracking. This study proposes a speckle suppression method that integrates MMF vibration with the time-domain RANSAC with spatial consistency enhancement (TRSCE) reconstruction algorithm, which combines temporal RANSAC and spatial neighborhood structural consistency. Additionally, an improved MeanShift-Kalman algorithm is proposed to achieve robust tracking of UAVs under low SNR. Monte Carlo simulations demonstrate that under an average single-pixel echo photon count of 0.4481 and an SNR of −6.85 dB , the speckle contrast within the target region decreases significantly from 0.7592 to 0.0748, corresponding to a reduction of 73.2%. In field experiments conducted under weak solar illumination and light fog, the proposed Gm-APD single-photon LiDAR system demonstrated robust tracking capability of UAV targets at a distance of 200 m. At an SNR of approximately −4.53 dB , with an average signal return of 1.0859 photons per target pixel and a background noise level of 3.0829 photons, the system achieved a mean tracking error of 0.6572 pixels (approximately 6.44 cm) and an inter-frame model similarity of 0.9764. Compared to publicly reported speckle suppression methods, the proposed approach reduced the tracking error by approximately 45.3%. Furthermore, at a range of 300 m under strong solar illumination, with an average signal-photon count of 0.8769 and background noise of 4.0611 photons per pixel, the system achieved a mean tracking error of 0.6975 pixels (approximately 9.66 cm), improving accuracy by 43.2% compared to spatial-correlation-based algorithms. Finally, by integrating phased-array radar, the system extends effective detection and tracking distances of UAVs to 10 km, surpassing existing LiDAR capabilities. The proposed speckle suppression and robust tracking framework significantly enhances tracking stability of LiDAR operating in complex airspace environments and provides a viable theoretical foundation and engineering solution for future low-altitude defense and airspace security applications.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13:28 ---</w:t>
      </w:r>
    </w:p>
    <w:p>
      <w:pPr>
        <w:pStyle w:val="Heading2"/>
      </w:pPr>
      <w:r/>
      <w:r>
        <w:rPr>
          <w:rFonts w:ascii="Times New Roman" w:hAnsi="Times New Roman" w:eastAsia="宋体"/>
          <w:b/>
          <w:color w:val="000000"/>
          <w:sz w:val="24"/>
        </w:rPr>
        <w:t>使用简化遗传算法自动无热设计衍射-折射混合光学系统</w:t>
      </w:r>
    </w:p>
    <w:p>
      <w:r>
        <w:rPr>
          <w:rFonts w:ascii="Times New Roman" w:hAnsi="Times New Roman" w:eastAsia="宋体"/>
          <w:b/>
          <w:color w:val="003264"/>
          <w:sz w:val="24"/>
        </w:rPr>
        <w:t>Automatic athermal design of diffractive–refractive hybrid optical systems using a simplified genetic algorithm</w:t>
      </w:r>
    </w:p>
    <w:p>
      <w:r>
        <w:rPr>
          <w:rFonts w:ascii="Times New Roman" w:hAnsi="Times New Roman" w:eastAsia="宋体"/>
          <w:sz w:val="21"/>
        </w:rPr>
        <w:t>作者: Siyuan Zeng, Jinjin Chen, Beibei Tong, Haiyu Wang, Qiangwei Chen, Gaolang Lin, Saiya Qi</w:t>
        <w:br/>
      </w:r>
      <w:r>
        <w:rPr>
          <w:rFonts w:ascii="Times New Roman" w:hAnsi="Times New Roman" w:eastAsia="宋体"/>
          <w:sz w:val="21"/>
        </w:rPr>
        <w:t xml:space="preserve">时间: 2026-02-03 | </w:t>
      </w:r>
      <w:r>
        <w:t xml:space="preserve">链接: </w:t>
      </w:r>
      <w:hyperlink r:id="rId103">
        <w:r>
          <w:rPr>
            <w:rFonts w:ascii="Times New Roman" w:hAnsi="Times New Roman" w:eastAsia="宋体"/>
            <w:color w:val="0000FF"/>
            <w:sz w:val="21"/>
            <w:u w:val="single"/>
          </w:rPr>
          <w:t>https://doi.org/10.1364/ao.583137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无热化设计方法普遍存在自动化程度不够、效率有限、通用性差等问题。为了克服这些挑战，本文提出了一种基于简化遗传算法（SGA）的光学系统自动无热化方法。该方法自动为折射-衍射混合光学系统选择替换透镜材料。为了验证其有效性，我们设计了两个波长范围为 3.7–4.8 µm 的红外光学系统。在每个系统的探测器奈奎斯特频率下，所设计系统的调制传递函数 (MTF) 在 -40°C 至 +70°C 的温度范围内保持在衍射极限附近，场平均 MTF 随温度变化 &lt;0.01。与内置的锤子优化器相比，所提出的方法在两个 MWIR 案例研究中实现了可比的成像性能，速度提高了大约十倍。</w:t>
      </w:r>
    </w:p>
    <w:p>
      <w:pPr>
        <w:spacing w:before="120"/>
      </w:pPr>
      <w:r>
        <w:rPr>
          <w:rFonts w:ascii="Times New Roman" w:hAnsi="Times New Roman" w:eastAsia="宋体"/>
          <w:b/>
          <w:sz w:val="21"/>
        </w:rPr>
        <w:t>English Abstract:</w:t>
      </w:r>
    </w:p>
    <w:p>
      <w:r>
        <w:rPr>
          <w:rFonts w:ascii="Times New Roman" w:hAnsi="Times New Roman" w:eastAsia="宋体"/>
          <w:sz w:val="21"/>
        </w:rPr>
        <w:t>Existing athermalization design methods generally suffer from insufficient automation, limited efficiency, and poor generalizability. To overcome these challenges, this paper proposes an automatic athermalization approach for optical systems based on a simplified genetic algorithm (SGA). The method automatically selects replacement lens materials for refractive–diffractive hybrid optical systems. To validate its effectiveness, we designed two infrared optical systems with a wavelength range of 3.7–4.8 µm. The modulation transfer function (MTF) of the designed systems remained near the diffraction limit across a temperature range from −40 ∘ C to +70 ∘ C at the detector Nyquist frequency of each system, with a field-averaged MTF variation &lt;0.01 over temperature. Compared with the built-in hammer optimizer, the proposed method achieves comparable imaging performance with an approximately tenfold speedup across two MWIR case studies.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13:28 ---</w:t>
      </w:r>
    </w:p>
    <w:p>
      <w:pPr>
        <w:pStyle w:val="Heading2"/>
      </w:pPr>
      <w:r/>
      <w:r>
        <w:rPr>
          <w:rFonts w:ascii="Times New Roman" w:hAnsi="Times New Roman" w:eastAsia="宋体"/>
          <w:b/>
          <w:color w:val="000000"/>
          <w:sz w:val="24"/>
        </w:rPr>
        <w:t>飞秒激光诱导双折射的热辅助反转</w:t>
      </w:r>
    </w:p>
    <w:p>
      <w:r>
        <w:rPr>
          <w:rFonts w:ascii="Times New Roman" w:hAnsi="Times New Roman" w:eastAsia="宋体"/>
          <w:b/>
          <w:color w:val="003264"/>
          <w:sz w:val="24"/>
        </w:rPr>
        <w:t>Heat‐Assisted Reversal of Femtosecond Laser‐Induced Birefringence</w:t>
      </w:r>
    </w:p>
    <w:p>
      <w:r>
        <w:rPr>
          <w:rFonts w:ascii="Times New Roman" w:hAnsi="Times New Roman" w:eastAsia="宋体"/>
          <w:sz w:val="21"/>
        </w:rPr>
        <w:t>作者: Yanxia Liu, Peiyao Li, Yu Rao, Yinsheng Xu, Ping Lu, Lei Wang, Rokas Drevinskas, Jianrong Qiu, Jingyu Zhang</w:t>
        <w:br/>
      </w:r>
      <w:r>
        <w:rPr>
          <w:rFonts w:ascii="Times New Roman" w:hAnsi="Times New Roman" w:eastAsia="宋体"/>
          <w:sz w:val="21"/>
        </w:rPr>
        <w:t xml:space="preserve">时间: 2026-02-06 | </w:t>
      </w:r>
      <w:r>
        <w:t xml:space="preserve">链接: </w:t>
      </w:r>
      <w:hyperlink r:id="rId104">
        <w:r>
          <w:rPr>
            <w:rFonts w:ascii="Times New Roman" w:hAnsi="Times New Roman" w:eastAsia="宋体"/>
            <w:color w:val="0000FF"/>
            <w:sz w:val="21"/>
            <w:u w:val="single"/>
          </w:rPr>
          <w:t>https://doi.org/10.1002/lpor.202502928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在均质材料中精确嵌入设计的纳米结构对于高性能光子器件的开发至关重要。然而，现有技术通常难以实现对位置和产量的同时控制，限制了它们在光学数据存储和集成光子学中的使用。在这里，我们报告了二硅酸锂玻璃中热辅助双折射取向反转（HABOR）现象的观察。基于这一现象，我们提出了一种能够在保持高产率的同时精确控制结晶空间的方法。该方法采用飞秒激光直写与热处理相结合，通过双折射慢轴取向的有趣反转促进定向纳米晶体生长。特别是，定向纳米晶体产生高达35.11±2.34 nm的双折射延迟，比飞秒激光直写实现的双折射高6.80倍。它们的双折射表现出优异的热稳定性，在 700°C 下 24 小时内延迟率保持相对稳定。这些优异的特性使其能够应用于 5D 光学数据存储、任意延迟器和各种光学元件的制造。</w:t>
      </w:r>
    </w:p>
    <w:p>
      <w:pPr>
        <w:spacing w:before="120"/>
      </w:pPr>
      <w:r>
        <w:rPr>
          <w:rFonts w:ascii="Times New Roman" w:hAnsi="Times New Roman" w:eastAsia="宋体"/>
          <w:b/>
          <w:sz w:val="21"/>
        </w:rPr>
        <w:t>English Abstract:</w:t>
      </w:r>
    </w:p>
    <w:p>
      <w:r>
        <w:rPr>
          <w:rFonts w:ascii="Times New Roman" w:hAnsi="Times New Roman" w:eastAsia="宋体"/>
          <w:sz w:val="21"/>
        </w:rPr>
        <w:t>ABSTRACT Precisely embedding designed nanostructures in homogeneous materials is essential for the development of high‐performance photonic devices. However, existing techniques typically struggle to achieve simultaneous control over location and yield, limiting their use in optical data storage and integrated photonics. Here, we report an observation of a heat‐assisted birefringence orientation reversal (HABOR) phenomenon in lithium disilicate glass. Based on this phenomenon, we propose a method that enables precise spatial control of crystallization while maintaining high yield. The method employs femtosecond laser direct writing combined with heat treatment, facilitating oriented nanocrystal growth with an intriguing reversal of the birefringence slow‐axis orientation. In particular, the oriented nanocrystals produce birefringence retardance up to 35.11 ± 2.34 nm, which is 6.80 times higher than that achieved by femtosecond laser direct writing. Their birefringence shows excellent thermal stability, with retardance remaining relatively stable over 24 h at 700°C. These superior properties enable applications in 5D optical data storage, fabrication of arbitrary retarders and varying optical elements.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高增益短波红外异质结光电晶体管中的随机电报信号噪声</w:t>
      </w:r>
    </w:p>
    <w:p>
      <w:r>
        <w:rPr>
          <w:rFonts w:ascii="Times New Roman" w:hAnsi="Times New Roman" w:eastAsia="宋体"/>
          <w:b/>
          <w:color w:val="003264"/>
          <w:sz w:val="24"/>
        </w:rPr>
        <w:t>Random Telegraph Signal Noise in High‐Gain SWIR Heterojunction Phototransistors</w:t>
      </w:r>
    </w:p>
    <w:p>
      <w:r>
        <w:rPr>
          <w:rFonts w:ascii="Times New Roman" w:hAnsi="Times New Roman" w:eastAsia="宋体"/>
          <w:sz w:val="21"/>
        </w:rPr>
        <w:t>作者: Zheyuan Shen, Zeping Zhao, Lingyun Zhuang, Lu Cheng, Haolei Feng, Lining Liu, Jianguo Liu</w:t>
        <w:br/>
      </w:r>
      <w:r>
        <w:rPr>
          <w:rFonts w:ascii="Times New Roman" w:hAnsi="Times New Roman" w:eastAsia="宋体"/>
          <w:sz w:val="21"/>
        </w:rPr>
        <w:t xml:space="preserve">时间: 2026-02-06 | </w:t>
      </w:r>
      <w:r>
        <w:t xml:space="preserve">链接: </w:t>
      </w:r>
      <w:hyperlink r:id="rId105">
        <w:r>
          <w:rPr>
            <w:rFonts w:ascii="Times New Roman" w:hAnsi="Times New Roman" w:eastAsia="宋体"/>
            <w:color w:val="0000FF"/>
            <w:sz w:val="21"/>
            <w:u w:val="single"/>
          </w:rPr>
          <w:t>https://doi.org/10.1002/lpor.202502759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InP/InGaAs 基异质结光电晶体管 (HPT) 由于其高内部增益、低多余噪声和低功耗而有望用于超灵敏短波红外 (SWIR) 检测。这项工作证明了 HPT 在 -2 V 偏压下实现了约 1200 的高光学增益，暗电流低于最先进的雪崩光电二极管 (APD)。为了进一步将其灵敏度提升到弱光/超长距离成像的极限，我们对低频（LF）区域的噪声机制及其起源进行了研究，从而探索和研究了缺陷相关陷阱引起的耗尽区中的产生电流。特别是，发现低频噪声功率与内部增益无关。首次在基于增益的探测器中报道了 2.1 × 10 -5 的 Hooge 常数，与 HgCdTe 设备相当。值得注意的是，温度相关的多级随机电报信号（RTS）分析揭示了产生电流的两个主要来源，对应于两种典型类型的中带隙陷阱的弛豫过程。一种是由 Zn 扩散到 InP 发射极引起的与 Zn 相关的外在缺陷，另一种是 InGaAs 集电极中与 Ga 相关的本征缺陷。作为优化 HPT 探测器设计的指南，这项工作为进一步提高低通量短波红外光电探测的灵敏度铺平了道路。</w:t>
      </w:r>
    </w:p>
    <w:p>
      <w:pPr>
        <w:spacing w:before="120"/>
      </w:pPr>
      <w:r>
        <w:rPr>
          <w:rFonts w:ascii="Times New Roman" w:hAnsi="Times New Roman" w:eastAsia="宋体"/>
          <w:b/>
          <w:sz w:val="21"/>
        </w:rPr>
        <w:t>English Abstract:</w:t>
      </w:r>
    </w:p>
    <w:p>
      <w:r>
        <w:rPr>
          <w:rFonts w:ascii="Times New Roman" w:hAnsi="Times New Roman" w:eastAsia="宋体"/>
          <w:sz w:val="21"/>
        </w:rPr>
        <w:t>ABSTRACT InP/InGaAs‐based heterojunction phototransistors (HPTs) are promising for ultrasensitive short‐wave infrared (SWIR) detection due to their high internal gain, low excess noise, and low power consumption. This work demonstrates an HPT achieving a high optical gain of ∼1200 at −2 V bias, with dark current lower than state‐of‐the‐art avalanche photodiodes (APD). To further push its sensitivity to the limit for weak light/ultra‐long‐distance imaging, the noise mechanism in low frequency (LF) regime and its origins have been investigated, by which generation current in depletion region caused by the defect‐related traps is explored and studied. In particular, the LF noise power is found to be independent of the internal gain. A Hooge's constant of 2.1 × 10 −5 is reported for the first time in gain‐based detectors, comparable to HgCdTe devices. Remarkably, temperature‐dependent multi‐level random telegraph signal (RTS) analysis reveals two dominant origins of the generation current, corresponding to relaxation processes of two typical types of mid‐gap traps. One is Zn‐related extrinsic defects caused by Zn diffusion into the InP emitter, while the other is Ga‐related intrinsic defects in InGaAs collector. As the guideline for optimizing the HPT detector design, this work paves the way to further improve the sensitivity for low‐flux SWIR photodetection.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核壳Te@Se量子点的合成及其在低浓度电解质中的宽带光电探测器性能</w:t>
      </w:r>
    </w:p>
    <w:p>
      <w:r>
        <w:rPr>
          <w:rFonts w:ascii="Times New Roman" w:hAnsi="Times New Roman" w:eastAsia="宋体"/>
          <w:b/>
          <w:color w:val="003264"/>
          <w:sz w:val="24"/>
        </w:rPr>
        <w:t>Synthesis of Core–Shell Te@Se Quantum Dots and Their Broadband Photodetector Performance in Low Concentration Electrolytes</w:t>
      </w:r>
    </w:p>
    <w:p>
      <w:r>
        <w:rPr>
          <w:rFonts w:ascii="Times New Roman" w:hAnsi="Times New Roman" w:eastAsia="宋体"/>
          <w:sz w:val="21"/>
        </w:rPr>
        <w:t>作者: Yiming Zhao, Artem V. Kuklin, Jiahui Hou, Mingqi He, Lyudmila V. Begunovich, Han Zhang, Ying Li, Hans Ågren, Lingfeng Gao</w:t>
        <w:br/>
      </w:r>
      <w:r>
        <w:rPr>
          <w:rFonts w:ascii="Times New Roman" w:hAnsi="Times New Roman" w:eastAsia="宋体"/>
          <w:sz w:val="21"/>
        </w:rPr>
        <w:t xml:space="preserve">时间: 2026-02-06 | </w:t>
      </w:r>
      <w:r>
        <w:t xml:space="preserve">链接: </w:t>
      </w:r>
      <w:hyperlink r:id="rId106">
        <w:r>
          <w:rPr>
            <w:rFonts w:ascii="Times New Roman" w:hAnsi="Times New Roman" w:eastAsia="宋体"/>
            <w:color w:val="0000FF"/>
            <w:sz w:val="21"/>
            <w:u w:val="single"/>
          </w:rPr>
          <w:t>https://doi.org/10.1002/lpor.202503087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随着核壳异质结量子点（QD）越来越受到关注，最近人们通过开发合成方法来努力改善其实际应用。本工作通过结合液相剥离和外延生长方法成功制备了均匀的Te@Se核壳量子点，其中来自同一主族的材料的相似晶格结构可以有效解决晶格失配问题。理论计算表明，Te@Se 材料是一种 I 型异质结，在形成时具有良好的初始电子从核 Te 转移到壳 Se 的能力。通过在低浓度电解质（0.1-10 mM）中生产光电化学型光电探测器，系统地研究了Te@Se QD的光响应性能，可以实现优化的光电流密度（32.63 µA/cm 2 ）和光响应率（1564 µA/W）。该器件还表现出快速响应和优异的稳定性，可以克服高浓度电解质中的不稳定问题并扩大实际应用。</w:t>
      </w:r>
    </w:p>
    <w:p>
      <w:pPr>
        <w:spacing w:before="120"/>
      </w:pPr>
      <w:r>
        <w:rPr>
          <w:rFonts w:ascii="Times New Roman" w:hAnsi="Times New Roman" w:eastAsia="宋体"/>
          <w:b/>
          <w:sz w:val="21"/>
        </w:rPr>
        <w:t>English Abstract:</w:t>
      </w:r>
    </w:p>
    <w:p>
      <w:r>
        <w:rPr>
          <w:rFonts w:ascii="Times New Roman" w:hAnsi="Times New Roman" w:eastAsia="宋体"/>
          <w:sz w:val="21"/>
        </w:rPr>
        <w:t>ABSTRACT Along with the increased attention of core–shell heterojunction quantum dots (QDs), there have been recent strong efforts to improve their practical applications by developing the synthetic approaches. In this work, uniform Te@Se core–shell QDs have been successfully fabricated via combining liquid‐phase exfoliation and epitaxial growth methods, where the similar lattice structures of the materials from the same main group can effectively solve the lattice mismatch issue. Theoretical calculations reveal that the Te@Se material is a Type‐I heterojunction with favorable initial electron transfer from core Te to shell Se upon formation. The photo‐response performance of Te@Se QDs is systematically investigated by producing photoelectrochemical type photodetectors in low concentration electrolytes (0.1–10 mM), for which optimized photocurrent density (32.63 µA/cm 2 ) and photoresponsivity (1564 µA/W) could be achieved. The device also exhibits fast response and excellent stability, which could overcome instability issues in high‐concentration electrolytes and expand the practical applications.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010-1" TargetMode="External"/><Relationship Id="rId11" Type="http://schemas.openxmlformats.org/officeDocument/2006/relationships/hyperlink" Target="https://doi.org/10.1038/s41598-026-38653-x" TargetMode="External"/><Relationship Id="rId12" Type="http://schemas.openxmlformats.org/officeDocument/2006/relationships/hyperlink" Target="https://doi.org/10.1038/s41598-026-36656-2" TargetMode="External"/><Relationship Id="rId13" Type="http://schemas.openxmlformats.org/officeDocument/2006/relationships/hyperlink" Target="https://doi.org/10.1038/s41598-026-37166-x" TargetMode="External"/><Relationship Id="rId14" Type="http://schemas.openxmlformats.org/officeDocument/2006/relationships/hyperlink" Target="https://doi.org/10.1038/s41598-026-38782-3" TargetMode="External"/><Relationship Id="rId15" Type="http://schemas.openxmlformats.org/officeDocument/2006/relationships/hyperlink" Target="https://doi.org/10.1038/s41598-026-38497-5" TargetMode="External"/><Relationship Id="rId16" Type="http://schemas.openxmlformats.org/officeDocument/2006/relationships/hyperlink" Target="https://doi.org/10.1038/s41598-026-37955-4" TargetMode="External"/><Relationship Id="rId17" Type="http://schemas.openxmlformats.org/officeDocument/2006/relationships/hyperlink" Target="https://doi.org/10.1038/s41598-026-39023-3" TargetMode="External"/><Relationship Id="rId18" Type="http://schemas.openxmlformats.org/officeDocument/2006/relationships/hyperlink" Target="https://doi.org/10.1038/s41598-026-38691-5" TargetMode="External"/><Relationship Id="rId19" Type="http://schemas.openxmlformats.org/officeDocument/2006/relationships/hyperlink" Target="https://doi.org/10.1038/s41598-026-38581-w" TargetMode="External"/><Relationship Id="rId20" Type="http://schemas.openxmlformats.org/officeDocument/2006/relationships/hyperlink" Target="https://doi.org/10.1038/s41598-026-38725-y" TargetMode="External"/><Relationship Id="rId21" Type="http://schemas.openxmlformats.org/officeDocument/2006/relationships/hyperlink" Target="https://doi.org/10.1038/s41598-026-37205-7" TargetMode="External"/><Relationship Id="rId22" Type="http://schemas.openxmlformats.org/officeDocument/2006/relationships/hyperlink" Target="https://doi.org/10.1038/s41598-026-38677-3" TargetMode="External"/><Relationship Id="rId23" Type="http://schemas.openxmlformats.org/officeDocument/2006/relationships/hyperlink" Target="https://doi.org/10.1038/s41598-026-38403-z" TargetMode="External"/><Relationship Id="rId24" Type="http://schemas.openxmlformats.org/officeDocument/2006/relationships/hyperlink" Target="https://doi.org/10.1038/s41598-026-39159-2" TargetMode="External"/><Relationship Id="rId25" Type="http://schemas.openxmlformats.org/officeDocument/2006/relationships/hyperlink" Target="https://doi.org/10.1038/s41598-026-35933-4" TargetMode="External"/><Relationship Id="rId26" Type="http://schemas.openxmlformats.org/officeDocument/2006/relationships/hyperlink" Target="https://doi.org/10.1038/s41598-026-38450-6" TargetMode="External"/><Relationship Id="rId27" Type="http://schemas.openxmlformats.org/officeDocument/2006/relationships/hyperlink" Target="https://doi.org/10.1038/s41598-026-37593-w" TargetMode="External"/><Relationship Id="rId28" Type="http://schemas.openxmlformats.org/officeDocument/2006/relationships/hyperlink" Target="https://doi.org/10.1038/s41598-026-35689-x" TargetMode="External"/><Relationship Id="rId29" Type="http://schemas.openxmlformats.org/officeDocument/2006/relationships/hyperlink" Target="https://doi.org/10.1038/s41598-026-38915-8" TargetMode="External"/><Relationship Id="rId30" Type="http://schemas.openxmlformats.org/officeDocument/2006/relationships/hyperlink" Target="https://doi.org/10.1038/s41598-026-38773-4" TargetMode="External"/><Relationship Id="rId31" Type="http://schemas.openxmlformats.org/officeDocument/2006/relationships/hyperlink" Target="https://doi.org/10.1038/s41598-025-33540-3" TargetMode="External"/><Relationship Id="rId32" Type="http://schemas.openxmlformats.org/officeDocument/2006/relationships/hyperlink" Target="https://doi.org/10.1038/s41598-026-35422-8" TargetMode="External"/><Relationship Id="rId33" Type="http://schemas.openxmlformats.org/officeDocument/2006/relationships/hyperlink" Target="https://doi.org/10.1038/s41598-026-36932-1" TargetMode="External"/><Relationship Id="rId34" Type="http://schemas.openxmlformats.org/officeDocument/2006/relationships/hyperlink" Target="https://doi.org/10.1038/s41598-025-31506-z" TargetMode="External"/><Relationship Id="rId35" Type="http://schemas.openxmlformats.org/officeDocument/2006/relationships/hyperlink" Target="https://doi.org/10.1038/s41598-026-37826-y" TargetMode="External"/><Relationship Id="rId36" Type="http://schemas.openxmlformats.org/officeDocument/2006/relationships/hyperlink" Target="https://doi.org/10.1038/s41598-026-38123-4" TargetMode="External"/><Relationship Id="rId37" Type="http://schemas.openxmlformats.org/officeDocument/2006/relationships/hyperlink" Target="https://doi.org/10.1038/s41598-026-37010-2" TargetMode="External"/><Relationship Id="rId38" Type="http://schemas.openxmlformats.org/officeDocument/2006/relationships/hyperlink" Target="https://doi.org/10.1038/s41598-026-38472-0" TargetMode="External"/><Relationship Id="rId39" Type="http://schemas.openxmlformats.org/officeDocument/2006/relationships/hyperlink" Target="https://doi.org/10.1038/s41598-026-37636-2" TargetMode="External"/><Relationship Id="rId40" Type="http://schemas.openxmlformats.org/officeDocument/2006/relationships/hyperlink" Target="https://doi.org/10.1038/s41598-026-37644-2" TargetMode="External"/><Relationship Id="rId41" Type="http://schemas.openxmlformats.org/officeDocument/2006/relationships/hyperlink" Target="https://doi.org/10.1038/s41598-026-39138-7" TargetMode="External"/><Relationship Id="rId42" Type="http://schemas.openxmlformats.org/officeDocument/2006/relationships/hyperlink" Target="https://doi.org/10.1016/j.optlastec.2026.114739" TargetMode="External"/><Relationship Id="rId43" Type="http://schemas.openxmlformats.org/officeDocument/2006/relationships/hyperlink" Target="https://doi.org/10.1016/j.optlastec.2026.114869" TargetMode="External"/><Relationship Id="rId44" Type="http://schemas.openxmlformats.org/officeDocument/2006/relationships/hyperlink" Target="https://doi.org/10.1016/j.optlastec.2026.114898" TargetMode="External"/><Relationship Id="rId45" Type="http://schemas.openxmlformats.org/officeDocument/2006/relationships/hyperlink" Target="https://doi.org/10.1016/j.optlastec.2026.114897" TargetMode="External"/><Relationship Id="rId46" Type="http://schemas.openxmlformats.org/officeDocument/2006/relationships/hyperlink" Target="https://doi.org/10.1016/j.optlaseng.2026.109675" TargetMode="External"/><Relationship Id="rId47" Type="http://schemas.openxmlformats.org/officeDocument/2006/relationships/hyperlink" Target="https://doi.org/10.1016/j.optlaseng.2026.109676" TargetMode="External"/><Relationship Id="rId48" Type="http://schemas.openxmlformats.org/officeDocument/2006/relationships/hyperlink" Target="https://doi.org/10.1016/j.optcom.2026.132988" TargetMode="External"/><Relationship Id="rId49" Type="http://schemas.openxmlformats.org/officeDocument/2006/relationships/hyperlink" Target="https://doi.org/10.1364/oe.586369" TargetMode="External"/><Relationship Id="rId50" Type="http://schemas.openxmlformats.org/officeDocument/2006/relationships/hyperlink" Target="https://doi.org/10.1364/oe.582533" TargetMode="External"/><Relationship Id="rId51" Type="http://schemas.openxmlformats.org/officeDocument/2006/relationships/hyperlink" Target="https://doi.org/10.1364/oe.586569" TargetMode="External"/><Relationship Id="rId52" Type="http://schemas.openxmlformats.org/officeDocument/2006/relationships/hyperlink" Target="https://doi.org/10.1364/oe.585007" TargetMode="External"/><Relationship Id="rId53" Type="http://schemas.openxmlformats.org/officeDocument/2006/relationships/hyperlink" Target="https://doi.org/10.1364/oe.585956" TargetMode="External"/><Relationship Id="rId54" Type="http://schemas.openxmlformats.org/officeDocument/2006/relationships/hyperlink" Target="https://doi.org/10.1063/5.0305471" TargetMode="External"/><Relationship Id="rId55" Type="http://schemas.openxmlformats.org/officeDocument/2006/relationships/hyperlink" Target="https://doi.org/10.1038/s41467-026-69110-y" TargetMode="External"/><Relationship Id="rId56" Type="http://schemas.openxmlformats.org/officeDocument/2006/relationships/hyperlink" Target="https://doi.org/10.1038/s41467-026-68520-2" TargetMode="External"/><Relationship Id="rId57" Type="http://schemas.openxmlformats.org/officeDocument/2006/relationships/hyperlink" Target="https://doi.org/10.1038/s41598-026-36102-3" TargetMode="External"/><Relationship Id="rId58" Type="http://schemas.openxmlformats.org/officeDocument/2006/relationships/hyperlink" Target="https://doi.org/10.1038/s41598-026-37743-0" TargetMode="External"/><Relationship Id="rId59" Type="http://schemas.openxmlformats.org/officeDocument/2006/relationships/hyperlink" Target="https://doi.org/10.1038/s41598-026-38626-0" TargetMode="External"/><Relationship Id="rId60" Type="http://schemas.openxmlformats.org/officeDocument/2006/relationships/hyperlink" Target="https://doi.org/10.1038/s41598-026-38111-8" TargetMode="External"/><Relationship Id="rId61" Type="http://schemas.openxmlformats.org/officeDocument/2006/relationships/hyperlink" Target="https://doi.org/10.1038/s41598-026-38648-8" TargetMode="External"/><Relationship Id="rId62" Type="http://schemas.openxmlformats.org/officeDocument/2006/relationships/hyperlink" Target="https://doi.org/10.1038/s41598-025-33542-1" TargetMode="External"/><Relationship Id="rId63" Type="http://schemas.openxmlformats.org/officeDocument/2006/relationships/hyperlink" Target="https://doi.org/10.1038/s41598-025-31683-x" TargetMode="External"/><Relationship Id="rId64" Type="http://schemas.openxmlformats.org/officeDocument/2006/relationships/hyperlink" Target="https://doi.org/10.1038/s41598-026-39237-5" TargetMode="External"/><Relationship Id="rId65" Type="http://schemas.openxmlformats.org/officeDocument/2006/relationships/hyperlink" Target="https://doi.org/10.1038/s42256-026-01191-2" TargetMode="External"/><Relationship Id="rId66" Type="http://schemas.openxmlformats.org/officeDocument/2006/relationships/hyperlink" Target="https://doi.org/10.1038/s41551-025-01608-0" TargetMode="External"/><Relationship Id="rId67" Type="http://schemas.openxmlformats.org/officeDocument/2006/relationships/hyperlink" Target="https://doi.org/10.1038/s41566-025-01841-8" TargetMode="External"/><Relationship Id="rId68" Type="http://schemas.openxmlformats.org/officeDocument/2006/relationships/hyperlink" Target="https://doi.org/10.1016/j.optlastec.2026.114861" TargetMode="External"/><Relationship Id="rId69" Type="http://schemas.openxmlformats.org/officeDocument/2006/relationships/hyperlink" Target="https://doi.org/10.1016/j.optlastec.2026.114874" TargetMode="External"/><Relationship Id="rId70" Type="http://schemas.openxmlformats.org/officeDocument/2006/relationships/hyperlink" Target="https://doi.org/10.1016/j.optcom.2026.133001" TargetMode="External"/><Relationship Id="rId71" Type="http://schemas.openxmlformats.org/officeDocument/2006/relationships/hyperlink" Target="https://doi.org/10.1016/j.optcom.2026.133002" TargetMode="External"/><Relationship Id="rId72" Type="http://schemas.openxmlformats.org/officeDocument/2006/relationships/hyperlink" Target="https://doi.org/10.1364/oe.585055" TargetMode="External"/><Relationship Id="rId73" Type="http://schemas.openxmlformats.org/officeDocument/2006/relationships/hyperlink" Target="https://doi.org/10.1364/oe.586388" TargetMode="External"/><Relationship Id="rId74" Type="http://schemas.openxmlformats.org/officeDocument/2006/relationships/hyperlink" Target="https://doi.org/10.1364/oe.582490" TargetMode="External"/><Relationship Id="rId75" Type="http://schemas.openxmlformats.org/officeDocument/2006/relationships/hyperlink" Target="https://doi.org/10.1364/oe.582270" TargetMode="External"/><Relationship Id="rId76" Type="http://schemas.openxmlformats.org/officeDocument/2006/relationships/hyperlink" Target="https://doi.org/10.1364/oe.585807" TargetMode="External"/><Relationship Id="rId77" Type="http://schemas.openxmlformats.org/officeDocument/2006/relationships/hyperlink" Target="https://doi.org/10.1364/oe.584669" TargetMode="External"/><Relationship Id="rId78" Type="http://schemas.openxmlformats.org/officeDocument/2006/relationships/hyperlink" Target="https://doi.org/10.1364/optcon.582538" TargetMode="External"/><Relationship Id="rId79" Type="http://schemas.openxmlformats.org/officeDocument/2006/relationships/hyperlink" Target="https://doi.org/10.1038/s41377-026-02191-y" TargetMode="External"/><Relationship Id="rId80" Type="http://schemas.openxmlformats.org/officeDocument/2006/relationships/hyperlink" Target="https://doi.org/10.1038/s41377-026-02203-x" TargetMode="External"/><Relationship Id="rId81" Type="http://schemas.openxmlformats.org/officeDocument/2006/relationships/hyperlink" Target="https://doi.org/10.1038/s41377-026-02187-8" TargetMode="External"/><Relationship Id="rId82" Type="http://schemas.openxmlformats.org/officeDocument/2006/relationships/hyperlink" Target="https://doi.org/10.1038/s41467-026-69145-1" TargetMode="External"/><Relationship Id="rId83" Type="http://schemas.openxmlformats.org/officeDocument/2006/relationships/hyperlink" Target="https://doi.org/10.1038/s41598-026-38200-8" TargetMode="External"/><Relationship Id="rId84" Type="http://schemas.openxmlformats.org/officeDocument/2006/relationships/hyperlink" Target="https://doi.org/10.1038/s41598-026-38504-9" TargetMode="External"/><Relationship Id="rId85" Type="http://schemas.openxmlformats.org/officeDocument/2006/relationships/hyperlink" Target="https://doi.org/10.1016/j.optlastec.2026.114875" TargetMode="External"/><Relationship Id="rId86" Type="http://schemas.openxmlformats.org/officeDocument/2006/relationships/hyperlink" Target="https://doi.org/10.1016/j.optlastec.2026.114878" TargetMode="External"/><Relationship Id="rId87" Type="http://schemas.openxmlformats.org/officeDocument/2006/relationships/hyperlink" Target="https://doi.org/10.1364/oe.586954" TargetMode="External"/><Relationship Id="rId88" Type="http://schemas.openxmlformats.org/officeDocument/2006/relationships/hyperlink" Target="https://doi.org/10.1038/s41467-026-69322-2" TargetMode="External"/><Relationship Id="rId89" Type="http://schemas.openxmlformats.org/officeDocument/2006/relationships/hyperlink" Target="https://doi.org/10.1038/s41598-025-30481-9" TargetMode="External"/><Relationship Id="rId90" Type="http://schemas.openxmlformats.org/officeDocument/2006/relationships/hyperlink" Target="https://doi.org/10.1016/j.optlaseng.2026.109656" TargetMode="External"/><Relationship Id="rId91" Type="http://schemas.openxmlformats.org/officeDocument/2006/relationships/hyperlink" Target="https://doi.org/10.1364/prj.576337" TargetMode="External"/><Relationship Id="rId92" Type="http://schemas.openxmlformats.org/officeDocument/2006/relationships/hyperlink" Target="https://doi.org/10.1364/prj.577422" TargetMode="External"/><Relationship Id="rId93" Type="http://schemas.openxmlformats.org/officeDocument/2006/relationships/hyperlink" Target="https://doi.org/10.1364/prj.573807" TargetMode="External"/><Relationship Id="rId94" Type="http://schemas.openxmlformats.org/officeDocument/2006/relationships/hyperlink" Target="https://doi.org/10.1364/prj.569511" TargetMode="External"/><Relationship Id="rId95" Type="http://schemas.openxmlformats.org/officeDocument/2006/relationships/hyperlink" Target="https://doi.org/10.1364/prj.575696" TargetMode="External"/><Relationship Id="rId96" Type="http://schemas.openxmlformats.org/officeDocument/2006/relationships/hyperlink" Target="https://doi.org/10.1038/s41467-026-69261-y" TargetMode="External"/><Relationship Id="rId97" Type="http://schemas.openxmlformats.org/officeDocument/2006/relationships/hyperlink" Target="https://doi.org/10.1038/s41598-026-39029-x" TargetMode="External"/><Relationship Id="rId98" Type="http://schemas.openxmlformats.org/officeDocument/2006/relationships/hyperlink" Target="https://doi.org/10.1038/s41598-026-38986-7" TargetMode="External"/><Relationship Id="rId99" Type="http://schemas.openxmlformats.org/officeDocument/2006/relationships/hyperlink" Target="https://doi.org/10.1038/s41598-026-38856-2" TargetMode="External"/><Relationship Id="rId100" Type="http://schemas.openxmlformats.org/officeDocument/2006/relationships/hyperlink" Target="https://doi.org/10.1016/j.optlastec.2026.114787" TargetMode="External"/><Relationship Id="rId101" Type="http://schemas.openxmlformats.org/officeDocument/2006/relationships/hyperlink" Target="https://doi.org/10.1016/j.optlastec.2026.114905" TargetMode="External"/><Relationship Id="rId102" Type="http://schemas.openxmlformats.org/officeDocument/2006/relationships/hyperlink" Target="https://doi.org/10.1016/j.optlaseng.2026.109673" TargetMode="External"/><Relationship Id="rId103" Type="http://schemas.openxmlformats.org/officeDocument/2006/relationships/hyperlink" Target="https://doi.org/10.1364/ao.583137" TargetMode="External"/><Relationship Id="rId104" Type="http://schemas.openxmlformats.org/officeDocument/2006/relationships/hyperlink" Target="https://doi.org/10.1002/lpor.202502928" TargetMode="External"/><Relationship Id="rId105" Type="http://schemas.openxmlformats.org/officeDocument/2006/relationships/hyperlink" Target="https://doi.org/10.1002/lpor.202502759" TargetMode="External"/><Relationship Id="rId106" Type="http://schemas.openxmlformats.org/officeDocument/2006/relationships/hyperlink" Target="https://doi.org/10.1002/lpor.2025030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